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imes New Roman" w:hAnsiTheme="minorHAnsi" w:cs="Times New Roman"/>
          <w:b w:val="0"/>
          <w:color w:val="auto"/>
          <w:spacing w:val="0"/>
          <w:kern w:val="0"/>
          <w:sz w:val="20"/>
          <w:szCs w:val="22"/>
        </w:rPr>
        <w:id w:val="875589956"/>
        <w:docPartObj>
          <w:docPartGallery w:val="Cover Pages"/>
          <w:docPartUnique/>
        </w:docPartObj>
      </w:sdtPr>
      <w:sdtEndPr>
        <w:rPr>
          <w:szCs w:val="20"/>
        </w:rPr>
      </w:sdtEndPr>
      <w:sdtContent>
        <w:p w14:paraId="47A39B89" w14:textId="06E0610F" w:rsidR="00E61EC9" w:rsidRPr="00E61EC9" w:rsidRDefault="005A7676" w:rsidP="005A7676">
          <w:pPr>
            <w:pStyle w:val="Title"/>
            <w:ind w:left="567"/>
            <w:rPr>
              <w:lang w:val="en-US"/>
            </w:rPr>
          </w:pPr>
          <w:r>
            <w:rPr>
              <w:noProof/>
            </w:rPr>
            <w:drawing>
              <wp:anchor distT="0" distB="0" distL="114300" distR="114300" simplePos="0" relativeHeight="251661312" behindDoc="1" locked="1" layoutInCell="1" allowOverlap="1" wp14:anchorId="68F81F83" wp14:editId="264216EB">
                <wp:simplePos x="0" y="0"/>
                <wp:positionH relativeFrom="page">
                  <wp:posOffset>0</wp:posOffset>
                </wp:positionH>
                <wp:positionV relativeFrom="page">
                  <wp:posOffset>0</wp:posOffset>
                </wp:positionV>
                <wp:extent cx="7560000" cy="10692000"/>
                <wp:effectExtent l="0" t="0" r="3175" b="0"/>
                <wp:wrapNone/>
                <wp:docPr id="13797186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18671"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E61EC9" w:rsidRPr="00E61EC9">
            <w:rPr>
              <w:lang w:val="en-US"/>
            </w:rPr>
            <w:t xml:space="preserve">Independent Review of Australian Small </w:t>
          </w:r>
          <w:r w:rsidR="00E61EC9" w:rsidRPr="00E61EC9">
            <w:t>Business</w:t>
          </w:r>
          <w:r w:rsidR="00E61EC9" w:rsidRPr="00E61EC9">
            <w:rPr>
              <w:lang w:val="en-US"/>
            </w:rPr>
            <w:t xml:space="preserve"> and Family Enterprise Ombudsman</w:t>
          </w:r>
        </w:p>
        <w:p w14:paraId="6A92AC09" w14:textId="77777777" w:rsidR="00E61EC9" w:rsidRPr="00E61EC9" w:rsidRDefault="00E61EC9" w:rsidP="005A7676">
          <w:pPr>
            <w:pStyle w:val="Subtitle"/>
            <w:ind w:left="567"/>
            <w:rPr>
              <w:lang w:val="en-US"/>
            </w:rPr>
          </w:pPr>
          <w:proofErr w:type="spellStart"/>
          <w:r w:rsidRPr="00E61EC9">
            <w:rPr>
              <w:lang w:val="en-US"/>
            </w:rPr>
            <w:t>Ms</w:t>
          </w:r>
          <w:proofErr w:type="spellEnd"/>
          <w:r w:rsidRPr="00E61EC9">
            <w:rPr>
              <w:lang w:val="en-US"/>
            </w:rPr>
            <w:t xml:space="preserve"> Judy O’Connell, Independent Reviewer</w:t>
          </w:r>
        </w:p>
        <w:p w14:paraId="17DECA3C" w14:textId="77777777" w:rsidR="00E61EC9" w:rsidRPr="00E61EC9" w:rsidRDefault="00E61EC9" w:rsidP="005A7676">
          <w:pPr>
            <w:pStyle w:val="Subtitle"/>
            <w:ind w:left="567"/>
            <w:rPr>
              <w:color w:val="3C0E40"/>
              <w:lang w:val="en-US"/>
            </w:rPr>
          </w:pPr>
          <w:r w:rsidRPr="00E61EC9">
            <w:rPr>
              <w:color w:val="3C0E40"/>
              <w:lang w:val="en-US"/>
            </w:rPr>
            <w:t>June 2025</w:t>
          </w:r>
        </w:p>
        <w:p w14:paraId="42A89EE7" w14:textId="77777777" w:rsidR="00AA6E33" w:rsidRDefault="00AA6E33">
          <w:pPr>
            <w:spacing w:before="0" w:after="160" w:line="259" w:lineRule="auto"/>
            <w:rPr>
              <w:szCs w:val="22"/>
            </w:rPr>
            <w:sectPr w:rsidR="00AA6E33" w:rsidSect="00253878">
              <w:headerReference w:type="even" r:id="rId8"/>
              <w:pgSz w:w="11906" w:h="16838" w:code="9"/>
              <w:pgMar w:top="1843" w:right="1418" w:bottom="1418" w:left="1418" w:header="709" w:footer="709" w:gutter="0"/>
              <w:pgNumType w:fmt="lowerRoman" w:start="0"/>
              <w:cols w:space="708"/>
              <w:titlePg/>
              <w:docGrid w:linePitch="360"/>
            </w:sectPr>
          </w:pPr>
        </w:p>
        <w:p w14:paraId="09752FA4" w14:textId="57162626" w:rsidR="000E0B74" w:rsidRDefault="000E0B74" w:rsidP="00617C42">
          <w:r w:rsidRPr="00661BF0">
            <w:lastRenderedPageBreak/>
            <w:t xml:space="preserve">© Commonwealth of Australia </w:t>
          </w:r>
          <w:r w:rsidRPr="00793B9B">
            <w:t>20</w:t>
          </w:r>
          <w:r w:rsidR="00191CFE" w:rsidRPr="00793B9B">
            <w:t>2</w:t>
          </w:r>
          <w:r w:rsidR="00793B9B" w:rsidRPr="00793B9B">
            <w:t>5</w:t>
          </w:r>
        </w:p>
        <w:p w14:paraId="4407C036" w14:textId="58C91D39" w:rsidR="006A3818" w:rsidRPr="00444CDB" w:rsidRDefault="006A3818" w:rsidP="006A3818">
          <w:pPr>
            <w:spacing w:before="0" w:after="160" w:line="259" w:lineRule="auto"/>
            <w:rPr>
              <w:noProof/>
            </w:rPr>
          </w:pPr>
          <w:r>
            <w:t xml:space="preserve">ISBN: </w:t>
          </w:r>
          <w:r w:rsidR="00136B7B" w:rsidRPr="00136B7B">
            <w:t>978-1-923278-17-2</w:t>
          </w:r>
        </w:p>
        <w:p w14:paraId="7865C16A" w14:textId="77777777" w:rsidR="006A3818" w:rsidRPr="00086F82" w:rsidRDefault="000E0B74" w:rsidP="006A3818">
          <w:pPr>
            <w:tabs>
              <w:tab w:val="left" w:pos="1650"/>
            </w:tabs>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00AC102B" w:rsidRPr="00AC102B">
              <w:rPr>
                <w:rStyle w:val="Hyperlink"/>
              </w:rPr>
              <w:t>Creative Commons Attribution 4.0 International</w:t>
            </w:r>
          </w:hyperlink>
          <w:r w:rsidR="006A3818" w:rsidRPr="00476F09">
            <w:rPr>
              <w:rFonts w:cstheme="minorHAnsi"/>
              <w:sz w:val="24"/>
              <w:szCs w:val="24"/>
            </w:rPr>
            <w:t xml:space="preserve"> </w:t>
          </w:r>
          <w:r w:rsidR="006A3818" w:rsidRPr="002F1BC2">
            <w:t>licence, with the exception of the Commonwealth Coat of Arms, the Treasury logo</w:t>
          </w:r>
          <w:r w:rsidR="006A3818">
            <w:t xml:space="preserve">, photographs, images, </w:t>
          </w:r>
          <w:r w:rsidR="006A3818" w:rsidRPr="004F5ACF">
            <w:t>third party materials, materials protected by a trademark,</w:t>
          </w:r>
          <w:r w:rsidR="006A3818">
            <w:t xml:space="preserve"> signatures </w:t>
          </w:r>
          <w:r w:rsidR="006A3818" w:rsidRPr="002F1BC2">
            <w:t>and where otherwise stated</w:t>
          </w:r>
          <w:r w:rsidR="006A3818">
            <w:t xml:space="preserve">. </w:t>
          </w:r>
          <w:r w:rsidR="006A3818" w:rsidRPr="002F1BC2">
            <w:t>The full licence terms are available from</w:t>
          </w:r>
          <w:r w:rsidR="006A3818" w:rsidRPr="00476F09">
            <w:rPr>
              <w:rFonts w:cstheme="minorHAnsi"/>
              <w:sz w:val="24"/>
              <w:szCs w:val="24"/>
            </w:rPr>
            <w:t xml:space="preserve"> </w:t>
          </w:r>
          <w:hyperlink r:id="rId10" w:history="1">
            <w:r w:rsidR="006A3818">
              <w:rPr>
                <w:rStyle w:val="Hyperlink"/>
              </w:rPr>
              <w:t>creativecommons.org/licenses/by/4.0/</w:t>
            </w:r>
            <w:proofErr w:type="spellStart"/>
            <w:r w:rsidR="006A3818">
              <w:rPr>
                <w:rStyle w:val="Hyperlink"/>
              </w:rPr>
              <w:t>legalcode</w:t>
            </w:r>
            <w:proofErr w:type="spellEnd"/>
          </w:hyperlink>
          <w:r w:rsidR="006A3818" w:rsidRPr="00444CDB">
            <w:t>.</w:t>
          </w:r>
          <w:r w:rsidR="006A3818" w:rsidRPr="00D06A21">
            <w:rPr>
              <w:sz w:val="24"/>
              <w:szCs w:val="24"/>
            </w:rPr>
            <w:t xml:space="preserve"> </w:t>
          </w:r>
        </w:p>
        <w:p w14:paraId="72B9EBA0" w14:textId="77777777" w:rsidR="006A3818" w:rsidRDefault="006A3818" w:rsidP="006A3818">
          <w:pPr>
            <w:pStyle w:val="ChartGraphic"/>
            <w:jc w:val="left"/>
          </w:pPr>
          <w:r w:rsidRPr="00E56DFB">
            <w:rPr>
              <w:noProof/>
            </w:rPr>
            <w:drawing>
              <wp:inline distT="0" distB="0" distL="0" distR="0" wp14:anchorId="626BD874" wp14:editId="5E5BBAA6">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1915D86" w14:textId="77777777" w:rsidR="006A3818" w:rsidRPr="006627B4" w:rsidRDefault="000E0B74" w:rsidP="006A3818">
          <w:pPr>
            <w:tabs>
              <w:tab w:val="left" w:pos="1650"/>
            </w:tabs>
          </w:pPr>
          <w:r w:rsidRPr="006627B4">
            <w:t xml:space="preserve">Use of </w:t>
          </w:r>
          <w:r w:rsidR="002D03AA">
            <w:t>Treasury</w:t>
          </w:r>
          <w:r w:rsidRPr="006627B4">
            <w:t xml:space="preserve"> material under a</w:t>
          </w:r>
          <w:r w:rsidRPr="00476F09">
            <w:rPr>
              <w:rFonts w:cstheme="minorHAnsi"/>
              <w:sz w:val="24"/>
              <w:szCs w:val="24"/>
            </w:rPr>
            <w:t xml:space="preserve"> </w:t>
          </w:r>
          <w:hyperlink r:id="rId12" w:history="1">
            <w:r w:rsidR="00AC102B" w:rsidRPr="00AC102B">
              <w:rPr>
                <w:rStyle w:val="Hyperlink"/>
              </w:rPr>
              <w:t>Creative Commons Attribution 4.0 International</w:t>
            </w:r>
          </w:hyperlink>
          <w:r w:rsidR="006A3818">
            <w:t xml:space="preserve"> l</w:t>
          </w:r>
          <w:r w:rsidR="006A3818" w:rsidRPr="006627B4">
            <w:t>icence requires you to attribute the work (but not in any way that suggests that the Treasury endorse</w:t>
          </w:r>
          <w:r w:rsidR="006A3818">
            <w:t>s you or your use of the work).</w:t>
          </w:r>
        </w:p>
        <w:p w14:paraId="20BDB606" w14:textId="77777777" w:rsidR="000E0B74" w:rsidRPr="00372D99" w:rsidRDefault="00890BD5" w:rsidP="006469CC">
          <w:pPr>
            <w:rPr>
              <w:rStyle w:val="Strong"/>
            </w:rPr>
          </w:pPr>
          <w:r>
            <w:rPr>
              <w:rStyle w:val="Strong"/>
            </w:rPr>
            <w:t>Treasury</w:t>
          </w:r>
          <w:r w:rsidR="00412369" w:rsidRPr="00372D99">
            <w:rPr>
              <w:rStyle w:val="Strong"/>
            </w:rPr>
            <w:t xml:space="preserve"> </w:t>
          </w:r>
          <w:r w:rsidR="000E0B74" w:rsidRPr="00372D99">
            <w:rPr>
              <w:rStyle w:val="Strong"/>
            </w:rPr>
            <w:t xml:space="preserve">material used </w:t>
          </w:r>
          <w:r w:rsidR="00916FA5">
            <w:rPr>
              <w:rStyle w:val="Strong"/>
            </w:rPr>
            <w:t>‘</w:t>
          </w:r>
          <w:r w:rsidR="000E0B74" w:rsidRPr="00372D99">
            <w:rPr>
              <w:rStyle w:val="Strong"/>
            </w:rPr>
            <w:t>as supplied</w:t>
          </w:r>
          <w:r w:rsidR="00916FA5">
            <w:rPr>
              <w:rStyle w:val="Strong"/>
            </w:rPr>
            <w:t>’</w:t>
          </w:r>
        </w:p>
        <w:p w14:paraId="28FCBD94" w14:textId="77777777" w:rsidR="000E0B74" w:rsidRPr="00476F09" w:rsidRDefault="000E0B74" w:rsidP="000E0B74">
          <w:r w:rsidRPr="00476F09">
            <w:t xml:space="preserve">Provided you have not modified or transformed </w:t>
          </w:r>
          <w:r w:rsidR="00F135EE">
            <w:t xml:space="preserve">Treasury </w:t>
          </w:r>
          <w:r w:rsidRPr="00476F09">
            <w:t>material in any way including, for example, by</w:t>
          </w:r>
          <w:r>
            <w:t xml:space="preserve"> </w:t>
          </w:r>
          <w:r w:rsidRPr="0096692D">
            <w:t xml:space="preserve">changing the </w:t>
          </w:r>
          <w:r w:rsidR="00F135EE">
            <w:t>Treasury</w:t>
          </w:r>
          <w:r w:rsidR="00412369" w:rsidRPr="006627B4">
            <w:t xml:space="preserve"> </w:t>
          </w:r>
          <w:r w:rsidRPr="0096692D">
            <w:t>text; calculating percentage changes; graphing or charting data</w:t>
          </w:r>
          <w:r>
            <w:t>;</w:t>
          </w:r>
          <w:r w:rsidRPr="0096692D">
            <w:t xml:space="preserve"> or deriving new statistics from published </w:t>
          </w:r>
          <w:r w:rsidR="000B693F">
            <w:t xml:space="preserve">Treasury </w:t>
          </w:r>
          <w:r w:rsidRPr="0096692D">
            <w:t>statistics</w:t>
          </w:r>
          <w:r>
            <w:t xml:space="preserve"> </w:t>
          </w:r>
          <w:r w:rsidR="007169B7">
            <w:rPr>
              <w:rFonts w:cs="Calibri Light"/>
            </w:rPr>
            <w:t>–</w:t>
          </w:r>
          <w:r>
            <w:t xml:space="preserve"> then </w:t>
          </w:r>
          <w:r w:rsidR="000B693F">
            <w:t xml:space="preserve">Treasury </w:t>
          </w:r>
          <w:r>
            <w:t>prefers t</w:t>
          </w:r>
          <w:r w:rsidRPr="00476F09">
            <w:t xml:space="preserve">he following attribution: </w:t>
          </w:r>
        </w:p>
        <w:p w14:paraId="03018F7E" w14:textId="77777777" w:rsidR="006A3818" w:rsidRPr="00A13A11" w:rsidRDefault="006A3818" w:rsidP="006A3818">
          <w:pPr>
            <w:ind w:firstLine="720"/>
          </w:pPr>
          <w:r w:rsidRPr="00E17231">
            <w:rPr>
              <w:iCs/>
            </w:rPr>
            <w:t>Source:</w:t>
          </w:r>
          <w:r w:rsidRPr="002F1BC2">
            <w:rPr>
              <w:i/>
            </w:rPr>
            <w:t xml:space="preserve"> </w:t>
          </w:r>
          <w:r w:rsidRPr="00AC2B70">
            <w:rPr>
              <w:rStyle w:val="Emphasis"/>
            </w:rPr>
            <w:t>The Commonwealth of Australia.</w:t>
          </w:r>
        </w:p>
        <w:p w14:paraId="6DEA7524" w14:textId="77777777" w:rsidR="000E0B74" w:rsidRPr="00372D99" w:rsidRDefault="000E0B74" w:rsidP="000E0B74">
          <w:pPr>
            <w:rPr>
              <w:rStyle w:val="Strong"/>
            </w:rPr>
          </w:pPr>
          <w:r w:rsidRPr="00372D99">
            <w:rPr>
              <w:rStyle w:val="Strong"/>
            </w:rPr>
            <w:t>Derivative material</w:t>
          </w:r>
        </w:p>
        <w:p w14:paraId="569CD1E7" w14:textId="77777777" w:rsidR="000E0B74" w:rsidRPr="006627B4" w:rsidRDefault="000E0B74" w:rsidP="000E0B74">
          <w:r w:rsidRPr="006627B4">
            <w:t>If you have modified or transformed</w:t>
          </w:r>
          <w:r w:rsidR="002952F4">
            <w:t xml:space="preserve"> Treasury</w:t>
          </w:r>
          <w:r w:rsidR="00412369" w:rsidRPr="006627B4">
            <w:t xml:space="preserve"> </w:t>
          </w:r>
          <w:r w:rsidRPr="006627B4">
            <w:t xml:space="preserve">material, or derived new material from those of the </w:t>
          </w:r>
          <w:r w:rsidR="002952F4">
            <w:t>Treasury</w:t>
          </w:r>
          <w:r w:rsidR="00412369" w:rsidRPr="006627B4">
            <w:t xml:space="preserve"> </w:t>
          </w:r>
          <w:r w:rsidRPr="006627B4">
            <w:t xml:space="preserve">in any way, then </w:t>
          </w:r>
          <w:r w:rsidR="002952F4">
            <w:t>Treasury</w:t>
          </w:r>
          <w:r w:rsidR="00412369" w:rsidRPr="006627B4">
            <w:t xml:space="preserve"> </w:t>
          </w:r>
          <w:r w:rsidRPr="006627B4">
            <w:t xml:space="preserve">prefers the following attribution: </w:t>
          </w:r>
        </w:p>
        <w:p w14:paraId="592D6402" w14:textId="77777777" w:rsidR="006A3818" w:rsidRPr="00AC2B70" w:rsidRDefault="006A3818" w:rsidP="006A3818">
          <w:pPr>
            <w:ind w:firstLine="720"/>
            <w:rPr>
              <w:rStyle w:val="Emphasis"/>
            </w:rPr>
          </w:pPr>
          <w:r w:rsidRPr="00AC2B70">
            <w:rPr>
              <w:rStyle w:val="Emphasis"/>
            </w:rPr>
            <w:t>Based on Commonwealth of Australia</w:t>
          </w:r>
          <w:r w:rsidRPr="00AC2B70" w:rsidDel="002A3368">
            <w:rPr>
              <w:rStyle w:val="Emphasis"/>
            </w:rPr>
            <w:t xml:space="preserve"> </w:t>
          </w:r>
          <w:r w:rsidRPr="00AC2B70">
            <w:rPr>
              <w:rStyle w:val="Emphasis"/>
            </w:rPr>
            <w:t>data</w:t>
          </w:r>
          <w:r w:rsidRPr="00E17231">
            <w:rPr>
              <w:rStyle w:val="Emphasis"/>
            </w:rPr>
            <w:t>.</w:t>
          </w:r>
        </w:p>
        <w:p w14:paraId="3D627971" w14:textId="77777777" w:rsidR="000E0B74" w:rsidRPr="00372D99" w:rsidRDefault="000E0B74" w:rsidP="000E0B74">
          <w:pPr>
            <w:rPr>
              <w:rStyle w:val="Strong"/>
            </w:rPr>
          </w:pPr>
          <w:r w:rsidRPr="00372D99">
            <w:rPr>
              <w:rStyle w:val="Strong"/>
            </w:rPr>
            <w:t>Use of the Coat of Arms</w:t>
          </w:r>
        </w:p>
        <w:p w14:paraId="05D9C04B" w14:textId="77777777" w:rsidR="005C503A" w:rsidRPr="005C503A" w:rsidRDefault="005C503A" w:rsidP="005C503A">
          <w:r w:rsidRPr="005C503A">
            <w:t xml:space="preserve">The terms under which the Coat of Arms can be used are set out on the Department of the Prime Minister and Cabinet website (see </w:t>
          </w:r>
          <w:hyperlink r:id="rId13" w:history="1">
            <w:r w:rsidR="006A3818">
              <w:rPr>
                <w:rStyle w:val="Hyperlink"/>
              </w:rPr>
              <w:t>www.pmc.gov.au/government/commonwealth-coat-arms</w:t>
            </w:r>
          </w:hyperlink>
          <w:r w:rsidRPr="005C503A">
            <w:t>).</w:t>
          </w:r>
        </w:p>
        <w:p w14:paraId="0DB2A15D" w14:textId="77777777" w:rsidR="000E0B74" w:rsidRPr="00372D99" w:rsidRDefault="000E0B74" w:rsidP="000E0B74">
          <w:pPr>
            <w:rPr>
              <w:rStyle w:val="Strong"/>
            </w:rPr>
          </w:pPr>
          <w:r w:rsidRPr="00372D99">
            <w:rPr>
              <w:rStyle w:val="Strong"/>
            </w:rPr>
            <w:t>Other uses</w:t>
          </w:r>
        </w:p>
        <w:p w14:paraId="18E53565" w14:textId="77777777" w:rsidR="000E0B74" w:rsidRPr="006627B4" w:rsidRDefault="000E0B74" w:rsidP="000E0B74">
          <w:r>
            <w:t>E</w:t>
          </w:r>
          <w:r w:rsidRPr="006627B4">
            <w:t>nquiries regarding this licence and any other use of this document are welcome at:</w:t>
          </w:r>
        </w:p>
        <w:p w14:paraId="2C3E178B" w14:textId="75F9AA4D" w:rsidR="000E0B74" w:rsidRDefault="006A3818" w:rsidP="000E0B74">
          <w:pPr>
            <w:ind w:left="720"/>
            <w:rPr>
              <w:rStyle w:val="Hyperlink"/>
            </w:rPr>
          </w:pPr>
          <w:r w:rsidRPr="006627B4">
            <w:t>Manager</w:t>
          </w:r>
          <w:r>
            <w:br/>
            <w:t>Media Unit</w:t>
          </w:r>
          <w:r>
            <w:br/>
          </w:r>
          <w:r w:rsidRPr="006627B4">
            <w:t>The Treasury</w:t>
          </w:r>
          <w:r>
            <w:br/>
          </w:r>
          <w:r w:rsidRPr="006627B4">
            <w:t xml:space="preserve">Langton Crescent </w:t>
          </w:r>
          <w:r>
            <w:br/>
          </w:r>
          <w:r w:rsidRPr="006627B4">
            <w:t xml:space="preserve">Parkes ACT </w:t>
          </w:r>
          <w:r>
            <w:t xml:space="preserve"> </w:t>
          </w:r>
          <w:r w:rsidRPr="006627B4">
            <w:t>2600</w:t>
          </w:r>
          <w:r>
            <w:br/>
          </w:r>
          <w:r w:rsidRPr="006627B4">
            <w:t xml:space="preserve">Email: </w:t>
          </w:r>
          <w:hyperlink r:id="rId14" w:history="1">
            <w:r w:rsidR="001515FD" w:rsidRPr="00193992">
              <w:rPr>
                <w:rStyle w:val="Hyperlink"/>
              </w:rPr>
              <w:t>media@treasury.gov.au</w:t>
            </w:r>
          </w:hyperlink>
        </w:p>
        <w:p w14:paraId="4A793CEE" w14:textId="77777777" w:rsidR="000127B3" w:rsidRDefault="006A3818" w:rsidP="006A3818">
          <w:pPr>
            <w:rPr>
              <w:rStyle w:val="Emphasis"/>
            </w:rPr>
            <w:sectPr w:rsidR="000127B3" w:rsidSect="004F32C5">
              <w:headerReference w:type="default" r:id="rId15"/>
              <w:footerReference w:type="even" r:id="rId16"/>
              <w:footerReference w:type="default" r:id="rId17"/>
              <w:pgSz w:w="11906" w:h="16838" w:code="9"/>
              <w:pgMar w:top="1843" w:right="1418" w:bottom="1418" w:left="1418" w:header="709" w:footer="709" w:gutter="0"/>
              <w:pgNumType w:fmt="lowerRoman" w:start="3"/>
              <w:cols w:space="708"/>
              <w:docGrid w:linePitch="360"/>
            </w:sectPr>
          </w:pPr>
          <w:r w:rsidRPr="003F1597">
            <w:rPr>
              <w:rStyle w:val="Emphasi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p>
        <w:p w14:paraId="6519FDA5" w14:textId="77777777" w:rsidR="006A3818" w:rsidRPr="003F1597" w:rsidRDefault="006A3818" w:rsidP="006A3818">
          <w:pPr>
            <w:rPr>
              <w:rStyle w:val="Emphasis"/>
            </w:rPr>
          </w:pPr>
        </w:p>
        <w:p w14:paraId="5369E3F0" w14:textId="77777777" w:rsidR="004642A1" w:rsidRDefault="001E7C30" w:rsidP="004642A1">
          <w:pPr>
            <w:pStyle w:val="Header"/>
          </w:pPr>
        </w:p>
      </w:sdtContent>
    </w:sdt>
    <w:p w14:paraId="650FFFD0" w14:textId="7157E144" w:rsidR="000E0B74" w:rsidRPr="005005F5" w:rsidRDefault="000E0B74" w:rsidP="00157015">
      <w:pPr>
        <w:pStyle w:val="ContentsHeading"/>
      </w:pPr>
      <w:r w:rsidRPr="009E04E4">
        <w:t>Contents</w:t>
      </w:r>
    </w:p>
    <w:p w14:paraId="14C0F10E" w14:textId="54A2C706" w:rsidR="00F24DAA" w:rsidRDefault="004973BE">
      <w:pPr>
        <w:pStyle w:val="TOC1"/>
        <w:rPr>
          <w:rFonts w:eastAsiaTheme="minorEastAsia" w:cstheme="minorBidi"/>
          <w:b w:val="0"/>
          <w:color w:val="auto"/>
          <w:kern w:val="2"/>
          <w:szCs w:val="24"/>
          <w14:ligatures w14:val="standardContextual"/>
        </w:rPr>
      </w:pPr>
      <w:r>
        <w:fldChar w:fldCharType="begin"/>
      </w:r>
      <w:r w:rsidR="000E0B74">
        <w:instrText>TOC \o "1-3" \z \u \h</w:instrText>
      </w:r>
      <w:r>
        <w:fldChar w:fldCharType="separate"/>
      </w:r>
      <w:hyperlink w:anchor="_Toc199940913" w:history="1">
        <w:r w:rsidR="00F24DAA" w:rsidRPr="00C718DF">
          <w:rPr>
            <w:rStyle w:val="Hyperlink"/>
          </w:rPr>
          <w:t>Glossary</w:t>
        </w:r>
        <w:r w:rsidR="00F24DAA">
          <w:rPr>
            <w:webHidden/>
          </w:rPr>
          <w:tab/>
        </w:r>
        <w:r w:rsidR="00F24DAA">
          <w:rPr>
            <w:webHidden/>
          </w:rPr>
          <w:fldChar w:fldCharType="begin"/>
        </w:r>
        <w:r w:rsidR="00F24DAA">
          <w:rPr>
            <w:webHidden/>
          </w:rPr>
          <w:instrText xml:space="preserve"> PAGEREF _Toc199940913 \h </w:instrText>
        </w:r>
        <w:r w:rsidR="00F24DAA">
          <w:rPr>
            <w:webHidden/>
          </w:rPr>
        </w:r>
        <w:r w:rsidR="00F24DAA">
          <w:rPr>
            <w:webHidden/>
          </w:rPr>
          <w:fldChar w:fldCharType="separate"/>
        </w:r>
        <w:r w:rsidR="00341DD7">
          <w:rPr>
            <w:webHidden/>
          </w:rPr>
          <w:t>1</w:t>
        </w:r>
        <w:r w:rsidR="00F24DAA">
          <w:rPr>
            <w:webHidden/>
          </w:rPr>
          <w:fldChar w:fldCharType="end"/>
        </w:r>
      </w:hyperlink>
    </w:p>
    <w:p w14:paraId="48EC6EFE" w14:textId="4852F74B" w:rsidR="00F24DAA" w:rsidRDefault="00F24DAA">
      <w:pPr>
        <w:pStyle w:val="TOC1"/>
        <w:rPr>
          <w:rFonts w:eastAsiaTheme="minorEastAsia" w:cstheme="minorBidi"/>
          <w:b w:val="0"/>
          <w:color w:val="auto"/>
          <w:kern w:val="2"/>
          <w:szCs w:val="24"/>
          <w14:ligatures w14:val="standardContextual"/>
        </w:rPr>
      </w:pPr>
      <w:hyperlink w:anchor="_Toc199940914" w:history="1">
        <w:r w:rsidRPr="00C718DF">
          <w:rPr>
            <w:rStyle w:val="Hyperlink"/>
          </w:rPr>
          <w:t>Letter of Transmittal</w:t>
        </w:r>
        <w:r>
          <w:rPr>
            <w:webHidden/>
          </w:rPr>
          <w:tab/>
        </w:r>
        <w:r>
          <w:rPr>
            <w:webHidden/>
          </w:rPr>
          <w:fldChar w:fldCharType="begin"/>
        </w:r>
        <w:r>
          <w:rPr>
            <w:webHidden/>
          </w:rPr>
          <w:instrText xml:space="preserve"> PAGEREF _Toc199940914 \h </w:instrText>
        </w:r>
        <w:r>
          <w:rPr>
            <w:webHidden/>
          </w:rPr>
        </w:r>
        <w:r>
          <w:rPr>
            <w:webHidden/>
          </w:rPr>
          <w:fldChar w:fldCharType="separate"/>
        </w:r>
        <w:r w:rsidR="00341DD7">
          <w:rPr>
            <w:webHidden/>
          </w:rPr>
          <w:t>3</w:t>
        </w:r>
        <w:r>
          <w:rPr>
            <w:webHidden/>
          </w:rPr>
          <w:fldChar w:fldCharType="end"/>
        </w:r>
      </w:hyperlink>
    </w:p>
    <w:p w14:paraId="316AD600" w14:textId="58ADE82E" w:rsidR="00F24DAA" w:rsidRDefault="00F24DAA">
      <w:pPr>
        <w:pStyle w:val="TOC1"/>
        <w:rPr>
          <w:rFonts w:eastAsiaTheme="minorEastAsia" w:cstheme="minorBidi"/>
          <w:b w:val="0"/>
          <w:color w:val="auto"/>
          <w:kern w:val="2"/>
          <w:szCs w:val="24"/>
          <w14:ligatures w14:val="standardContextual"/>
        </w:rPr>
      </w:pPr>
      <w:hyperlink w:anchor="_Toc199940915" w:history="1">
        <w:r w:rsidRPr="00C718DF">
          <w:rPr>
            <w:rStyle w:val="Hyperlink"/>
          </w:rPr>
          <w:t>Executive summary</w:t>
        </w:r>
        <w:r>
          <w:rPr>
            <w:webHidden/>
          </w:rPr>
          <w:tab/>
        </w:r>
        <w:r>
          <w:rPr>
            <w:webHidden/>
          </w:rPr>
          <w:fldChar w:fldCharType="begin"/>
        </w:r>
        <w:r>
          <w:rPr>
            <w:webHidden/>
          </w:rPr>
          <w:instrText xml:space="preserve"> PAGEREF _Toc199940915 \h </w:instrText>
        </w:r>
        <w:r>
          <w:rPr>
            <w:webHidden/>
          </w:rPr>
        </w:r>
        <w:r>
          <w:rPr>
            <w:webHidden/>
          </w:rPr>
          <w:fldChar w:fldCharType="separate"/>
        </w:r>
        <w:r w:rsidR="00341DD7">
          <w:rPr>
            <w:webHidden/>
          </w:rPr>
          <w:t>5</w:t>
        </w:r>
        <w:r>
          <w:rPr>
            <w:webHidden/>
          </w:rPr>
          <w:fldChar w:fldCharType="end"/>
        </w:r>
      </w:hyperlink>
    </w:p>
    <w:p w14:paraId="6AA07BAA" w14:textId="7EBC4537" w:rsidR="00F24DAA" w:rsidRDefault="00F24DAA">
      <w:pPr>
        <w:pStyle w:val="TOC1"/>
        <w:rPr>
          <w:rFonts w:eastAsiaTheme="minorEastAsia" w:cstheme="minorBidi"/>
          <w:b w:val="0"/>
          <w:color w:val="auto"/>
          <w:kern w:val="2"/>
          <w:szCs w:val="24"/>
          <w14:ligatures w14:val="standardContextual"/>
        </w:rPr>
      </w:pPr>
      <w:hyperlink w:anchor="_Toc199940916" w:history="1">
        <w:r w:rsidRPr="00C718DF">
          <w:rPr>
            <w:rStyle w:val="Hyperlink"/>
          </w:rPr>
          <w:t>Recommendations</w:t>
        </w:r>
        <w:r>
          <w:rPr>
            <w:webHidden/>
          </w:rPr>
          <w:tab/>
        </w:r>
        <w:r>
          <w:rPr>
            <w:webHidden/>
          </w:rPr>
          <w:fldChar w:fldCharType="begin"/>
        </w:r>
        <w:r>
          <w:rPr>
            <w:webHidden/>
          </w:rPr>
          <w:instrText xml:space="preserve"> PAGEREF _Toc199940916 \h </w:instrText>
        </w:r>
        <w:r>
          <w:rPr>
            <w:webHidden/>
          </w:rPr>
        </w:r>
        <w:r>
          <w:rPr>
            <w:webHidden/>
          </w:rPr>
          <w:fldChar w:fldCharType="separate"/>
        </w:r>
        <w:r w:rsidR="00341DD7">
          <w:rPr>
            <w:webHidden/>
          </w:rPr>
          <w:t>7</w:t>
        </w:r>
        <w:r>
          <w:rPr>
            <w:webHidden/>
          </w:rPr>
          <w:fldChar w:fldCharType="end"/>
        </w:r>
      </w:hyperlink>
    </w:p>
    <w:p w14:paraId="29B51568" w14:textId="14C28FD3" w:rsidR="00F24DAA" w:rsidRDefault="00F24DAA">
      <w:pPr>
        <w:pStyle w:val="TOC1"/>
        <w:rPr>
          <w:rFonts w:eastAsiaTheme="minorEastAsia" w:cstheme="minorBidi"/>
          <w:b w:val="0"/>
          <w:color w:val="auto"/>
          <w:kern w:val="2"/>
          <w:szCs w:val="24"/>
          <w14:ligatures w14:val="standardContextual"/>
        </w:rPr>
      </w:pPr>
      <w:hyperlink w:anchor="_Toc199940917" w:history="1">
        <w:r w:rsidRPr="00C718DF">
          <w:rPr>
            <w:rStyle w:val="Hyperlink"/>
          </w:rPr>
          <w:t>Observations</w:t>
        </w:r>
        <w:r>
          <w:rPr>
            <w:webHidden/>
          </w:rPr>
          <w:tab/>
        </w:r>
        <w:r>
          <w:rPr>
            <w:webHidden/>
          </w:rPr>
          <w:fldChar w:fldCharType="begin"/>
        </w:r>
        <w:r>
          <w:rPr>
            <w:webHidden/>
          </w:rPr>
          <w:instrText xml:space="preserve"> PAGEREF _Toc199940917 \h </w:instrText>
        </w:r>
        <w:r>
          <w:rPr>
            <w:webHidden/>
          </w:rPr>
        </w:r>
        <w:r>
          <w:rPr>
            <w:webHidden/>
          </w:rPr>
          <w:fldChar w:fldCharType="separate"/>
        </w:r>
        <w:r w:rsidR="00341DD7">
          <w:rPr>
            <w:webHidden/>
          </w:rPr>
          <w:t>10</w:t>
        </w:r>
        <w:r>
          <w:rPr>
            <w:webHidden/>
          </w:rPr>
          <w:fldChar w:fldCharType="end"/>
        </w:r>
      </w:hyperlink>
    </w:p>
    <w:p w14:paraId="2302F8CC" w14:textId="30A6E969" w:rsidR="00F24DAA" w:rsidRDefault="00F24DAA">
      <w:pPr>
        <w:pStyle w:val="TOC1"/>
        <w:rPr>
          <w:rFonts w:eastAsiaTheme="minorEastAsia" w:cstheme="minorBidi"/>
          <w:b w:val="0"/>
          <w:color w:val="auto"/>
          <w:kern w:val="2"/>
          <w:szCs w:val="24"/>
          <w14:ligatures w14:val="standardContextual"/>
        </w:rPr>
      </w:pPr>
      <w:hyperlink w:anchor="_Toc199940918" w:history="1">
        <w:r w:rsidRPr="00C718DF">
          <w:rPr>
            <w:rStyle w:val="Hyperlink"/>
          </w:rPr>
          <w:t>Chapter 1: About this Review</w:t>
        </w:r>
        <w:r>
          <w:rPr>
            <w:webHidden/>
          </w:rPr>
          <w:tab/>
        </w:r>
        <w:r>
          <w:rPr>
            <w:webHidden/>
          </w:rPr>
          <w:fldChar w:fldCharType="begin"/>
        </w:r>
        <w:r>
          <w:rPr>
            <w:webHidden/>
          </w:rPr>
          <w:instrText xml:space="preserve"> PAGEREF _Toc199940918 \h </w:instrText>
        </w:r>
        <w:r>
          <w:rPr>
            <w:webHidden/>
          </w:rPr>
        </w:r>
        <w:r>
          <w:rPr>
            <w:webHidden/>
          </w:rPr>
          <w:fldChar w:fldCharType="separate"/>
        </w:r>
        <w:r w:rsidR="00341DD7">
          <w:rPr>
            <w:webHidden/>
          </w:rPr>
          <w:t>11</w:t>
        </w:r>
        <w:r>
          <w:rPr>
            <w:webHidden/>
          </w:rPr>
          <w:fldChar w:fldCharType="end"/>
        </w:r>
      </w:hyperlink>
    </w:p>
    <w:p w14:paraId="440F5E8F" w14:textId="74B69EE2" w:rsidR="00F24DAA" w:rsidRDefault="00F24DAA">
      <w:pPr>
        <w:pStyle w:val="TOC2"/>
        <w:rPr>
          <w:rFonts w:eastAsiaTheme="minorEastAsia" w:cstheme="minorBidi"/>
          <w:color w:val="auto"/>
          <w:kern w:val="2"/>
          <w:sz w:val="24"/>
          <w:szCs w:val="24"/>
          <w14:ligatures w14:val="standardContextual"/>
        </w:rPr>
      </w:pPr>
      <w:hyperlink w:anchor="_Toc199940919" w:history="1">
        <w:r w:rsidRPr="00C718DF">
          <w:rPr>
            <w:rStyle w:val="Hyperlink"/>
          </w:rPr>
          <w:t>Overview of consultation process</w:t>
        </w:r>
        <w:r>
          <w:rPr>
            <w:webHidden/>
          </w:rPr>
          <w:tab/>
        </w:r>
        <w:r>
          <w:rPr>
            <w:webHidden/>
          </w:rPr>
          <w:fldChar w:fldCharType="begin"/>
        </w:r>
        <w:r>
          <w:rPr>
            <w:webHidden/>
          </w:rPr>
          <w:instrText xml:space="preserve"> PAGEREF _Toc199940919 \h </w:instrText>
        </w:r>
        <w:r>
          <w:rPr>
            <w:webHidden/>
          </w:rPr>
        </w:r>
        <w:r>
          <w:rPr>
            <w:webHidden/>
          </w:rPr>
          <w:fldChar w:fldCharType="separate"/>
        </w:r>
        <w:r w:rsidR="00341DD7">
          <w:rPr>
            <w:webHidden/>
          </w:rPr>
          <w:t>12</w:t>
        </w:r>
        <w:r>
          <w:rPr>
            <w:webHidden/>
          </w:rPr>
          <w:fldChar w:fldCharType="end"/>
        </w:r>
      </w:hyperlink>
    </w:p>
    <w:p w14:paraId="1CAB737C" w14:textId="4612ED91" w:rsidR="00F24DAA" w:rsidRDefault="00F24DAA">
      <w:pPr>
        <w:pStyle w:val="TOC2"/>
        <w:rPr>
          <w:rFonts w:eastAsiaTheme="minorEastAsia" w:cstheme="minorBidi"/>
          <w:color w:val="auto"/>
          <w:kern w:val="2"/>
          <w:sz w:val="24"/>
          <w:szCs w:val="24"/>
          <w14:ligatures w14:val="standardContextual"/>
        </w:rPr>
      </w:pPr>
      <w:hyperlink w:anchor="_Toc199940920" w:history="1">
        <w:r w:rsidRPr="00C718DF">
          <w:rPr>
            <w:rStyle w:val="Hyperlink"/>
          </w:rPr>
          <w:t>Overview of the small business environment in Australia</w:t>
        </w:r>
        <w:r>
          <w:rPr>
            <w:webHidden/>
          </w:rPr>
          <w:tab/>
        </w:r>
        <w:r>
          <w:rPr>
            <w:webHidden/>
          </w:rPr>
          <w:fldChar w:fldCharType="begin"/>
        </w:r>
        <w:r>
          <w:rPr>
            <w:webHidden/>
          </w:rPr>
          <w:instrText xml:space="preserve"> PAGEREF _Toc199940920 \h </w:instrText>
        </w:r>
        <w:r>
          <w:rPr>
            <w:webHidden/>
          </w:rPr>
        </w:r>
        <w:r>
          <w:rPr>
            <w:webHidden/>
          </w:rPr>
          <w:fldChar w:fldCharType="separate"/>
        </w:r>
        <w:r w:rsidR="00341DD7">
          <w:rPr>
            <w:webHidden/>
          </w:rPr>
          <w:t>14</w:t>
        </w:r>
        <w:r>
          <w:rPr>
            <w:webHidden/>
          </w:rPr>
          <w:fldChar w:fldCharType="end"/>
        </w:r>
      </w:hyperlink>
    </w:p>
    <w:p w14:paraId="787A2639" w14:textId="684FA034" w:rsidR="00F24DAA" w:rsidRDefault="00F24DAA">
      <w:pPr>
        <w:pStyle w:val="TOC1"/>
        <w:rPr>
          <w:rFonts w:eastAsiaTheme="minorEastAsia" w:cstheme="minorBidi"/>
          <w:b w:val="0"/>
          <w:color w:val="auto"/>
          <w:kern w:val="2"/>
          <w:szCs w:val="24"/>
          <w14:ligatures w14:val="standardContextual"/>
        </w:rPr>
      </w:pPr>
      <w:hyperlink w:anchor="_Toc199940921" w:history="1">
        <w:r w:rsidRPr="00C718DF">
          <w:rPr>
            <w:rStyle w:val="Hyperlink"/>
          </w:rPr>
          <w:t>Chapter 2: Overview of ASBFEO</w:t>
        </w:r>
        <w:r>
          <w:rPr>
            <w:webHidden/>
          </w:rPr>
          <w:tab/>
        </w:r>
        <w:r>
          <w:rPr>
            <w:webHidden/>
          </w:rPr>
          <w:fldChar w:fldCharType="begin"/>
        </w:r>
        <w:r>
          <w:rPr>
            <w:webHidden/>
          </w:rPr>
          <w:instrText xml:space="preserve"> PAGEREF _Toc199940921 \h </w:instrText>
        </w:r>
        <w:r>
          <w:rPr>
            <w:webHidden/>
          </w:rPr>
        </w:r>
        <w:r>
          <w:rPr>
            <w:webHidden/>
          </w:rPr>
          <w:fldChar w:fldCharType="separate"/>
        </w:r>
        <w:r w:rsidR="00341DD7">
          <w:rPr>
            <w:webHidden/>
          </w:rPr>
          <w:t>17</w:t>
        </w:r>
        <w:r>
          <w:rPr>
            <w:webHidden/>
          </w:rPr>
          <w:fldChar w:fldCharType="end"/>
        </w:r>
      </w:hyperlink>
    </w:p>
    <w:p w14:paraId="0119522C" w14:textId="132ED9E4" w:rsidR="00F24DAA" w:rsidRDefault="00F24DAA">
      <w:pPr>
        <w:pStyle w:val="TOC1"/>
        <w:rPr>
          <w:rFonts w:eastAsiaTheme="minorEastAsia" w:cstheme="minorBidi"/>
          <w:b w:val="0"/>
          <w:color w:val="auto"/>
          <w:kern w:val="2"/>
          <w:szCs w:val="24"/>
          <w14:ligatures w14:val="standardContextual"/>
        </w:rPr>
      </w:pPr>
      <w:hyperlink w:anchor="_Toc199940922" w:history="1">
        <w:r w:rsidRPr="00C718DF">
          <w:rPr>
            <w:rStyle w:val="Hyperlink"/>
          </w:rPr>
          <w:t>Chapter 3: Advocating for small and family businesses</w:t>
        </w:r>
        <w:r>
          <w:rPr>
            <w:webHidden/>
          </w:rPr>
          <w:tab/>
        </w:r>
        <w:r>
          <w:rPr>
            <w:webHidden/>
          </w:rPr>
          <w:fldChar w:fldCharType="begin"/>
        </w:r>
        <w:r>
          <w:rPr>
            <w:webHidden/>
          </w:rPr>
          <w:instrText xml:space="preserve"> PAGEREF _Toc199940922 \h </w:instrText>
        </w:r>
        <w:r>
          <w:rPr>
            <w:webHidden/>
          </w:rPr>
        </w:r>
        <w:r>
          <w:rPr>
            <w:webHidden/>
          </w:rPr>
          <w:fldChar w:fldCharType="separate"/>
        </w:r>
        <w:r w:rsidR="00341DD7">
          <w:rPr>
            <w:webHidden/>
          </w:rPr>
          <w:t>21</w:t>
        </w:r>
        <w:r>
          <w:rPr>
            <w:webHidden/>
          </w:rPr>
          <w:fldChar w:fldCharType="end"/>
        </w:r>
      </w:hyperlink>
    </w:p>
    <w:p w14:paraId="43720008" w14:textId="7EA01707" w:rsidR="00F24DAA" w:rsidRDefault="00F24DAA">
      <w:pPr>
        <w:pStyle w:val="TOC2"/>
        <w:rPr>
          <w:rFonts w:eastAsiaTheme="minorEastAsia" w:cstheme="minorBidi"/>
          <w:color w:val="auto"/>
          <w:kern w:val="2"/>
          <w:sz w:val="24"/>
          <w:szCs w:val="24"/>
          <w14:ligatures w14:val="standardContextual"/>
        </w:rPr>
      </w:pPr>
      <w:hyperlink w:anchor="_Toc199940923" w:history="1">
        <w:r w:rsidRPr="00C718DF">
          <w:rPr>
            <w:rStyle w:val="Hyperlink"/>
          </w:rPr>
          <w:t>Summary</w:t>
        </w:r>
        <w:r>
          <w:rPr>
            <w:webHidden/>
          </w:rPr>
          <w:tab/>
        </w:r>
        <w:r>
          <w:rPr>
            <w:webHidden/>
          </w:rPr>
          <w:fldChar w:fldCharType="begin"/>
        </w:r>
        <w:r>
          <w:rPr>
            <w:webHidden/>
          </w:rPr>
          <w:instrText xml:space="preserve"> PAGEREF _Toc199940923 \h </w:instrText>
        </w:r>
        <w:r>
          <w:rPr>
            <w:webHidden/>
          </w:rPr>
        </w:r>
        <w:r>
          <w:rPr>
            <w:webHidden/>
          </w:rPr>
          <w:fldChar w:fldCharType="separate"/>
        </w:r>
        <w:r w:rsidR="00341DD7">
          <w:rPr>
            <w:webHidden/>
          </w:rPr>
          <w:t>21</w:t>
        </w:r>
        <w:r>
          <w:rPr>
            <w:webHidden/>
          </w:rPr>
          <w:fldChar w:fldCharType="end"/>
        </w:r>
      </w:hyperlink>
    </w:p>
    <w:p w14:paraId="07780688" w14:textId="4B0C384F" w:rsidR="00F24DAA" w:rsidRDefault="00F24DAA">
      <w:pPr>
        <w:pStyle w:val="TOC2"/>
        <w:rPr>
          <w:rFonts w:eastAsiaTheme="minorEastAsia" w:cstheme="minorBidi"/>
          <w:color w:val="auto"/>
          <w:kern w:val="2"/>
          <w:sz w:val="24"/>
          <w:szCs w:val="24"/>
          <w14:ligatures w14:val="standardContextual"/>
        </w:rPr>
      </w:pPr>
      <w:hyperlink w:anchor="_Toc199940924" w:history="1">
        <w:r w:rsidRPr="00C718DF">
          <w:rPr>
            <w:rStyle w:val="Hyperlink"/>
          </w:rPr>
          <w:t>ASBFEO’s advocacy function</w:t>
        </w:r>
        <w:r>
          <w:rPr>
            <w:webHidden/>
          </w:rPr>
          <w:tab/>
        </w:r>
        <w:r>
          <w:rPr>
            <w:webHidden/>
          </w:rPr>
          <w:fldChar w:fldCharType="begin"/>
        </w:r>
        <w:r>
          <w:rPr>
            <w:webHidden/>
          </w:rPr>
          <w:instrText xml:space="preserve"> PAGEREF _Toc199940924 \h </w:instrText>
        </w:r>
        <w:r>
          <w:rPr>
            <w:webHidden/>
          </w:rPr>
        </w:r>
        <w:r>
          <w:rPr>
            <w:webHidden/>
          </w:rPr>
          <w:fldChar w:fldCharType="separate"/>
        </w:r>
        <w:r w:rsidR="00341DD7">
          <w:rPr>
            <w:webHidden/>
          </w:rPr>
          <w:t>21</w:t>
        </w:r>
        <w:r>
          <w:rPr>
            <w:webHidden/>
          </w:rPr>
          <w:fldChar w:fldCharType="end"/>
        </w:r>
      </w:hyperlink>
    </w:p>
    <w:p w14:paraId="229F4342" w14:textId="566E9036" w:rsidR="00F24DAA" w:rsidRDefault="00F24DAA">
      <w:pPr>
        <w:pStyle w:val="TOC2"/>
        <w:rPr>
          <w:rFonts w:eastAsiaTheme="minorEastAsia" w:cstheme="minorBidi"/>
          <w:color w:val="auto"/>
          <w:kern w:val="2"/>
          <w:sz w:val="24"/>
          <w:szCs w:val="24"/>
          <w14:ligatures w14:val="standardContextual"/>
        </w:rPr>
      </w:pPr>
      <w:hyperlink w:anchor="_Toc199940925" w:history="1">
        <w:r w:rsidRPr="00C718DF">
          <w:rPr>
            <w:rStyle w:val="Hyperlink"/>
          </w:rPr>
          <w:t>ASBFEO’s engagement with stakeholders</w:t>
        </w:r>
        <w:r>
          <w:rPr>
            <w:webHidden/>
          </w:rPr>
          <w:tab/>
        </w:r>
        <w:r>
          <w:rPr>
            <w:webHidden/>
          </w:rPr>
          <w:fldChar w:fldCharType="begin"/>
        </w:r>
        <w:r>
          <w:rPr>
            <w:webHidden/>
          </w:rPr>
          <w:instrText xml:space="preserve"> PAGEREF _Toc199940925 \h </w:instrText>
        </w:r>
        <w:r>
          <w:rPr>
            <w:webHidden/>
          </w:rPr>
        </w:r>
        <w:r>
          <w:rPr>
            <w:webHidden/>
          </w:rPr>
          <w:fldChar w:fldCharType="separate"/>
        </w:r>
        <w:r w:rsidR="00341DD7">
          <w:rPr>
            <w:webHidden/>
          </w:rPr>
          <w:t>22</w:t>
        </w:r>
        <w:r>
          <w:rPr>
            <w:webHidden/>
          </w:rPr>
          <w:fldChar w:fldCharType="end"/>
        </w:r>
      </w:hyperlink>
    </w:p>
    <w:p w14:paraId="52E40920" w14:textId="7A73D91D" w:rsidR="00F24DAA" w:rsidRDefault="00F24DAA">
      <w:pPr>
        <w:pStyle w:val="TOC3"/>
        <w:rPr>
          <w:rFonts w:eastAsiaTheme="minorEastAsia" w:cstheme="minorBidi"/>
          <w:color w:val="auto"/>
          <w:kern w:val="2"/>
          <w:sz w:val="24"/>
          <w:szCs w:val="24"/>
          <w14:ligatures w14:val="standardContextual"/>
        </w:rPr>
      </w:pPr>
      <w:hyperlink w:anchor="_Toc199940926" w:history="1">
        <w:r w:rsidRPr="00C718DF">
          <w:rPr>
            <w:rStyle w:val="Hyperlink"/>
            <w:lang w:val="en-US"/>
          </w:rPr>
          <w:t>Stakeholder views</w:t>
        </w:r>
        <w:r>
          <w:rPr>
            <w:webHidden/>
          </w:rPr>
          <w:tab/>
        </w:r>
        <w:r>
          <w:rPr>
            <w:webHidden/>
          </w:rPr>
          <w:fldChar w:fldCharType="begin"/>
        </w:r>
        <w:r>
          <w:rPr>
            <w:webHidden/>
          </w:rPr>
          <w:instrText xml:space="preserve"> PAGEREF _Toc199940926 \h </w:instrText>
        </w:r>
        <w:r>
          <w:rPr>
            <w:webHidden/>
          </w:rPr>
        </w:r>
        <w:r>
          <w:rPr>
            <w:webHidden/>
          </w:rPr>
          <w:fldChar w:fldCharType="separate"/>
        </w:r>
        <w:r w:rsidR="00341DD7">
          <w:rPr>
            <w:webHidden/>
          </w:rPr>
          <w:t>23</w:t>
        </w:r>
        <w:r>
          <w:rPr>
            <w:webHidden/>
          </w:rPr>
          <w:fldChar w:fldCharType="end"/>
        </w:r>
      </w:hyperlink>
    </w:p>
    <w:p w14:paraId="113EFBC7" w14:textId="146337FF" w:rsidR="00F24DAA" w:rsidRDefault="00F24DAA">
      <w:pPr>
        <w:pStyle w:val="TOC3"/>
        <w:rPr>
          <w:rFonts w:eastAsiaTheme="minorEastAsia" w:cstheme="minorBidi"/>
          <w:color w:val="auto"/>
          <w:kern w:val="2"/>
          <w:sz w:val="24"/>
          <w:szCs w:val="24"/>
          <w14:ligatures w14:val="standardContextual"/>
        </w:rPr>
      </w:pPr>
      <w:hyperlink w:anchor="_Toc199940927" w:history="1">
        <w:r w:rsidRPr="00C718DF">
          <w:rPr>
            <w:rStyle w:val="Hyperlink"/>
            <w:lang w:val="en-US"/>
          </w:rPr>
          <w:t>Analysis</w:t>
        </w:r>
        <w:r>
          <w:rPr>
            <w:webHidden/>
          </w:rPr>
          <w:tab/>
        </w:r>
        <w:r>
          <w:rPr>
            <w:webHidden/>
          </w:rPr>
          <w:fldChar w:fldCharType="begin"/>
        </w:r>
        <w:r>
          <w:rPr>
            <w:webHidden/>
          </w:rPr>
          <w:instrText xml:space="preserve"> PAGEREF _Toc199940927 \h </w:instrText>
        </w:r>
        <w:r>
          <w:rPr>
            <w:webHidden/>
          </w:rPr>
        </w:r>
        <w:r>
          <w:rPr>
            <w:webHidden/>
          </w:rPr>
          <w:fldChar w:fldCharType="separate"/>
        </w:r>
        <w:r w:rsidR="00341DD7">
          <w:rPr>
            <w:webHidden/>
          </w:rPr>
          <w:t>24</w:t>
        </w:r>
        <w:r>
          <w:rPr>
            <w:webHidden/>
          </w:rPr>
          <w:fldChar w:fldCharType="end"/>
        </w:r>
      </w:hyperlink>
    </w:p>
    <w:p w14:paraId="384DAB07" w14:textId="57F26281" w:rsidR="00F24DAA" w:rsidRDefault="00F24DAA">
      <w:pPr>
        <w:pStyle w:val="TOC3"/>
        <w:rPr>
          <w:rFonts w:eastAsiaTheme="minorEastAsia" w:cstheme="minorBidi"/>
          <w:color w:val="auto"/>
          <w:kern w:val="2"/>
          <w:sz w:val="24"/>
          <w:szCs w:val="24"/>
          <w14:ligatures w14:val="standardContextual"/>
        </w:rPr>
      </w:pPr>
      <w:hyperlink w:anchor="_Toc199940928" w:history="1">
        <w:r w:rsidRPr="00C718DF">
          <w:rPr>
            <w:rStyle w:val="Hyperlink"/>
            <w:lang w:val="en-US"/>
          </w:rPr>
          <w:t>Recommendation</w:t>
        </w:r>
        <w:r>
          <w:rPr>
            <w:webHidden/>
          </w:rPr>
          <w:tab/>
        </w:r>
        <w:r>
          <w:rPr>
            <w:webHidden/>
          </w:rPr>
          <w:fldChar w:fldCharType="begin"/>
        </w:r>
        <w:r>
          <w:rPr>
            <w:webHidden/>
          </w:rPr>
          <w:instrText xml:space="preserve"> PAGEREF _Toc199940928 \h </w:instrText>
        </w:r>
        <w:r>
          <w:rPr>
            <w:webHidden/>
          </w:rPr>
        </w:r>
        <w:r>
          <w:rPr>
            <w:webHidden/>
          </w:rPr>
          <w:fldChar w:fldCharType="separate"/>
        </w:r>
        <w:r w:rsidR="00341DD7">
          <w:rPr>
            <w:webHidden/>
          </w:rPr>
          <w:t>26</w:t>
        </w:r>
        <w:r>
          <w:rPr>
            <w:webHidden/>
          </w:rPr>
          <w:fldChar w:fldCharType="end"/>
        </w:r>
      </w:hyperlink>
    </w:p>
    <w:p w14:paraId="16A70C0E" w14:textId="5D0A33E5" w:rsidR="00F24DAA" w:rsidRDefault="00F24DAA">
      <w:pPr>
        <w:pStyle w:val="TOC2"/>
        <w:rPr>
          <w:rFonts w:eastAsiaTheme="minorEastAsia" w:cstheme="minorBidi"/>
          <w:color w:val="auto"/>
          <w:kern w:val="2"/>
          <w:sz w:val="24"/>
          <w:szCs w:val="24"/>
          <w14:ligatures w14:val="standardContextual"/>
        </w:rPr>
      </w:pPr>
      <w:hyperlink w:anchor="_Toc199940929" w:history="1">
        <w:r w:rsidRPr="00C718DF">
          <w:rPr>
            <w:rStyle w:val="Hyperlink"/>
            <w:lang w:val="en-US"/>
          </w:rPr>
          <w:t>Inquiries and research</w:t>
        </w:r>
        <w:r>
          <w:rPr>
            <w:webHidden/>
          </w:rPr>
          <w:tab/>
        </w:r>
        <w:r>
          <w:rPr>
            <w:webHidden/>
          </w:rPr>
          <w:fldChar w:fldCharType="begin"/>
        </w:r>
        <w:r>
          <w:rPr>
            <w:webHidden/>
          </w:rPr>
          <w:instrText xml:space="preserve"> PAGEREF _Toc199940929 \h </w:instrText>
        </w:r>
        <w:r>
          <w:rPr>
            <w:webHidden/>
          </w:rPr>
        </w:r>
        <w:r>
          <w:rPr>
            <w:webHidden/>
          </w:rPr>
          <w:fldChar w:fldCharType="separate"/>
        </w:r>
        <w:r w:rsidR="00341DD7">
          <w:rPr>
            <w:webHidden/>
          </w:rPr>
          <w:t>26</w:t>
        </w:r>
        <w:r>
          <w:rPr>
            <w:webHidden/>
          </w:rPr>
          <w:fldChar w:fldCharType="end"/>
        </w:r>
      </w:hyperlink>
    </w:p>
    <w:p w14:paraId="218626C4" w14:textId="1DCE47FC" w:rsidR="00F24DAA" w:rsidRDefault="00F24DAA">
      <w:pPr>
        <w:pStyle w:val="TOC3"/>
        <w:rPr>
          <w:rFonts w:eastAsiaTheme="minorEastAsia" w:cstheme="minorBidi"/>
          <w:color w:val="auto"/>
          <w:kern w:val="2"/>
          <w:sz w:val="24"/>
          <w:szCs w:val="24"/>
          <w14:ligatures w14:val="standardContextual"/>
        </w:rPr>
      </w:pPr>
      <w:hyperlink w:anchor="_Toc199940930" w:history="1">
        <w:r w:rsidRPr="00C718DF">
          <w:rPr>
            <w:rStyle w:val="Hyperlink"/>
            <w:lang w:val="en-US"/>
          </w:rPr>
          <w:t>Submissions made</w:t>
        </w:r>
        <w:r>
          <w:rPr>
            <w:webHidden/>
          </w:rPr>
          <w:tab/>
        </w:r>
        <w:r>
          <w:rPr>
            <w:webHidden/>
          </w:rPr>
          <w:fldChar w:fldCharType="begin"/>
        </w:r>
        <w:r>
          <w:rPr>
            <w:webHidden/>
          </w:rPr>
          <w:instrText xml:space="preserve"> PAGEREF _Toc199940930 \h </w:instrText>
        </w:r>
        <w:r>
          <w:rPr>
            <w:webHidden/>
          </w:rPr>
        </w:r>
        <w:r>
          <w:rPr>
            <w:webHidden/>
          </w:rPr>
          <w:fldChar w:fldCharType="separate"/>
        </w:r>
        <w:r w:rsidR="00341DD7">
          <w:rPr>
            <w:webHidden/>
          </w:rPr>
          <w:t>27</w:t>
        </w:r>
        <w:r>
          <w:rPr>
            <w:webHidden/>
          </w:rPr>
          <w:fldChar w:fldCharType="end"/>
        </w:r>
      </w:hyperlink>
    </w:p>
    <w:p w14:paraId="3289F117" w14:textId="275ECFF8" w:rsidR="00F24DAA" w:rsidRDefault="00F24DAA">
      <w:pPr>
        <w:pStyle w:val="TOC3"/>
        <w:rPr>
          <w:rFonts w:eastAsiaTheme="minorEastAsia" w:cstheme="minorBidi"/>
          <w:color w:val="auto"/>
          <w:kern w:val="2"/>
          <w:sz w:val="24"/>
          <w:szCs w:val="24"/>
          <w14:ligatures w14:val="standardContextual"/>
        </w:rPr>
      </w:pPr>
      <w:hyperlink w:anchor="_Toc199940931" w:history="1">
        <w:r w:rsidRPr="00C718DF">
          <w:rPr>
            <w:rStyle w:val="Hyperlink"/>
            <w:lang w:val="en-US"/>
          </w:rPr>
          <w:t>Stakeholder views</w:t>
        </w:r>
        <w:r>
          <w:rPr>
            <w:webHidden/>
          </w:rPr>
          <w:tab/>
        </w:r>
        <w:r>
          <w:rPr>
            <w:webHidden/>
          </w:rPr>
          <w:fldChar w:fldCharType="begin"/>
        </w:r>
        <w:r>
          <w:rPr>
            <w:webHidden/>
          </w:rPr>
          <w:instrText xml:space="preserve"> PAGEREF _Toc199940931 \h </w:instrText>
        </w:r>
        <w:r>
          <w:rPr>
            <w:webHidden/>
          </w:rPr>
        </w:r>
        <w:r>
          <w:rPr>
            <w:webHidden/>
          </w:rPr>
          <w:fldChar w:fldCharType="separate"/>
        </w:r>
        <w:r w:rsidR="00341DD7">
          <w:rPr>
            <w:webHidden/>
          </w:rPr>
          <w:t>28</w:t>
        </w:r>
        <w:r>
          <w:rPr>
            <w:webHidden/>
          </w:rPr>
          <w:fldChar w:fldCharType="end"/>
        </w:r>
      </w:hyperlink>
    </w:p>
    <w:p w14:paraId="70F2C88F" w14:textId="412B4AD8" w:rsidR="00F24DAA" w:rsidRDefault="00F24DAA">
      <w:pPr>
        <w:pStyle w:val="TOC3"/>
        <w:rPr>
          <w:rFonts w:eastAsiaTheme="minorEastAsia" w:cstheme="minorBidi"/>
          <w:color w:val="auto"/>
          <w:kern w:val="2"/>
          <w:sz w:val="24"/>
          <w:szCs w:val="24"/>
          <w14:ligatures w14:val="standardContextual"/>
        </w:rPr>
      </w:pPr>
      <w:hyperlink w:anchor="_Toc199940932" w:history="1">
        <w:r w:rsidRPr="00C718DF">
          <w:rPr>
            <w:rStyle w:val="Hyperlink"/>
          </w:rPr>
          <w:t>Analysis</w:t>
        </w:r>
        <w:r>
          <w:rPr>
            <w:webHidden/>
          </w:rPr>
          <w:tab/>
        </w:r>
        <w:r>
          <w:rPr>
            <w:webHidden/>
          </w:rPr>
          <w:fldChar w:fldCharType="begin"/>
        </w:r>
        <w:r>
          <w:rPr>
            <w:webHidden/>
          </w:rPr>
          <w:instrText xml:space="preserve"> PAGEREF _Toc199940932 \h </w:instrText>
        </w:r>
        <w:r>
          <w:rPr>
            <w:webHidden/>
          </w:rPr>
        </w:r>
        <w:r>
          <w:rPr>
            <w:webHidden/>
          </w:rPr>
          <w:fldChar w:fldCharType="separate"/>
        </w:r>
        <w:r w:rsidR="00341DD7">
          <w:rPr>
            <w:webHidden/>
          </w:rPr>
          <w:t>28</w:t>
        </w:r>
        <w:r>
          <w:rPr>
            <w:webHidden/>
          </w:rPr>
          <w:fldChar w:fldCharType="end"/>
        </w:r>
      </w:hyperlink>
    </w:p>
    <w:p w14:paraId="2D05018C" w14:textId="0513B5CB" w:rsidR="00F24DAA" w:rsidRDefault="00F24DAA">
      <w:pPr>
        <w:pStyle w:val="TOC2"/>
        <w:rPr>
          <w:rFonts w:eastAsiaTheme="minorEastAsia" w:cstheme="minorBidi"/>
          <w:color w:val="auto"/>
          <w:kern w:val="2"/>
          <w:sz w:val="24"/>
          <w:szCs w:val="24"/>
          <w14:ligatures w14:val="standardContextual"/>
        </w:rPr>
      </w:pPr>
      <w:hyperlink w:anchor="_Toc199940933" w:history="1">
        <w:r w:rsidRPr="00C718DF">
          <w:rPr>
            <w:rStyle w:val="Hyperlink"/>
          </w:rPr>
          <w:t>ASBFEO’s advocacy priorities</w:t>
        </w:r>
        <w:r>
          <w:rPr>
            <w:webHidden/>
          </w:rPr>
          <w:tab/>
        </w:r>
        <w:r>
          <w:rPr>
            <w:webHidden/>
          </w:rPr>
          <w:fldChar w:fldCharType="begin"/>
        </w:r>
        <w:r>
          <w:rPr>
            <w:webHidden/>
          </w:rPr>
          <w:instrText xml:space="preserve"> PAGEREF _Toc199940933 \h </w:instrText>
        </w:r>
        <w:r>
          <w:rPr>
            <w:webHidden/>
          </w:rPr>
        </w:r>
        <w:r>
          <w:rPr>
            <w:webHidden/>
          </w:rPr>
          <w:fldChar w:fldCharType="separate"/>
        </w:r>
        <w:r w:rsidR="00341DD7">
          <w:rPr>
            <w:webHidden/>
          </w:rPr>
          <w:t>29</w:t>
        </w:r>
        <w:r>
          <w:rPr>
            <w:webHidden/>
          </w:rPr>
          <w:fldChar w:fldCharType="end"/>
        </w:r>
      </w:hyperlink>
    </w:p>
    <w:p w14:paraId="34192B68" w14:textId="73150C27" w:rsidR="00F24DAA" w:rsidRDefault="00F24DAA">
      <w:pPr>
        <w:pStyle w:val="TOC3"/>
        <w:rPr>
          <w:rFonts w:eastAsiaTheme="minorEastAsia" w:cstheme="minorBidi"/>
          <w:color w:val="auto"/>
          <w:kern w:val="2"/>
          <w:sz w:val="24"/>
          <w:szCs w:val="24"/>
          <w14:ligatures w14:val="standardContextual"/>
        </w:rPr>
      </w:pPr>
      <w:hyperlink w:anchor="_Toc199940934" w:history="1">
        <w:r w:rsidRPr="00C718DF">
          <w:rPr>
            <w:rStyle w:val="Hyperlink"/>
            <w:lang w:val="en-US"/>
          </w:rPr>
          <w:t>Stakeholder views</w:t>
        </w:r>
        <w:r>
          <w:rPr>
            <w:webHidden/>
          </w:rPr>
          <w:tab/>
        </w:r>
        <w:r>
          <w:rPr>
            <w:webHidden/>
          </w:rPr>
          <w:fldChar w:fldCharType="begin"/>
        </w:r>
        <w:r>
          <w:rPr>
            <w:webHidden/>
          </w:rPr>
          <w:instrText xml:space="preserve"> PAGEREF _Toc199940934 \h </w:instrText>
        </w:r>
        <w:r>
          <w:rPr>
            <w:webHidden/>
          </w:rPr>
        </w:r>
        <w:r>
          <w:rPr>
            <w:webHidden/>
          </w:rPr>
          <w:fldChar w:fldCharType="separate"/>
        </w:r>
        <w:r w:rsidR="00341DD7">
          <w:rPr>
            <w:webHidden/>
          </w:rPr>
          <w:t>30</w:t>
        </w:r>
        <w:r>
          <w:rPr>
            <w:webHidden/>
          </w:rPr>
          <w:fldChar w:fldCharType="end"/>
        </w:r>
      </w:hyperlink>
    </w:p>
    <w:p w14:paraId="44A2FC90" w14:textId="16EFEC0E" w:rsidR="00F24DAA" w:rsidRDefault="00F24DAA">
      <w:pPr>
        <w:pStyle w:val="TOC3"/>
        <w:rPr>
          <w:rFonts w:eastAsiaTheme="minorEastAsia" w:cstheme="minorBidi"/>
          <w:color w:val="auto"/>
          <w:kern w:val="2"/>
          <w:sz w:val="24"/>
          <w:szCs w:val="24"/>
          <w14:ligatures w14:val="standardContextual"/>
        </w:rPr>
      </w:pPr>
      <w:hyperlink w:anchor="_Toc199940935" w:history="1">
        <w:r w:rsidRPr="00C718DF">
          <w:rPr>
            <w:rStyle w:val="Hyperlink"/>
            <w:lang w:val="en-US"/>
          </w:rPr>
          <w:t>Analysis</w:t>
        </w:r>
        <w:r>
          <w:rPr>
            <w:webHidden/>
          </w:rPr>
          <w:tab/>
        </w:r>
        <w:r>
          <w:rPr>
            <w:webHidden/>
          </w:rPr>
          <w:fldChar w:fldCharType="begin"/>
        </w:r>
        <w:r>
          <w:rPr>
            <w:webHidden/>
          </w:rPr>
          <w:instrText xml:space="preserve"> PAGEREF _Toc199940935 \h </w:instrText>
        </w:r>
        <w:r>
          <w:rPr>
            <w:webHidden/>
          </w:rPr>
        </w:r>
        <w:r>
          <w:rPr>
            <w:webHidden/>
          </w:rPr>
          <w:fldChar w:fldCharType="separate"/>
        </w:r>
        <w:r w:rsidR="00341DD7">
          <w:rPr>
            <w:webHidden/>
          </w:rPr>
          <w:t>31</w:t>
        </w:r>
        <w:r>
          <w:rPr>
            <w:webHidden/>
          </w:rPr>
          <w:fldChar w:fldCharType="end"/>
        </w:r>
      </w:hyperlink>
    </w:p>
    <w:p w14:paraId="3BBFFA9A" w14:textId="597AED14" w:rsidR="00F24DAA" w:rsidRDefault="00F24DAA">
      <w:pPr>
        <w:pStyle w:val="TOC3"/>
        <w:rPr>
          <w:rFonts w:eastAsiaTheme="minorEastAsia" w:cstheme="minorBidi"/>
          <w:color w:val="auto"/>
          <w:kern w:val="2"/>
          <w:sz w:val="24"/>
          <w:szCs w:val="24"/>
          <w14:ligatures w14:val="standardContextual"/>
        </w:rPr>
      </w:pPr>
      <w:hyperlink w:anchor="_Toc199940936" w:history="1">
        <w:r w:rsidRPr="00C718DF">
          <w:rPr>
            <w:rStyle w:val="Hyperlink"/>
            <w:lang w:val="en-US"/>
          </w:rPr>
          <w:t>Recommendation</w:t>
        </w:r>
        <w:r>
          <w:rPr>
            <w:webHidden/>
          </w:rPr>
          <w:tab/>
        </w:r>
        <w:r>
          <w:rPr>
            <w:webHidden/>
          </w:rPr>
          <w:fldChar w:fldCharType="begin"/>
        </w:r>
        <w:r>
          <w:rPr>
            <w:webHidden/>
          </w:rPr>
          <w:instrText xml:space="preserve"> PAGEREF _Toc199940936 \h </w:instrText>
        </w:r>
        <w:r>
          <w:rPr>
            <w:webHidden/>
          </w:rPr>
        </w:r>
        <w:r>
          <w:rPr>
            <w:webHidden/>
          </w:rPr>
          <w:fldChar w:fldCharType="separate"/>
        </w:r>
        <w:r w:rsidR="00341DD7">
          <w:rPr>
            <w:webHidden/>
          </w:rPr>
          <w:t>33</w:t>
        </w:r>
        <w:r>
          <w:rPr>
            <w:webHidden/>
          </w:rPr>
          <w:fldChar w:fldCharType="end"/>
        </w:r>
      </w:hyperlink>
    </w:p>
    <w:p w14:paraId="4EFDBB10" w14:textId="20E197D6" w:rsidR="00F24DAA" w:rsidRDefault="00F24DAA">
      <w:pPr>
        <w:pStyle w:val="TOC2"/>
        <w:rPr>
          <w:rFonts w:eastAsiaTheme="minorEastAsia" w:cstheme="minorBidi"/>
          <w:color w:val="auto"/>
          <w:kern w:val="2"/>
          <w:sz w:val="24"/>
          <w:szCs w:val="24"/>
          <w14:ligatures w14:val="standardContextual"/>
        </w:rPr>
      </w:pPr>
      <w:hyperlink w:anchor="_Toc199940937" w:history="1">
        <w:r w:rsidRPr="00C718DF">
          <w:rPr>
            <w:rStyle w:val="Hyperlink"/>
          </w:rPr>
          <w:t>Reviewing proposals</w:t>
        </w:r>
        <w:r>
          <w:rPr>
            <w:webHidden/>
          </w:rPr>
          <w:tab/>
        </w:r>
        <w:r>
          <w:rPr>
            <w:webHidden/>
          </w:rPr>
          <w:fldChar w:fldCharType="begin"/>
        </w:r>
        <w:r>
          <w:rPr>
            <w:webHidden/>
          </w:rPr>
          <w:instrText xml:space="preserve"> PAGEREF _Toc199940937 \h </w:instrText>
        </w:r>
        <w:r>
          <w:rPr>
            <w:webHidden/>
          </w:rPr>
        </w:r>
        <w:r>
          <w:rPr>
            <w:webHidden/>
          </w:rPr>
          <w:fldChar w:fldCharType="separate"/>
        </w:r>
        <w:r w:rsidR="00341DD7">
          <w:rPr>
            <w:webHidden/>
          </w:rPr>
          <w:t>34</w:t>
        </w:r>
        <w:r>
          <w:rPr>
            <w:webHidden/>
          </w:rPr>
          <w:fldChar w:fldCharType="end"/>
        </w:r>
      </w:hyperlink>
    </w:p>
    <w:p w14:paraId="76FE3BD6" w14:textId="2622F6AA" w:rsidR="00F24DAA" w:rsidRDefault="00F24DAA">
      <w:pPr>
        <w:pStyle w:val="TOC3"/>
        <w:rPr>
          <w:rFonts w:eastAsiaTheme="minorEastAsia" w:cstheme="minorBidi"/>
          <w:color w:val="auto"/>
          <w:kern w:val="2"/>
          <w:sz w:val="24"/>
          <w:szCs w:val="24"/>
          <w14:ligatures w14:val="standardContextual"/>
        </w:rPr>
      </w:pPr>
      <w:hyperlink w:anchor="_Toc199940938" w:history="1">
        <w:r w:rsidRPr="00C718DF">
          <w:rPr>
            <w:rStyle w:val="Hyperlink"/>
            <w:lang w:val="en-US"/>
          </w:rPr>
          <w:t>Stakeholder views</w:t>
        </w:r>
        <w:r>
          <w:rPr>
            <w:webHidden/>
          </w:rPr>
          <w:tab/>
        </w:r>
        <w:r>
          <w:rPr>
            <w:webHidden/>
          </w:rPr>
          <w:fldChar w:fldCharType="begin"/>
        </w:r>
        <w:r>
          <w:rPr>
            <w:webHidden/>
          </w:rPr>
          <w:instrText xml:space="preserve"> PAGEREF _Toc199940938 \h </w:instrText>
        </w:r>
        <w:r>
          <w:rPr>
            <w:webHidden/>
          </w:rPr>
        </w:r>
        <w:r>
          <w:rPr>
            <w:webHidden/>
          </w:rPr>
          <w:fldChar w:fldCharType="separate"/>
        </w:r>
        <w:r w:rsidR="00341DD7">
          <w:rPr>
            <w:webHidden/>
          </w:rPr>
          <w:t>34</w:t>
        </w:r>
        <w:r>
          <w:rPr>
            <w:webHidden/>
          </w:rPr>
          <w:fldChar w:fldCharType="end"/>
        </w:r>
      </w:hyperlink>
    </w:p>
    <w:p w14:paraId="124A7795" w14:textId="70B88BAD" w:rsidR="00F24DAA" w:rsidRDefault="00F24DAA">
      <w:pPr>
        <w:pStyle w:val="TOC3"/>
        <w:rPr>
          <w:rFonts w:eastAsiaTheme="minorEastAsia" w:cstheme="minorBidi"/>
          <w:color w:val="auto"/>
          <w:kern w:val="2"/>
          <w:sz w:val="24"/>
          <w:szCs w:val="24"/>
          <w14:ligatures w14:val="standardContextual"/>
        </w:rPr>
      </w:pPr>
      <w:hyperlink w:anchor="_Toc199940939" w:history="1">
        <w:r w:rsidRPr="00C718DF">
          <w:rPr>
            <w:rStyle w:val="Hyperlink"/>
            <w:lang w:val="en-US"/>
          </w:rPr>
          <w:t>Analysis</w:t>
        </w:r>
        <w:r>
          <w:rPr>
            <w:webHidden/>
          </w:rPr>
          <w:tab/>
        </w:r>
        <w:r>
          <w:rPr>
            <w:webHidden/>
          </w:rPr>
          <w:fldChar w:fldCharType="begin"/>
        </w:r>
        <w:r>
          <w:rPr>
            <w:webHidden/>
          </w:rPr>
          <w:instrText xml:space="preserve"> PAGEREF _Toc199940939 \h </w:instrText>
        </w:r>
        <w:r>
          <w:rPr>
            <w:webHidden/>
          </w:rPr>
        </w:r>
        <w:r>
          <w:rPr>
            <w:webHidden/>
          </w:rPr>
          <w:fldChar w:fldCharType="separate"/>
        </w:r>
        <w:r w:rsidR="00341DD7">
          <w:rPr>
            <w:webHidden/>
          </w:rPr>
          <w:t>34</w:t>
        </w:r>
        <w:r>
          <w:rPr>
            <w:webHidden/>
          </w:rPr>
          <w:fldChar w:fldCharType="end"/>
        </w:r>
      </w:hyperlink>
    </w:p>
    <w:p w14:paraId="4DDA45E7" w14:textId="346C1A78" w:rsidR="00F24DAA" w:rsidRDefault="00F24DAA">
      <w:pPr>
        <w:pStyle w:val="TOC3"/>
        <w:rPr>
          <w:rFonts w:eastAsiaTheme="minorEastAsia" w:cstheme="minorBidi"/>
          <w:color w:val="auto"/>
          <w:kern w:val="2"/>
          <w:sz w:val="24"/>
          <w:szCs w:val="24"/>
          <w14:ligatures w14:val="standardContextual"/>
        </w:rPr>
      </w:pPr>
      <w:hyperlink w:anchor="_Toc199940940" w:history="1">
        <w:r w:rsidRPr="00C718DF">
          <w:rPr>
            <w:rStyle w:val="Hyperlink"/>
            <w:lang w:val="en-US"/>
          </w:rPr>
          <w:t>Observation</w:t>
        </w:r>
        <w:r>
          <w:rPr>
            <w:webHidden/>
          </w:rPr>
          <w:tab/>
        </w:r>
        <w:r>
          <w:rPr>
            <w:webHidden/>
          </w:rPr>
          <w:fldChar w:fldCharType="begin"/>
        </w:r>
        <w:r>
          <w:rPr>
            <w:webHidden/>
          </w:rPr>
          <w:instrText xml:space="preserve"> PAGEREF _Toc199940940 \h </w:instrText>
        </w:r>
        <w:r>
          <w:rPr>
            <w:webHidden/>
          </w:rPr>
        </w:r>
        <w:r>
          <w:rPr>
            <w:webHidden/>
          </w:rPr>
          <w:fldChar w:fldCharType="separate"/>
        </w:r>
        <w:r w:rsidR="00341DD7">
          <w:rPr>
            <w:webHidden/>
          </w:rPr>
          <w:t>35</w:t>
        </w:r>
        <w:r>
          <w:rPr>
            <w:webHidden/>
          </w:rPr>
          <w:fldChar w:fldCharType="end"/>
        </w:r>
      </w:hyperlink>
    </w:p>
    <w:p w14:paraId="49B8804A" w14:textId="6301ED09" w:rsidR="00F24DAA" w:rsidRDefault="00F24DAA">
      <w:pPr>
        <w:pStyle w:val="TOC2"/>
        <w:rPr>
          <w:rFonts w:eastAsiaTheme="minorEastAsia" w:cstheme="minorBidi"/>
          <w:color w:val="auto"/>
          <w:kern w:val="2"/>
          <w:sz w:val="24"/>
          <w:szCs w:val="24"/>
          <w14:ligatures w14:val="standardContextual"/>
        </w:rPr>
      </w:pPr>
      <w:hyperlink w:anchor="_Toc199940941" w:history="1">
        <w:r w:rsidRPr="00C718DF">
          <w:rPr>
            <w:rStyle w:val="Hyperlink"/>
            <w:lang w:val="en-US"/>
          </w:rPr>
          <w:t>ASBFEO Data team</w:t>
        </w:r>
        <w:r>
          <w:rPr>
            <w:webHidden/>
          </w:rPr>
          <w:tab/>
        </w:r>
        <w:r>
          <w:rPr>
            <w:webHidden/>
          </w:rPr>
          <w:fldChar w:fldCharType="begin"/>
        </w:r>
        <w:r>
          <w:rPr>
            <w:webHidden/>
          </w:rPr>
          <w:instrText xml:space="preserve"> PAGEREF _Toc199940941 \h </w:instrText>
        </w:r>
        <w:r>
          <w:rPr>
            <w:webHidden/>
          </w:rPr>
        </w:r>
        <w:r>
          <w:rPr>
            <w:webHidden/>
          </w:rPr>
          <w:fldChar w:fldCharType="separate"/>
        </w:r>
        <w:r w:rsidR="00341DD7">
          <w:rPr>
            <w:webHidden/>
          </w:rPr>
          <w:t>35</w:t>
        </w:r>
        <w:r>
          <w:rPr>
            <w:webHidden/>
          </w:rPr>
          <w:fldChar w:fldCharType="end"/>
        </w:r>
      </w:hyperlink>
    </w:p>
    <w:p w14:paraId="461E7AC3" w14:textId="079AD096" w:rsidR="00F24DAA" w:rsidRDefault="00F24DAA">
      <w:pPr>
        <w:pStyle w:val="TOC3"/>
        <w:rPr>
          <w:rFonts w:eastAsiaTheme="minorEastAsia" w:cstheme="minorBidi"/>
          <w:color w:val="auto"/>
          <w:kern w:val="2"/>
          <w:sz w:val="24"/>
          <w:szCs w:val="24"/>
          <w14:ligatures w14:val="standardContextual"/>
        </w:rPr>
      </w:pPr>
      <w:hyperlink w:anchor="_Toc199940942" w:history="1">
        <w:r w:rsidRPr="00C718DF">
          <w:rPr>
            <w:rStyle w:val="Hyperlink"/>
            <w:lang w:val="en-US"/>
          </w:rPr>
          <w:t>Stakeholder views</w:t>
        </w:r>
        <w:r>
          <w:rPr>
            <w:webHidden/>
          </w:rPr>
          <w:tab/>
        </w:r>
        <w:r>
          <w:rPr>
            <w:webHidden/>
          </w:rPr>
          <w:fldChar w:fldCharType="begin"/>
        </w:r>
        <w:r>
          <w:rPr>
            <w:webHidden/>
          </w:rPr>
          <w:instrText xml:space="preserve"> PAGEREF _Toc199940942 \h </w:instrText>
        </w:r>
        <w:r>
          <w:rPr>
            <w:webHidden/>
          </w:rPr>
        </w:r>
        <w:r>
          <w:rPr>
            <w:webHidden/>
          </w:rPr>
          <w:fldChar w:fldCharType="separate"/>
        </w:r>
        <w:r w:rsidR="00341DD7">
          <w:rPr>
            <w:webHidden/>
          </w:rPr>
          <w:t>36</w:t>
        </w:r>
        <w:r>
          <w:rPr>
            <w:webHidden/>
          </w:rPr>
          <w:fldChar w:fldCharType="end"/>
        </w:r>
      </w:hyperlink>
    </w:p>
    <w:p w14:paraId="1A58698D" w14:textId="25909013" w:rsidR="00F24DAA" w:rsidRDefault="00F24DAA">
      <w:pPr>
        <w:pStyle w:val="TOC3"/>
        <w:rPr>
          <w:rFonts w:eastAsiaTheme="minorEastAsia" w:cstheme="minorBidi"/>
          <w:color w:val="auto"/>
          <w:kern w:val="2"/>
          <w:sz w:val="24"/>
          <w:szCs w:val="24"/>
          <w14:ligatures w14:val="standardContextual"/>
        </w:rPr>
      </w:pPr>
      <w:hyperlink w:anchor="_Toc199940943" w:history="1">
        <w:r w:rsidRPr="00C718DF">
          <w:rPr>
            <w:rStyle w:val="Hyperlink"/>
            <w:lang w:val="en-US"/>
          </w:rPr>
          <w:t>Analysis</w:t>
        </w:r>
        <w:r>
          <w:rPr>
            <w:webHidden/>
          </w:rPr>
          <w:tab/>
        </w:r>
        <w:r>
          <w:rPr>
            <w:webHidden/>
          </w:rPr>
          <w:fldChar w:fldCharType="begin"/>
        </w:r>
        <w:r>
          <w:rPr>
            <w:webHidden/>
          </w:rPr>
          <w:instrText xml:space="preserve"> PAGEREF _Toc199940943 \h </w:instrText>
        </w:r>
        <w:r>
          <w:rPr>
            <w:webHidden/>
          </w:rPr>
        </w:r>
        <w:r>
          <w:rPr>
            <w:webHidden/>
          </w:rPr>
          <w:fldChar w:fldCharType="separate"/>
        </w:r>
        <w:r w:rsidR="00341DD7">
          <w:rPr>
            <w:webHidden/>
          </w:rPr>
          <w:t>37</w:t>
        </w:r>
        <w:r>
          <w:rPr>
            <w:webHidden/>
          </w:rPr>
          <w:fldChar w:fldCharType="end"/>
        </w:r>
      </w:hyperlink>
    </w:p>
    <w:p w14:paraId="4CD6107A" w14:textId="6BF4D1E2" w:rsidR="00F24DAA" w:rsidRDefault="00F24DAA">
      <w:pPr>
        <w:pStyle w:val="TOC3"/>
        <w:rPr>
          <w:rFonts w:eastAsiaTheme="minorEastAsia" w:cstheme="minorBidi"/>
          <w:color w:val="auto"/>
          <w:kern w:val="2"/>
          <w:sz w:val="24"/>
          <w:szCs w:val="24"/>
          <w14:ligatures w14:val="standardContextual"/>
        </w:rPr>
      </w:pPr>
      <w:hyperlink w:anchor="_Toc199940944" w:history="1">
        <w:r w:rsidRPr="00C718DF">
          <w:rPr>
            <w:rStyle w:val="Hyperlink"/>
            <w:lang w:val="en-US"/>
          </w:rPr>
          <w:t>Recommendation</w:t>
        </w:r>
        <w:r>
          <w:rPr>
            <w:webHidden/>
          </w:rPr>
          <w:tab/>
        </w:r>
        <w:r>
          <w:rPr>
            <w:webHidden/>
          </w:rPr>
          <w:fldChar w:fldCharType="begin"/>
        </w:r>
        <w:r>
          <w:rPr>
            <w:webHidden/>
          </w:rPr>
          <w:instrText xml:space="preserve"> PAGEREF _Toc199940944 \h </w:instrText>
        </w:r>
        <w:r>
          <w:rPr>
            <w:webHidden/>
          </w:rPr>
        </w:r>
        <w:r>
          <w:rPr>
            <w:webHidden/>
          </w:rPr>
          <w:fldChar w:fldCharType="separate"/>
        </w:r>
        <w:r w:rsidR="00341DD7">
          <w:rPr>
            <w:webHidden/>
          </w:rPr>
          <w:t>38</w:t>
        </w:r>
        <w:r>
          <w:rPr>
            <w:webHidden/>
          </w:rPr>
          <w:fldChar w:fldCharType="end"/>
        </w:r>
      </w:hyperlink>
    </w:p>
    <w:p w14:paraId="4B42F262" w14:textId="6047C4B4" w:rsidR="00F24DAA" w:rsidRDefault="00F24DAA">
      <w:pPr>
        <w:pStyle w:val="TOC3"/>
        <w:rPr>
          <w:rFonts w:eastAsiaTheme="minorEastAsia" w:cstheme="minorBidi"/>
          <w:color w:val="auto"/>
          <w:kern w:val="2"/>
          <w:sz w:val="24"/>
          <w:szCs w:val="24"/>
          <w14:ligatures w14:val="standardContextual"/>
        </w:rPr>
      </w:pPr>
      <w:hyperlink w:anchor="_Toc199940945" w:history="1">
        <w:r w:rsidRPr="00C718DF">
          <w:rPr>
            <w:rStyle w:val="Hyperlink"/>
            <w:lang w:val="en-US"/>
          </w:rPr>
          <w:t>Recommendation</w:t>
        </w:r>
        <w:r>
          <w:rPr>
            <w:webHidden/>
          </w:rPr>
          <w:tab/>
        </w:r>
        <w:r>
          <w:rPr>
            <w:webHidden/>
          </w:rPr>
          <w:fldChar w:fldCharType="begin"/>
        </w:r>
        <w:r>
          <w:rPr>
            <w:webHidden/>
          </w:rPr>
          <w:instrText xml:space="preserve"> PAGEREF _Toc199940945 \h </w:instrText>
        </w:r>
        <w:r>
          <w:rPr>
            <w:webHidden/>
          </w:rPr>
        </w:r>
        <w:r>
          <w:rPr>
            <w:webHidden/>
          </w:rPr>
          <w:fldChar w:fldCharType="separate"/>
        </w:r>
        <w:r w:rsidR="00341DD7">
          <w:rPr>
            <w:webHidden/>
          </w:rPr>
          <w:t>38</w:t>
        </w:r>
        <w:r>
          <w:rPr>
            <w:webHidden/>
          </w:rPr>
          <w:fldChar w:fldCharType="end"/>
        </w:r>
      </w:hyperlink>
    </w:p>
    <w:p w14:paraId="6259802D" w14:textId="32F1C857" w:rsidR="00F24DAA" w:rsidRDefault="00F24DAA">
      <w:pPr>
        <w:pStyle w:val="TOC1"/>
        <w:rPr>
          <w:rFonts w:eastAsiaTheme="minorEastAsia" w:cstheme="minorBidi"/>
          <w:b w:val="0"/>
          <w:color w:val="auto"/>
          <w:kern w:val="2"/>
          <w:szCs w:val="24"/>
          <w14:ligatures w14:val="standardContextual"/>
        </w:rPr>
      </w:pPr>
      <w:hyperlink w:anchor="_Toc199940946" w:history="1">
        <w:r w:rsidRPr="00C718DF">
          <w:rPr>
            <w:rStyle w:val="Hyperlink"/>
          </w:rPr>
          <w:t>Chapter 4: Providing assistance to small and family businesses</w:t>
        </w:r>
        <w:r>
          <w:rPr>
            <w:webHidden/>
          </w:rPr>
          <w:tab/>
        </w:r>
        <w:r>
          <w:rPr>
            <w:webHidden/>
          </w:rPr>
          <w:fldChar w:fldCharType="begin"/>
        </w:r>
        <w:r>
          <w:rPr>
            <w:webHidden/>
          </w:rPr>
          <w:instrText xml:space="preserve"> PAGEREF _Toc199940946 \h </w:instrText>
        </w:r>
        <w:r>
          <w:rPr>
            <w:webHidden/>
          </w:rPr>
        </w:r>
        <w:r>
          <w:rPr>
            <w:webHidden/>
          </w:rPr>
          <w:fldChar w:fldCharType="separate"/>
        </w:r>
        <w:r w:rsidR="00341DD7">
          <w:rPr>
            <w:webHidden/>
          </w:rPr>
          <w:t>39</w:t>
        </w:r>
        <w:r>
          <w:rPr>
            <w:webHidden/>
          </w:rPr>
          <w:fldChar w:fldCharType="end"/>
        </w:r>
      </w:hyperlink>
    </w:p>
    <w:p w14:paraId="1E9731BD" w14:textId="7F2EFA33" w:rsidR="00F24DAA" w:rsidRDefault="00F24DAA">
      <w:pPr>
        <w:pStyle w:val="TOC2"/>
        <w:rPr>
          <w:rFonts w:eastAsiaTheme="minorEastAsia" w:cstheme="minorBidi"/>
          <w:color w:val="auto"/>
          <w:kern w:val="2"/>
          <w:sz w:val="24"/>
          <w:szCs w:val="24"/>
          <w14:ligatures w14:val="standardContextual"/>
        </w:rPr>
      </w:pPr>
      <w:hyperlink w:anchor="_Toc199940947" w:history="1">
        <w:r w:rsidRPr="00C718DF">
          <w:rPr>
            <w:rStyle w:val="Hyperlink"/>
          </w:rPr>
          <w:t>Summary</w:t>
        </w:r>
        <w:r>
          <w:rPr>
            <w:webHidden/>
          </w:rPr>
          <w:tab/>
        </w:r>
        <w:r>
          <w:rPr>
            <w:webHidden/>
          </w:rPr>
          <w:fldChar w:fldCharType="begin"/>
        </w:r>
        <w:r>
          <w:rPr>
            <w:webHidden/>
          </w:rPr>
          <w:instrText xml:space="preserve"> PAGEREF _Toc199940947 \h </w:instrText>
        </w:r>
        <w:r>
          <w:rPr>
            <w:webHidden/>
          </w:rPr>
        </w:r>
        <w:r>
          <w:rPr>
            <w:webHidden/>
          </w:rPr>
          <w:fldChar w:fldCharType="separate"/>
        </w:r>
        <w:r w:rsidR="00341DD7">
          <w:rPr>
            <w:webHidden/>
          </w:rPr>
          <w:t>39</w:t>
        </w:r>
        <w:r>
          <w:rPr>
            <w:webHidden/>
          </w:rPr>
          <w:fldChar w:fldCharType="end"/>
        </w:r>
      </w:hyperlink>
    </w:p>
    <w:p w14:paraId="295BEF03" w14:textId="140FCEA7" w:rsidR="00F24DAA" w:rsidRDefault="00F24DAA">
      <w:pPr>
        <w:pStyle w:val="TOC2"/>
        <w:rPr>
          <w:rFonts w:eastAsiaTheme="minorEastAsia" w:cstheme="minorBidi"/>
          <w:color w:val="auto"/>
          <w:kern w:val="2"/>
          <w:sz w:val="24"/>
          <w:szCs w:val="24"/>
          <w14:ligatures w14:val="standardContextual"/>
        </w:rPr>
      </w:pPr>
      <w:hyperlink w:anchor="_Toc199940948" w:history="1">
        <w:r w:rsidRPr="00C718DF">
          <w:rPr>
            <w:rStyle w:val="Hyperlink"/>
          </w:rPr>
          <w:t>Overview</w:t>
        </w:r>
        <w:r>
          <w:rPr>
            <w:webHidden/>
          </w:rPr>
          <w:tab/>
        </w:r>
        <w:r>
          <w:rPr>
            <w:webHidden/>
          </w:rPr>
          <w:fldChar w:fldCharType="begin"/>
        </w:r>
        <w:r>
          <w:rPr>
            <w:webHidden/>
          </w:rPr>
          <w:instrText xml:space="preserve"> PAGEREF _Toc199940948 \h </w:instrText>
        </w:r>
        <w:r>
          <w:rPr>
            <w:webHidden/>
          </w:rPr>
        </w:r>
        <w:r>
          <w:rPr>
            <w:webHidden/>
          </w:rPr>
          <w:fldChar w:fldCharType="separate"/>
        </w:r>
        <w:r w:rsidR="00341DD7">
          <w:rPr>
            <w:webHidden/>
          </w:rPr>
          <w:t>39</w:t>
        </w:r>
        <w:r>
          <w:rPr>
            <w:webHidden/>
          </w:rPr>
          <w:fldChar w:fldCharType="end"/>
        </w:r>
      </w:hyperlink>
    </w:p>
    <w:p w14:paraId="46ED0747" w14:textId="32542569" w:rsidR="00F24DAA" w:rsidRDefault="00F24DAA">
      <w:pPr>
        <w:pStyle w:val="TOC2"/>
        <w:rPr>
          <w:rFonts w:eastAsiaTheme="minorEastAsia" w:cstheme="minorBidi"/>
          <w:color w:val="auto"/>
          <w:kern w:val="2"/>
          <w:sz w:val="24"/>
          <w:szCs w:val="24"/>
          <w14:ligatures w14:val="standardContextual"/>
        </w:rPr>
      </w:pPr>
      <w:hyperlink w:anchor="_Toc199940949" w:history="1">
        <w:r w:rsidRPr="00C718DF">
          <w:rPr>
            <w:rStyle w:val="Hyperlink"/>
            <w:lang w:val="en-US"/>
          </w:rPr>
          <w:t>Requests for assistance process</w:t>
        </w:r>
        <w:r>
          <w:rPr>
            <w:webHidden/>
          </w:rPr>
          <w:tab/>
        </w:r>
        <w:r>
          <w:rPr>
            <w:webHidden/>
          </w:rPr>
          <w:fldChar w:fldCharType="begin"/>
        </w:r>
        <w:r>
          <w:rPr>
            <w:webHidden/>
          </w:rPr>
          <w:instrText xml:space="preserve"> PAGEREF _Toc199940949 \h </w:instrText>
        </w:r>
        <w:r>
          <w:rPr>
            <w:webHidden/>
          </w:rPr>
        </w:r>
        <w:r>
          <w:rPr>
            <w:webHidden/>
          </w:rPr>
          <w:fldChar w:fldCharType="separate"/>
        </w:r>
        <w:r w:rsidR="00341DD7">
          <w:rPr>
            <w:webHidden/>
          </w:rPr>
          <w:t>41</w:t>
        </w:r>
        <w:r>
          <w:rPr>
            <w:webHidden/>
          </w:rPr>
          <w:fldChar w:fldCharType="end"/>
        </w:r>
      </w:hyperlink>
    </w:p>
    <w:p w14:paraId="0E3D09AF" w14:textId="71232292" w:rsidR="00F24DAA" w:rsidRDefault="00F24DAA">
      <w:pPr>
        <w:pStyle w:val="TOC2"/>
        <w:rPr>
          <w:rFonts w:eastAsiaTheme="minorEastAsia" w:cstheme="minorBidi"/>
          <w:color w:val="auto"/>
          <w:kern w:val="2"/>
          <w:sz w:val="24"/>
          <w:szCs w:val="24"/>
          <w14:ligatures w14:val="standardContextual"/>
        </w:rPr>
      </w:pPr>
      <w:hyperlink w:anchor="_Toc199940950" w:history="1">
        <w:r w:rsidRPr="00C718DF">
          <w:rPr>
            <w:rStyle w:val="Hyperlink"/>
            <w:lang w:val="en-US"/>
          </w:rPr>
          <w:t>Best practice guidance and other tools for dispute pathways</w:t>
        </w:r>
        <w:r>
          <w:rPr>
            <w:webHidden/>
          </w:rPr>
          <w:tab/>
        </w:r>
        <w:r>
          <w:rPr>
            <w:webHidden/>
          </w:rPr>
          <w:fldChar w:fldCharType="begin"/>
        </w:r>
        <w:r>
          <w:rPr>
            <w:webHidden/>
          </w:rPr>
          <w:instrText xml:space="preserve"> PAGEREF _Toc199940950 \h </w:instrText>
        </w:r>
        <w:r>
          <w:rPr>
            <w:webHidden/>
          </w:rPr>
        </w:r>
        <w:r>
          <w:rPr>
            <w:webHidden/>
          </w:rPr>
          <w:fldChar w:fldCharType="separate"/>
        </w:r>
        <w:r w:rsidR="00341DD7">
          <w:rPr>
            <w:webHidden/>
          </w:rPr>
          <w:t>42</w:t>
        </w:r>
        <w:r>
          <w:rPr>
            <w:webHidden/>
          </w:rPr>
          <w:fldChar w:fldCharType="end"/>
        </w:r>
      </w:hyperlink>
    </w:p>
    <w:p w14:paraId="56A93EB6" w14:textId="43AFCFB0" w:rsidR="00F24DAA" w:rsidRDefault="00F24DAA">
      <w:pPr>
        <w:pStyle w:val="TOC3"/>
        <w:rPr>
          <w:rFonts w:eastAsiaTheme="minorEastAsia" w:cstheme="minorBidi"/>
          <w:color w:val="auto"/>
          <w:kern w:val="2"/>
          <w:sz w:val="24"/>
          <w:szCs w:val="24"/>
          <w14:ligatures w14:val="standardContextual"/>
        </w:rPr>
      </w:pPr>
      <w:hyperlink w:anchor="_Toc199940951" w:history="1">
        <w:r w:rsidRPr="00C718DF">
          <w:rPr>
            <w:rStyle w:val="Hyperlink"/>
          </w:rPr>
          <w:t>Stakeholder views</w:t>
        </w:r>
        <w:r>
          <w:rPr>
            <w:webHidden/>
          </w:rPr>
          <w:tab/>
        </w:r>
        <w:r>
          <w:rPr>
            <w:webHidden/>
          </w:rPr>
          <w:fldChar w:fldCharType="begin"/>
        </w:r>
        <w:r>
          <w:rPr>
            <w:webHidden/>
          </w:rPr>
          <w:instrText xml:space="preserve"> PAGEREF _Toc199940951 \h </w:instrText>
        </w:r>
        <w:r>
          <w:rPr>
            <w:webHidden/>
          </w:rPr>
        </w:r>
        <w:r>
          <w:rPr>
            <w:webHidden/>
          </w:rPr>
          <w:fldChar w:fldCharType="separate"/>
        </w:r>
        <w:r w:rsidR="00341DD7">
          <w:rPr>
            <w:webHidden/>
          </w:rPr>
          <w:t>42</w:t>
        </w:r>
        <w:r>
          <w:rPr>
            <w:webHidden/>
          </w:rPr>
          <w:fldChar w:fldCharType="end"/>
        </w:r>
      </w:hyperlink>
    </w:p>
    <w:p w14:paraId="35D7B88A" w14:textId="2A167E7D" w:rsidR="00F24DAA" w:rsidRDefault="00F24DAA">
      <w:pPr>
        <w:pStyle w:val="TOC3"/>
        <w:rPr>
          <w:rFonts w:eastAsiaTheme="minorEastAsia" w:cstheme="minorBidi"/>
          <w:color w:val="auto"/>
          <w:kern w:val="2"/>
          <w:sz w:val="24"/>
          <w:szCs w:val="24"/>
          <w14:ligatures w14:val="standardContextual"/>
        </w:rPr>
      </w:pPr>
      <w:hyperlink w:anchor="_Toc199940952" w:history="1">
        <w:r w:rsidRPr="00C718DF">
          <w:rPr>
            <w:rStyle w:val="Hyperlink"/>
            <w:lang w:val="en-US"/>
          </w:rPr>
          <w:t>Analysis</w:t>
        </w:r>
        <w:r>
          <w:rPr>
            <w:webHidden/>
          </w:rPr>
          <w:tab/>
        </w:r>
        <w:r>
          <w:rPr>
            <w:webHidden/>
          </w:rPr>
          <w:fldChar w:fldCharType="begin"/>
        </w:r>
        <w:r>
          <w:rPr>
            <w:webHidden/>
          </w:rPr>
          <w:instrText xml:space="preserve"> PAGEREF _Toc199940952 \h </w:instrText>
        </w:r>
        <w:r>
          <w:rPr>
            <w:webHidden/>
          </w:rPr>
        </w:r>
        <w:r>
          <w:rPr>
            <w:webHidden/>
          </w:rPr>
          <w:fldChar w:fldCharType="separate"/>
        </w:r>
        <w:r w:rsidR="00341DD7">
          <w:rPr>
            <w:webHidden/>
          </w:rPr>
          <w:t>43</w:t>
        </w:r>
        <w:r>
          <w:rPr>
            <w:webHidden/>
          </w:rPr>
          <w:fldChar w:fldCharType="end"/>
        </w:r>
      </w:hyperlink>
    </w:p>
    <w:p w14:paraId="2FCF599B" w14:textId="4A90E3A2" w:rsidR="00F24DAA" w:rsidRDefault="00F24DAA">
      <w:pPr>
        <w:pStyle w:val="TOC3"/>
        <w:rPr>
          <w:rFonts w:eastAsiaTheme="minorEastAsia" w:cstheme="minorBidi"/>
          <w:color w:val="auto"/>
          <w:kern w:val="2"/>
          <w:sz w:val="24"/>
          <w:szCs w:val="24"/>
          <w14:ligatures w14:val="standardContextual"/>
        </w:rPr>
      </w:pPr>
      <w:hyperlink w:anchor="_Toc199940953" w:history="1">
        <w:r w:rsidRPr="00C718DF">
          <w:rPr>
            <w:rStyle w:val="Hyperlink"/>
            <w:lang w:val="en-US"/>
          </w:rPr>
          <w:t>Recommendation</w:t>
        </w:r>
        <w:r>
          <w:rPr>
            <w:webHidden/>
          </w:rPr>
          <w:tab/>
        </w:r>
        <w:r>
          <w:rPr>
            <w:webHidden/>
          </w:rPr>
          <w:fldChar w:fldCharType="begin"/>
        </w:r>
        <w:r>
          <w:rPr>
            <w:webHidden/>
          </w:rPr>
          <w:instrText xml:space="preserve"> PAGEREF _Toc199940953 \h </w:instrText>
        </w:r>
        <w:r>
          <w:rPr>
            <w:webHidden/>
          </w:rPr>
        </w:r>
        <w:r>
          <w:rPr>
            <w:webHidden/>
          </w:rPr>
          <w:fldChar w:fldCharType="separate"/>
        </w:r>
        <w:r w:rsidR="00341DD7">
          <w:rPr>
            <w:webHidden/>
          </w:rPr>
          <w:t>43</w:t>
        </w:r>
        <w:r>
          <w:rPr>
            <w:webHidden/>
          </w:rPr>
          <w:fldChar w:fldCharType="end"/>
        </w:r>
      </w:hyperlink>
    </w:p>
    <w:p w14:paraId="40AD501F" w14:textId="5C721F50" w:rsidR="00F24DAA" w:rsidRDefault="00F24DAA">
      <w:pPr>
        <w:pStyle w:val="TOC2"/>
        <w:rPr>
          <w:rFonts w:eastAsiaTheme="minorEastAsia" w:cstheme="minorBidi"/>
          <w:color w:val="auto"/>
          <w:kern w:val="2"/>
          <w:sz w:val="24"/>
          <w:szCs w:val="24"/>
          <w14:ligatures w14:val="standardContextual"/>
        </w:rPr>
      </w:pPr>
      <w:hyperlink w:anchor="_Toc199940954" w:history="1">
        <w:r w:rsidRPr="00C718DF">
          <w:rPr>
            <w:rStyle w:val="Hyperlink"/>
            <w:lang w:val="en-US"/>
          </w:rPr>
          <w:t>Contact Centre</w:t>
        </w:r>
        <w:r>
          <w:rPr>
            <w:webHidden/>
          </w:rPr>
          <w:tab/>
        </w:r>
        <w:r>
          <w:rPr>
            <w:webHidden/>
          </w:rPr>
          <w:fldChar w:fldCharType="begin"/>
        </w:r>
        <w:r>
          <w:rPr>
            <w:webHidden/>
          </w:rPr>
          <w:instrText xml:space="preserve"> PAGEREF _Toc199940954 \h </w:instrText>
        </w:r>
        <w:r>
          <w:rPr>
            <w:webHidden/>
          </w:rPr>
        </w:r>
        <w:r>
          <w:rPr>
            <w:webHidden/>
          </w:rPr>
          <w:fldChar w:fldCharType="separate"/>
        </w:r>
        <w:r w:rsidR="00341DD7">
          <w:rPr>
            <w:webHidden/>
          </w:rPr>
          <w:t>43</w:t>
        </w:r>
        <w:r>
          <w:rPr>
            <w:webHidden/>
          </w:rPr>
          <w:fldChar w:fldCharType="end"/>
        </w:r>
      </w:hyperlink>
    </w:p>
    <w:p w14:paraId="53E793AC" w14:textId="1E4218E1" w:rsidR="00F24DAA" w:rsidRDefault="00F24DAA">
      <w:pPr>
        <w:pStyle w:val="TOC3"/>
        <w:rPr>
          <w:rFonts w:eastAsiaTheme="minorEastAsia" w:cstheme="minorBidi"/>
          <w:color w:val="auto"/>
          <w:kern w:val="2"/>
          <w:sz w:val="24"/>
          <w:szCs w:val="24"/>
          <w14:ligatures w14:val="standardContextual"/>
        </w:rPr>
      </w:pPr>
      <w:hyperlink w:anchor="_Toc199940955" w:history="1">
        <w:r w:rsidRPr="00C718DF">
          <w:rPr>
            <w:rStyle w:val="Hyperlink"/>
            <w:lang w:val="en-US"/>
          </w:rPr>
          <w:t>Stakeholder views</w:t>
        </w:r>
        <w:r>
          <w:rPr>
            <w:webHidden/>
          </w:rPr>
          <w:tab/>
        </w:r>
        <w:r>
          <w:rPr>
            <w:webHidden/>
          </w:rPr>
          <w:fldChar w:fldCharType="begin"/>
        </w:r>
        <w:r>
          <w:rPr>
            <w:webHidden/>
          </w:rPr>
          <w:instrText xml:space="preserve"> PAGEREF _Toc199940955 \h </w:instrText>
        </w:r>
        <w:r>
          <w:rPr>
            <w:webHidden/>
          </w:rPr>
        </w:r>
        <w:r>
          <w:rPr>
            <w:webHidden/>
          </w:rPr>
          <w:fldChar w:fldCharType="separate"/>
        </w:r>
        <w:r w:rsidR="00341DD7">
          <w:rPr>
            <w:webHidden/>
          </w:rPr>
          <w:t>43</w:t>
        </w:r>
        <w:r>
          <w:rPr>
            <w:webHidden/>
          </w:rPr>
          <w:fldChar w:fldCharType="end"/>
        </w:r>
      </w:hyperlink>
    </w:p>
    <w:p w14:paraId="7619023A" w14:textId="585919A5" w:rsidR="00F24DAA" w:rsidRDefault="00F24DAA">
      <w:pPr>
        <w:pStyle w:val="TOC3"/>
        <w:rPr>
          <w:rFonts w:eastAsiaTheme="minorEastAsia" w:cstheme="minorBidi"/>
          <w:color w:val="auto"/>
          <w:kern w:val="2"/>
          <w:sz w:val="24"/>
          <w:szCs w:val="24"/>
          <w14:ligatures w14:val="standardContextual"/>
        </w:rPr>
      </w:pPr>
      <w:hyperlink w:anchor="_Toc199940956" w:history="1">
        <w:r w:rsidRPr="00C718DF">
          <w:rPr>
            <w:rStyle w:val="Hyperlink"/>
            <w:lang w:val="en-US"/>
          </w:rPr>
          <w:t>Analysis</w:t>
        </w:r>
        <w:r>
          <w:rPr>
            <w:webHidden/>
          </w:rPr>
          <w:tab/>
        </w:r>
        <w:r>
          <w:rPr>
            <w:webHidden/>
          </w:rPr>
          <w:fldChar w:fldCharType="begin"/>
        </w:r>
        <w:r>
          <w:rPr>
            <w:webHidden/>
          </w:rPr>
          <w:instrText xml:space="preserve"> PAGEREF _Toc199940956 \h </w:instrText>
        </w:r>
        <w:r>
          <w:rPr>
            <w:webHidden/>
          </w:rPr>
        </w:r>
        <w:r>
          <w:rPr>
            <w:webHidden/>
          </w:rPr>
          <w:fldChar w:fldCharType="separate"/>
        </w:r>
        <w:r w:rsidR="00341DD7">
          <w:rPr>
            <w:webHidden/>
          </w:rPr>
          <w:t>44</w:t>
        </w:r>
        <w:r>
          <w:rPr>
            <w:webHidden/>
          </w:rPr>
          <w:fldChar w:fldCharType="end"/>
        </w:r>
      </w:hyperlink>
    </w:p>
    <w:p w14:paraId="3877559F" w14:textId="5B87EA3C" w:rsidR="00F24DAA" w:rsidRDefault="00F24DAA">
      <w:pPr>
        <w:pStyle w:val="TOC3"/>
        <w:rPr>
          <w:rFonts w:eastAsiaTheme="minorEastAsia" w:cstheme="minorBidi"/>
          <w:color w:val="auto"/>
          <w:kern w:val="2"/>
          <w:sz w:val="24"/>
          <w:szCs w:val="24"/>
          <w14:ligatures w14:val="standardContextual"/>
        </w:rPr>
      </w:pPr>
      <w:hyperlink w:anchor="_Toc199940957" w:history="1">
        <w:r w:rsidRPr="00C718DF">
          <w:rPr>
            <w:rStyle w:val="Hyperlink"/>
            <w:lang w:val="en-US"/>
          </w:rPr>
          <w:t>Observation</w:t>
        </w:r>
        <w:r>
          <w:rPr>
            <w:webHidden/>
          </w:rPr>
          <w:tab/>
        </w:r>
        <w:r>
          <w:rPr>
            <w:webHidden/>
          </w:rPr>
          <w:fldChar w:fldCharType="begin"/>
        </w:r>
        <w:r>
          <w:rPr>
            <w:webHidden/>
          </w:rPr>
          <w:instrText xml:space="preserve"> PAGEREF _Toc199940957 \h </w:instrText>
        </w:r>
        <w:r>
          <w:rPr>
            <w:webHidden/>
          </w:rPr>
        </w:r>
        <w:r>
          <w:rPr>
            <w:webHidden/>
          </w:rPr>
          <w:fldChar w:fldCharType="separate"/>
        </w:r>
        <w:r w:rsidR="00341DD7">
          <w:rPr>
            <w:webHidden/>
          </w:rPr>
          <w:t>44</w:t>
        </w:r>
        <w:r>
          <w:rPr>
            <w:webHidden/>
          </w:rPr>
          <w:fldChar w:fldCharType="end"/>
        </w:r>
      </w:hyperlink>
    </w:p>
    <w:p w14:paraId="551C73A0" w14:textId="7F6AE65C" w:rsidR="00F24DAA" w:rsidRDefault="00F24DAA">
      <w:pPr>
        <w:pStyle w:val="TOC2"/>
        <w:rPr>
          <w:rFonts w:eastAsiaTheme="minorEastAsia" w:cstheme="minorBidi"/>
          <w:color w:val="auto"/>
          <w:kern w:val="2"/>
          <w:sz w:val="24"/>
          <w:szCs w:val="24"/>
          <w14:ligatures w14:val="standardContextual"/>
        </w:rPr>
      </w:pPr>
      <w:hyperlink w:anchor="_Toc199940958" w:history="1">
        <w:r w:rsidRPr="00C718DF">
          <w:rPr>
            <w:rStyle w:val="Hyperlink"/>
          </w:rPr>
          <w:t>ASBFEO Case Management team</w:t>
        </w:r>
        <w:r>
          <w:rPr>
            <w:webHidden/>
          </w:rPr>
          <w:tab/>
        </w:r>
        <w:r>
          <w:rPr>
            <w:webHidden/>
          </w:rPr>
          <w:fldChar w:fldCharType="begin"/>
        </w:r>
        <w:r>
          <w:rPr>
            <w:webHidden/>
          </w:rPr>
          <w:instrText xml:space="preserve"> PAGEREF _Toc199940958 \h </w:instrText>
        </w:r>
        <w:r>
          <w:rPr>
            <w:webHidden/>
          </w:rPr>
        </w:r>
        <w:r>
          <w:rPr>
            <w:webHidden/>
          </w:rPr>
          <w:fldChar w:fldCharType="separate"/>
        </w:r>
        <w:r w:rsidR="00341DD7">
          <w:rPr>
            <w:webHidden/>
          </w:rPr>
          <w:t>44</w:t>
        </w:r>
        <w:r>
          <w:rPr>
            <w:webHidden/>
          </w:rPr>
          <w:fldChar w:fldCharType="end"/>
        </w:r>
      </w:hyperlink>
    </w:p>
    <w:p w14:paraId="3F8CAA2D" w14:textId="7F751B3B" w:rsidR="00F24DAA" w:rsidRDefault="00F24DAA">
      <w:pPr>
        <w:pStyle w:val="TOC3"/>
        <w:rPr>
          <w:rFonts w:eastAsiaTheme="minorEastAsia" w:cstheme="minorBidi"/>
          <w:color w:val="auto"/>
          <w:kern w:val="2"/>
          <w:sz w:val="24"/>
          <w:szCs w:val="24"/>
          <w14:ligatures w14:val="standardContextual"/>
        </w:rPr>
      </w:pPr>
      <w:hyperlink w:anchor="_Toc199940959" w:history="1">
        <w:r w:rsidRPr="00C718DF">
          <w:rPr>
            <w:rStyle w:val="Hyperlink"/>
            <w:lang w:val="en-US"/>
          </w:rPr>
          <w:t>Stakeholder views</w:t>
        </w:r>
        <w:r>
          <w:rPr>
            <w:webHidden/>
          </w:rPr>
          <w:tab/>
        </w:r>
        <w:r>
          <w:rPr>
            <w:webHidden/>
          </w:rPr>
          <w:fldChar w:fldCharType="begin"/>
        </w:r>
        <w:r>
          <w:rPr>
            <w:webHidden/>
          </w:rPr>
          <w:instrText xml:space="preserve"> PAGEREF _Toc199940959 \h </w:instrText>
        </w:r>
        <w:r>
          <w:rPr>
            <w:webHidden/>
          </w:rPr>
        </w:r>
        <w:r>
          <w:rPr>
            <w:webHidden/>
          </w:rPr>
          <w:fldChar w:fldCharType="separate"/>
        </w:r>
        <w:r w:rsidR="00341DD7">
          <w:rPr>
            <w:webHidden/>
          </w:rPr>
          <w:t>45</w:t>
        </w:r>
        <w:r>
          <w:rPr>
            <w:webHidden/>
          </w:rPr>
          <w:fldChar w:fldCharType="end"/>
        </w:r>
      </w:hyperlink>
    </w:p>
    <w:p w14:paraId="12694D27" w14:textId="5A028DDD" w:rsidR="00F24DAA" w:rsidRDefault="00F24DAA">
      <w:pPr>
        <w:pStyle w:val="TOC3"/>
        <w:rPr>
          <w:rFonts w:eastAsiaTheme="minorEastAsia" w:cstheme="minorBidi"/>
          <w:color w:val="auto"/>
          <w:kern w:val="2"/>
          <w:sz w:val="24"/>
          <w:szCs w:val="24"/>
          <w14:ligatures w14:val="standardContextual"/>
        </w:rPr>
      </w:pPr>
      <w:hyperlink w:anchor="_Toc199940960" w:history="1">
        <w:r w:rsidRPr="00C718DF">
          <w:rPr>
            <w:rStyle w:val="Hyperlink"/>
            <w:lang w:val="en-GB"/>
          </w:rPr>
          <w:t>Case study</w:t>
        </w:r>
        <w:r>
          <w:rPr>
            <w:webHidden/>
          </w:rPr>
          <w:tab/>
        </w:r>
        <w:r>
          <w:rPr>
            <w:webHidden/>
          </w:rPr>
          <w:fldChar w:fldCharType="begin"/>
        </w:r>
        <w:r>
          <w:rPr>
            <w:webHidden/>
          </w:rPr>
          <w:instrText xml:space="preserve"> PAGEREF _Toc199940960 \h </w:instrText>
        </w:r>
        <w:r>
          <w:rPr>
            <w:webHidden/>
          </w:rPr>
        </w:r>
        <w:r>
          <w:rPr>
            <w:webHidden/>
          </w:rPr>
          <w:fldChar w:fldCharType="separate"/>
        </w:r>
        <w:r w:rsidR="00341DD7">
          <w:rPr>
            <w:webHidden/>
          </w:rPr>
          <w:t>47</w:t>
        </w:r>
        <w:r>
          <w:rPr>
            <w:webHidden/>
          </w:rPr>
          <w:fldChar w:fldCharType="end"/>
        </w:r>
      </w:hyperlink>
    </w:p>
    <w:p w14:paraId="6CC18B9C" w14:textId="10DEF115" w:rsidR="00F24DAA" w:rsidRDefault="00F24DAA">
      <w:pPr>
        <w:pStyle w:val="TOC3"/>
        <w:rPr>
          <w:rFonts w:eastAsiaTheme="minorEastAsia" w:cstheme="minorBidi"/>
          <w:color w:val="auto"/>
          <w:kern w:val="2"/>
          <w:sz w:val="24"/>
          <w:szCs w:val="24"/>
          <w14:ligatures w14:val="standardContextual"/>
        </w:rPr>
      </w:pPr>
      <w:hyperlink w:anchor="_Toc199940961" w:history="1">
        <w:r w:rsidRPr="00C718DF">
          <w:rPr>
            <w:rStyle w:val="Hyperlink"/>
            <w:lang w:val="en-US"/>
          </w:rPr>
          <w:t>Analysis</w:t>
        </w:r>
        <w:r>
          <w:rPr>
            <w:webHidden/>
          </w:rPr>
          <w:tab/>
        </w:r>
        <w:r>
          <w:rPr>
            <w:webHidden/>
          </w:rPr>
          <w:fldChar w:fldCharType="begin"/>
        </w:r>
        <w:r>
          <w:rPr>
            <w:webHidden/>
          </w:rPr>
          <w:instrText xml:space="preserve"> PAGEREF _Toc199940961 \h </w:instrText>
        </w:r>
        <w:r>
          <w:rPr>
            <w:webHidden/>
          </w:rPr>
        </w:r>
        <w:r>
          <w:rPr>
            <w:webHidden/>
          </w:rPr>
          <w:fldChar w:fldCharType="separate"/>
        </w:r>
        <w:r w:rsidR="00341DD7">
          <w:rPr>
            <w:webHidden/>
          </w:rPr>
          <w:t>47</w:t>
        </w:r>
        <w:r>
          <w:rPr>
            <w:webHidden/>
          </w:rPr>
          <w:fldChar w:fldCharType="end"/>
        </w:r>
      </w:hyperlink>
    </w:p>
    <w:p w14:paraId="5815D396" w14:textId="703D48C3" w:rsidR="00F24DAA" w:rsidRDefault="00F24DAA">
      <w:pPr>
        <w:pStyle w:val="TOC2"/>
        <w:rPr>
          <w:rFonts w:eastAsiaTheme="minorEastAsia" w:cstheme="minorBidi"/>
          <w:color w:val="auto"/>
          <w:kern w:val="2"/>
          <w:sz w:val="24"/>
          <w:szCs w:val="24"/>
          <w14:ligatures w14:val="standardContextual"/>
        </w:rPr>
      </w:pPr>
      <w:hyperlink w:anchor="_Toc199940962" w:history="1">
        <w:r w:rsidRPr="00C718DF">
          <w:rPr>
            <w:rStyle w:val="Hyperlink"/>
            <w:lang w:val="en-US"/>
          </w:rPr>
          <w:t>Referrals by the Contact Centre and ASBFEO</w:t>
        </w:r>
        <w:r>
          <w:rPr>
            <w:webHidden/>
          </w:rPr>
          <w:tab/>
        </w:r>
        <w:r>
          <w:rPr>
            <w:webHidden/>
          </w:rPr>
          <w:fldChar w:fldCharType="begin"/>
        </w:r>
        <w:r>
          <w:rPr>
            <w:webHidden/>
          </w:rPr>
          <w:instrText xml:space="preserve"> PAGEREF _Toc199940962 \h </w:instrText>
        </w:r>
        <w:r>
          <w:rPr>
            <w:webHidden/>
          </w:rPr>
        </w:r>
        <w:r>
          <w:rPr>
            <w:webHidden/>
          </w:rPr>
          <w:fldChar w:fldCharType="separate"/>
        </w:r>
        <w:r w:rsidR="00341DD7">
          <w:rPr>
            <w:webHidden/>
          </w:rPr>
          <w:t>48</w:t>
        </w:r>
        <w:r>
          <w:rPr>
            <w:webHidden/>
          </w:rPr>
          <w:fldChar w:fldCharType="end"/>
        </w:r>
      </w:hyperlink>
    </w:p>
    <w:p w14:paraId="5862FB54" w14:textId="5296E689" w:rsidR="00F24DAA" w:rsidRDefault="00F24DAA">
      <w:pPr>
        <w:pStyle w:val="TOC3"/>
        <w:rPr>
          <w:rFonts w:eastAsiaTheme="minorEastAsia" w:cstheme="minorBidi"/>
          <w:color w:val="auto"/>
          <w:kern w:val="2"/>
          <w:sz w:val="24"/>
          <w:szCs w:val="24"/>
          <w14:ligatures w14:val="standardContextual"/>
        </w:rPr>
      </w:pPr>
      <w:hyperlink w:anchor="_Toc199940963" w:history="1">
        <w:r w:rsidRPr="00C718DF">
          <w:rPr>
            <w:rStyle w:val="Hyperlink"/>
            <w:lang w:val="en-US"/>
          </w:rPr>
          <w:t>Stakeholder views</w:t>
        </w:r>
        <w:r>
          <w:rPr>
            <w:webHidden/>
          </w:rPr>
          <w:tab/>
        </w:r>
        <w:r>
          <w:rPr>
            <w:webHidden/>
          </w:rPr>
          <w:fldChar w:fldCharType="begin"/>
        </w:r>
        <w:r>
          <w:rPr>
            <w:webHidden/>
          </w:rPr>
          <w:instrText xml:space="preserve"> PAGEREF _Toc199940963 \h </w:instrText>
        </w:r>
        <w:r>
          <w:rPr>
            <w:webHidden/>
          </w:rPr>
        </w:r>
        <w:r>
          <w:rPr>
            <w:webHidden/>
          </w:rPr>
          <w:fldChar w:fldCharType="separate"/>
        </w:r>
        <w:r w:rsidR="00341DD7">
          <w:rPr>
            <w:webHidden/>
          </w:rPr>
          <w:t>49</w:t>
        </w:r>
        <w:r>
          <w:rPr>
            <w:webHidden/>
          </w:rPr>
          <w:fldChar w:fldCharType="end"/>
        </w:r>
      </w:hyperlink>
    </w:p>
    <w:p w14:paraId="6850BD8C" w14:textId="455A80B0" w:rsidR="00F24DAA" w:rsidRDefault="00F24DAA">
      <w:pPr>
        <w:pStyle w:val="TOC3"/>
        <w:rPr>
          <w:rFonts w:eastAsiaTheme="minorEastAsia" w:cstheme="minorBidi"/>
          <w:color w:val="auto"/>
          <w:kern w:val="2"/>
          <w:sz w:val="24"/>
          <w:szCs w:val="24"/>
          <w14:ligatures w14:val="standardContextual"/>
        </w:rPr>
      </w:pPr>
      <w:hyperlink w:anchor="_Toc199940964" w:history="1">
        <w:r w:rsidRPr="00C718DF">
          <w:rPr>
            <w:rStyle w:val="Hyperlink"/>
            <w:lang w:val="en-US"/>
          </w:rPr>
          <w:t>Previous reviews</w:t>
        </w:r>
        <w:r>
          <w:rPr>
            <w:webHidden/>
          </w:rPr>
          <w:tab/>
        </w:r>
        <w:r>
          <w:rPr>
            <w:webHidden/>
          </w:rPr>
          <w:fldChar w:fldCharType="begin"/>
        </w:r>
        <w:r>
          <w:rPr>
            <w:webHidden/>
          </w:rPr>
          <w:instrText xml:space="preserve"> PAGEREF _Toc199940964 \h </w:instrText>
        </w:r>
        <w:r>
          <w:rPr>
            <w:webHidden/>
          </w:rPr>
        </w:r>
        <w:r>
          <w:rPr>
            <w:webHidden/>
          </w:rPr>
          <w:fldChar w:fldCharType="separate"/>
        </w:r>
        <w:r w:rsidR="00341DD7">
          <w:rPr>
            <w:webHidden/>
          </w:rPr>
          <w:t>50</w:t>
        </w:r>
        <w:r>
          <w:rPr>
            <w:webHidden/>
          </w:rPr>
          <w:fldChar w:fldCharType="end"/>
        </w:r>
      </w:hyperlink>
    </w:p>
    <w:p w14:paraId="7C84A39C" w14:textId="102127F4" w:rsidR="00F24DAA" w:rsidRDefault="00F24DAA">
      <w:pPr>
        <w:pStyle w:val="TOC3"/>
        <w:rPr>
          <w:rFonts w:eastAsiaTheme="minorEastAsia" w:cstheme="minorBidi"/>
          <w:color w:val="auto"/>
          <w:kern w:val="2"/>
          <w:sz w:val="24"/>
          <w:szCs w:val="24"/>
          <w14:ligatures w14:val="standardContextual"/>
        </w:rPr>
      </w:pPr>
      <w:hyperlink w:anchor="_Toc199940965" w:history="1">
        <w:r w:rsidRPr="00C718DF">
          <w:rPr>
            <w:rStyle w:val="Hyperlink"/>
            <w:lang w:val="en-US"/>
          </w:rPr>
          <w:t>Analysis</w:t>
        </w:r>
        <w:r>
          <w:rPr>
            <w:webHidden/>
          </w:rPr>
          <w:tab/>
        </w:r>
        <w:r>
          <w:rPr>
            <w:webHidden/>
          </w:rPr>
          <w:fldChar w:fldCharType="begin"/>
        </w:r>
        <w:r>
          <w:rPr>
            <w:webHidden/>
          </w:rPr>
          <w:instrText xml:space="preserve"> PAGEREF _Toc199940965 \h </w:instrText>
        </w:r>
        <w:r>
          <w:rPr>
            <w:webHidden/>
          </w:rPr>
        </w:r>
        <w:r>
          <w:rPr>
            <w:webHidden/>
          </w:rPr>
          <w:fldChar w:fldCharType="separate"/>
        </w:r>
        <w:r w:rsidR="00341DD7">
          <w:rPr>
            <w:webHidden/>
          </w:rPr>
          <w:t>50</w:t>
        </w:r>
        <w:r>
          <w:rPr>
            <w:webHidden/>
          </w:rPr>
          <w:fldChar w:fldCharType="end"/>
        </w:r>
      </w:hyperlink>
    </w:p>
    <w:p w14:paraId="07858C44" w14:textId="0968BD7F" w:rsidR="00F24DAA" w:rsidRDefault="00F24DAA">
      <w:pPr>
        <w:pStyle w:val="TOC3"/>
        <w:rPr>
          <w:rFonts w:eastAsiaTheme="minorEastAsia" w:cstheme="minorBidi"/>
          <w:color w:val="auto"/>
          <w:kern w:val="2"/>
          <w:sz w:val="24"/>
          <w:szCs w:val="24"/>
          <w14:ligatures w14:val="standardContextual"/>
        </w:rPr>
      </w:pPr>
      <w:hyperlink w:anchor="_Toc199940966" w:history="1">
        <w:r w:rsidRPr="00C718DF">
          <w:rPr>
            <w:rStyle w:val="Hyperlink"/>
            <w:lang w:val="en-US"/>
          </w:rPr>
          <w:t>Recommendation</w:t>
        </w:r>
        <w:r>
          <w:rPr>
            <w:webHidden/>
          </w:rPr>
          <w:tab/>
        </w:r>
        <w:r>
          <w:rPr>
            <w:webHidden/>
          </w:rPr>
          <w:fldChar w:fldCharType="begin"/>
        </w:r>
        <w:r>
          <w:rPr>
            <w:webHidden/>
          </w:rPr>
          <w:instrText xml:space="preserve"> PAGEREF _Toc199940966 \h </w:instrText>
        </w:r>
        <w:r>
          <w:rPr>
            <w:webHidden/>
          </w:rPr>
        </w:r>
        <w:r>
          <w:rPr>
            <w:webHidden/>
          </w:rPr>
          <w:fldChar w:fldCharType="separate"/>
        </w:r>
        <w:r w:rsidR="00341DD7">
          <w:rPr>
            <w:webHidden/>
          </w:rPr>
          <w:t>51</w:t>
        </w:r>
        <w:r>
          <w:rPr>
            <w:webHidden/>
          </w:rPr>
          <w:fldChar w:fldCharType="end"/>
        </w:r>
      </w:hyperlink>
    </w:p>
    <w:p w14:paraId="2962B218" w14:textId="64D990B7" w:rsidR="00F24DAA" w:rsidRDefault="00F24DAA">
      <w:pPr>
        <w:pStyle w:val="TOC2"/>
        <w:rPr>
          <w:rFonts w:eastAsiaTheme="minorEastAsia" w:cstheme="minorBidi"/>
          <w:color w:val="auto"/>
          <w:kern w:val="2"/>
          <w:sz w:val="24"/>
          <w:szCs w:val="24"/>
          <w14:ligatures w14:val="standardContextual"/>
        </w:rPr>
      </w:pPr>
      <w:hyperlink w:anchor="_Toc199940967" w:history="1">
        <w:r w:rsidRPr="00C718DF">
          <w:rPr>
            <w:rStyle w:val="Hyperlink"/>
            <w:lang w:val="en-US"/>
          </w:rPr>
          <w:t>Notifications powers and certificates</w:t>
        </w:r>
        <w:r>
          <w:rPr>
            <w:webHidden/>
          </w:rPr>
          <w:tab/>
        </w:r>
        <w:r>
          <w:rPr>
            <w:webHidden/>
          </w:rPr>
          <w:fldChar w:fldCharType="begin"/>
        </w:r>
        <w:r>
          <w:rPr>
            <w:webHidden/>
          </w:rPr>
          <w:instrText xml:space="preserve"> PAGEREF _Toc199940967 \h </w:instrText>
        </w:r>
        <w:r>
          <w:rPr>
            <w:webHidden/>
          </w:rPr>
        </w:r>
        <w:r>
          <w:rPr>
            <w:webHidden/>
          </w:rPr>
          <w:fldChar w:fldCharType="separate"/>
        </w:r>
        <w:r w:rsidR="00341DD7">
          <w:rPr>
            <w:webHidden/>
          </w:rPr>
          <w:t>52</w:t>
        </w:r>
        <w:r>
          <w:rPr>
            <w:webHidden/>
          </w:rPr>
          <w:fldChar w:fldCharType="end"/>
        </w:r>
      </w:hyperlink>
    </w:p>
    <w:p w14:paraId="4A570EB2" w14:textId="33152462" w:rsidR="00F24DAA" w:rsidRDefault="00F24DAA">
      <w:pPr>
        <w:pStyle w:val="TOC2"/>
        <w:rPr>
          <w:rFonts w:eastAsiaTheme="minorEastAsia" w:cstheme="minorBidi"/>
          <w:color w:val="auto"/>
          <w:kern w:val="2"/>
          <w:sz w:val="24"/>
          <w:szCs w:val="24"/>
          <w14:ligatures w14:val="standardContextual"/>
        </w:rPr>
      </w:pPr>
      <w:hyperlink w:anchor="_Toc199940968" w:history="1">
        <w:r w:rsidRPr="00C718DF">
          <w:rPr>
            <w:rStyle w:val="Hyperlink"/>
            <w:lang w:val="en-US"/>
          </w:rPr>
          <w:t>ADR</w:t>
        </w:r>
        <w:r>
          <w:rPr>
            <w:webHidden/>
          </w:rPr>
          <w:tab/>
        </w:r>
        <w:r>
          <w:rPr>
            <w:webHidden/>
          </w:rPr>
          <w:fldChar w:fldCharType="begin"/>
        </w:r>
        <w:r>
          <w:rPr>
            <w:webHidden/>
          </w:rPr>
          <w:instrText xml:space="preserve"> PAGEREF _Toc199940968 \h </w:instrText>
        </w:r>
        <w:r>
          <w:rPr>
            <w:webHidden/>
          </w:rPr>
        </w:r>
        <w:r>
          <w:rPr>
            <w:webHidden/>
          </w:rPr>
          <w:fldChar w:fldCharType="separate"/>
        </w:r>
        <w:r w:rsidR="00341DD7">
          <w:rPr>
            <w:webHidden/>
          </w:rPr>
          <w:t>52</w:t>
        </w:r>
        <w:r>
          <w:rPr>
            <w:webHidden/>
          </w:rPr>
          <w:fldChar w:fldCharType="end"/>
        </w:r>
      </w:hyperlink>
    </w:p>
    <w:p w14:paraId="08DBA38D" w14:textId="1AA24C41" w:rsidR="00F24DAA" w:rsidRDefault="00F24DAA">
      <w:pPr>
        <w:pStyle w:val="TOC3"/>
        <w:rPr>
          <w:rFonts w:eastAsiaTheme="minorEastAsia" w:cstheme="minorBidi"/>
          <w:color w:val="auto"/>
          <w:kern w:val="2"/>
          <w:sz w:val="24"/>
          <w:szCs w:val="24"/>
          <w14:ligatures w14:val="standardContextual"/>
        </w:rPr>
      </w:pPr>
      <w:hyperlink w:anchor="_Toc199940969" w:history="1">
        <w:r w:rsidRPr="00C718DF">
          <w:rPr>
            <w:rStyle w:val="Hyperlink"/>
            <w:lang w:val="en-US"/>
          </w:rPr>
          <w:t>Pre</w:t>
        </w:r>
        <w:r w:rsidRPr="00C718DF">
          <w:rPr>
            <w:rStyle w:val="Hyperlink"/>
            <w:lang w:val="en-US"/>
          </w:rPr>
          <w:noBreakHyphen/>
          <w:t>mediation processes</w:t>
        </w:r>
        <w:r>
          <w:rPr>
            <w:webHidden/>
          </w:rPr>
          <w:tab/>
        </w:r>
        <w:r>
          <w:rPr>
            <w:webHidden/>
          </w:rPr>
          <w:fldChar w:fldCharType="begin"/>
        </w:r>
        <w:r>
          <w:rPr>
            <w:webHidden/>
          </w:rPr>
          <w:instrText xml:space="preserve"> PAGEREF _Toc199940969 \h </w:instrText>
        </w:r>
        <w:r>
          <w:rPr>
            <w:webHidden/>
          </w:rPr>
        </w:r>
        <w:r>
          <w:rPr>
            <w:webHidden/>
          </w:rPr>
          <w:fldChar w:fldCharType="separate"/>
        </w:r>
        <w:r w:rsidR="00341DD7">
          <w:rPr>
            <w:webHidden/>
          </w:rPr>
          <w:t>52</w:t>
        </w:r>
        <w:r>
          <w:rPr>
            <w:webHidden/>
          </w:rPr>
          <w:fldChar w:fldCharType="end"/>
        </w:r>
      </w:hyperlink>
    </w:p>
    <w:p w14:paraId="6D1E0660" w14:textId="3A60F0AB" w:rsidR="00F24DAA" w:rsidRDefault="00F24DAA">
      <w:pPr>
        <w:pStyle w:val="TOC3"/>
        <w:rPr>
          <w:rFonts w:eastAsiaTheme="minorEastAsia" w:cstheme="minorBidi"/>
          <w:color w:val="auto"/>
          <w:kern w:val="2"/>
          <w:sz w:val="24"/>
          <w:szCs w:val="24"/>
          <w14:ligatures w14:val="standardContextual"/>
        </w:rPr>
      </w:pPr>
      <w:hyperlink w:anchor="_Toc199940970" w:history="1">
        <w:r w:rsidRPr="00C718DF">
          <w:rPr>
            <w:rStyle w:val="Hyperlink"/>
            <w:lang w:val="en-US"/>
          </w:rPr>
          <w:t>Mediation</w:t>
        </w:r>
        <w:r>
          <w:rPr>
            <w:webHidden/>
          </w:rPr>
          <w:tab/>
        </w:r>
        <w:r>
          <w:rPr>
            <w:webHidden/>
          </w:rPr>
          <w:fldChar w:fldCharType="begin"/>
        </w:r>
        <w:r>
          <w:rPr>
            <w:webHidden/>
          </w:rPr>
          <w:instrText xml:space="preserve"> PAGEREF _Toc199940970 \h </w:instrText>
        </w:r>
        <w:r>
          <w:rPr>
            <w:webHidden/>
          </w:rPr>
        </w:r>
        <w:r>
          <w:rPr>
            <w:webHidden/>
          </w:rPr>
          <w:fldChar w:fldCharType="separate"/>
        </w:r>
        <w:r w:rsidR="00341DD7">
          <w:rPr>
            <w:webHidden/>
          </w:rPr>
          <w:t>53</w:t>
        </w:r>
        <w:r>
          <w:rPr>
            <w:webHidden/>
          </w:rPr>
          <w:fldChar w:fldCharType="end"/>
        </w:r>
      </w:hyperlink>
    </w:p>
    <w:p w14:paraId="33E78CE2" w14:textId="263FEA9A" w:rsidR="00F24DAA" w:rsidRDefault="00F24DAA">
      <w:pPr>
        <w:pStyle w:val="TOC3"/>
        <w:rPr>
          <w:rFonts w:eastAsiaTheme="minorEastAsia" w:cstheme="minorBidi"/>
          <w:color w:val="auto"/>
          <w:kern w:val="2"/>
          <w:sz w:val="24"/>
          <w:szCs w:val="24"/>
          <w14:ligatures w14:val="standardContextual"/>
        </w:rPr>
      </w:pPr>
      <w:hyperlink w:anchor="_Toc199940971" w:history="1">
        <w:r w:rsidRPr="00C718DF">
          <w:rPr>
            <w:rStyle w:val="Hyperlink"/>
            <w:lang w:val="en-US"/>
          </w:rPr>
          <w:t>Analysis</w:t>
        </w:r>
        <w:r>
          <w:rPr>
            <w:webHidden/>
          </w:rPr>
          <w:tab/>
        </w:r>
        <w:r>
          <w:rPr>
            <w:webHidden/>
          </w:rPr>
          <w:fldChar w:fldCharType="begin"/>
        </w:r>
        <w:r>
          <w:rPr>
            <w:webHidden/>
          </w:rPr>
          <w:instrText xml:space="preserve"> PAGEREF _Toc199940971 \h </w:instrText>
        </w:r>
        <w:r>
          <w:rPr>
            <w:webHidden/>
          </w:rPr>
        </w:r>
        <w:r>
          <w:rPr>
            <w:webHidden/>
          </w:rPr>
          <w:fldChar w:fldCharType="separate"/>
        </w:r>
        <w:r w:rsidR="00341DD7">
          <w:rPr>
            <w:webHidden/>
          </w:rPr>
          <w:t>54</w:t>
        </w:r>
        <w:r>
          <w:rPr>
            <w:webHidden/>
          </w:rPr>
          <w:fldChar w:fldCharType="end"/>
        </w:r>
      </w:hyperlink>
    </w:p>
    <w:p w14:paraId="55148541" w14:textId="156E9C36" w:rsidR="00F24DAA" w:rsidRDefault="00F24DAA">
      <w:pPr>
        <w:pStyle w:val="TOC3"/>
        <w:rPr>
          <w:rFonts w:eastAsiaTheme="minorEastAsia" w:cstheme="minorBidi"/>
          <w:color w:val="auto"/>
          <w:kern w:val="2"/>
          <w:sz w:val="24"/>
          <w:szCs w:val="24"/>
          <w14:ligatures w14:val="standardContextual"/>
        </w:rPr>
      </w:pPr>
      <w:hyperlink w:anchor="_Toc199940972" w:history="1">
        <w:r w:rsidRPr="00C718DF">
          <w:rPr>
            <w:rStyle w:val="Hyperlink"/>
            <w:lang w:val="en-US"/>
          </w:rPr>
          <w:t>Recommendation</w:t>
        </w:r>
        <w:r>
          <w:rPr>
            <w:webHidden/>
          </w:rPr>
          <w:tab/>
        </w:r>
        <w:r>
          <w:rPr>
            <w:webHidden/>
          </w:rPr>
          <w:fldChar w:fldCharType="begin"/>
        </w:r>
        <w:r>
          <w:rPr>
            <w:webHidden/>
          </w:rPr>
          <w:instrText xml:space="preserve"> PAGEREF _Toc199940972 \h </w:instrText>
        </w:r>
        <w:r>
          <w:rPr>
            <w:webHidden/>
          </w:rPr>
        </w:r>
        <w:r>
          <w:rPr>
            <w:webHidden/>
          </w:rPr>
          <w:fldChar w:fldCharType="separate"/>
        </w:r>
        <w:r w:rsidR="00341DD7">
          <w:rPr>
            <w:webHidden/>
          </w:rPr>
          <w:t>57</w:t>
        </w:r>
        <w:r>
          <w:rPr>
            <w:webHidden/>
          </w:rPr>
          <w:fldChar w:fldCharType="end"/>
        </w:r>
      </w:hyperlink>
    </w:p>
    <w:p w14:paraId="0F48EF93" w14:textId="6862E9C9" w:rsidR="00F24DAA" w:rsidRDefault="00F24DAA">
      <w:pPr>
        <w:pStyle w:val="TOC2"/>
        <w:rPr>
          <w:rFonts w:eastAsiaTheme="minorEastAsia" w:cstheme="minorBidi"/>
          <w:color w:val="auto"/>
          <w:kern w:val="2"/>
          <w:sz w:val="24"/>
          <w:szCs w:val="24"/>
          <w14:ligatures w14:val="standardContextual"/>
        </w:rPr>
      </w:pPr>
      <w:hyperlink w:anchor="_Toc199940973" w:history="1">
        <w:r w:rsidRPr="00C718DF">
          <w:rPr>
            <w:rStyle w:val="Hyperlink"/>
            <w:lang w:val="en-US"/>
          </w:rPr>
          <w:t>Small Business Tax Concierge service (SBTC)</w:t>
        </w:r>
        <w:r>
          <w:rPr>
            <w:webHidden/>
          </w:rPr>
          <w:tab/>
        </w:r>
        <w:r>
          <w:rPr>
            <w:webHidden/>
          </w:rPr>
          <w:fldChar w:fldCharType="begin"/>
        </w:r>
        <w:r>
          <w:rPr>
            <w:webHidden/>
          </w:rPr>
          <w:instrText xml:space="preserve"> PAGEREF _Toc199940973 \h </w:instrText>
        </w:r>
        <w:r>
          <w:rPr>
            <w:webHidden/>
          </w:rPr>
        </w:r>
        <w:r>
          <w:rPr>
            <w:webHidden/>
          </w:rPr>
          <w:fldChar w:fldCharType="separate"/>
        </w:r>
        <w:r w:rsidR="00341DD7">
          <w:rPr>
            <w:webHidden/>
          </w:rPr>
          <w:t>57</w:t>
        </w:r>
        <w:r>
          <w:rPr>
            <w:webHidden/>
          </w:rPr>
          <w:fldChar w:fldCharType="end"/>
        </w:r>
      </w:hyperlink>
    </w:p>
    <w:p w14:paraId="7C1B8F86" w14:textId="30F6A82D" w:rsidR="00F24DAA" w:rsidRDefault="00F24DAA">
      <w:pPr>
        <w:pStyle w:val="TOC3"/>
        <w:rPr>
          <w:rFonts w:eastAsiaTheme="minorEastAsia" w:cstheme="minorBidi"/>
          <w:color w:val="auto"/>
          <w:kern w:val="2"/>
          <w:sz w:val="24"/>
          <w:szCs w:val="24"/>
          <w14:ligatures w14:val="standardContextual"/>
        </w:rPr>
      </w:pPr>
      <w:hyperlink w:anchor="_Toc199940974" w:history="1">
        <w:r w:rsidRPr="00C718DF">
          <w:rPr>
            <w:rStyle w:val="Hyperlink"/>
          </w:rPr>
          <w:t>Stakeholder feedback</w:t>
        </w:r>
        <w:r>
          <w:rPr>
            <w:webHidden/>
          </w:rPr>
          <w:tab/>
        </w:r>
        <w:r>
          <w:rPr>
            <w:webHidden/>
          </w:rPr>
          <w:fldChar w:fldCharType="begin"/>
        </w:r>
        <w:r>
          <w:rPr>
            <w:webHidden/>
          </w:rPr>
          <w:instrText xml:space="preserve"> PAGEREF _Toc199940974 \h </w:instrText>
        </w:r>
        <w:r>
          <w:rPr>
            <w:webHidden/>
          </w:rPr>
        </w:r>
        <w:r>
          <w:rPr>
            <w:webHidden/>
          </w:rPr>
          <w:fldChar w:fldCharType="separate"/>
        </w:r>
        <w:r w:rsidR="00341DD7">
          <w:rPr>
            <w:webHidden/>
          </w:rPr>
          <w:t>58</w:t>
        </w:r>
        <w:r>
          <w:rPr>
            <w:webHidden/>
          </w:rPr>
          <w:fldChar w:fldCharType="end"/>
        </w:r>
      </w:hyperlink>
    </w:p>
    <w:p w14:paraId="485DFF91" w14:textId="3C09F368" w:rsidR="00F24DAA" w:rsidRDefault="00F24DAA">
      <w:pPr>
        <w:pStyle w:val="TOC3"/>
        <w:rPr>
          <w:rFonts w:eastAsiaTheme="minorEastAsia" w:cstheme="minorBidi"/>
          <w:color w:val="auto"/>
          <w:kern w:val="2"/>
          <w:sz w:val="24"/>
          <w:szCs w:val="24"/>
          <w14:ligatures w14:val="standardContextual"/>
        </w:rPr>
      </w:pPr>
      <w:hyperlink w:anchor="_Toc199940975" w:history="1">
        <w:r w:rsidRPr="00C718DF">
          <w:rPr>
            <w:rStyle w:val="Hyperlink"/>
          </w:rPr>
          <w:t>Analysis</w:t>
        </w:r>
        <w:r>
          <w:rPr>
            <w:webHidden/>
          </w:rPr>
          <w:tab/>
        </w:r>
        <w:r>
          <w:rPr>
            <w:webHidden/>
          </w:rPr>
          <w:fldChar w:fldCharType="begin"/>
        </w:r>
        <w:r>
          <w:rPr>
            <w:webHidden/>
          </w:rPr>
          <w:instrText xml:space="preserve"> PAGEREF _Toc199940975 \h </w:instrText>
        </w:r>
        <w:r>
          <w:rPr>
            <w:webHidden/>
          </w:rPr>
        </w:r>
        <w:r>
          <w:rPr>
            <w:webHidden/>
          </w:rPr>
          <w:fldChar w:fldCharType="separate"/>
        </w:r>
        <w:r w:rsidR="00341DD7">
          <w:rPr>
            <w:webHidden/>
          </w:rPr>
          <w:t>58</w:t>
        </w:r>
        <w:r>
          <w:rPr>
            <w:webHidden/>
          </w:rPr>
          <w:fldChar w:fldCharType="end"/>
        </w:r>
      </w:hyperlink>
    </w:p>
    <w:p w14:paraId="59222921" w14:textId="736C6E73" w:rsidR="00F24DAA" w:rsidRDefault="00F24DAA">
      <w:pPr>
        <w:pStyle w:val="TOC3"/>
        <w:rPr>
          <w:rFonts w:eastAsiaTheme="minorEastAsia" w:cstheme="minorBidi"/>
          <w:color w:val="auto"/>
          <w:kern w:val="2"/>
          <w:sz w:val="24"/>
          <w:szCs w:val="24"/>
          <w14:ligatures w14:val="standardContextual"/>
        </w:rPr>
      </w:pPr>
      <w:hyperlink w:anchor="_Toc199940976" w:history="1">
        <w:r w:rsidRPr="00C718DF">
          <w:rPr>
            <w:rStyle w:val="Hyperlink"/>
          </w:rPr>
          <w:t>Recommendation</w:t>
        </w:r>
        <w:r>
          <w:rPr>
            <w:webHidden/>
          </w:rPr>
          <w:tab/>
        </w:r>
        <w:r>
          <w:rPr>
            <w:webHidden/>
          </w:rPr>
          <w:fldChar w:fldCharType="begin"/>
        </w:r>
        <w:r>
          <w:rPr>
            <w:webHidden/>
          </w:rPr>
          <w:instrText xml:space="preserve"> PAGEREF _Toc199940976 \h </w:instrText>
        </w:r>
        <w:r>
          <w:rPr>
            <w:webHidden/>
          </w:rPr>
        </w:r>
        <w:r>
          <w:rPr>
            <w:webHidden/>
          </w:rPr>
          <w:fldChar w:fldCharType="separate"/>
        </w:r>
        <w:r w:rsidR="00341DD7">
          <w:rPr>
            <w:webHidden/>
          </w:rPr>
          <w:t>58</w:t>
        </w:r>
        <w:r>
          <w:rPr>
            <w:webHidden/>
          </w:rPr>
          <w:fldChar w:fldCharType="end"/>
        </w:r>
      </w:hyperlink>
    </w:p>
    <w:p w14:paraId="0E90AD75" w14:textId="3139DCA7" w:rsidR="00F24DAA" w:rsidRDefault="00F24DAA">
      <w:pPr>
        <w:pStyle w:val="TOC2"/>
        <w:rPr>
          <w:rFonts w:eastAsiaTheme="minorEastAsia" w:cstheme="minorBidi"/>
          <w:color w:val="auto"/>
          <w:kern w:val="2"/>
          <w:sz w:val="24"/>
          <w:szCs w:val="24"/>
          <w14:ligatures w14:val="standardContextual"/>
        </w:rPr>
      </w:pPr>
      <w:hyperlink w:anchor="_Toc199940977" w:history="1">
        <w:r w:rsidRPr="00C718DF">
          <w:rPr>
            <w:rStyle w:val="Hyperlink"/>
            <w:lang w:val="en-US"/>
          </w:rPr>
          <w:t>Reporting and intelligence</w:t>
        </w:r>
        <w:r>
          <w:rPr>
            <w:webHidden/>
          </w:rPr>
          <w:tab/>
        </w:r>
        <w:r>
          <w:rPr>
            <w:webHidden/>
          </w:rPr>
          <w:fldChar w:fldCharType="begin"/>
        </w:r>
        <w:r>
          <w:rPr>
            <w:webHidden/>
          </w:rPr>
          <w:instrText xml:space="preserve"> PAGEREF _Toc199940977 \h </w:instrText>
        </w:r>
        <w:r>
          <w:rPr>
            <w:webHidden/>
          </w:rPr>
        </w:r>
        <w:r>
          <w:rPr>
            <w:webHidden/>
          </w:rPr>
          <w:fldChar w:fldCharType="separate"/>
        </w:r>
        <w:r w:rsidR="00341DD7">
          <w:rPr>
            <w:webHidden/>
          </w:rPr>
          <w:t>59</w:t>
        </w:r>
        <w:r>
          <w:rPr>
            <w:webHidden/>
          </w:rPr>
          <w:fldChar w:fldCharType="end"/>
        </w:r>
      </w:hyperlink>
    </w:p>
    <w:p w14:paraId="5F5B2C81" w14:textId="18589046" w:rsidR="00F24DAA" w:rsidRDefault="00F24DAA">
      <w:pPr>
        <w:pStyle w:val="TOC3"/>
        <w:rPr>
          <w:rFonts w:eastAsiaTheme="minorEastAsia" w:cstheme="minorBidi"/>
          <w:color w:val="auto"/>
          <w:kern w:val="2"/>
          <w:sz w:val="24"/>
          <w:szCs w:val="24"/>
          <w14:ligatures w14:val="standardContextual"/>
        </w:rPr>
      </w:pPr>
      <w:hyperlink w:anchor="_Toc199940978" w:history="1">
        <w:r w:rsidRPr="00C718DF">
          <w:rPr>
            <w:rStyle w:val="Hyperlink"/>
            <w:lang w:val="en-US"/>
          </w:rPr>
          <w:t>Stakeholder views</w:t>
        </w:r>
        <w:r>
          <w:rPr>
            <w:webHidden/>
          </w:rPr>
          <w:tab/>
        </w:r>
        <w:r>
          <w:rPr>
            <w:webHidden/>
          </w:rPr>
          <w:fldChar w:fldCharType="begin"/>
        </w:r>
        <w:r>
          <w:rPr>
            <w:webHidden/>
          </w:rPr>
          <w:instrText xml:space="preserve"> PAGEREF _Toc199940978 \h </w:instrText>
        </w:r>
        <w:r>
          <w:rPr>
            <w:webHidden/>
          </w:rPr>
        </w:r>
        <w:r>
          <w:rPr>
            <w:webHidden/>
          </w:rPr>
          <w:fldChar w:fldCharType="separate"/>
        </w:r>
        <w:r w:rsidR="00341DD7">
          <w:rPr>
            <w:webHidden/>
          </w:rPr>
          <w:t>59</w:t>
        </w:r>
        <w:r>
          <w:rPr>
            <w:webHidden/>
          </w:rPr>
          <w:fldChar w:fldCharType="end"/>
        </w:r>
      </w:hyperlink>
    </w:p>
    <w:p w14:paraId="47C74A3F" w14:textId="5438EE95" w:rsidR="00F24DAA" w:rsidRDefault="00F24DAA">
      <w:pPr>
        <w:pStyle w:val="TOC3"/>
        <w:rPr>
          <w:rFonts w:eastAsiaTheme="minorEastAsia" w:cstheme="minorBidi"/>
          <w:color w:val="auto"/>
          <w:kern w:val="2"/>
          <w:sz w:val="24"/>
          <w:szCs w:val="24"/>
          <w14:ligatures w14:val="standardContextual"/>
        </w:rPr>
      </w:pPr>
      <w:hyperlink w:anchor="_Toc199940979" w:history="1">
        <w:r w:rsidRPr="00C718DF">
          <w:rPr>
            <w:rStyle w:val="Hyperlink"/>
            <w:lang w:val="en-US"/>
          </w:rPr>
          <w:t>Analysis</w:t>
        </w:r>
        <w:r>
          <w:rPr>
            <w:webHidden/>
          </w:rPr>
          <w:tab/>
        </w:r>
        <w:r>
          <w:rPr>
            <w:webHidden/>
          </w:rPr>
          <w:fldChar w:fldCharType="begin"/>
        </w:r>
        <w:r>
          <w:rPr>
            <w:webHidden/>
          </w:rPr>
          <w:instrText xml:space="preserve"> PAGEREF _Toc199940979 \h </w:instrText>
        </w:r>
        <w:r>
          <w:rPr>
            <w:webHidden/>
          </w:rPr>
        </w:r>
        <w:r>
          <w:rPr>
            <w:webHidden/>
          </w:rPr>
          <w:fldChar w:fldCharType="separate"/>
        </w:r>
        <w:r w:rsidR="00341DD7">
          <w:rPr>
            <w:webHidden/>
          </w:rPr>
          <w:t>59</w:t>
        </w:r>
        <w:r>
          <w:rPr>
            <w:webHidden/>
          </w:rPr>
          <w:fldChar w:fldCharType="end"/>
        </w:r>
      </w:hyperlink>
    </w:p>
    <w:p w14:paraId="4378369E" w14:textId="6949DBB0" w:rsidR="00F24DAA" w:rsidRDefault="00F24DAA">
      <w:pPr>
        <w:pStyle w:val="TOC3"/>
        <w:rPr>
          <w:rFonts w:eastAsiaTheme="minorEastAsia" w:cstheme="minorBidi"/>
          <w:color w:val="auto"/>
          <w:kern w:val="2"/>
          <w:sz w:val="24"/>
          <w:szCs w:val="24"/>
          <w14:ligatures w14:val="standardContextual"/>
        </w:rPr>
      </w:pPr>
      <w:hyperlink w:anchor="_Toc199940980" w:history="1">
        <w:r w:rsidRPr="00C718DF">
          <w:rPr>
            <w:rStyle w:val="Hyperlink"/>
            <w:lang w:val="en-US"/>
          </w:rPr>
          <w:t>Recommendation</w:t>
        </w:r>
        <w:r>
          <w:rPr>
            <w:webHidden/>
          </w:rPr>
          <w:tab/>
        </w:r>
        <w:r>
          <w:rPr>
            <w:webHidden/>
          </w:rPr>
          <w:fldChar w:fldCharType="begin"/>
        </w:r>
        <w:r>
          <w:rPr>
            <w:webHidden/>
          </w:rPr>
          <w:instrText xml:space="preserve"> PAGEREF _Toc199940980 \h </w:instrText>
        </w:r>
        <w:r>
          <w:rPr>
            <w:webHidden/>
          </w:rPr>
        </w:r>
        <w:r>
          <w:rPr>
            <w:webHidden/>
          </w:rPr>
          <w:fldChar w:fldCharType="separate"/>
        </w:r>
        <w:r w:rsidR="00341DD7">
          <w:rPr>
            <w:webHidden/>
          </w:rPr>
          <w:t>60</w:t>
        </w:r>
        <w:r>
          <w:rPr>
            <w:webHidden/>
          </w:rPr>
          <w:fldChar w:fldCharType="end"/>
        </w:r>
      </w:hyperlink>
    </w:p>
    <w:p w14:paraId="75D41C2B" w14:textId="63D99173" w:rsidR="00F24DAA" w:rsidRDefault="00F24DAA">
      <w:pPr>
        <w:pStyle w:val="TOC3"/>
        <w:rPr>
          <w:rFonts w:eastAsiaTheme="minorEastAsia" w:cstheme="minorBidi"/>
          <w:color w:val="auto"/>
          <w:kern w:val="2"/>
          <w:sz w:val="24"/>
          <w:szCs w:val="24"/>
          <w14:ligatures w14:val="standardContextual"/>
        </w:rPr>
      </w:pPr>
      <w:hyperlink w:anchor="_Toc199940981" w:history="1">
        <w:r w:rsidRPr="00C718DF">
          <w:rPr>
            <w:rStyle w:val="Hyperlink"/>
            <w:lang w:val="en-US"/>
          </w:rPr>
          <w:t>Service standards</w:t>
        </w:r>
        <w:r>
          <w:rPr>
            <w:webHidden/>
          </w:rPr>
          <w:tab/>
        </w:r>
        <w:r>
          <w:rPr>
            <w:webHidden/>
          </w:rPr>
          <w:fldChar w:fldCharType="begin"/>
        </w:r>
        <w:r>
          <w:rPr>
            <w:webHidden/>
          </w:rPr>
          <w:instrText xml:space="preserve"> PAGEREF _Toc199940981 \h </w:instrText>
        </w:r>
        <w:r>
          <w:rPr>
            <w:webHidden/>
          </w:rPr>
        </w:r>
        <w:r>
          <w:rPr>
            <w:webHidden/>
          </w:rPr>
          <w:fldChar w:fldCharType="separate"/>
        </w:r>
        <w:r w:rsidR="00341DD7">
          <w:rPr>
            <w:webHidden/>
          </w:rPr>
          <w:t>60</w:t>
        </w:r>
        <w:r>
          <w:rPr>
            <w:webHidden/>
          </w:rPr>
          <w:fldChar w:fldCharType="end"/>
        </w:r>
      </w:hyperlink>
    </w:p>
    <w:p w14:paraId="6549967A" w14:textId="269ED90E" w:rsidR="00F24DAA" w:rsidRDefault="00F24DAA">
      <w:pPr>
        <w:pStyle w:val="TOC3"/>
        <w:rPr>
          <w:rFonts w:eastAsiaTheme="minorEastAsia" w:cstheme="minorBidi"/>
          <w:color w:val="auto"/>
          <w:kern w:val="2"/>
          <w:sz w:val="24"/>
          <w:szCs w:val="24"/>
          <w14:ligatures w14:val="standardContextual"/>
        </w:rPr>
      </w:pPr>
      <w:hyperlink w:anchor="_Toc199940982" w:history="1">
        <w:r w:rsidRPr="00C718DF">
          <w:rPr>
            <w:rStyle w:val="Hyperlink"/>
          </w:rPr>
          <w:t>Recommendation</w:t>
        </w:r>
        <w:r>
          <w:rPr>
            <w:webHidden/>
          </w:rPr>
          <w:tab/>
        </w:r>
        <w:r>
          <w:rPr>
            <w:webHidden/>
          </w:rPr>
          <w:fldChar w:fldCharType="begin"/>
        </w:r>
        <w:r>
          <w:rPr>
            <w:webHidden/>
          </w:rPr>
          <w:instrText xml:space="preserve"> PAGEREF _Toc199940982 \h </w:instrText>
        </w:r>
        <w:r>
          <w:rPr>
            <w:webHidden/>
          </w:rPr>
        </w:r>
        <w:r>
          <w:rPr>
            <w:webHidden/>
          </w:rPr>
          <w:fldChar w:fldCharType="separate"/>
        </w:r>
        <w:r w:rsidR="00341DD7">
          <w:rPr>
            <w:webHidden/>
          </w:rPr>
          <w:t>60</w:t>
        </w:r>
        <w:r>
          <w:rPr>
            <w:webHidden/>
          </w:rPr>
          <w:fldChar w:fldCharType="end"/>
        </w:r>
      </w:hyperlink>
    </w:p>
    <w:p w14:paraId="531EC612" w14:textId="26668D0F" w:rsidR="00F24DAA" w:rsidRDefault="00F24DAA">
      <w:pPr>
        <w:pStyle w:val="TOC3"/>
        <w:rPr>
          <w:rFonts w:eastAsiaTheme="minorEastAsia" w:cstheme="minorBidi"/>
          <w:color w:val="auto"/>
          <w:kern w:val="2"/>
          <w:sz w:val="24"/>
          <w:szCs w:val="24"/>
          <w14:ligatures w14:val="standardContextual"/>
        </w:rPr>
      </w:pPr>
      <w:hyperlink w:anchor="_Toc199940983" w:history="1">
        <w:r w:rsidRPr="00C718DF">
          <w:rPr>
            <w:rStyle w:val="Hyperlink"/>
            <w:lang w:val="en-US"/>
          </w:rPr>
          <w:t>Satisfaction surveys</w:t>
        </w:r>
        <w:r>
          <w:rPr>
            <w:webHidden/>
          </w:rPr>
          <w:tab/>
        </w:r>
        <w:r>
          <w:rPr>
            <w:webHidden/>
          </w:rPr>
          <w:fldChar w:fldCharType="begin"/>
        </w:r>
        <w:r>
          <w:rPr>
            <w:webHidden/>
          </w:rPr>
          <w:instrText xml:space="preserve"> PAGEREF _Toc199940983 \h </w:instrText>
        </w:r>
        <w:r>
          <w:rPr>
            <w:webHidden/>
          </w:rPr>
        </w:r>
        <w:r>
          <w:rPr>
            <w:webHidden/>
          </w:rPr>
          <w:fldChar w:fldCharType="separate"/>
        </w:r>
        <w:r w:rsidR="00341DD7">
          <w:rPr>
            <w:webHidden/>
          </w:rPr>
          <w:t>61</w:t>
        </w:r>
        <w:r>
          <w:rPr>
            <w:webHidden/>
          </w:rPr>
          <w:fldChar w:fldCharType="end"/>
        </w:r>
      </w:hyperlink>
    </w:p>
    <w:p w14:paraId="5EA19520" w14:textId="384487F8" w:rsidR="00F24DAA" w:rsidRDefault="00F24DAA">
      <w:pPr>
        <w:pStyle w:val="TOC3"/>
        <w:rPr>
          <w:rFonts w:eastAsiaTheme="minorEastAsia" w:cstheme="minorBidi"/>
          <w:color w:val="auto"/>
          <w:kern w:val="2"/>
          <w:sz w:val="24"/>
          <w:szCs w:val="24"/>
          <w14:ligatures w14:val="standardContextual"/>
        </w:rPr>
      </w:pPr>
      <w:hyperlink w:anchor="_Toc199940984" w:history="1">
        <w:r w:rsidRPr="00C718DF">
          <w:rPr>
            <w:rStyle w:val="Hyperlink"/>
          </w:rPr>
          <w:t>Analysis</w:t>
        </w:r>
        <w:r>
          <w:rPr>
            <w:webHidden/>
          </w:rPr>
          <w:tab/>
        </w:r>
        <w:r>
          <w:rPr>
            <w:webHidden/>
          </w:rPr>
          <w:fldChar w:fldCharType="begin"/>
        </w:r>
        <w:r>
          <w:rPr>
            <w:webHidden/>
          </w:rPr>
          <w:instrText xml:space="preserve"> PAGEREF _Toc199940984 \h </w:instrText>
        </w:r>
        <w:r>
          <w:rPr>
            <w:webHidden/>
          </w:rPr>
        </w:r>
        <w:r>
          <w:rPr>
            <w:webHidden/>
          </w:rPr>
          <w:fldChar w:fldCharType="separate"/>
        </w:r>
        <w:r w:rsidR="00341DD7">
          <w:rPr>
            <w:webHidden/>
          </w:rPr>
          <w:t>61</w:t>
        </w:r>
        <w:r>
          <w:rPr>
            <w:webHidden/>
          </w:rPr>
          <w:fldChar w:fldCharType="end"/>
        </w:r>
      </w:hyperlink>
    </w:p>
    <w:p w14:paraId="77E2DEBD" w14:textId="638F434D" w:rsidR="00F24DAA" w:rsidRDefault="00F24DAA">
      <w:pPr>
        <w:pStyle w:val="TOC3"/>
        <w:rPr>
          <w:rFonts w:eastAsiaTheme="minorEastAsia" w:cstheme="minorBidi"/>
          <w:color w:val="auto"/>
          <w:kern w:val="2"/>
          <w:sz w:val="24"/>
          <w:szCs w:val="24"/>
          <w14:ligatures w14:val="standardContextual"/>
        </w:rPr>
      </w:pPr>
      <w:hyperlink w:anchor="_Toc199940985" w:history="1">
        <w:r w:rsidRPr="00C718DF">
          <w:rPr>
            <w:rStyle w:val="Hyperlink"/>
          </w:rPr>
          <w:t>Recommendation</w:t>
        </w:r>
        <w:r>
          <w:rPr>
            <w:webHidden/>
          </w:rPr>
          <w:tab/>
        </w:r>
        <w:r>
          <w:rPr>
            <w:webHidden/>
          </w:rPr>
          <w:fldChar w:fldCharType="begin"/>
        </w:r>
        <w:r>
          <w:rPr>
            <w:webHidden/>
          </w:rPr>
          <w:instrText xml:space="preserve"> PAGEREF _Toc199940985 \h </w:instrText>
        </w:r>
        <w:r>
          <w:rPr>
            <w:webHidden/>
          </w:rPr>
        </w:r>
        <w:r>
          <w:rPr>
            <w:webHidden/>
          </w:rPr>
          <w:fldChar w:fldCharType="separate"/>
        </w:r>
        <w:r w:rsidR="00341DD7">
          <w:rPr>
            <w:webHidden/>
          </w:rPr>
          <w:t>61</w:t>
        </w:r>
        <w:r>
          <w:rPr>
            <w:webHidden/>
          </w:rPr>
          <w:fldChar w:fldCharType="end"/>
        </w:r>
      </w:hyperlink>
    </w:p>
    <w:p w14:paraId="5587EB00" w14:textId="01CE8B28" w:rsidR="00F24DAA" w:rsidRDefault="00F24DAA">
      <w:pPr>
        <w:pStyle w:val="TOC3"/>
        <w:rPr>
          <w:rFonts w:eastAsiaTheme="minorEastAsia" w:cstheme="minorBidi"/>
          <w:color w:val="auto"/>
          <w:kern w:val="2"/>
          <w:sz w:val="24"/>
          <w:szCs w:val="24"/>
          <w14:ligatures w14:val="standardContextual"/>
        </w:rPr>
      </w:pPr>
      <w:hyperlink w:anchor="_Toc199940986" w:history="1">
        <w:r w:rsidRPr="00C718DF">
          <w:rPr>
            <w:rStyle w:val="Hyperlink"/>
            <w:lang w:val="en-US"/>
          </w:rPr>
          <w:t>Complaints</w:t>
        </w:r>
        <w:r>
          <w:rPr>
            <w:webHidden/>
          </w:rPr>
          <w:tab/>
        </w:r>
        <w:r>
          <w:rPr>
            <w:webHidden/>
          </w:rPr>
          <w:fldChar w:fldCharType="begin"/>
        </w:r>
        <w:r>
          <w:rPr>
            <w:webHidden/>
          </w:rPr>
          <w:instrText xml:space="preserve"> PAGEREF _Toc199940986 \h </w:instrText>
        </w:r>
        <w:r>
          <w:rPr>
            <w:webHidden/>
          </w:rPr>
        </w:r>
        <w:r>
          <w:rPr>
            <w:webHidden/>
          </w:rPr>
          <w:fldChar w:fldCharType="separate"/>
        </w:r>
        <w:r w:rsidR="00341DD7">
          <w:rPr>
            <w:webHidden/>
          </w:rPr>
          <w:t>61</w:t>
        </w:r>
        <w:r>
          <w:rPr>
            <w:webHidden/>
          </w:rPr>
          <w:fldChar w:fldCharType="end"/>
        </w:r>
      </w:hyperlink>
    </w:p>
    <w:p w14:paraId="5A4F4008" w14:textId="5427CA3C" w:rsidR="00F24DAA" w:rsidRDefault="00F24DAA">
      <w:pPr>
        <w:pStyle w:val="TOC1"/>
        <w:rPr>
          <w:rFonts w:eastAsiaTheme="minorEastAsia" w:cstheme="minorBidi"/>
          <w:b w:val="0"/>
          <w:color w:val="auto"/>
          <w:kern w:val="2"/>
          <w:szCs w:val="24"/>
          <w14:ligatures w14:val="standardContextual"/>
        </w:rPr>
      </w:pPr>
      <w:hyperlink w:anchor="_Toc199940987" w:history="1">
        <w:r w:rsidRPr="00C718DF">
          <w:rPr>
            <w:rStyle w:val="Hyperlink"/>
          </w:rPr>
          <w:t xml:space="preserve">Chapter 5: </w:t>
        </w:r>
        <w:r w:rsidRPr="00C718DF">
          <w:rPr>
            <w:rStyle w:val="Hyperlink"/>
            <w:bCs/>
          </w:rPr>
          <w:t>ASBFEO’s role in the franchising sector</w:t>
        </w:r>
        <w:r>
          <w:rPr>
            <w:webHidden/>
          </w:rPr>
          <w:tab/>
        </w:r>
        <w:r>
          <w:rPr>
            <w:webHidden/>
          </w:rPr>
          <w:fldChar w:fldCharType="begin"/>
        </w:r>
        <w:r>
          <w:rPr>
            <w:webHidden/>
          </w:rPr>
          <w:instrText xml:space="preserve"> PAGEREF _Toc199940987 \h </w:instrText>
        </w:r>
        <w:r>
          <w:rPr>
            <w:webHidden/>
          </w:rPr>
        </w:r>
        <w:r>
          <w:rPr>
            <w:webHidden/>
          </w:rPr>
          <w:fldChar w:fldCharType="separate"/>
        </w:r>
        <w:r w:rsidR="00341DD7">
          <w:rPr>
            <w:webHidden/>
          </w:rPr>
          <w:t>63</w:t>
        </w:r>
        <w:r>
          <w:rPr>
            <w:webHidden/>
          </w:rPr>
          <w:fldChar w:fldCharType="end"/>
        </w:r>
      </w:hyperlink>
    </w:p>
    <w:p w14:paraId="2D58555D" w14:textId="5CF00AC2" w:rsidR="00F24DAA" w:rsidRDefault="00F24DAA">
      <w:pPr>
        <w:pStyle w:val="TOC2"/>
        <w:rPr>
          <w:rFonts w:eastAsiaTheme="minorEastAsia" w:cstheme="minorBidi"/>
          <w:color w:val="auto"/>
          <w:kern w:val="2"/>
          <w:sz w:val="24"/>
          <w:szCs w:val="24"/>
          <w14:ligatures w14:val="standardContextual"/>
        </w:rPr>
      </w:pPr>
      <w:hyperlink w:anchor="_Toc199940988" w:history="1">
        <w:r w:rsidRPr="00C718DF">
          <w:rPr>
            <w:rStyle w:val="Hyperlink"/>
          </w:rPr>
          <w:t>Summary</w:t>
        </w:r>
        <w:r>
          <w:rPr>
            <w:webHidden/>
          </w:rPr>
          <w:tab/>
        </w:r>
        <w:r>
          <w:rPr>
            <w:webHidden/>
          </w:rPr>
          <w:fldChar w:fldCharType="begin"/>
        </w:r>
        <w:r>
          <w:rPr>
            <w:webHidden/>
          </w:rPr>
          <w:instrText xml:space="preserve"> PAGEREF _Toc199940988 \h </w:instrText>
        </w:r>
        <w:r>
          <w:rPr>
            <w:webHidden/>
          </w:rPr>
        </w:r>
        <w:r>
          <w:rPr>
            <w:webHidden/>
          </w:rPr>
          <w:fldChar w:fldCharType="separate"/>
        </w:r>
        <w:r w:rsidR="00341DD7">
          <w:rPr>
            <w:webHidden/>
          </w:rPr>
          <w:t>63</w:t>
        </w:r>
        <w:r>
          <w:rPr>
            <w:webHidden/>
          </w:rPr>
          <w:fldChar w:fldCharType="end"/>
        </w:r>
      </w:hyperlink>
    </w:p>
    <w:p w14:paraId="30CF9E30" w14:textId="5CF85443" w:rsidR="00F24DAA" w:rsidRDefault="00F24DAA">
      <w:pPr>
        <w:pStyle w:val="TOC2"/>
        <w:rPr>
          <w:rFonts w:eastAsiaTheme="minorEastAsia" w:cstheme="minorBidi"/>
          <w:color w:val="auto"/>
          <w:kern w:val="2"/>
          <w:sz w:val="24"/>
          <w:szCs w:val="24"/>
          <w14:ligatures w14:val="standardContextual"/>
        </w:rPr>
      </w:pPr>
      <w:hyperlink w:anchor="_Toc199940989" w:history="1">
        <w:r w:rsidRPr="00C718DF">
          <w:rPr>
            <w:rStyle w:val="Hyperlink"/>
          </w:rPr>
          <w:t>Overview</w:t>
        </w:r>
        <w:r>
          <w:rPr>
            <w:webHidden/>
          </w:rPr>
          <w:tab/>
        </w:r>
        <w:r>
          <w:rPr>
            <w:webHidden/>
          </w:rPr>
          <w:fldChar w:fldCharType="begin"/>
        </w:r>
        <w:r>
          <w:rPr>
            <w:webHidden/>
          </w:rPr>
          <w:instrText xml:space="preserve"> PAGEREF _Toc199940989 \h </w:instrText>
        </w:r>
        <w:r>
          <w:rPr>
            <w:webHidden/>
          </w:rPr>
        </w:r>
        <w:r>
          <w:rPr>
            <w:webHidden/>
          </w:rPr>
          <w:fldChar w:fldCharType="separate"/>
        </w:r>
        <w:r w:rsidR="00341DD7">
          <w:rPr>
            <w:webHidden/>
          </w:rPr>
          <w:t>63</w:t>
        </w:r>
        <w:r>
          <w:rPr>
            <w:webHidden/>
          </w:rPr>
          <w:fldChar w:fldCharType="end"/>
        </w:r>
      </w:hyperlink>
    </w:p>
    <w:p w14:paraId="27F46344" w14:textId="5BC9E0E5" w:rsidR="00F24DAA" w:rsidRDefault="00F24DAA">
      <w:pPr>
        <w:pStyle w:val="TOC2"/>
        <w:rPr>
          <w:rFonts w:eastAsiaTheme="minorEastAsia" w:cstheme="minorBidi"/>
          <w:color w:val="auto"/>
          <w:kern w:val="2"/>
          <w:sz w:val="24"/>
          <w:szCs w:val="24"/>
          <w14:ligatures w14:val="standardContextual"/>
        </w:rPr>
      </w:pPr>
      <w:hyperlink w:anchor="_Toc199940990" w:history="1">
        <w:r w:rsidRPr="00C718DF">
          <w:rPr>
            <w:rStyle w:val="Hyperlink"/>
          </w:rPr>
          <w:t>Advocacy</w:t>
        </w:r>
        <w:r>
          <w:rPr>
            <w:webHidden/>
          </w:rPr>
          <w:tab/>
        </w:r>
        <w:r>
          <w:rPr>
            <w:webHidden/>
          </w:rPr>
          <w:fldChar w:fldCharType="begin"/>
        </w:r>
        <w:r>
          <w:rPr>
            <w:webHidden/>
          </w:rPr>
          <w:instrText xml:space="preserve"> PAGEREF _Toc199940990 \h </w:instrText>
        </w:r>
        <w:r>
          <w:rPr>
            <w:webHidden/>
          </w:rPr>
        </w:r>
        <w:r>
          <w:rPr>
            <w:webHidden/>
          </w:rPr>
          <w:fldChar w:fldCharType="separate"/>
        </w:r>
        <w:r w:rsidR="00341DD7">
          <w:rPr>
            <w:webHidden/>
          </w:rPr>
          <w:t>64</w:t>
        </w:r>
        <w:r>
          <w:rPr>
            <w:webHidden/>
          </w:rPr>
          <w:fldChar w:fldCharType="end"/>
        </w:r>
      </w:hyperlink>
    </w:p>
    <w:p w14:paraId="6590FAA6" w14:textId="3A4DA2BB" w:rsidR="00F24DAA" w:rsidRDefault="00F24DAA">
      <w:pPr>
        <w:pStyle w:val="TOC2"/>
        <w:rPr>
          <w:rFonts w:eastAsiaTheme="minorEastAsia" w:cstheme="minorBidi"/>
          <w:color w:val="auto"/>
          <w:kern w:val="2"/>
          <w:sz w:val="24"/>
          <w:szCs w:val="24"/>
          <w14:ligatures w14:val="standardContextual"/>
        </w:rPr>
      </w:pPr>
      <w:hyperlink w:anchor="_Toc199940991" w:history="1">
        <w:r w:rsidRPr="00C718DF">
          <w:rPr>
            <w:rStyle w:val="Hyperlink"/>
          </w:rPr>
          <w:t>Assistance</w:t>
        </w:r>
        <w:r>
          <w:rPr>
            <w:webHidden/>
          </w:rPr>
          <w:tab/>
        </w:r>
        <w:r>
          <w:rPr>
            <w:webHidden/>
          </w:rPr>
          <w:fldChar w:fldCharType="begin"/>
        </w:r>
        <w:r>
          <w:rPr>
            <w:webHidden/>
          </w:rPr>
          <w:instrText xml:space="preserve"> PAGEREF _Toc199940991 \h </w:instrText>
        </w:r>
        <w:r>
          <w:rPr>
            <w:webHidden/>
          </w:rPr>
        </w:r>
        <w:r>
          <w:rPr>
            <w:webHidden/>
          </w:rPr>
          <w:fldChar w:fldCharType="separate"/>
        </w:r>
        <w:r w:rsidR="00341DD7">
          <w:rPr>
            <w:webHidden/>
          </w:rPr>
          <w:t>65</w:t>
        </w:r>
        <w:r>
          <w:rPr>
            <w:webHidden/>
          </w:rPr>
          <w:fldChar w:fldCharType="end"/>
        </w:r>
      </w:hyperlink>
    </w:p>
    <w:p w14:paraId="05EC8F12" w14:textId="7DF6C641" w:rsidR="00F24DAA" w:rsidRDefault="00F24DAA">
      <w:pPr>
        <w:pStyle w:val="TOC3"/>
        <w:rPr>
          <w:rFonts w:eastAsiaTheme="minorEastAsia" w:cstheme="minorBidi"/>
          <w:color w:val="auto"/>
          <w:kern w:val="2"/>
          <w:sz w:val="24"/>
          <w:szCs w:val="24"/>
          <w14:ligatures w14:val="standardContextual"/>
        </w:rPr>
      </w:pPr>
      <w:hyperlink w:anchor="_Toc199940992" w:history="1">
        <w:r w:rsidRPr="00C718DF">
          <w:rPr>
            <w:rStyle w:val="Hyperlink"/>
          </w:rPr>
          <w:t>Observation</w:t>
        </w:r>
        <w:r>
          <w:rPr>
            <w:webHidden/>
          </w:rPr>
          <w:tab/>
        </w:r>
        <w:r>
          <w:rPr>
            <w:webHidden/>
          </w:rPr>
          <w:fldChar w:fldCharType="begin"/>
        </w:r>
        <w:r>
          <w:rPr>
            <w:webHidden/>
          </w:rPr>
          <w:instrText xml:space="preserve"> PAGEREF _Toc199940992 \h </w:instrText>
        </w:r>
        <w:r>
          <w:rPr>
            <w:webHidden/>
          </w:rPr>
        </w:r>
        <w:r>
          <w:rPr>
            <w:webHidden/>
          </w:rPr>
          <w:fldChar w:fldCharType="separate"/>
        </w:r>
        <w:r w:rsidR="00341DD7">
          <w:rPr>
            <w:webHidden/>
          </w:rPr>
          <w:t>68</w:t>
        </w:r>
        <w:r>
          <w:rPr>
            <w:webHidden/>
          </w:rPr>
          <w:fldChar w:fldCharType="end"/>
        </w:r>
      </w:hyperlink>
    </w:p>
    <w:p w14:paraId="5F395411" w14:textId="253DEDB9" w:rsidR="00F24DAA" w:rsidRDefault="00F24DAA">
      <w:pPr>
        <w:pStyle w:val="TOC2"/>
        <w:rPr>
          <w:rFonts w:eastAsiaTheme="minorEastAsia" w:cstheme="minorBidi"/>
          <w:color w:val="auto"/>
          <w:kern w:val="2"/>
          <w:sz w:val="24"/>
          <w:szCs w:val="24"/>
          <w14:ligatures w14:val="standardContextual"/>
        </w:rPr>
      </w:pPr>
      <w:hyperlink w:anchor="_Toc199940993" w:history="1">
        <w:r w:rsidRPr="00C718DF">
          <w:rPr>
            <w:rStyle w:val="Hyperlink"/>
            <w:lang w:val="en-US"/>
          </w:rPr>
          <w:t>Implementation of the Franchising Review</w:t>
        </w:r>
        <w:r>
          <w:rPr>
            <w:webHidden/>
          </w:rPr>
          <w:tab/>
        </w:r>
        <w:r>
          <w:rPr>
            <w:webHidden/>
          </w:rPr>
          <w:fldChar w:fldCharType="begin"/>
        </w:r>
        <w:r>
          <w:rPr>
            <w:webHidden/>
          </w:rPr>
          <w:instrText xml:space="preserve"> PAGEREF _Toc199940993 \h </w:instrText>
        </w:r>
        <w:r>
          <w:rPr>
            <w:webHidden/>
          </w:rPr>
        </w:r>
        <w:r>
          <w:rPr>
            <w:webHidden/>
          </w:rPr>
          <w:fldChar w:fldCharType="separate"/>
        </w:r>
        <w:r w:rsidR="00341DD7">
          <w:rPr>
            <w:webHidden/>
          </w:rPr>
          <w:t>68</w:t>
        </w:r>
        <w:r>
          <w:rPr>
            <w:webHidden/>
          </w:rPr>
          <w:fldChar w:fldCharType="end"/>
        </w:r>
      </w:hyperlink>
    </w:p>
    <w:p w14:paraId="355B08A9" w14:textId="45E2E94B" w:rsidR="00F24DAA" w:rsidRDefault="00F24DAA">
      <w:pPr>
        <w:pStyle w:val="TOC3"/>
        <w:rPr>
          <w:rFonts w:eastAsiaTheme="minorEastAsia" w:cstheme="minorBidi"/>
          <w:color w:val="auto"/>
          <w:kern w:val="2"/>
          <w:sz w:val="24"/>
          <w:szCs w:val="24"/>
          <w14:ligatures w14:val="standardContextual"/>
        </w:rPr>
      </w:pPr>
      <w:hyperlink w:anchor="_Toc199940994" w:history="1">
        <w:r w:rsidRPr="00C718DF">
          <w:rPr>
            <w:rStyle w:val="Hyperlink"/>
          </w:rPr>
          <w:t>Recommendation</w:t>
        </w:r>
        <w:r>
          <w:rPr>
            <w:webHidden/>
          </w:rPr>
          <w:tab/>
        </w:r>
        <w:r>
          <w:rPr>
            <w:webHidden/>
          </w:rPr>
          <w:fldChar w:fldCharType="begin"/>
        </w:r>
        <w:r>
          <w:rPr>
            <w:webHidden/>
          </w:rPr>
          <w:instrText xml:space="preserve"> PAGEREF _Toc199940994 \h </w:instrText>
        </w:r>
        <w:r>
          <w:rPr>
            <w:webHidden/>
          </w:rPr>
        </w:r>
        <w:r>
          <w:rPr>
            <w:webHidden/>
          </w:rPr>
          <w:fldChar w:fldCharType="separate"/>
        </w:r>
        <w:r w:rsidR="00341DD7">
          <w:rPr>
            <w:webHidden/>
          </w:rPr>
          <w:t>69</w:t>
        </w:r>
        <w:r>
          <w:rPr>
            <w:webHidden/>
          </w:rPr>
          <w:fldChar w:fldCharType="end"/>
        </w:r>
      </w:hyperlink>
    </w:p>
    <w:p w14:paraId="0068183C" w14:textId="4079FFE9" w:rsidR="00F24DAA" w:rsidRDefault="00F24DAA">
      <w:pPr>
        <w:pStyle w:val="TOC1"/>
        <w:rPr>
          <w:rFonts w:eastAsiaTheme="minorEastAsia" w:cstheme="minorBidi"/>
          <w:b w:val="0"/>
          <w:color w:val="auto"/>
          <w:kern w:val="2"/>
          <w:szCs w:val="24"/>
          <w14:ligatures w14:val="standardContextual"/>
        </w:rPr>
      </w:pPr>
      <w:hyperlink w:anchor="_Toc199940995" w:history="1">
        <w:r w:rsidRPr="00C718DF">
          <w:rPr>
            <w:rStyle w:val="Hyperlink"/>
          </w:rPr>
          <w:t xml:space="preserve">Chapter 6: </w:t>
        </w:r>
        <w:r w:rsidRPr="00C718DF">
          <w:rPr>
            <w:rStyle w:val="Hyperlink"/>
            <w:bCs/>
          </w:rPr>
          <w:t>ASBFEO’s nomenclature and branding, administration and legislative arrangements</w:t>
        </w:r>
        <w:r>
          <w:rPr>
            <w:webHidden/>
          </w:rPr>
          <w:tab/>
        </w:r>
        <w:r>
          <w:rPr>
            <w:webHidden/>
          </w:rPr>
          <w:fldChar w:fldCharType="begin"/>
        </w:r>
        <w:r>
          <w:rPr>
            <w:webHidden/>
          </w:rPr>
          <w:instrText xml:space="preserve"> PAGEREF _Toc199940995 \h </w:instrText>
        </w:r>
        <w:r>
          <w:rPr>
            <w:webHidden/>
          </w:rPr>
        </w:r>
        <w:r>
          <w:rPr>
            <w:webHidden/>
          </w:rPr>
          <w:fldChar w:fldCharType="separate"/>
        </w:r>
        <w:r w:rsidR="00341DD7">
          <w:rPr>
            <w:webHidden/>
          </w:rPr>
          <w:t>71</w:t>
        </w:r>
        <w:r>
          <w:rPr>
            <w:webHidden/>
          </w:rPr>
          <w:fldChar w:fldCharType="end"/>
        </w:r>
      </w:hyperlink>
    </w:p>
    <w:p w14:paraId="34766B4C" w14:textId="018A3528" w:rsidR="00F24DAA" w:rsidRDefault="00F24DAA">
      <w:pPr>
        <w:pStyle w:val="TOC2"/>
        <w:rPr>
          <w:rFonts w:eastAsiaTheme="minorEastAsia" w:cstheme="minorBidi"/>
          <w:color w:val="auto"/>
          <w:kern w:val="2"/>
          <w:sz w:val="24"/>
          <w:szCs w:val="24"/>
          <w14:ligatures w14:val="standardContextual"/>
        </w:rPr>
      </w:pPr>
      <w:hyperlink w:anchor="_Toc199940996" w:history="1">
        <w:r w:rsidRPr="00C718DF">
          <w:rPr>
            <w:rStyle w:val="Hyperlink"/>
            <w:lang w:val="en-US"/>
          </w:rPr>
          <w:t>Summary</w:t>
        </w:r>
        <w:r>
          <w:rPr>
            <w:webHidden/>
          </w:rPr>
          <w:tab/>
        </w:r>
        <w:r>
          <w:rPr>
            <w:webHidden/>
          </w:rPr>
          <w:fldChar w:fldCharType="begin"/>
        </w:r>
        <w:r>
          <w:rPr>
            <w:webHidden/>
          </w:rPr>
          <w:instrText xml:space="preserve"> PAGEREF _Toc199940996 \h </w:instrText>
        </w:r>
        <w:r>
          <w:rPr>
            <w:webHidden/>
          </w:rPr>
        </w:r>
        <w:r>
          <w:rPr>
            <w:webHidden/>
          </w:rPr>
          <w:fldChar w:fldCharType="separate"/>
        </w:r>
        <w:r w:rsidR="00341DD7">
          <w:rPr>
            <w:webHidden/>
          </w:rPr>
          <w:t>71</w:t>
        </w:r>
        <w:r>
          <w:rPr>
            <w:webHidden/>
          </w:rPr>
          <w:fldChar w:fldCharType="end"/>
        </w:r>
      </w:hyperlink>
    </w:p>
    <w:p w14:paraId="3DFF109D" w14:textId="03554978" w:rsidR="00F24DAA" w:rsidRDefault="00F24DAA">
      <w:pPr>
        <w:pStyle w:val="TOC2"/>
        <w:rPr>
          <w:rFonts w:eastAsiaTheme="minorEastAsia" w:cstheme="minorBidi"/>
          <w:color w:val="auto"/>
          <w:kern w:val="2"/>
          <w:sz w:val="24"/>
          <w:szCs w:val="24"/>
          <w14:ligatures w14:val="standardContextual"/>
        </w:rPr>
      </w:pPr>
      <w:hyperlink w:anchor="_Toc199940997" w:history="1">
        <w:r w:rsidRPr="00C718DF">
          <w:rPr>
            <w:rStyle w:val="Hyperlink"/>
            <w:lang w:val="en-US"/>
          </w:rPr>
          <w:t>International jurisdictions</w:t>
        </w:r>
        <w:r>
          <w:rPr>
            <w:webHidden/>
          </w:rPr>
          <w:tab/>
        </w:r>
        <w:r>
          <w:rPr>
            <w:webHidden/>
          </w:rPr>
          <w:fldChar w:fldCharType="begin"/>
        </w:r>
        <w:r>
          <w:rPr>
            <w:webHidden/>
          </w:rPr>
          <w:instrText xml:space="preserve"> PAGEREF _Toc199940997 \h </w:instrText>
        </w:r>
        <w:r>
          <w:rPr>
            <w:webHidden/>
          </w:rPr>
        </w:r>
        <w:r>
          <w:rPr>
            <w:webHidden/>
          </w:rPr>
          <w:fldChar w:fldCharType="separate"/>
        </w:r>
        <w:r w:rsidR="00341DD7">
          <w:rPr>
            <w:webHidden/>
          </w:rPr>
          <w:t>71</w:t>
        </w:r>
        <w:r>
          <w:rPr>
            <w:webHidden/>
          </w:rPr>
          <w:fldChar w:fldCharType="end"/>
        </w:r>
      </w:hyperlink>
    </w:p>
    <w:p w14:paraId="7D2D1C44" w14:textId="0F877297" w:rsidR="00F24DAA" w:rsidRDefault="00F24DAA">
      <w:pPr>
        <w:pStyle w:val="TOC3"/>
        <w:rPr>
          <w:rFonts w:eastAsiaTheme="minorEastAsia" w:cstheme="minorBidi"/>
          <w:color w:val="auto"/>
          <w:kern w:val="2"/>
          <w:sz w:val="24"/>
          <w:szCs w:val="24"/>
          <w14:ligatures w14:val="standardContextual"/>
        </w:rPr>
      </w:pPr>
      <w:hyperlink w:anchor="_Toc199940998" w:history="1">
        <w:r w:rsidRPr="00C718DF">
          <w:rPr>
            <w:rStyle w:val="Hyperlink"/>
            <w:lang w:val="en-US"/>
          </w:rPr>
          <w:t>Stakeholder views</w:t>
        </w:r>
        <w:r>
          <w:rPr>
            <w:webHidden/>
          </w:rPr>
          <w:tab/>
        </w:r>
        <w:r>
          <w:rPr>
            <w:webHidden/>
          </w:rPr>
          <w:fldChar w:fldCharType="begin"/>
        </w:r>
        <w:r>
          <w:rPr>
            <w:webHidden/>
          </w:rPr>
          <w:instrText xml:space="preserve"> PAGEREF _Toc199940998 \h </w:instrText>
        </w:r>
        <w:r>
          <w:rPr>
            <w:webHidden/>
          </w:rPr>
        </w:r>
        <w:r>
          <w:rPr>
            <w:webHidden/>
          </w:rPr>
          <w:fldChar w:fldCharType="separate"/>
        </w:r>
        <w:r w:rsidR="00341DD7">
          <w:rPr>
            <w:webHidden/>
          </w:rPr>
          <w:t>72</w:t>
        </w:r>
        <w:r>
          <w:rPr>
            <w:webHidden/>
          </w:rPr>
          <w:fldChar w:fldCharType="end"/>
        </w:r>
      </w:hyperlink>
    </w:p>
    <w:p w14:paraId="46A2569D" w14:textId="7650B8DF" w:rsidR="00F24DAA" w:rsidRDefault="00F24DAA">
      <w:pPr>
        <w:pStyle w:val="TOC2"/>
        <w:rPr>
          <w:rFonts w:eastAsiaTheme="minorEastAsia" w:cstheme="minorBidi"/>
          <w:color w:val="auto"/>
          <w:kern w:val="2"/>
          <w:sz w:val="24"/>
          <w:szCs w:val="24"/>
          <w14:ligatures w14:val="standardContextual"/>
        </w:rPr>
      </w:pPr>
      <w:hyperlink w:anchor="_Toc199940999" w:history="1">
        <w:r w:rsidRPr="00C718DF">
          <w:rPr>
            <w:rStyle w:val="Hyperlink"/>
            <w:lang w:val="en-US"/>
          </w:rPr>
          <w:t>Current administration and legislative arrangements</w:t>
        </w:r>
        <w:r>
          <w:rPr>
            <w:webHidden/>
          </w:rPr>
          <w:tab/>
        </w:r>
        <w:r>
          <w:rPr>
            <w:webHidden/>
          </w:rPr>
          <w:fldChar w:fldCharType="begin"/>
        </w:r>
        <w:r>
          <w:rPr>
            <w:webHidden/>
          </w:rPr>
          <w:instrText xml:space="preserve"> PAGEREF _Toc199940999 \h </w:instrText>
        </w:r>
        <w:r>
          <w:rPr>
            <w:webHidden/>
          </w:rPr>
        </w:r>
        <w:r>
          <w:rPr>
            <w:webHidden/>
          </w:rPr>
          <w:fldChar w:fldCharType="separate"/>
        </w:r>
        <w:r w:rsidR="00341DD7">
          <w:rPr>
            <w:webHidden/>
          </w:rPr>
          <w:t>72</w:t>
        </w:r>
        <w:r>
          <w:rPr>
            <w:webHidden/>
          </w:rPr>
          <w:fldChar w:fldCharType="end"/>
        </w:r>
      </w:hyperlink>
    </w:p>
    <w:p w14:paraId="5CE18CE4" w14:textId="240C66BB" w:rsidR="00F24DAA" w:rsidRDefault="00F24DAA">
      <w:pPr>
        <w:pStyle w:val="TOC3"/>
        <w:rPr>
          <w:rFonts w:eastAsiaTheme="minorEastAsia" w:cstheme="minorBidi"/>
          <w:color w:val="auto"/>
          <w:kern w:val="2"/>
          <w:sz w:val="24"/>
          <w:szCs w:val="24"/>
          <w14:ligatures w14:val="standardContextual"/>
        </w:rPr>
      </w:pPr>
      <w:hyperlink w:anchor="_Toc199941000" w:history="1">
        <w:r w:rsidRPr="00C718DF">
          <w:rPr>
            <w:rStyle w:val="Hyperlink"/>
            <w:lang w:val="en-US"/>
          </w:rPr>
          <w:t>Stakeholder views</w:t>
        </w:r>
        <w:r>
          <w:rPr>
            <w:webHidden/>
          </w:rPr>
          <w:tab/>
        </w:r>
        <w:r>
          <w:rPr>
            <w:webHidden/>
          </w:rPr>
          <w:fldChar w:fldCharType="begin"/>
        </w:r>
        <w:r>
          <w:rPr>
            <w:webHidden/>
          </w:rPr>
          <w:instrText xml:space="preserve"> PAGEREF _Toc199941000 \h </w:instrText>
        </w:r>
        <w:r>
          <w:rPr>
            <w:webHidden/>
          </w:rPr>
        </w:r>
        <w:r>
          <w:rPr>
            <w:webHidden/>
          </w:rPr>
          <w:fldChar w:fldCharType="separate"/>
        </w:r>
        <w:r w:rsidR="00341DD7">
          <w:rPr>
            <w:webHidden/>
          </w:rPr>
          <w:t>73</w:t>
        </w:r>
        <w:r>
          <w:rPr>
            <w:webHidden/>
          </w:rPr>
          <w:fldChar w:fldCharType="end"/>
        </w:r>
      </w:hyperlink>
    </w:p>
    <w:p w14:paraId="53E6E816" w14:textId="1461ED91" w:rsidR="00F24DAA" w:rsidRDefault="00F24DAA">
      <w:pPr>
        <w:pStyle w:val="TOC3"/>
        <w:rPr>
          <w:rFonts w:eastAsiaTheme="minorEastAsia" w:cstheme="minorBidi"/>
          <w:color w:val="auto"/>
          <w:kern w:val="2"/>
          <w:sz w:val="24"/>
          <w:szCs w:val="24"/>
          <w14:ligatures w14:val="standardContextual"/>
        </w:rPr>
      </w:pPr>
      <w:hyperlink w:anchor="_Toc199941001" w:history="1">
        <w:r w:rsidRPr="00C718DF">
          <w:rPr>
            <w:rStyle w:val="Hyperlink"/>
            <w:lang w:val="en-US"/>
          </w:rPr>
          <w:t>Analysis</w:t>
        </w:r>
        <w:r>
          <w:rPr>
            <w:webHidden/>
          </w:rPr>
          <w:tab/>
        </w:r>
        <w:r>
          <w:rPr>
            <w:webHidden/>
          </w:rPr>
          <w:fldChar w:fldCharType="begin"/>
        </w:r>
        <w:r>
          <w:rPr>
            <w:webHidden/>
          </w:rPr>
          <w:instrText xml:space="preserve"> PAGEREF _Toc199941001 \h </w:instrText>
        </w:r>
        <w:r>
          <w:rPr>
            <w:webHidden/>
          </w:rPr>
        </w:r>
        <w:r>
          <w:rPr>
            <w:webHidden/>
          </w:rPr>
          <w:fldChar w:fldCharType="separate"/>
        </w:r>
        <w:r w:rsidR="00341DD7">
          <w:rPr>
            <w:webHidden/>
          </w:rPr>
          <w:t>73</w:t>
        </w:r>
        <w:r>
          <w:rPr>
            <w:webHidden/>
          </w:rPr>
          <w:fldChar w:fldCharType="end"/>
        </w:r>
      </w:hyperlink>
    </w:p>
    <w:p w14:paraId="5C6264FD" w14:textId="36766A4B" w:rsidR="00F24DAA" w:rsidRDefault="00F24DAA">
      <w:pPr>
        <w:pStyle w:val="TOC2"/>
        <w:rPr>
          <w:rFonts w:eastAsiaTheme="minorEastAsia" w:cstheme="minorBidi"/>
          <w:color w:val="auto"/>
          <w:kern w:val="2"/>
          <w:sz w:val="24"/>
          <w:szCs w:val="24"/>
          <w14:ligatures w14:val="standardContextual"/>
        </w:rPr>
      </w:pPr>
      <w:hyperlink w:anchor="_Toc199941002" w:history="1">
        <w:r w:rsidRPr="00C718DF">
          <w:rPr>
            <w:rStyle w:val="Hyperlink"/>
            <w:lang w:val="en-US"/>
          </w:rPr>
          <w:t>ASBFEO funding</w:t>
        </w:r>
        <w:r>
          <w:rPr>
            <w:webHidden/>
          </w:rPr>
          <w:tab/>
        </w:r>
        <w:r>
          <w:rPr>
            <w:webHidden/>
          </w:rPr>
          <w:fldChar w:fldCharType="begin"/>
        </w:r>
        <w:r>
          <w:rPr>
            <w:webHidden/>
          </w:rPr>
          <w:instrText xml:space="preserve"> PAGEREF _Toc199941002 \h </w:instrText>
        </w:r>
        <w:r>
          <w:rPr>
            <w:webHidden/>
          </w:rPr>
        </w:r>
        <w:r>
          <w:rPr>
            <w:webHidden/>
          </w:rPr>
          <w:fldChar w:fldCharType="separate"/>
        </w:r>
        <w:r w:rsidR="00341DD7">
          <w:rPr>
            <w:webHidden/>
          </w:rPr>
          <w:t>74</w:t>
        </w:r>
        <w:r>
          <w:rPr>
            <w:webHidden/>
          </w:rPr>
          <w:fldChar w:fldCharType="end"/>
        </w:r>
      </w:hyperlink>
    </w:p>
    <w:p w14:paraId="45C92550" w14:textId="496D6A12" w:rsidR="00F24DAA" w:rsidRDefault="00F24DAA">
      <w:pPr>
        <w:pStyle w:val="TOC2"/>
        <w:rPr>
          <w:rFonts w:eastAsiaTheme="minorEastAsia" w:cstheme="minorBidi"/>
          <w:color w:val="auto"/>
          <w:kern w:val="2"/>
          <w:sz w:val="24"/>
          <w:szCs w:val="24"/>
          <w14:ligatures w14:val="standardContextual"/>
        </w:rPr>
      </w:pPr>
      <w:hyperlink w:anchor="_Toc199941003" w:history="1">
        <w:r w:rsidRPr="00C718DF">
          <w:rPr>
            <w:rStyle w:val="Hyperlink"/>
            <w:lang w:val="en-US"/>
          </w:rPr>
          <w:t>Awareness, communications, name and branding</w:t>
        </w:r>
        <w:r>
          <w:rPr>
            <w:webHidden/>
          </w:rPr>
          <w:tab/>
        </w:r>
        <w:r>
          <w:rPr>
            <w:webHidden/>
          </w:rPr>
          <w:fldChar w:fldCharType="begin"/>
        </w:r>
        <w:r>
          <w:rPr>
            <w:webHidden/>
          </w:rPr>
          <w:instrText xml:space="preserve"> PAGEREF _Toc199941003 \h </w:instrText>
        </w:r>
        <w:r>
          <w:rPr>
            <w:webHidden/>
          </w:rPr>
        </w:r>
        <w:r>
          <w:rPr>
            <w:webHidden/>
          </w:rPr>
          <w:fldChar w:fldCharType="separate"/>
        </w:r>
        <w:r w:rsidR="00341DD7">
          <w:rPr>
            <w:webHidden/>
          </w:rPr>
          <w:t>75</w:t>
        </w:r>
        <w:r>
          <w:rPr>
            <w:webHidden/>
          </w:rPr>
          <w:fldChar w:fldCharType="end"/>
        </w:r>
      </w:hyperlink>
    </w:p>
    <w:p w14:paraId="50A93B03" w14:textId="45319433" w:rsidR="00F24DAA" w:rsidRDefault="00F24DAA">
      <w:pPr>
        <w:pStyle w:val="TOC3"/>
        <w:rPr>
          <w:rFonts w:eastAsiaTheme="minorEastAsia" w:cstheme="minorBidi"/>
          <w:color w:val="auto"/>
          <w:kern w:val="2"/>
          <w:sz w:val="24"/>
          <w:szCs w:val="24"/>
          <w14:ligatures w14:val="standardContextual"/>
        </w:rPr>
      </w:pPr>
      <w:hyperlink w:anchor="_Toc199941004" w:history="1">
        <w:r w:rsidRPr="00C718DF">
          <w:rPr>
            <w:rStyle w:val="Hyperlink"/>
            <w:lang w:val="en-US"/>
          </w:rPr>
          <w:t>Awareness of ASBFEO</w:t>
        </w:r>
        <w:r>
          <w:rPr>
            <w:webHidden/>
          </w:rPr>
          <w:tab/>
        </w:r>
        <w:r>
          <w:rPr>
            <w:webHidden/>
          </w:rPr>
          <w:fldChar w:fldCharType="begin"/>
        </w:r>
        <w:r>
          <w:rPr>
            <w:webHidden/>
          </w:rPr>
          <w:instrText xml:space="preserve"> PAGEREF _Toc199941004 \h </w:instrText>
        </w:r>
        <w:r>
          <w:rPr>
            <w:webHidden/>
          </w:rPr>
        </w:r>
        <w:r>
          <w:rPr>
            <w:webHidden/>
          </w:rPr>
          <w:fldChar w:fldCharType="separate"/>
        </w:r>
        <w:r w:rsidR="00341DD7">
          <w:rPr>
            <w:webHidden/>
          </w:rPr>
          <w:t>75</w:t>
        </w:r>
        <w:r>
          <w:rPr>
            <w:webHidden/>
          </w:rPr>
          <w:fldChar w:fldCharType="end"/>
        </w:r>
      </w:hyperlink>
    </w:p>
    <w:p w14:paraId="0749D0D6" w14:textId="5740D882" w:rsidR="00F24DAA" w:rsidRDefault="00F24DAA">
      <w:pPr>
        <w:pStyle w:val="TOC3"/>
        <w:rPr>
          <w:rFonts w:eastAsiaTheme="minorEastAsia" w:cstheme="minorBidi"/>
          <w:color w:val="auto"/>
          <w:kern w:val="2"/>
          <w:sz w:val="24"/>
          <w:szCs w:val="24"/>
          <w14:ligatures w14:val="standardContextual"/>
        </w:rPr>
      </w:pPr>
      <w:hyperlink w:anchor="_Toc199941005" w:history="1">
        <w:r w:rsidRPr="00C718DF">
          <w:rPr>
            <w:rStyle w:val="Hyperlink"/>
            <w:lang w:val="en-US"/>
          </w:rPr>
          <w:t>Stakeholder feedback</w:t>
        </w:r>
        <w:r>
          <w:rPr>
            <w:webHidden/>
          </w:rPr>
          <w:tab/>
        </w:r>
        <w:r>
          <w:rPr>
            <w:webHidden/>
          </w:rPr>
          <w:fldChar w:fldCharType="begin"/>
        </w:r>
        <w:r>
          <w:rPr>
            <w:webHidden/>
          </w:rPr>
          <w:instrText xml:space="preserve"> PAGEREF _Toc199941005 \h </w:instrText>
        </w:r>
        <w:r>
          <w:rPr>
            <w:webHidden/>
          </w:rPr>
        </w:r>
        <w:r>
          <w:rPr>
            <w:webHidden/>
          </w:rPr>
          <w:fldChar w:fldCharType="separate"/>
        </w:r>
        <w:r w:rsidR="00341DD7">
          <w:rPr>
            <w:webHidden/>
          </w:rPr>
          <w:t>78</w:t>
        </w:r>
        <w:r>
          <w:rPr>
            <w:webHidden/>
          </w:rPr>
          <w:fldChar w:fldCharType="end"/>
        </w:r>
      </w:hyperlink>
    </w:p>
    <w:p w14:paraId="35DD670D" w14:textId="4D438609" w:rsidR="00F24DAA" w:rsidRDefault="00F24DAA">
      <w:pPr>
        <w:pStyle w:val="TOC3"/>
        <w:rPr>
          <w:rFonts w:eastAsiaTheme="minorEastAsia" w:cstheme="minorBidi"/>
          <w:color w:val="auto"/>
          <w:kern w:val="2"/>
          <w:sz w:val="24"/>
          <w:szCs w:val="24"/>
          <w14:ligatures w14:val="standardContextual"/>
        </w:rPr>
      </w:pPr>
      <w:hyperlink w:anchor="_Toc199941006" w:history="1">
        <w:r w:rsidRPr="00C718DF">
          <w:rPr>
            <w:rStyle w:val="Hyperlink"/>
            <w:lang w:val="en-US"/>
          </w:rPr>
          <w:t>Analysis</w:t>
        </w:r>
        <w:r>
          <w:rPr>
            <w:webHidden/>
          </w:rPr>
          <w:tab/>
        </w:r>
        <w:r>
          <w:rPr>
            <w:webHidden/>
          </w:rPr>
          <w:fldChar w:fldCharType="begin"/>
        </w:r>
        <w:r>
          <w:rPr>
            <w:webHidden/>
          </w:rPr>
          <w:instrText xml:space="preserve"> PAGEREF _Toc199941006 \h </w:instrText>
        </w:r>
        <w:r>
          <w:rPr>
            <w:webHidden/>
          </w:rPr>
        </w:r>
        <w:r>
          <w:rPr>
            <w:webHidden/>
          </w:rPr>
          <w:fldChar w:fldCharType="separate"/>
        </w:r>
        <w:r w:rsidR="00341DD7">
          <w:rPr>
            <w:webHidden/>
          </w:rPr>
          <w:t>79</w:t>
        </w:r>
        <w:r>
          <w:rPr>
            <w:webHidden/>
          </w:rPr>
          <w:fldChar w:fldCharType="end"/>
        </w:r>
      </w:hyperlink>
    </w:p>
    <w:p w14:paraId="09C7383D" w14:textId="08E03F4C" w:rsidR="00F24DAA" w:rsidRDefault="00F24DAA">
      <w:pPr>
        <w:pStyle w:val="TOC3"/>
        <w:rPr>
          <w:rFonts w:eastAsiaTheme="minorEastAsia" w:cstheme="minorBidi"/>
          <w:color w:val="auto"/>
          <w:kern w:val="2"/>
          <w:sz w:val="24"/>
          <w:szCs w:val="24"/>
          <w14:ligatures w14:val="standardContextual"/>
        </w:rPr>
      </w:pPr>
      <w:hyperlink w:anchor="_Toc199941007" w:history="1">
        <w:r w:rsidRPr="00C718DF">
          <w:rPr>
            <w:rStyle w:val="Hyperlink"/>
            <w:lang w:val="en-US"/>
          </w:rPr>
          <w:t>Recommendation</w:t>
        </w:r>
        <w:r>
          <w:rPr>
            <w:webHidden/>
          </w:rPr>
          <w:tab/>
        </w:r>
        <w:r>
          <w:rPr>
            <w:webHidden/>
          </w:rPr>
          <w:fldChar w:fldCharType="begin"/>
        </w:r>
        <w:r>
          <w:rPr>
            <w:webHidden/>
          </w:rPr>
          <w:instrText xml:space="preserve"> PAGEREF _Toc199941007 \h </w:instrText>
        </w:r>
        <w:r>
          <w:rPr>
            <w:webHidden/>
          </w:rPr>
        </w:r>
        <w:r>
          <w:rPr>
            <w:webHidden/>
          </w:rPr>
          <w:fldChar w:fldCharType="separate"/>
        </w:r>
        <w:r w:rsidR="00341DD7">
          <w:rPr>
            <w:webHidden/>
          </w:rPr>
          <w:t>80</w:t>
        </w:r>
        <w:r>
          <w:rPr>
            <w:webHidden/>
          </w:rPr>
          <w:fldChar w:fldCharType="end"/>
        </w:r>
      </w:hyperlink>
    </w:p>
    <w:p w14:paraId="3AC53FD2" w14:textId="0C144395" w:rsidR="00F24DAA" w:rsidRDefault="00F24DAA">
      <w:pPr>
        <w:pStyle w:val="TOC3"/>
        <w:rPr>
          <w:rFonts w:eastAsiaTheme="minorEastAsia" w:cstheme="minorBidi"/>
          <w:color w:val="auto"/>
          <w:kern w:val="2"/>
          <w:sz w:val="24"/>
          <w:szCs w:val="24"/>
          <w14:ligatures w14:val="standardContextual"/>
        </w:rPr>
      </w:pPr>
      <w:hyperlink w:anchor="_Toc199941008" w:history="1">
        <w:r w:rsidRPr="00C718DF">
          <w:rPr>
            <w:rStyle w:val="Hyperlink"/>
          </w:rPr>
          <w:t>Use of data and research in publications and communication materials</w:t>
        </w:r>
        <w:r>
          <w:rPr>
            <w:webHidden/>
          </w:rPr>
          <w:tab/>
        </w:r>
        <w:r>
          <w:rPr>
            <w:webHidden/>
          </w:rPr>
          <w:fldChar w:fldCharType="begin"/>
        </w:r>
        <w:r>
          <w:rPr>
            <w:webHidden/>
          </w:rPr>
          <w:instrText xml:space="preserve"> PAGEREF _Toc199941008 \h </w:instrText>
        </w:r>
        <w:r>
          <w:rPr>
            <w:webHidden/>
          </w:rPr>
        </w:r>
        <w:r>
          <w:rPr>
            <w:webHidden/>
          </w:rPr>
          <w:fldChar w:fldCharType="separate"/>
        </w:r>
        <w:r w:rsidR="00341DD7">
          <w:rPr>
            <w:webHidden/>
          </w:rPr>
          <w:t>80</w:t>
        </w:r>
        <w:r>
          <w:rPr>
            <w:webHidden/>
          </w:rPr>
          <w:fldChar w:fldCharType="end"/>
        </w:r>
      </w:hyperlink>
    </w:p>
    <w:p w14:paraId="3C2E35F4" w14:textId="1B550ECE" w:rsidR="00F24DAA" w:rsidRDefault="00F24DAA">
      <w:pPr>
        <w:pStyle w:val="TOC3"/>
        <w:rPr>
          <w:rFonts w:eastAsiaTheme="minorEastAsia" w:cstheme="minorBidi"/>
          <w:color w:val="auto"/>
          <w:kern w:val="2"/>
          <w:sz w:val="24"/>
          <w:szCs w:val="24"/>
          <w14:ligatures w14:val="standardContextual"/>
        </w:rPr>
      </w:pPr>
      <w:hyperlink w:anchor="_Toc199941009" w:history="1">
        <w:r w:rsidRPr="00C718DF">
          <w:rPr>
            <w:rStyle w:val="Hyperlink"/>
            <w:lang w:val="en-US"/>
          </w:rPr>
          <w:t>Recommendation</w:t>
        </w:r>
        <w:r>
          <w:rPr>
            <w:webHidden/>
          </w:rPr>
          <w:tab/>
        </w:r>
        <w:r>
          <w:rPr>
            <w:webHidden/>
          </w:rPr>
          <w:fldChar w:fldCharType="begin"/>
        </w:r>
        <w:r>
          <w:rPr>
            <w:webHidden/>
          </w:rPr>
          <w:instrText xml:space="preserve"> PAGEREF _Toc199941009 \h </w:instrText>
        </w:r>
        <w:r>
          <w:rPr>
            <w:webHidden/>
          </w:rPr>
        </w:r>
        <w:r>
          <w:rPr>
            <w:webHidden/>
          </w:rPr>
          <w:fldChar w:fldCharType="separate"/>
        </w:r>
        <w:r w:rsidR="00341DD7">
          <w:rPr>
            <w:webHidden/>
          </w:rPr>
          <w:t>81</w:t>
        </w:r>
        <w:r>
          <w:rPr>
            <w:webHidden/>
          </w:rPr>
          <w:fldChar w:fldCharType="end"/>
        </w:r>
      </w:hyperlink>
    </w:p>
    <w:p w14:paraId="53D8A33D" w14:textId="29236F48" w:rsidR="00F24DAA" w:rsidRDefault="00F24DAA">
      <w:pPr>
        <w:pStyle w:val="TOC3"/>
        <w:rPr>
          <w:rFonts w:eastAsiaTheme="minorEastAsia" w:cstheme="minorBidi"/>
          <w:color w:val="auto"/>
          <w:kern w:val="2"/>
          <w:sz w:val="24"/>
          <w:szCs w:val="24"/>
          <w14:ligatures w14:val="standardContextual"/>
        </w:rPr>
      </w:pPr>
      <w:hyperlink w:anchor="_Toc199941010" w:history="1">
        <w:r w:rsidRPr="00C718DF">
          <w:rPr>
            <w:rStyle w:val="Hyperlink"/>
            <w:lang w:val="en-US"/>
          </w:rPr>
          <w:t>Name and branding</w:t>
        </w:r>
        <w:r>
          <w:rPr>
            <w:webHidden/>
          </w:rPr>
          <w:tab/>
        </w:r>
        <w:r>
          <w:rPr>
            <w:webHidden/>
          </w:rPr>
          <w:fldChar w:fldCharType="begin"/>
        </w:r>
        <w:r>
          <w:rPr>
            <w:webHidden/>
          </w:rPr>
          <w:instrText xml:space="preserve"> PAGEREF _Toc199941010 \h </w:instrText>
        </w:r>
        <w:r>
          <w:rPr>
            <w:webHidden/>
          </w:rPr>
        </w:r>
        <w:r>
          <w:rPr>
            <w:webHidden/>
          </w:rPr>
          <w:fldChar w:fldCharType="separate"/>
        </w:r>
        <w:r w:rsidR="00341DD7">
          <w:rPr>
            <w:webHidden/>
          </w:rPr>
          <w:t>81</w:t>
        </w:r>
        <w:r>
          <w:rPr>
            <w:webHidden/>
          </w:rPr>
          <w:fldChar w:fldCharType="end"/>
        </w:r>
      </w:hyperlink>
    </w:p>
    <w:p w14:paraId="38FB2D95" w14:textId="3C03F345" w:rsidR="00F24DAA" w:rsidRDefault="00F24DAA">
      <w:pPr>
        <w:pStyle w:val="TOC3"/>
        <w:rPr>
          <w:rFonts w:eastAsiaTheme="minorEastAsia" w:cstheme="minorBidi"/>
          <w:color w:val="auto"/>
          <w:kern w:val="2"/>
          <w:sz w:val="24"/>
          <w:szCs w:val="24"/>
          <w14:ligatures w14:val="standardContextual"/>
        </w:rPr>
      </w:pPr>
      <w:hyperlink w:anchor="_Toc199941011" w:history="1">
        <w:r w:rsidRPr="00C718DF">
          <w:rPr>
            <w:rStyle w:val="Hyperlink"/>
            <w:lang w:val="en-US"/>
          </w:rPr>
          <w:t>Stakeholder views</w:t>
        </w:r>
        <w:r>
          <w:rPr>
            <w:webHidden/>
          </w:rPr>
          <w:tab/>
        </w:r>
        <w:r>
          <w:rPr>
            <w:webHidden/>
          </w:rPr>
          <w:fldChar w:fldCharType="begin"/>
        </w:r>
        <w:r>
          <w:rPr>
            <w:webHidden/>
          </w:rPr>
          <w:instrText xml:space="preserve"> PAGEREF _Toc199941011 \h </w:instrText>
        </w:r>
        <w:r>
          <w:rPr>
            <w:webHidden/>
          </w:rPr>
        </w:r>
        <w:r>
          <w:rPr>
            <w:webHidden/>
          </w:rPr>
          <w:fldChar w:fldCharType="separate"/>
        </w:r>
        <w:r w:rsidR="00341DD7">
          <w:rPr>
            <w:webHidden/>
          </w:rPr>
          <w:t>81</w:t>
        </w:r>
        <w:r>
          <w:rPr>
            <w:webHidden/>
          </w:rPr>
          <w:fldChar w:fldCharType="end"/>
        </w:r>
      </w:hyperlink>
    </w:p>
    <w:p w14:paraId="17107F7A" w14:textId="3A063369" w:rsidR="00F24DAA" w:rsidRDefault="00F24DAA">
      <w:pPr>
        <w:pStyle w:val="TOC3"/>
        <w:rPr>
          <w:rFonts w:eastAsiaTheme="minorEastAsia" w:cstheme="minorBidi"/>
          <w:color w:val="auto"/>
          <w:kern w:val="2"/>
          <w:sz w:val="24"/>
          <w:szCs w:val="24"/>
          <w14:ligatures w14:val="standardContextual"/>
        </w:rPr>
      </w:pPr>
      <w:hyperlink w:anchor="_Toc199941012" w:history="1">
        <w:r w:rsidRPr="00C718DF">
          <w:rPr>
            <w:rStyle w:val="Hyperlink"/>
            <w:lang w:val="en-US"/>
          </w:rPr>
          <w:t>Analysis</w:t>
        </w:r>
        <w:r>
          <w:rPr>
            <w:webHidden/>
          </w:rPr>
          <w:tab/>
        </w:r>
        <w:r>
          <w:rPr>
            <w:webHidden/>
          </w:rPr>
          <w:fldChar w:fldCharType="begin"/>
        </w:r>
        <w:r>
          <w:rPr>
            <w:webHidden/>
          </w:rPr>
          <w:instrText xml:space="preserve"> PAGEREF _Toc199941012 \h </w:instrText>
        </w:r>
        <w:r>
          <w:rPr>
            <w:webHidden/>
          </w:rPr>
        </w:r>
        <w:r>
          <w:rPr>
            <w:webHidden/>
          </w:rPr>
          <w:fldChar w:fldCharType="separate"/>
        </w:r>
        <w:r w:rsidR="00341DD7">
          <w:rPr>
            <w:webHidden/>
          </w:rPr>
          <w:t>82</w:t>
        </w:r>
        <w:r>
          <w:rPr>
            <w:webHidden/>
          </w:rPr>
          <w:fldChar w:fldCharType="end"/>
        </w:r>
      </w:hyperlink>
    </w:p>
    <w:p w14:paraId="6EF736B2" w14:textId="6265BF26" w:rsidR="00F24DAA" w:rsidRDefault="00F24DAA">
      <w:pPr>
        <w:pStyle w:val="TOC3"/>
        <w:rPr>
          <w:rFonts w:eastAsiaTheme="minorEastAsia" w:cstheme="minorBidi"/>
          <w:color w:val="auto"/>
          <w:kern w:val="2"/>
          <w:sz w:val="24"/>
          <w:szCs w:val="24"/>
          <w14:ligatures w14:val="standardContextual"/>
        </w:rPr>
      </w:pPr>
      <w:hyperlink w:anchor="_Toc199941013" w:history="1">
        <w:r w:rsidRPr="00C718DF">
          <w:rPr>
            <w:rStyle w:val="Hyperlink"/>
            <w:lang w:val="en-US"/>
          </w:rPr>
          <w:t>Recommendation</w:t>
        </w:r>
        <w:r>
          <w:rPr>
            <w:webHidden/>
          </w:rPr>
          <w:tab/>
        </w:r>
        <w:r>
          <w:rPr>
            <w:webHidden/>
          </w:rPr>
          <w:fldChar w:fldCharType="begin"/>
        </w:r>
        <w:r>
          <w:rPr>
            <w:webHidden/>
          </w:rPr>
          <w:instrText xml:space="preserve"> PAGEREF _Toc199941013 \h </w:instrText>
        </w:r>
        <w:r>
          <w:rPr>
            <w:webHidden/>
          </w:rPr>
        </w:r>
        <w:r>
          <w:rPr>
            <w:webHidden/>
          </w:rPr>
          <w:fldChar w:fldCharType="separate"/>
        </w:r>
        <w:r w:rsidR="00341DD7">
          <w:rPr>
            <w:webHidden/>
          </w:rPr>
          <w:t>82</w:t>
        </w:r>
        <w:r>
          <w:rPr>
            <w:webHidden/>
          </w:rPr>
          <w:fldChar w:fldCharType="end"/>
        </w:r>
      </w:hyperlink>
    </w:p>
    <w:p w14:paraId="1CFA4087" w14:textId="13F6AFC5" w:rsidR="00F24DAA" w:rsidRDefault="00F24DAA">
      <w:pPr>
        <w:pStyle w:val="TOC1"/>
        <w:rPr>
          <w:rFonts w:eastAsiaTheme="minorEastAsia" w:cstheme="minorBidi"/>
          <w:b w:val="0"/>
          <w:color w:val="auto"/>
          <w:kern w:val="2"/>
          <w:szCs w:val="24"/>
          <w14:ligatures w14:val="standardContextual"/>
        </w:rPr>
      </w:pPr>
      <w:hyperlink w:anchor="_Toc199941014" w:history="1">
        <w:r w:rsidRPr="00C718DF">
          <w:rPr>
            <w:rStyle w:val="Hyperlink"/>
          </w:rPr>
          <w:t>Appendices</w:t>
        </w:r>
        <w:r>
          <w:rPr>
            <w:webHidden/>
          </w:rPr>
          <w:tab/>
        </w:r>
        <w:r>
          <w:rPr>
            <w:webHidden/>
          </w:rPr>
          <w:fldChar w:fldCharType="begin"/>
        </w:r>
        <w:r>
          <w:rPr>
            <w:webHidden/>
          </w:rPr>
          <w:instrText xml:space="preserve"> PAGEREF _Toc199941014 \h </w:instrText>
        </w:r>
        <w:r>
          <w:rPr>
            <w:webHidden/>
          </w:rPr>
        </w:r>
        <w:r>
          <w:rPr>
            <w:webHidden/>
          </w:rPr>
          <w:fldChar w:fldCharType="separate"/>
        </w:r>
        <w:r w:rsidR="00341DD7">
          <w:rPr>
            <w:webHidden/>
          </w:rPr>
          <w:t>83</w:t>
        </w:r>
        <w:r>
          <w:rPr>
            <w:webHidden/>
          </w:rPr>
          <w:fldChar w:fldCharType="end"/>
        </w:r>
      </w:hyperlink>
    </w:p>
    <w:p w14:paraId="478A4A3E" w14:textId="1BAF08CF" w:rsidR="00F24DAA" w:rsidRDefault="00F24DAA">
      <w:pPr>
        <w:pStyle w:val="TOC2"/>
        <w:rPr>
          <w:rFonts w:eastAsiaTheme="minorEastAsia" w:cstheme="minorBidi"/>
          <w:color w:val="auto"/>
          <w:kern w:val="2"/>
          <w:sz w:val="24"/>
          <w:szCs w:val="24"/>
          <w14:ligatures w14:val="standardContextual"/>
        </w:rPr>
      </w:pPr>
      <w:hyperlink w:anchor="_Toc199941015" w:history="1">
        <w:r w:rsidRPr="00C718DF">
          <w:rPr>
            <w:rStyle w:val="Hyperlink"/>
          </w:rPr>
          <w:t>Appendix A: Recommendations from 2017 and 2021 reviews</w:t>
        </w:r>
        <w:r>
          <w:rPr>
            <w:webHidden/>
          </w:rPr>
          <w:tab/>
        </w:r>
        <w:r>
          <w:rPr>
            <w:webHidden/>
          </w:rPr>
          <w:fldChar w:fldCharType="begin"/>
        </w:r>
        <w:r>
          <w:rPr>
            <w:webHidden/>
          </w:rPr>
          <w:instrText xml:space="preserve"> PAGEREF _Toc199941015 \h </w:instrText>
        </w:r>
        <w:r>
          <w:rPr>
            <w:webHidden/>
          </w:rPr>
        </w:r>
        <w:r>
          <w:rPr>
            <w:webHidden/>
          </w:rPr>
          <w:fldChar w:fldCharType="separate"/>
        </w:r>
        <w:r w:rsidR="00341DD7">
          <w:rPr>
            <w:webHidden/>
          </w:rPr>
          <w:t>83</w:t>
        </w:r>
        <w:r>
          <w:rPr>
            <w:webHidden/>
          </w:rPr>
          <w:fldChar w:fldCharType="end"/>
        </w:r>
      </w:hyperlink>
    </w:p>
    <w:p w14:paraId="1F4F0624" w14:textId="647FE096" w:rsidR="00F24DAA" w:rsidRDefault="00F24DAA">
      <w:pPr>
        <w:pStyle w:val="TOC2"/>
        <w:rPr>
          <w:rFonts w:eastAsiaTheme="minorEastAsia" w:cstheme="minorBidi"/>
          <w:color w:val="auto"/>
          <w:kern w:val="2"/>
          <w:sz w:val="24"/>
          <w:szCs w:val="24"/>
          <w14:ligatures w14:val="standardContextual"/>
        </w:rPr>
      </w:pPr>
      <w:hyperlink w:anchor="_Toc199941016" w:history="1">
        <w:r w:rsidRPr="00C718DF">
          <w:rPr>
            <w:rStyle w:val="Hyperlink"/>
          </w:rPr>
          <w:t>Appendix B: Stakeholder consultation matrix</w:t>
        </w:r>
        <w:r>
          <w:rPr>
            <w:webHidden/>
          </w:rPr>
          <w:tab/>
        </w:r>
        <w:r>
          <w:rPr>
            <w:webHidden/>
          </w:rPr>
          <w:fldChar w:fldCharType="begin"/>
        </w:r>
        <w:r>
          <w:rPr>
            <w:webHidden/>
          </w:rPr>
          <w:instrText xml:space="preserve"> PAGEREF _Toc199941016 \h </w:instrText>
        </w:r>
        <w:r>
          <w:rPr>
            <w:webHidden/>
          </w:rPr>
        </w:r>
        <w:r>
          <w:rPr>
            <w:webHidden/>
          </w:rPr>
          <w:fldChar w:fldCharType="separate"/>
        </w:r>
        <w:r w:rsidR="00341DD7">
          <w:rPr>
            <w:webHidden/>
          </w:rPr>
          <w:t>84</w:t>
        </w:r>
        <w:r>
          <w:rPr>
            <w:webHidden/>
          </w:rPr>
          <w:fldChar w:fldCharType="end"/>
        </w:r>
      </w:hyperlink>
    </w:p>
    <w:p w14:paraId="35AB4FD9" w14:textId="2A3E83BD" w:rsidR="00F24DAA" w:rsidRDefault="00F24DAA">
      <w:pPr>
        <w:pStyle w:val="TOC2"/>
        <w:rPr>
          <w:rFonts w:eastAsiaTheme="minorEastAsia" w:cstheme="minorBidi"/>
          <w:color w:val="auto"/>
          <w:kern w:val="2"/>
          <w:sz w:val="24"/>
          <w:szCs w:val="24"/>
          <w14:ligatures w14:val="standardContextual"/>
        </w:rPr>
      </w:pPr>
      <w:hyperlink w:anchor="_Toc199941017" w:history="1">
        <w:r w:rsidRPr="00C718DF">
          <w:rPr>
            <w:rStyle w:val="Hyperlink"/>
          </w:rPr>
          <w:t>Appendix C: Stakeholder survey</w:t>
        </w:r>
        <w:r>
          <w:rPr>
            <w:webHidden/>
          </w:rPr>
          <w:tab/>
        </w:r>
        <w:r>
          <w:rPr>
            <w:webHidden/>
          </w:rPr>
          <w:fldChar w:fldCharType="begin"/>
        </w:r>
        <w:r>
          <w:rPr>
            <w:webHidden/>
          </w:rPr>
          <w:instrText xml:space="preserve"> PAGEREF _Toc199941017 \h </w:instrText>
        </w:r>
        <w:r>
          <w:rPr>
            <w:webHidden/>
          </w:rPr>
        </w:r>
        <w:r>
          <w:rPr>
            <w:webHidden/>
          </w:rPr>
          <w:fldChar w:fldCharType="separate"/>
        </w:r>
        <w:r w:rsidR="00341DD7">
          <w:rPr>
            <w:webHidden/>
          </w:rPr>
          <w:t>85</w:t>
        </w:r>
        <w:r>
          <w:rPr>
            <w:webHidden/>
          </w:rPr>
          <w:fldChar w:fldCharType="end"/>
        </w:r>
      </w:hyperlink>
    </w:p>
    <w:p w14:paraId="0822F73A" w14:textId="1F3E92AA" w:rsidR="00F24DAA" w:rsidRDefault="00F24DAA">
      <w:pPr>
        <w:pStyle w:val="TOC3"/>
        <w:rPr>
          <w:rFonts w:eastAsiaTheme="minorEastAsia" w:cstheme="minorBidi"/>
          <w:color w:val="auto"/>
          <w:kern w:val="2"/>
          <w:sz w:val="24"/>
          <w:szCs w:val="24"/>
          <w14:ligatures w14:val="standardContextual"/>
        </w:rPr>
      </w:pPr>
      <w:hyperlink w:anchor="_Toc199941018" w:history="1">
        <w:r w:rsidRPr="00C718DF">
          <w:rPr>
            <w:rStyle w:val="Hyperlink"/>
          </w:rPr>
          <w:t>Survey questions and responses</w:t>
        </w:r>
        <w:r>
          <w:rPr>
            <w:webHidden/>
          </w:rPr>
          <w:tab/>
        </w:r>
        <w:r>
          <w:rPr>
            <w:webHidden/>
          </w:rPr>
          <w:fldChar w:fldCharType="begin"/>
        </w:r>
        <w:r>
          <w:rPr>
            <w:webHidden/>
          </w:rPr>
          <w:instrText xml:space="preserve"> PAGEREF _Toc199941018 \h </w:instrText>
        </w:r>
        <w:r>
          <w:rPr>
            <w:webHidden/>
          </w:rPr>
        </w:r>
        <w:r>
          <w:rPr>
            <w:webHidden/>
          </w:rPr>
          <w:fldChar w:fldCharType="separate"/>
        </w:r>
        <w:r w:rsidR="00341DD7">
          <w:rPr>
            <w:webHidden/>
          </w:rPr>
          <w:t>85</w:t>
        </w:r>
        <w:r>
          <w:rPr>
            <w:webHidden/>
          </w:rPr>
          <w:fldChar w:fldCharType="end"/>
        </w:r>
      </w:hyperlink>
    </w:p>
    <w:p w14:paraId="407312CF" w14:textId="4CDCEFD4" w:rsidR="00F24DAA" w:rsidRDefault="00F24DAA">
      <w:pPr>
        <w:pStyle w:val="TOC2"/>
        <w:rPr>
          <w:rFonts w:eastAsiaTheme="minorEastAsia" w:cstheme="minorBidi"/>
          <w:color w:val="auto"/>
          <w:kern w:val="2"/>
          <w:sz w:val="24"/>
          <w:szCs w:val="24"/>
          <w14:ligatures w14:val="standardContextual"/>
        </w:rPr>
      </w:pPr>
      <w:hyperlink w:anchor="_Toc199941019" w:history="1">
        <w:r w:rsidRPr="00C718DF">
          <w:rPr>
            <w:rStyle w:val="Hyperlink"/>
          </w:rPr>
          <w:t>Appendix D: Mediator survey</w:t>
        </w:r>
        <w:r>
          <w:rPr>
            <w:webHidden/>
          </w:rPr>
          <w:tab/>
        </w:r>
        <w:r>
          <w:rPr>
            <w:webHidden/>
          </w:rPr>
          <w:fldChar w:fldCharType="begin"/>
        </w:r>
        <w:r>
          <w:rPr>
            <w:webHidden/>
          </w:rPr>
          <w:instrText xml:space="preserve"> PAGEREF _Toc199941019 \h </w:instrText>
        </w:r>
        <w:r>
          <w:rPr>
            <w:webHidden/>
          </w:rPr>
        </w:r>
        <w:r>
          <w:rPr>
            <w:webHidden/>
          </w:rPr>
          <w:fldChar w:fldCharType="separate"/>
        </w:r>
        <w:r w:rsidR="00341DD7">
          <w:rPr>
            <w:webHidden/>
          </w:rPr>
          <w:t>96</w:t>
        </w:r>
        <w:r>
          <w:rPr>
            <w:webHidden/>
          </w:rPr>
          <w:fldChar w:fldCharType="end"/>
        </w:r>
      </w:hyperlink>
    </w:p>
    <w:p w14:paraId="19A56585" w14:textId="5FF2B98A" w:rsidR="00F24DAA" w:rsidRDefault="00F24DAA">
      <w:pPr>
        <w:pStyle w:val="TOC3"/>
        <w:rPr>
          <w:rFonts w:eastAsiaTheme="minorEastAsia" w:cstheme="minorBidi"/>
          <w:color w:val="auto"/>
          <w:kern w:val="2"/>
          <w:sz w:val="24"/>
          <w:szCs w:val="24"/>
          <w14:ligatures w14:val="standardContextual"/>
        </w:rPr>
      </w:pPr>
      <w:hyperlink w:anchor="_Toc199941020" w:history="1">
        <w:r w:rsidRPr="00C718DF">
          <w:rPr>
            <w:rStyle w:val="Hyperlink"/>
          </w:rPr>
          <w:t>Survey questions and responses</w:t>
        </w:r>
        <w:r>
          <w:rPr>
            <w:webHidden/>
          </w:rPr>
          <w:tab/>
        </w:r>
        <w:r>
          <w:rPr>
            <w:webHidden/>
          </w:rPr>
          <w:fldChar w:fldCharType="begin"/>
        </w:r>
        <w:r>
          <w:rPr>
            <w:webHidden/>
          </w:rPr>
          <w:instrText xml:space="preserve"> PAGEREF _Toc199941020 \h </w:instrText>
        </w:r>
        <w:r>
          <w:rPr>
            <w:webHidden/>
          </w:rPr>
        </w:r>
        <w:r>
          <w:rPr>
            <w:webHidden/>
          </w:rPr>
          <w:fldChar w:fldCharType="separate"/>
        </w:r>
        <w:r w:rsidR="00341DD7">
          <w:rPr>
            <w:webHidden/>
          </w:rPr>
          <w:t>96</w:t>
        </w:r>
        <w:r>
          <w:rPr>
            <w:webHidden/>
          </w:rPr>
          <w:fldChar w:fldCharType="end"/>
        </w:r>
      </w:hyperlink>
    </w:p>
    <w:p w14:paraId="79345C61" w14:textId="03B9FE48" w:rsidR="00F24DAA" w:rsidRDefault="00F24DAA">
      <w:pPr>
        <w:pStyle w:val="TOC3"/>
        <w:rPr>
          <w:rFonts w:eastAsiaTheme="minorEastAsia" w:cstheme="minorBidi"/>
          <w:color w:val="auto"/>
          <w:kern w:val="2"/>
          <w:sz w:val="24"/>
          <w:szCs w:val="24"/>
          <w14:ligatures w14:val="standardContextual"/>
        </w:rPr>
      </w:pPr>
      <w:hyperlink w:anchor="_Toc199941021" w:history="1">
        <w:r w:rsidRPr="00C718DF">
          <w:rPr>
            <w:rStyle w:val="Hyperlink"/>
          </w:rPr>
          <w:t>Mediator survey analysis</w:t>
        </w:r>
        <w:r>
          <w:rPr>
            <w:webHidden/>
          </w:rPr>
          <w:tab/>
        </w:r>
        <w:r>
          <w:rPr>
            <w:webHidden/>
          </w:rPr>
          <w:fldChar w:fldCharType="begin"/>
        </w:r>
        <w:r>
          <w:rPr>
            <w:webHidden/>
          </w:rPr>
          <w:instrText xml:space="preserve"> PAGEREF _Toc199941021 \h </w:instrText>
        </w:r>
        <w:r>
          <w:rPr>
            <w:webHidden/>
          </w:rPr>
        </w:r>
        <w:r>
          <w:rPr>
            <w:webHidden/>
          </w:rPr>
          <w:fldChar w:fldCharType="separate"/>
        </w:r>
        <w:r w:rsidR="00341DD7">
          <w:rPr>
            <w:webHidden/>
          </w:rPr>
          <w:t>108</w:t>
        </w:r>
        <w:r>
          <w:rPr>
            <w:webHidden/>
          </w:rPr>
          <w:fldChar w:fldCharType="end"/>
        </w:r>
      </w:hyperlink>
    </w:p>
    <w:p w14:paraId="68C8F6DD" w14:textId="302E5F7D" w:rsidR="00F24DAA" w:rsidRDefault="00F24DAA">
      <w:pPr>
        <w:pStyle w:val="TOC2"/>
        <w:rPr>
          <w:rFonts w:eastAsiaTheme="minorEastAsia" w:cstheme="minorBidi"/>
          <w:color w:val="auto"/>
          <w:kern w:val="2"/>
          <w:sz w:val="24"/>
          <w:szCs w:val="24"/>
          <w14:ligatures w14:val="standardContextual"/>
        </w:rPr>
      </w:pPr>
      <w:hyperlink w:anchor="_Toc199941022" w:history="1">
        <w:r w:rsidRPr="00C718DF">
          <w:rPr>
            <w:rStyle w:val="Hyperlink"/>
          </w:rPr>
          <w:t>Appendix E: ASBFEO forums</w:t>
        </w:r>
        <w:r>
          <w:rPr>
            <w:webHidden/>
          </w:rPr>
          <w:tab/>
        </w:r>
        <w:r>
          <w:rPr>
            <w:webHidden/>
          </w:rPr>
          <w:fldChar w:fldCharType="begin"/>
        </w:r>
        <w:r>
          <w:rPr>
            <w:webHidden/>
          </w:rPr>
          <w:instrText xml:space="preserve"> PAGEREF _Toc199941022 \h </w:instrText>
        </w:r>
        <w:r>
          <w:rPr>
            <w:webHidden/>
          </w:rPr>
        </w:r>
        <w:r>
          <w:rPr>
            <w:webHidden/>
          </w:rPr>
          <w:fldChar w:fldCharType="separate"/>
        </w:r>
        <w:r w:rsidR="00341DD7">
          <w:rPr>
            <w:webHidden/>
          </w:rPr>
          <w:t>110</w:t>
        </w:r>
        <w:r>
          <w:rPr>
            <w:webHidden/>
          </w:rPr>
          <w:fldChar w:fldCharType="end"/>
        </w:r>
      </w:hyperlink>
    </w:p>
    <w:p w14:paraId="00B35F6B" w14:textId="155076E9" w:rsidR="00F24DAA" w:rsidRDefault="00F24DAA">
      <w:pPr>
        <w:pStyle w:val="TOC2"/>
        <w:rPr>
          <w:rFonts w:eastAsiaTheme="minorEastAsia" w:cstheme="minorBidi"/>
          <w:color w:val="auto"/>
          <w:kern w:val="2"/>
          <w:sz w:val="24"/>
          <w:szCs w:val="24"/>
          <w14:ligatures w14:val="standardContextual"/>
        </w:rPr>
      </w:pPr>
      <w:hyperlink w:anchor="_Toc199941023" w:history="1">
        <w:r w:rsidRPr="00C718DF">
          <w:rPr>
            <w:rStyle w:val="Hyperlink"/>
          </w:rPr>
          <w:t>Appendix F: Table – Franchising Review</w:t>
        </w:r>
        <w:r>
          <w:rPr>
            <w:webHidden/>
          </w:rPr>
          <w:tab/>
        </w:r>
        <w:r>
          <w:rPr>
            <w:webHidden/>
          </w:rPr>
          <w:fldChar w:fldCharType="begin"/>
        </w:r>
        <w:r>
          <w:rPr>
            <w:webHidden/>
          </w:rPr>
          <w:instrText xml:space="preserve"> PAGEREF _Toc199941023 \h </w:instrText>
        </w:r>
        <w:r>
          <w:rPr>
            <w:webHidden/>
          </w:rPr>
        </w:r>
        <w:r>
          <w:rPr>
            <w:webHidden/>
          </w:rPr>
          <w:fldChar w:fldCharType="separate"/>
        </w:r>
        <w:r w:rsidR="00341DD7">
          <w:rPr>
            <w:webHidden/>
          </w:rPr>
          <w:t>114</w:t>
        </w:r>
        <w:r>
          <w:rPr>
            <w:webHidden/>
          </w:rPr>
          <w:fldChar w:fldCharType="end"/>
        </w:r>
      </w:hyperlink>
    </w:p>
    <w:p w14:paraId="7C604B42" w14:textId="3B8C7261" w:rsidR="00F24DAA" w:rsidRDefault="00F24DAA">
      <w:pPr>
        <w:pStyle w:val="TOC2"/>
        <w:rPr>
          <w:rFonts w:eastAsiaTheme="minorEastAsia" w:cstheme="minorBidi"/>
          <w:color w:val="auto"/>
          <w:kern w:val="2"/>
          <w:sz w:val="24"/>
          <w:szCs w:val="24"/>
          <w14:ligatures w14:val="standardContextual"/>
        </w:rPr>
      </w:pPr>
      <w:hyperlink w:anchor="_Toc199941024" w:history="1">
        <w:r w:rsidRPr="00C718DF">
          <w:rPr>
            <w:rStyle w:val="Hyperlink"/>
          </w:rPr>
          <w:t>Appendix G: Table – Comparison of agencies in international jurisdictions</w:t>
        </w:r>
        <w:r>
          <w:rPr>
            <w:webHidden/>
          </w:rPr>
          <w:tab/>
        </w:r>
        <w:r>
          <w:rPr>
            <w:webHidden/>
          </w:rPr>
          <w:fldChar w:fldCharType="begin"/>
        </w:r>
        <w:r>
          <w:rPr>
            <w:webHidden/>
          </w:rPr>
          <w:instrText xml:space="preserve"> PAGEREF _Toc199941024 \h </w:instrText>
        </w:r>
        <w:r>
          <w:rPr>
            <w:webHidden/>
          </w:rPr>
        </w:r>
        <w:r>
          <w:rPr>
            <w:webHidden/>
          </w:rPr>
          <w:fldChar w:fldCharType="separate"/>
        </w:r>
        <w:r w:rsidR="00341DD7">
          <w:rPr>
            <w:webHidden/>
          </w:rPr>
          <w:t>116</w:t>
        </w:r>
        <w:r>
          <w:rPr>
            <w:webHidden/>
          </w:rPr>
          <w:fldChar w:fldCharType="end"/>
        </w:r>
      </w:hyperlink>
    </w:p>
    <w:p w14:paraId="15341672" w14:textId="0582FA2A" w:rsidR="00F24DAA" w:rsidRDefault="00F24DAA">
      <w:pPr>
        <w:pStyle w:val="TOC2"/>
        <w:rPr>
          <w:rFonts w:eastAsiaTheme="minorEastAsia" w:cstheme="minorBidi"/>
          <w:color w:val="auto"/>
          <w:kern w:val="2"/>
          <w:sz w:val="24"/>
          <w:szCs w:val="24"/>
          <w14:ligatures w14:val="standardContextual"/>
        </w:rPr>
      </w:pPr>
      <w:hyperlink w:anchor="_Toc199941025" w:history="1">
        <w:r w:rsidRPr="00C718DF">
          <w:rPr>
            <w:rStyle w:val="Hyperlink"/>
          </w:rPr>
          <w:t>Appendix H: Calls to ASBFEO Call Centre</w:t>
        </w:r>
        <w:r>
          <w:rPr>
            <w:webHidden/>
          </w:rPr>
          <w:tab/>
        </w:r>
        <w:r>
          <w:rPr>
            <w:webHidden/>
          </w:rPr>
          <w:fldChar w:fldCharType="begin"/>
        </w:r>
        <w:r>
          <w:rPr>
            <w:webHidden/>
          </w:rPr>
          <w:instrText xml:space="preserve"> PAGEREF _Toc199941025 \h </w:instrText>
        </w:r>
        <w:r>
          <w:rPr>
            <w:webHidden/>
          </w:rPr>
        </w:r>
        <w:r>
          <w:rPr>
            <w:webHidden/>
          </w:rPr>
          <w:fldChar w:fldCharType="separate"/>
        </w:r>
        <w:r w:rsidR="00341DD7">
          <w:rPr>
            <w:webHidden/>
          </w:rPr>
          <w:t>118</w:t>
        </w:r>
        <w:r>
          <w:rPr>
            <w:webHidden/>
          </w:rPr>
          <w:fldChar w:fldCharType="end"/>
        </w:r>
      </w:hyperlink>
    </w:p>
    <w:p w14:paraId="0A4DCEFC" w14:textId="4E7F15BA" w:rsidR="00F24DAA" w:rsidRDefault="00F24DAA">
      <w:pPr>
        <w:pStyle w:val="TOC2"/>
        <w:rPr>
          <w:rFonts w:eastAsiaTheme="minorEastAsia" w:cstheme="minorBidi"/>
          <w:color w:val="auto"/>
          <w:kern w:val="2"/>
          <w:sz w:val="24"/>
          <w:szCs w:val="24"/>
          <w14:ligatures w14:val="standardContextual"/>
        </w:rPr>
      </w:pPr>
      <w:hyperlink w:anchor="_Toc199941026" w:history="1">
        <w:r w:rsidRPr="00C718DF">
          <w:rPr>
            <w:rStyle w:val="Hyperlink"/>
          </w:rPr>
          <w:t>Appendix I: Table notes</w:t>
        </w:r>
        <w:r>
          <w:rPr>
            <w:webHidden/>
          </w:rPr>
          <w:tab/>
        </w:r>
        <w:r>
          <w:rPr>
            <w:webHidden/>
          </w:rPr>
          <w:fldChar w:fldCharType="begin"/>
        </w:r>
        <w:r>
          <w:rPr>
            <w:webHidden/>
          </w:rPr>
          <w:instrText xml:space="preserve"> PAGEREF _Toc199941026 \h </w:instrText>
        </w:r>
        <w:r>
          <w:rPr>
            <w:webHidden/>
          </w:rPr>
        </w:r>
        <w:r>
          <w:rPr>
            <w:webHidden/>
          </w:rPr>
          <w:fldChar w:fldCharType="separate"/>
        </w:r>
        <w:r w:rsidR="00341DD7">
          <w:rPr>
            <w:webHidden/>
          </w:rPr>
          <w:t>119</w:t>
        </w:r>
        <w:r>
          <w:rPr>
            <w:webHidden/>
          </w:rPr>
          <w:fldChar w:fldCharType="end"/>
        </w:r>
      </w:hyperlink>
    </w:p>
    <w:p w14:paraId="79612EF6" w14:textId="660A5C88" w:rsidR="00C0675E" w:rsidRDefault="004973BE" w:rsidP="00C93F59">
      <w:pPr>
        <w:pStyle w:val="TOC2"/>
      </w:pPr>
      <w:r>
        <w:fldChar w:fldCharType="end"/>
      </w:r>
    </w:p>
    <w:p w14:paraId="6245BD8B" w14:textId="77777777" w:rsidR="00D823FF" w:rsidRDefault="00D823FF" w:rsidP="00D823FF">
      <w:pPr>
        <w:sectPr w:rsidR="00D823FF" w:rsidSect="004F32C5">
          <w:headerReference w:type="default" r:id="rId18"/>
          <w:footerReference w:type="default" r:id="rId19"/>
          <w:pgSz w:w="11906" w:h="16838" w:code="9"/>
          <w:pgMar w:top="1843" w:right="1418" w:bottom="1418" w:left="1418" w:header="709" w:footer="709" w:gutter="0"/>
          <w:pgNumType w:fmt="lowerRoman" w:start="3"/>
          <w:cols w:space="708"/>
          <w:docGrid w:linePitch="360"/>
        </w:sectPr>
      </w:pPr>
    </w:p>
    <w:p w14:paraId="75A105C9" w14:textId="6778A519" w:rsidR="00911837" w:rsidRPr="00911837" w:rsidRDefault="006F09D2" w:rsidP="00911837">
      <w:pPr>
        <w:pStyle w:val="Heading1"/>
      </w:pPr>
      <w:bookmarkStart w:id="0" w:name="_Toc199940913"/>
      <w:r>
        <w:lastRenderedPageBreak/>
        <w:t>Glossary</w:t>
      </w:r>
      <w:bookmarkEnd w:id="0"/>
    </w:p>
    <w:tbl>
      <w:tblPr>
        <w:tblStyle w:val="TableGrid"/>
        <w:tblW w:w="9070" w:type="dxa"/>
        <w:tblLook w:val="04A0" w:firstRow="1" w:lastRow="0" w:firstColumn="1" w:lastColumn="0" w:noHBand="0" w:noVBand="1"/>
      </w:tblPr>
      <w:tblGrid>
        <w:gridCol w:w="1830"/>
        <w:gridCol w:w="7240"/>
      </w:tblGrid>
      <w:tr w:rsidR="001968C8" w:rsidRPr="00916FA5" w14:paraId="4F55724D" w14:textId="77777777" w:rsidTr="0069051D">
        <w:trPr>
          <w:cnfStyle w:val="100000000000" w:firstRow="1" w:lastRow="0" w:firstColumn="0" w:lastColumn="0" w:oddVBand="0" w:evenVBand="0" w:oddHBand="0" w:evenHBand="0" w:firstRowFirstColumn="0" w:firstRowLastColumn="0" w:lastRowFirstColumn="0" w:lastRowLastColumn="0"/>
          <w:trHeight w:val="300"/>
          <w:tblHeader/>
        </w:trPr>
        <w:tc>
          <w:tcPr>
            <w:tcW w:w="1830" w:type="dxa"/>
          </w:tcPr>
          <w:p w14:paraId="21EF8992" w14:textId="77777777" w:rsidR="001968C8" w:rsidRPr="004102A6" w:rsidRDefault="001968C8" w:rsidP="0069051D">
            <w:pPr>
              <w:pStyle w:val="TableColumnHeadingLeft"/>
              <w:rPr>
                <w:rFonts w:eastAsia="Calibri"/>
              </w:rPr>
            </w:pPr>
            <w:r w:rsidRPr="004102A6">
              <w:rPr>
                <w:rFonts w:eastAsia="Calibri"/>
              </w:rPr>
              <w:t>Term</w:t>
            </w:r>
          </w:p>
        </w:tc>
        <w:tc>
          <w:tcPr>
            <w:tcW w:w="7240" w:type="dxa"/>
          </w:tcPr>
          <w:p w14:paraId="7D7D69EC" w14:textId="77777777" w:rsidR="001968C8" w:rsidRPr="00226DCA" w:rsidRDefault="001968C8" w:rsidP="0069051D">
            <w:pPr>
              <w:pStyle w:val="TableColumnHeadingLeft"/>
              <w:rPr>
                <w:rFonts w:eastAsia="Calibri"/>
              </w:rPr>
            </w:pPr>
            <w:r w:rsidRPr="00226DCA">
              <w:rPr>
                <w:rFonts w:eastAsia="Calibri"/>
              </w:rPr>
              <w:t>Definition</w:t>
            </w:r>
          </w:p>
        </w:tc>
      </w:tr>
      <w:tr w:rsidR="007B7029" w:rsidRPr="00916FA5" w:rsidDel="00FC5F26" w14:paraId="5A16F1E6"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45E587C6"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AADA </w:t>
            </w:r>
          </w:p>
        </w:tc>
        <w:tc>
          <w:tcPr>
            <w:tcW w:w="7240" w:type="dxa"/>
            <w:hideMark/>
          </w:tcPr>
          <w:p w14:paraId="11969D23" w14:textId="77777777" w:rsidR="007B7029" w:rsidRPr="00916FA5" w:rsidDel="00FC5F26" w:rsidRDefault="007B7029" w:rsidP="0069051D">
            <w:pPr>
              <w:pStyle w:val="TableTextLeft"/>
              <w:rPr>
                <w:rFonts w:eastAsia="Calibri"/>
              </w:rPr>
            </w:pPr>
            <w:r w:rsidRPr="00916FA5" w:rsidDel="00FC5F26">
              <w:rPr>
                <w:rFonts w:eastAsia="Calibri"/>
              </w:rPr>
              <w:t>Australian Automotive Dealer Association </w:t>
            </w:r>
          </w:p>
        </w:tc>
      </w:tr>
      <w:tr w:rsidR="007B7029" w:rsidRPr="00916FA5" w:rsidDel="00FC5F26" w14:paraId="494A926A"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3D4AE882"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AAT </w:t>
            </w:r>
          </w:p>
        </w:tc>
        <w:tc>
          <w:tcPr>
            <w:tcW w:w="7240" w:type="dxa"/>
            <w:hideMark/>
          </w:tcPr>
          <w:p w14:paraId="7DC6A8E7" w14:textId="77777777" w:rsidR="007B7029" w:rsidRPr="00916FA5" w:rsidDel="00FC5F26" w:rsidRDefault="007B7029" w:rsidP="0069051D">
            <w:pPr>
              <w:pStyle w:val="TableTextLeft"/>
              <w:rPr>
                <w:rFonts w:eastAsia="Calibri"/>
              </w:rPr>
            </w:pPr>
            <w:r w:rsidRPr="00916FA5" w:rsidDel="00FC5F26">
              <w:rPr>
                <w:rFonts w:eastAsia="Calibri"/>
              </w:rPr>
              <w:t>Former Administrative Appeals Tribunal</w:t>
            </w:r>
            <w:r w:rsidRPr="004102A6" w:rsidDel="00FC5F26">
              <w:rPr>
                <w:rFonts w:eastAsia="Calibri"/>
              </w:rPr>
              <w:t>  </w:t>
            </w:r>
          </w:p>
        </w:tc>
      </w:tr>
      <w:tr w:rsidR="007B7029" w:rsidRPr="00916FA5" w:rsidDel="00FC5F26" w14:paraId="12914CE2"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4CDFC6F2"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ABS </w:t>
            </w:r>
          </w:p>
        </w:tc>
        <w:tc>
          <w:tcPr>
            <w:tcW w:w="7240" w:type="dxa"/>
            <w:hideMark/>
          </w:tcPr>
          <w:p w14:paraId="3FE014F8" w14:textId="77777777" w:rsidR="007B7029" w:rsidRPr="00916FA5" w:rsidDel="00FC5F26" w:rsidRDefault="007B7029" w:rsidP="0069051D">
            <w:pPr>
              <w:pStyle w:val="TableTextLeft"/>
              <w:rPr>
                <w:rFonts w:eastAsia="Calibri"/>
              </w:rPr>
            </w:pPr>
            <w:r w:rsidRPr="00916FA5" w:rsidDel="00FC5F26">
              <w:rPr>
                <w:rFonts w:eastAsia="Calibri"/>
              </w:rPr>
              <w:t>Australian Bureau of Statistics </w:t>
            </w:r>
          </w:p>
        </w:tc>
      </w:tr>
      <w:tr w:rsidR="007B7029" w:rsidRPr="00916FA5" w:rsidDel="00FC5F26" w14:paraId="0AE008BB"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6B3F24F5"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ACCC </w:t>
            </w:r>
          </w:p>
        </w:tc>
        <w:tc>
          <w:tcPr>
            <w:tcW w:w="7240" w:type="dxa"/>
            <w:hideMark/>
          </w:tcPr>
          <w:p w14:paraId="7079C74F" w14:textId="77777777" w:rsidR="007B7029" w:rsidRPr="00916FA5" w:rsidDel="00FC5F26" w:rsidRDefault="007B7029" w:rsidP="0069051D">
            <w:pPr>
              <w:pStyle w:val="TableTextLeft"/>
              <w:rPr>
                <w:rFonts w:eastAsia="Calibri"/>
              </w:rPr>
            </w:pPr>
            <w:r w:rsidRPr="00916FA5" w:rsidDel="00FC5F26">
              <w:rPr>
                <w:rFonts w:eastAsia="Calibri"/>
              </w:rPr>
              <w:t>Australian Competition and Consumer Commission </w:t>
            </w:r>
          </w:p>
        </w:tc>
      </w:tr>
      <w:tr w:rsidR="007B7029" w:rsidRPr="00916FA5" w14:paraId="068C82E0"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tcPr>
          <w:p w14:paraId="4FBB981E" w14:textId="77777777" w:rsidR="007B7029" w:rsidRDefault="007B7029" w:rsidP="0069051D">
            <w:pPr>
              <w:pStyle w:val="TableTextLeft"/>
              <w:rPr>
                <w:rStyle w:val="Strong"/>
                <w:rFonts w:eastAsia="Calibri"/>
              </w:rPr>
            </w:pPr>
            <w:r>
              <w:rPr>
                <w:rStyle w:val="Strong"/>
                <w:rFonts w:eastAsia="Calibri"/>
              </w:rPr>
              <w:t>ACCI</w:t>
            </w:r>
          </w:p>
        </w:tc>
        <w:tc>
          <w:tcPr>
            <w:tcW w:w="7240" w:type="dxa"/>
          </w:tcPr>
          <w:p w14:paraId="6AC79ADA" w14:textId="77777777" w:rsidR="007B7029" w:rsidRPr="004102A6" w:rsidRDefault="007B7029" w:rsidP="0069051D">
            <w:pPr>
              <w:pStyle w:val="TableTextLeft"/>
              <w:rPr>
                <w:rStyle w:val="Emphasis"/>
                <w:i w:val="0"/>
              </w:rPr>
            </w:pPr>
            <w:r w:rsidRPr="004C749D">
              <w:t>Australian Chamber of Commerce and Industry</w:t>
            </w:r>
          </w:p>
        </w:tc>
      </w:tr>
      <w:tr w:rsidR="007B7029" w:rsidRPr="00916FA5" w14:paraId="33B580B4"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57859195" w14:textId="77777777" w:rsidR="007B7029" w:rsidRDefault="007B7029" w:rsidP="0069051D">
            <w:pPr>
              <w:pStyle w:val="TableTextLeft"/>
              <w:rPr>
                <w:rStyle w:val="Strong"/>
                <w:rFonts w:eastAsia="Calibri"/>
              </w:rPr>
            </w:pPr>
            <w:r>
              <w:rPr>
                <w:rStyle w:val="Strong"/>
                <w:rFonts w:eastAsia="Calibri"/>
              </w:rPr>
              <w:t>ACT</w:t>
            </w:r>
          </w:p>
        </w:tc>
        <w:tc>
          <w:tcPr>
            <w:tcW w:w="7240" w:type="dxa"/>
          </w:tcPr>
          <w:p w14:paraId="3A2EE289" w14:textId="77777777" w:rsidR="007B7029" w:rsidRPr="004C749D" w:rsidRDefault="007B7029" w:rsidP="0069051D">
            <w:pPr>
              <w:pStyle w:val="TableTextLeft"/>
            </w:pPr>
            <w:r>
              <w:t xml:space="preserve">Australian Capital Territory </w:t>
            </w:r>
          </w:p>
        </w:tc>
      </w:tr>
      <w:tr w:rsidR="007B7029" w:rsidRPr="00916FA5" w:rsidDel="00FC5F26" w14:paraId="3323D370"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5517588C"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ADR </w:t>
            </w:r>
          </w:p>
        </w:tc>
        <w:tc>
          <w:tcPr>
            <w:tcW w:w="7240" w:type="dxa"/>
            <w:hideMark/>
          </w:tcPr>
          <w:p w14:paraId="7BACE6EC" w14:textId="77777777" w:rsidR="007B7029" w:rsidRPr="00916FA5" w:rsidDel="00FC5F26" w:rsidRDefault="007B7029" w:rsidP="0069051D">
            <w:pPr>
              <w:pStyle w:val="TableTextLeft"/>
              <w:rPr>
                <w:rFonts w:eastAsia="Calibri"/>
              </w:rPr>
            </w:pPr>
            <w:r w:rsidRPr="00916FA5" w:rsidDel="00FC5F26">
              <w:rPr>
                <w:rFonts w:eastAsia="Calibri"/>
              </w:rPr>
              <w:t>Alternat</w:t>
            </w:r>
            <w:r w:rsidDel="00FC5F26">
              <w:rPr>
                <w:rFonts w:eastAsia="Calibri"/>
              </w:rPr>
              <w:t>iv</w:t>
            </w:r>
            <w:r w:rsidRPr="00916FA5" w:rsidDel="00FC5F26">
              <w:rPr>
                <w:rFonts w:eastAsia="Calibri"/>
              </w:rPr>
              <w:t>e Dispute Resolution </w:t>
            </w:r>
          </w:p>
        </w:tc>
      </w:tr>
      <w:tr w:rsidR="007B7029" w:rsidRPr="00916FA5" w:rsidDel="00FC5F26" w14:paraId="6689E4FB"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00733227" w14:textId="77777777" w:rsidR="007B7029" w:rsidRPr="00916FA5" w:rsidDel="00FC5F26" w:rsidRDefault="007B7029" w:rsidP="0069051D">
            <w:pPr>
              <w:pStyle w:val="TableTextLeft"/>
              <w:rPr>
                <w:rStyle w:val="Strong"/>
                <w:rFonts w:eastAsia="Calibri"/>
              </w:rPr>
            </w:pPr>
            <w:r>
              <w:rPr>
                <w:rStyle w:val="Strong"/>
                <w:rFonts w:eastAsia="Calibri"/>
              </w:rPr>
              <w:t>Advocacy team</w:t>
            </w:r>
          </w:p>
        </w:tc>
        <w:tc>
          <w:tcPr>
            <w:tcW w:w="7240" w:type="dxa"/>
          </w:tcPr>
          <w:p w14:paraId="5E57BA10" w14:textId="77777777" w:rsidR="007B7029" w:rsidRPr="00916FA5" w:rsidDel="00FC5F26" w:rsidRDefault="007B7029" w:rsidP="0069051D">
            <w:pPr>
              <w:pStyle w:val="TableTextLeft"/>
              <w:rPr>
                <w:rFonts w:eastAsia="Calibri"/>
              </w:rPr>
            </w:pPr>
            <w:r>
              <w:rPr>
                <w:rFonts w:eastAsia="Calibri"/>
              </w:rPr>
              <w:t>Policy and Advocacy team</w:t>
            </w:r>
          </w:p>
        </w:tc>
      </w:tr>
      <w:tr w:rsidR="007B7029" w:rsidRPr="00916FA5" w:rsidDel="00FC5F26" w14:paraId="5E4BE972"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53226F70"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AFCA </w:t>
            </w:r>
          </w:p>
        </w:tc>
        <w:tc>
          <w:tcPr>
            <w:tcW w:w="7240" w:type="dxa"/>
            <w:hideMark/>
          </w:tcPr>
          <w:p w14:paraId="6B19F7FF" w14:textId="77777777" w:rsidR="007B7029" w:rsidRPr="00916FA5" w:rsidDel="00FC5F26" w:rsidRDefault="007B7029" w:rsidP="0069051D">
            <w:pPr>
              <w:pStyle w:val="TableTextLeft"/>
              <w:rPr>
                <w:rFonts w:eastAsia="Calibri"/>
              </w:rPr>
            </w:pPr>
            <w:r w:rsidRPr="00916FA5" w:rsidDel="00FC5F26">
              <w:rPr>
                <w:rFonts w:eastAsia="Calibri"/>
              </w:rPr>
              <w:t>Australian Financial Complaints Authority </w:t>
            </w:r>
          </w:p>
        </w:tc>
      </w:tr>
      <w:tr w:rsidR="007B7029" w:rsidRPr="00916FA5" w:rsidDel="00FC5F26" w14:paraId="67B13FFA"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2147A557" w14:textId="77777777" w:rsidR="007B7029" w:rsidRPr="00916FA5" w:rsidDel="00FC5F26" w:rsidRDefault="007B7029" w:rsidP="0069051D">
            <w:pPr>
              <w:pStyle w:val="TableTextLeft"/>
              <w:rPr>
                <w:rStyle w:val="Strong"/>
                <w:rFonts w:eastAsia="Calibri"/>
              </w:rPr>
            </w:pPr>
            <w:r>
              <w:rPr>
                <w:rStyle w:val="Strong"/>
                <w:rFonts w:eastAsia="Calibri"/>
              </w:rPr>
              <w:t>AMDRAS</w:t>
            </w:r>
          </w:p>
        </w:tc>
        <w:tc>
          <w:tcPr>
            <w:tcW w:w="7240" w:type="dxa"/>
          </w:tcPr>
          <w:p w14:paraId="549EB5CC" w14:textId="77777777" w:rsidR="007B7029" w:rsidRPr="00916FA5" w:rsidDel="00FC5F26" w:rsidRDefault="007B7029" w:rsidP="0069051D">
            <w:pPr>
              <w:pStyle w:val="TableTextLeft"/>
              <w:rPr>
                <w:rFonts w:eastAsia="Calibri"/>
              </w:rPr>
            </w:pPr>
            <w:r w:rsidRPr="007341A1">
              <w:rPr>
                <w:rFonts w:eastAsia="Calibri"/>
              </w:rPr>
              <w:t>Australian Mediator and Dispute Resolution Accreditation Standards</w:t>
            </w:r>
          </w:p>
        </w:tc>
      </w:tr>
      <w:tr w:rsidR="007B7029" w:rsidRPr="00916FA5" w:rsidDel="00FC5F26" w14:paraId="7DC187D8"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15F0571A"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APS </w:t>
            </w:r>
          </w:p>
        </w:tc>
        <w:tc>
          <w:tcPr>
            <w:tcW w:w="7240" w:type="dxa"/>
            <w:hideMark/>
          </w:tcPr>
          <w:p w14:paraId="404A4EE5" w14:textId="77777777" w:rsidR="007B7029" w:rsidRPr="00916FA5" w:rsidDel="00FC5F26" w:rsidRDefault="007B7029" w:rsidP="0069051D">
            <w:pPr>
              <w:pStyle w:val="TableTextLeft"/>
              <w:rPr>
                <w:rFonts w:eastAsia="Calibri"/>
              </w:rPr>
            </w:pPr>
            <w:r w:rsidRPr="00916FA5" w:rsidDel="00FC5F26">
              <w:rPr>
                <w:rFonts w:eastAsia="Calibri"/>
              </w:rPr>
              <w:t>Australian Public Service </w:t>
            </w:r>
          </w:p>
        </w:tc>
      </w:tr>
      <w:tr w:rsidR="007B7029" w:rsidRPr="00916FA5" w:rsidDel="00FC5F26" w14:paraId="5D7E6314"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048575D0"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ART </w:t>
            </w:r>
          </w:p>
        </w:tc>
        <w:tc>
          <w:tcPr>
            <w:tcW w:w="7240" w:type="dxa"/>
            <w:hideMark/>
          </w:tcPr>
          <w:p w14:paraId="0F056849" w14:textId="77777777" w:rsidR="007B7029" w:rsidRPr="00916FA5" w:rsidDel="00FC5F26" w:rsidRDefault="007B7029" w:rsidP="0069051D">
            <w:pPr>
              <w:pStyle w:val="TableTextLeft"/>
              <w:rPr>
                <w:rFonts w:eastAsia="Calibri"/>
              </w:rPr>
            </w:pPr>
            <w:r w:rsidRPr="00916FA5" w:rsidDel="00FC5F26">
              <w:rPr>
                <w:rFonts w:eastAsia="Calibri"/>
              </w:rPr>
              <w:t>Administrative Review Tribunal </w:t>
            </w:r>
          </w:p>
        </w:tc>
      </w:tr>
      <w:tr w:rsidR="007B7029" w:rsidRPr="00916FA5" w:rsidDel="00FC5F26" w14:paraId="5CB84773"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54ABD6B3"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ASBFEO  </w:t>
            </w:r>
          </w:p>
        </w:tc>
        <w:tc>
          <w:tcPr>
            <w:tcW w:w="7240" w:type="dxa"/>
            <w:hideMark/>
          </w:tcPr>
          <w:p w14:paraId="5F586219" w14:textId="77777777" w:rsidR="007B7029" w:rsidRPr="00916FA5" w:rsidDel="00FC5F26" w:rsidRDefault="007B7029" w:rsidP="0069051D">
            <w:pPr>
              <w:pStyle w:val="TableTextLeft"/>
              <w:rPr>
                <w:rFonts w:eastAsia="Calibri"/>
              </w:rPr>
            </w:pPr>
            <w:r w:rsidRPr="00916FA5" w:rsidDel="00FC5F26">
              <w:rPr>
                <w:rFonts w:eastAsia="Calibri"/>
              </w:rPr>
              <w:t>Australian Small Business and Family Enterprise Ombudsman </w:t>
            </w:r>
          </w:p>
        </w:tc>
      </w:tr>
      <w:tr w:rsidR="007B7029" w:rsidRPr="00916FA5" w:rsidDel="00FC5F26" w14:paraId="1DC071C5"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2499F5F9" w14:textId="77777777" w:rsidR="007B7029" w:rsidRPr="00916FA5" w:rsidDel="00FC5F26" w:rsidRDefault="007B7029" w:rsidP="0069051D">
            <w:pPr>
              <w:pStyle w:val="TableTextLeft"/>
              <w:rPr>
                <w:rStyle w:val="Strong"/>
                <w:rFonts w:eastAsia="Calibri"/>
              </w:rPr>
            </w:pPr>
            <w:r>
              <w:rPr>
                <w:rStyle w:val="Strong"/>
                <w:rFonts w:eastAsia="Calibri"/>
              </w:rPr>
              <w:t>ASBO</w:t>
            </w:r>
          </w:p>
        </w:tc>
        <w:tc>
          <w:tcPr>
            <w:tcW w:w="7240" w:type="dxa"/>
          </w:tcPr>
          <w:p w14:paraId="417E1A36" w14:textId="77777777" w:rsidR="007B7029" w:rsidRPr="00916FA5" w:rsidDel="00FC5F26" w:rsidRDefault="007B7029" w:rsidP="0069051D">
            <w:pPr>
              <w:pStyle w:val="TableTextLeft"/>
              <w:rPr>
                <w:rFonts w:eastAsia="Calibri"/>
              </w:rPr>
            </w:pPr>
            <w:r w:rsidRPr="004121E3">
              <w:rPr>
                <w:rFonts w:eastAsia="Calibri"/>
              </w:rPr>
              <w:t>Asbestos and Small Business Ombudsman (</w:t>
            </w:r>
            <w:r>
              <w:rPr>
                <w:rFonts w:eastAsia="Calibri"/>
              </w:rPr>
              <w:t>United States</w:t>
            </w:r>
            <w:r w:rsidRPr="004121E3">
              <w:rPr>
                <w:rFonts w:eastAsia="Calibri"/>
              </w:rPr>
              <w:t>)</w:t>
            </w:r>
          </w:p>
        </w:tc>
      </w:tr>
      <w:tr w:rsidR="007B7029" w:rsidRPr="00916FA5" w:rsidDel="00FC5F26" w14:paraId="24016B9E"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tcPr>
          <w:p w14:paraId="7AD95879" w14:textId="77777777" w:rsidR="007B7029" w:rsidRPr="00916FA5" w:rsidDel="00FC5F26" w:rsidRDefault="007B7029" w:rsidP="0069051D">
            <w:pPr>
              <w:pStyle w:val="TableTextLeft"/>
              <w:rPr>
                <w:rStyle w:val="Strong"/>
                <w:rFonts w:eastAsia="Calibri"/>
              </w:rPr>
            </w:pPr>
            <w:r w:rsidDel="00FC5F26">
              <w:rPr>
                <w:rStyle w:val="Strong"/>
                <w:rFonts w:eastAsia="Calibri"/>
              </w:rPr>
              <w:t>ASIC</w:t>
            </w:r>
          </w:p>
        </w:tc>
        <w:tc>
          <w:tcPr>
            <w:tcW w:w="7240" w:type="dxa"/>
          </w:tcPr>
          <w:p w14:paraId="7F2405DA" w14:textId="77777777" w:rsidR="007B7029" w:rsidRPr="00916FA5" w:rsidDel="00FC5F26" w:rsidRDefault="007B7029" w:rsidP="0069051D">
            <w:pPr>
              <w:pStyle w:val="TableTextLeft"/>
              <w:rPr>
                <w:rFonts w:eastAsia="Calibri"/>
              </w:rPr>
            </w:pPr>
            <w:r w:rsidRPr="004102A6" w:rsidDel="00FC5F26">
              <w:t>Australian Securities and Investments Commission</w:t>
            </w:r>
          </w:p>
        </w:tc>
      </w:tr>
      <w:tr w:rsidR="007B7029" w:rsidRPr="00916FA5" w:rsidDel="00FC5F26" w14:paraId="0EF69611"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658A43C5" w14:textId="77777777" w:rsidR="007B7029" w:rsidDel="00FC5F26" w:rsidRDefault="007B7029" w:rsidP="0069051D">
            <w:pPr>
              <w:pStyle w:val="TableTextLeft"/>
              <w:rPr>
                <w:rStyle w:val="Strong"/>
                <w:rFonts w:eastAsia="Calibri"/>
              </w:rPr>
            </w:pPr>
            <w:r>
              <w:rPr>
                <w:rStyle w:val="Strong"/>
                <w:rFonts w:eastAsia="Calibri"/>
              </w:rPr>
              <w:t>Assistance team</w:t>
            </w:r>
          </w:p>
        </w:tc>
        <w:tc>
          <w:tcPr>
            <w:tcW w:w="7240" w:type="dxa"/>
          </w:tcPr>
          <w:p w14:paraId="0456BF53" w14:textId="77777777" w:rsidR="007B7029" w:rsidRPr="004102A6" w:rsidDel="00FC5F26" w:rsidRDefault="007B7029" w:rsidP="0069051D">
            <w:pPr>
              <w:pStyle w:val="TableTextLeft"/>
            </w:pPr>
            <w:r w:rsidRPr="004102A6">
              <w:t>Information and Assistance team</w:t>
            </w:r>
          </w:p>
        </w:tc>
      </w:tr>
      <w:tr w:rsidR="007B7029" w:rsidRPr="00916FA5" w:rsidDel="00FC5F26" w14:paraId="64472E83"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24E7C585"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ATO </w:t>
            </w:r>
          </w:p>
        </w:tc>
        <w:tc>
          <w:tcPr>
            <w:tcW w:w="7240" w:type="dxa"/>
            <w:hideMark/>
          </w:tcPr>
          <w:p w14:paraId="6A9153C2" w14:textId="77777777" w:rsidR="007B7029" w:rsidRPr="00916FA5" w:rsidDel="00FC5F26" w:rsidRDefault="007B7029" w:rsidP="0069051D">
            <w:pPr>
              <w:pStyle w:val="TableTextLeft"/>
              <w:rPr>
                <w:rFonts w:eastAsia="Calibri"/>
              </w:rPr>
            </w:pPr>
            <w:r w:rsidRPr="00916FA5" w:rsidDel="00FC5F26">
              <w:rPr>
                <w:rFonts w:eastAsia="Calibri"/>
              </w:rPr>
              <w:t>Australian Taxation Office </w:t>
            </w:r>
          </w:p>
        </w:tc>
      </w:tr>
      <w:tr w:rsidR="007B7029" w:rsidRPr="00916FA5" w:rsidDel="00FC5F26" w14:paraId="37A09DCA"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19D04D28" w14:textId="77777777" w:rsidR="007B7029" w:rsidRPr="00916FA5" w:rsidDel="00FC5F26" w:rsidRDefault="007B7029" w:rsidP="0069051D">
            <w:pPr>
              <w:pStyle w:val="TableTextLeft"/>
              <w:rPr>
                <w:rStyle w:val="Strong"/>
                <w:rFonts w:eastAsia="Calibri"/>
              </w:rPr>
            </w:pPr>
            <w:r>
              <w:rPr>
                <w:rStyle w:val="Strong"/>
                <w:rFonts w:eastAsia="Calibri"/>
              </w:rPr>
              <w:t>CA ANZ</w:t>
            </w:r>
          </w:p>
        </w:tc>
        <w:tc>
          <w:tcPr>
            <w:tcW w:w="7240" w:type="dxa"/>
          </w:tcPr>
          <w:p w14:paraId="672CAAC8" w14:textId="77777777" w:rsidR="007B7029" w:rsidRPr="00916FA5" w:rsidDel="00FC5F26" w:rsidRDefault="007B7029" w:rsidP="0069051D">
            <w:pPr>
              <w:pStyle w:val="TableTextLeft"/>
              <w:rPr>
                <w:rFonts w:eastAsia="Calibri"/>
              </w:rPr>
            </w:pPr>
            <w:r w:rsidRPr="001F4B43">
              <w:t>Chartered Accountants Australia and New Zealand</w:t>
            </w:r>
          </w:p>
        </w:tc>
      </w:tr>
      <w:tr w:rsidR="007B7029" w:rsidRPr="00916FA5" w:rsidDel="00FC5F26" w14:paraId="51F73339"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27D20DC6" w14:textId="77777777" w:rsidR="007B7029" w:rsidRPr="00916FA5" w:rsidDel="00FC5F26" w:rsidRDefault="007B7029" w:rsidP="0069051D">
            <w:pPr>
              <w:pStyle w:val="TableTextLeft"/>
              <w:rPr>
                <w:rStyle w:val="Strong"/>
                <w:rFonts w:eastAsia="Calibri"/>
              </w:rPr>
            </w:pPr>
            <w:r w:rsidRPr="00911C07" w:rsidDel="00FC5F26">
              <w:rPr>
                <w:rStyle w:val="Strong"/>
                <w:rFonts w:eastAsia="Calibri"/>
              </w:rPr>
              <w:t>CAFBA</w:t>
            </w:r>
            <w:r w:rsidRPr="00916FA5" w:rsidDel="00FC5F26">
              <w:rPr>
                <w:rStyle w:val="Strong"/>
                <w:rFonts w:eastAsia="Calibri"/>
              </w:rPr>
              <w:t> </w:t>
            </w:r>
          </w:p>
        </w:tc>
        <w:tc>
          <w:tcPr>
            <w:tcW w:w="7240" w:type="dxa"/>
            <w:hideMark/>
          </w:tcPr>
          <w:p w14:paraId="40673208" w14:textId="77777777" w:rsidR="007B7029" w:rsidRPr="00916FA5" w:rsidDel="00FC5F26" w:rsidRDefault="007B7029" w:rsidP="0069051D">
            <w:pPr>
              <w:pStyle w:val="TableTextLeft"/>
              <w:rPr>
                <w:rFonts w:eastAsia="Calibri"/>
              </w:rPr>
            </w:pPr>
            <w:r w:rsidRPr="00916FA5" w:rsidDel="00FC5F26">
              <w:rPr>
                <w:rFonts w:eastAsia="Calibri"/>
              </w:rPr>
              <w:t>Commercial &amp; Asset Finance Brokers Association of Australia </w:t>
            </w:r>
          </w:p>
        </w:tc>
      </w:tr>
      <w:tr w:rsidR="007B7029" w:rsidRPr="00916FA5" w:rsidDel="00FC5F26" w14:paraId="0B30CBCE"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1374F524"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CALD </w:t>
            </w:r>
          </w:p>
        </w:tc>
        <w:tc>
          <w:tcPr>
            <w:tcW w:w="7240" w:type="dxa"/>
            <w:hideMark/>
          </w:tcPr>
          <w:p w14:paraId="08ED1AFB" w14:textId="77777777" w:rsidR="007B7029" w:rsidRPr="00916FA5" w:rsidDel="00FC5F26" w:rsidRDefault="007B7029" w:rsidP="0069051D">
            <w:pPr>
              <w:pStyle w:val="TableTextLeft"/>
              <w:rPr>
                <w:rFonts w:eastAsia="Calibri"/>
              </w:rPr>
            </w:pPr>
            <w:r>
              <w:rPr>
                <w:rFonts w:eastAsia="Calibri"/>
              </w:rPr>
              <w:t>c</w:t>
            </w:r>
            <w:r w:rsidRPr="00916FA5" w:rsidDel="00FC5F26">
              <w:rPr>
                <w:rFonts w:eastAsia="Calibri"/>
              </w:rPr>
              <w:t>ulturally and linguistically diverse  </w:t>
            </w:r>
          </w:p>
        </w:tc>
      </w:tr>
      <w:tr w:rsidR="007B7029" w:rsidRPr="00916FA5" w14:paraId="15DE49A4"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tcPr>
          <w:p w14:paraId="6A074F49" w14:textId="77777777" w:rsidR="007B7029" w:rsidRPr="00916FA5" w:rsidRDefault="007B7029" w:rsidP="0069051D">
            <w:pPr>
              <w:pStyle w:val="TableTextLeft"/>
              <w:rPr>
                <w:rStyle w:val="Strong"/>
                <w:rFonts w:eastAsia="Calibri"/>
              </w:rPr>
            </w:pPr>
            <w:r>
              <w:rPr>
                <w:rStyle w:val="Strong"/>
                <w:rFonts w:eastAsia="Calibri"/>
              </w:rPr>
              <w:t>Case Manager</w:t>
            </w:r>
          </w:p>
        </w:tc>
        <w:tc>
          <w:tcPr>
            <w:tcW w:w="7240" w:type="dxa"/>
          </w:tcPr>
          <w:p w14:paraId="35799F3A" w14:textId="77777777" w:rsidR="007B7029" w:rsidRPr="00916FA5" w:rsidRDefault="007B7029" w:rsidP="0069051D">
            <w:pPr>
              <w:pStyle w:val="TableTextLeft"/>
              <w:rPr>
                <w:rFonts w:eastAsia="Calibri"/>
              </w:rPr>
            </w:pPr>
            <w:r w:rsidRPr="004102A6">
              <w:t xml:space="preserve">ASBFEO Case Manager </w:t>
            </w:r>
          </w:p>
        </w:tc>
      </w:tr>
      <w:tr w:rsidR="007B7029" w:rsidRPr="00916FA5" w:rsidDel="00FC5F26" w14:paraId="576FED98"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0BBBDCB1"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COSBOA </w:t>
            </w:r>
          </w:p>
        </w:tc>
        <w:tc>
          <w:tcPr>
            <w:tcW w:w="7240" w:type="dxa"/>
            <w:hideMark/>
          </w:tcPr>
          <w:p w14:paraId="410E2A0C" w14:textId="77777777" w:rsidR="007B7029" w:rsidRPr="00916FA5" w:rsidDel="00FC5F26" w:rsidRDefault="007B7029" w:rsidP="0069051D">
            <w:pPr>
              <w:pStyle w:val="TableTextLeft"/>
              <w:rPr>
                <w:rFonts w:eastAsia="Calibri"/>
              </w:rPr>
            </w:pPr>
            <w:r w:rsidRPr="00916FA5" w:rsidDel="00FC5F26">
              <w:rPr>
                <w:rFonts w:eastAsia="Calibri"/>
              </w:rPr>
              <w:t>Council of Small Business Organisations Australia   </w:t>
            </w:r>
          </w:p>
        </w:tc>
      </w:tr>
      <w:tr w:rsidR="007B7029" w:rsidRPr="00916FA5" w:rsidDel="00FC5F26" w14:paraId="2C442B46"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7BFAB4E2"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 xml:space="preserve">Data </w:t>
            </w:r>
            <w:r>
              <w:rPr>
                <w:rStyle w:val="Strong"/>
                <w:rFonts w:eastAsia="Calibri"/>
              </w:rPr>
              <w:t>t</w:t>
            </w:r>
            <w:r w:rsidRPr="00916FA5" w:rsidDel="00FC5F26">
              <w:rPr>
                <w:rStyle w:val="Strong"/>
                <w:rFonts w:eastAsia="Calibri"/>
              </w:rPr>
              <w:t>eam </w:t>
            </w:r>
          </w:p>
        </w:tc>
        <w:tc>
          <w:tcPr>
            <w:tcW w:w="7240" w:type="dxa"/>
            <w:hideMark/>
          </w:tcPr>
          <w:p w14:paraId="5BFA4C0B" w14:textId="77777777" w:rsidR="007B7029" w:rsidRPr="00916FA5" w:rsidDel="00FC5F26" w:rsidRDefault="007B7029" w:rsidP="0069051D">
            <w:pPr>
              <w:pStyle w:val="TableTextLeft"/>
              <w:rPr>
                <w:rFonts w:eastAsia="Calibri"/>
              </w:rPr>
            </w:pPr>
            <w:r w:rsidRPr="00916FA5" w:rsidDel="00FC5F26">
              <w:rPr>
                <w:rFonts w:eastAsia="Calibri"/>
              </w:rPr>
              <w:t xml:space="preserve">Economic and Data Analytics </w:t>
            </w:r>
            <w:r>
              <w:rPr>
                <w:rFonts w:eastAsia="Calibri"/>
              </w:rPr>
              <w:t>t</w:t>
            </w:r>
            <w:r w:rsidRPr="00916FA5" w:rsidDel="00FC5F26">
              <w:rPr>
                <w:rFonts w:eastAsia="Calibri"/>
              </w:rPr>
              <w:t>eam </w:t>
            </w:r>
          </w:p>
        </w:tc>
      </w:tr>
      <w:tr w:rsidR="007B7029" w:rsidRPr="00916FA5" w:rsidDel="00FC5F26" w14:paraId="0A0B808E"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4E3CD7C6"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DISR </w:t>
            </w:r>
          </w:p>
        </w:tc>
        <w:tc>
          <w:tcPr>
            <w:tcW w:w="7240" w:type="dxa"/>
            <w:hideMark/>
          </w:tcPr>
          <w:p w14:paraId="0F2E9B61" w14:textId="77777777" w:rsidR="007B7029" w:rsidRPr="00916FA5" w:rsidDel="00FC5F26" w:rsidRDefault="007B7029" w:rsidP="0069051D">
            <w:pPr>
              <w:pStyle w:val="TableTextLeft"/>
              <w:rPr>
                <w:rFonts w:eastAsia="Calibri"/>
              </w:rPr>
            </w:pPr>
            <w:r w:rsidRPr="00916FA5" w:rsidDel="00FC5F26">
              <w:rPr>
                <w:rFonts w:eastAsia="Calibri"/>
              </w:rPr>
              <w:t>Department of Industry Science and Resources </w:t>
            </w:r>
          </w:p>
        </w:tc>
      </w:tr>
      <w:tr w:rsidR="007B7029" w:rsidRPr="00916FA5" w:rsidDel="00FC5F26" w14:paraId="5DF83FF6"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764F706B"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DRA </w:t>
            </w:r>
          </w:p>
        </w:tc>
        <w:tc>
          <w:tcPr>
            <w:tcW w:w="7240" w:type="dxa"/>
            <w:hideMark/>
          </w:tcPr>
          <w:p w14:paraId="6098B8D9" w14:textId="77777777" w:rsidR="007B7029" w:rsidRPr="00916FA5" w:rsidDel="00FC5F26" w:rsidRDefault="007B7029" w:rsidP="0069051D">
            <w:pPr>
              <w:pStyle w:val="TableTextLeft"/>
              <w:rPr>
                <w:rFonts w:eastAsia="Calibri"/>
              </w:rPr>
            </w:pPr>
            <w:r w:rsidRPr="00916FA5" w:rsidDel="00FC5F26">
              <w:rPr>
                <w:rFonts w:eastAsia="Calibri"/>
              </w:rPr>
              <w:t>Disputes Resolution Adviser </w:t>
            </w:r>
          </w:p>
        </w:tc>
      </w:tr>
      <w:tr w:rsidR="007B7029" w:rsidRPr="00916FA5" w:rsidDel="00FC5F26" w14:paraId="4F77861A"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17BAA61F" w14:textId="77777777" w:rsidR="007B7029" w:rsidRPr="00916FA5" w:rsidDel="00FC5F26" w:rsidRDefault="007B7029" w:rsidP="0069051D">
            <w:pPr>
              <w:pStyle w:val="TableTextLeft"/>
              <w:rPr>
                <w:rStyle w:val="Strong"/>
                <w:rFonts w:eastAsia="Calibri"/>
              </w:rPr>
            </w:pPr>
            <w:r>
              <w:rPr>
                <w:rStyle w:val="Strong"/>
                <w:rFonts w:eastAsia="Calibri"/>
              </w:rPr>
              <w:t>EM</w:t>
            </w:r>
          </w:p>
        </w:tc>
        <w:tc>
          <w:tcPr>
            <w:tcW w:w="7240" w:type="dxa"/>
          </w:tcPr>
          <w:p w14:paraId="6E83C05C" w14:textId="77777777" w:rsidR="007B7029" w:rsidRPr="00916FA5" w:rsidDel="00FC5F26" w:rsidRDefault="007B7029" w:rsidP="0069051D">
            <w:pPr>
              <w:pStyle w:val="TableTextLeft"/>
              <w:rPr>
                <w:rFonts w:eastAsia="Calibri"/>
              </w:rPr>
            </w:pPr>
            <w:r>
              <w:rPr>
                <w:rFonts w:eastAsia="Aptos"/>
              </w:rPr>
              <w:t>Explanatory Memorandum</w:t>
            </w:r>
          </w:p>
        </w:tc>
      </w:tr>
      <w:tr w:rsidR="007B7029" w:rsidRPr="00916FA5" w:rsidDel="00FC5F26" w14:paraId="1AE53233"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tcPr>
          <w:p w14:paraId="376076E0" w14:textId="77777777" w:rsidR="007B7029" w:rsidRDefault="007B7029" w:rsidP="0069051D">
            <w:pPr>
              <w:pStyle w:val="TableTextLeft"/>
              <w:rPr>
                <w:rStyle w:val="Strong"/>
                <w:rFonts w:eastAsia="Calibri"/>
              </w:rPr>
            </w:pPr>
            <w:r>
              <w:rPr>
                <w:rStyle w:val="Strong"/>
                <w:rFonts w:eastAsia="Calibri"/>
              </w:rPr>
              <w:t>EPA</w:t>
            </w:r>
          </w:p>
        </w:tc>
        <w:tc>
          <w:tcPr>
            <w:tcW w:w="7240" w:type="dxa"/>
          </w:tcPr>
          <w:p w14:paraId="0ABD4AA4" w14:textId="77777777" w:rsidR="007B7029" w:rsidRDefault="007B7029" w:rsidP="0069051D">
            <w:pPr>
              <w:pStyle w:val="TableTextLeft"/>
              <w:rPr>
                <w:rFonts w:eastAsia="Aptos"/>
              </w:rPr>
            </w:pPr>
            <w:r w:rsidRPr="004102A6">
              <w:t>Environmental Protection Agency (United States)</w:t>
            </w:r>
          </w:p>
        </w:tc>
      </w:tr>
      <w:tr w:rsidR="007B7029" w:rsidRPr="00916FA5" w:rsidDel="00FC5F26" w14:paraId="75A2319C"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65C37FFA"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ESG </w:t>
            </w:r>
          </w:p>
        </w:tc>
        <w:tc>
          <w:tcPr>
            <w:tcW w:w="7240" w:type="dxa"/>
            <w:hideMark/>
          </w:tcPr>
          <w:p w14:paraId="18119588" w14:textId="77777777" w:rsidR="007B7029" w:rsidRPr="00916FA5" w:rsidDel="00FC5F26" w:rsidRDefault="007B7029" w:rsidP="0069051D">
            <w:pPr>
              <w:pStyle w:val="TableTextLeft"/>
              <w:rPr>
                <w:rFonts w:eastAsia="Calibri"/>
              </w:rPr>
            </w:pPr>
            <w:r>
              <w:rPr>
                <w:rFonts w:eastAsia="Calibri"/>
              </w:rPr>
              <w:t>e</w:t>
            </w:r>
            <w:r w:rsidRPr="00916FA5" w:rsidDel="00FC5F26">
              <w:rPr>
                <w:rFonts w:eastAsia="Calibri"/>
              </w:rPr>
              <w:t>nvironmental</w:t>
            </w:r>
            <w:r>
              <w:rPr>
                <w:rFonts w:eastAsia="Calibri"/>
              </w:rPr>
              <w:t>,</w:t>
            </w:r>
            <w:r w:rsidRPr="00916FA5" w:rsidDel="00FC5F26">
              <w:rPr>
                <w:rFonts w:eastAsia="Calibri"/>
              </w:rPr>
              <w:t xml:space="preserve"> social and governance  </w:t>
            </w:r>
          </w:p>
        </w:tc>
      </w:tr>
      <w:tr w:rsidR="007B7029" w:rsidRPr="00916FA5" w:rsidDel="00FC5F26" w14:paraId="21BBDD54"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6A561825"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FBA </w:t>
            </w:r>
          </w:p>
        </w:tc>
        <w:tc>
          <w:tcPr>
            <w:tcW w:w="7240" w:type="dxa"/>
            <w:hideMark/>
          </w:tcPr>
          <w:p w14:paraId="03E921A1" w14:textId="77777777" w:rsidR="007B7029" w:rsidRPr="00916FA5" w:rsidDel="00FC5F26" w:rsidRDefault="007B7029" w:rsidP="0069051D">
            <w:pPr>
              <w:pStyle w:val="TableTextLeft"/>
              <w:rPr>
                <w:rFonts w:eastAsia="Calibri"/>
              </w:rPr>
            </w:pPr>
            <w:r w:rsidRPr="00916FA5" w:rsidDel="00FC5F26">
              <w:rPr>
                <w:rFonts w:eastAsia="Calibri"/>
              </w:rPr>
              <w:t>Family Business Association </w:t>
            </w:r>
          </w:p>
        </w:tc>
      </w:tr>
      <w:tr w:rsidR="007B7029" w:rsidRPr="00916FA5" w14:paraId="29DDF9E2"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3F26B010" w14:textId="77777777" w:rsidR="007B7029" w:rsidRDefault="007B7029" w:rsidP="0069051D">
            <w:pPr>
              <w:pStyle w:val="TableTextLeft"/>
              <w:rPr>
                <w:rStyle w:val="Strong"/>
                <w:rFonts w:eastAsia="Calibri"/>
              </w:rPr>
            </w:pPr>
            <w:r>
              <w:rPr>
                <w:rStyle w:val="Strong"/>
                <w:rFonts w:eastAsia="Calibri"/>
              </w:rPr>
              <w:t>FOSSB</w:t>
            </w:r>
          </w:p>
        </w:tc>
        <w:tc>
          <w:tcPr>
            <w:tcW w:w="7240" w:type="dxa"/>
          </w:tcPr>
          <w:p w14:paraId="4A3D39C4" w14:textId="77777777" w:rsidR="007B7029" w:rsidRPr="00916FA5" w:rsidRDefault="007B7029" w:rsidP="0069051D">
            <w:pPr>
              <w:pStyle w:val="TableTextLeft"/>
            </w:pPr>
            <w:r w:rsidRPr="004102A6">
              <w:t>Financial Ombudsman Service for Small Business (United Kingdom)</w:t>
            </w:r>
          </w:p>
        </w:tc>
      </w:tr>
      <w:tr w:rsidR="007B7029" w:rsidRPr="00916FA5" w:rsidDel="00FC5F26" w14:paraId="49A5F9DA"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43C8193C"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FRAG </w:t>
            </w:r>
          </w:p>
        </w:tc>
        <w:tc>
          <w:tcPr>
            <w:tcW w:w="7240" w:type="dxa"/>
            <w:hideMark/>
          </w:tcPr>
          <w:p w14:paraId="6E7CED3C" w14:textId="77777777" w:rsidR="007B7029" w:rsidRPr="00916FA5" w:rsidDel="00FC5F26" w:rsidRDefault="007B7029" w:rsidP="0069051D">
            <w:pPr>
              <w:pStyle w:val="TableTextLeft"/>
              <w:rPr>
                <w:rFonts w:eastAsia="Calibri"/>
              </w:rPr>
            </w:pPr>
            <w:r w:rsidRPr="00916FA5" w:rsidDel="00FC5F26">
              <w:rPr>
                <w:rFonts w:eastAsia="Calibri"/>
              </w:rPr>
              <w:t>Federal Regulatory Agency Group </w:t>
            </w:r>
          </w:p>
        </w:tc>
      </w:tr>
      <w:tr w:rsidR="007B7029" w:rsidRPr="00916FA5" w:rsidDel="00FC5F26" w14:paraId="56FAA3A7"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7F6EFF20"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Franchising Review </w:t>
            </w:r>
          </w:p>
        </w:tc>
        <w:tc>
          <w:tcPr>
            <w:tcW w:w="7240" w:type="dxa"/>
            <w:hideMark/>
          </w:tcPr>
          <w:p w14:paraId="603E7425" w14:textId="77777777" w:rsidR="007B7029" w:rsidRPr="00916FA5" w:rsidDel="00FC5F26" w:rsidRDefault="007B7029" w:rsidP="0069051D">
            <w:pPr>
              <w:pStyle w:val="TableTextLeft"/>
              <w:rPr>
                <w:rFonts w:eastAsia="Calibri"/>
              </w:rPr>
            </w:pPr>
            <w:r w:rsidRPr="00916FA5" w:rsidDel="00FC5F26">
              <w:rPr>
                <w:rFonts w:eastAsia="Calibri"/>
              </w:rPr>
              <w:t>2023 Independent Review of the Franchising Code of Conduct </w:t>
            </w:r>
          </w:p>
        </w:tc>
      </w:tr>
      <w:tr w:rsidR="007B7029" w:rsidRPr="00916FA5" w:rsidDel="00FC5F26" w14:paraId="53987161"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6865334E"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FWO </w:t>
            </w:r>
          </w:p>
        </w:tc>
        <w:tc>
          <w:tcPr>
            <w:tcW w:w="7240" w:type="dxa"/>
            <w:hideMark/>
          </w:tcPr>
          <w:p w14:paraId="0D6E17EC" w14:textId="77777777" w:rsidR="007B7029" w:rsidRPr="00916FA5" w:rsidDel="00FC5F26" w:rsidRDefault="007B7029" w:rsidP="0069051D">
            <w:pPr>
              <w:pStyle w:val="TableTextLeft"/>
              <w:rPr>
                <w:rFonts w:eastAsia="Calibri"/>
              </w:rPr>
            </w:pPr>
            <w:r w:rsidRPr="00916FA5" w:rsidDel="00FC5F26">
              <w:rPr>
                <w:rFonts w:eastAsia="Calibri"/>
              </w:rPr>
              <w:t>Fair Work Ombudsman</w:t>
            </w:r>
          </w:p>
        </w:tc>
      </w:tr>
      <w:tr w:rsidR="007B7029" w:rsidRPr="00916FA5" w:rsidDel="00FC5F26" w14:paraId="28C526A6"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1A427C5E"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IGTO </w:t>
            </w:r>
          </w:p>
        </w:tc>
        <w:tc>
          <w:tcPr>
            <w:tcW w:w="7240" w:type="dxa"/>
            <w:hideMark/>
          </w:tcPr>
          <w:p w14:paraId="03A9EBBB" w14:textId="68D5D511" w:rsidR="007B7029" w:rsidRPr="00916FA5" w:rsidDel="00FC5F26" w:rsidRDefault="007B7029" w:rsidP="0069051D">
            <w:pPr>
              <w:pStyle w:val="TableTextLeft"/>
              <w:rPr>
                <w:rFonts w:eastAsia="Calibri"/>
              </w:rPr>
            </w:pPr>
            <w:r w:rsidRPr="00916FA5" w:rsidDel="00FC5F26">
              <w:rPr>
                <w:rFonts w:eastAsia="Calibri"/>
              </w:rPr>
              <w:t>Inspector</w:t>
            </w:r>
            <w:r w:rsidR="003A0D5E">
              <w:rPr>
                <w:rFonts w:eastAsia="Calibri"/>
              </w:rPr>
              <w:noBreakHyphen/>
            </w:r>
            <w:r w:rsidRPr="00916FA5" w:rsidDel="00FC5F26">
              <w:rPr>
                <w:rFonts w:eastAsia="Calibri"/>
              </w:rPr>
              <w:t>General of Taxation</w:t>
            </w:r>
            <w:r w:rsidRPr="004102A6" w:rsidDel="00FC5F26">
              <w:rPr>
                <w:rFonts w:eastAsia="Calibri"/>
              </w:rPr>
              <w:t> </w:t>
            </w:r>
            <w:r w:rsidRPr="00916FA5">
              <w:rPr>
                <w:rFonts w:eastAsia="Calibri"/>
              </w:rPr>
              <w:t>and Taxation</w:t>
            </w:r>
            <w:r w:rsidRPr="00916FA5" w:rsidDel="00FC5F26">
              <w:rPr>
                <w:rFonts w:eastAsia="Calibri"/>
              </w:rPr>
              <w:t xml:space="preserve"> Ombudsman</w:t>
            </w:r>
            <w:r w:rsidRPr="004102A6" w:rsidDel="00FC5F26">
              <w:rPr>
                <w:rFonts w:eastAsia="Calibri"/>
              </w:rPr>
              <w:t> </w:t>
            </w:r>
          </w:p>
        </w:tc>
      </w:tr>
      <w:tr w:rsidR="007B7029" w:rsidRPr="00916FA5" w:rsidDel="00FC5F26" w14:paraId="1A47442E"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2E686D3F"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IPA </w:t>
            </w:r>
          </w:p>
        </w:tc>
        <w:tc>
          <w:tcPr>
            <w:tcW w:w="7240" w:type="dxa"/>
            <w:hideMark/>
          </w:tcPr>
          <w:p w14:paraId="7733D38A" w14:textId="77777777" w:rsidR="007B7029" w:rsidRPr="00916FA5" w:rsidDel="00FC5F26" w:rsidRDefault="007B7029" w:rsidP="0069051D">
            <w:pPr>
              <w:pStyle w:val="TableTextLeft"/>
              <w:rPr>
                <w:rFonts w:eastAsia="Calibri"/>
              </w:rPr>
            </w:pPr>
            <w:r w:rsidRPr="00916FA5" w:rsidDel="00FC5F26">
              <w:rPr>
                <w:rFonts w:eastAsia="Calibri"/>
              </w:rPr>
              <w:t> Institute of Public Accountants</w:t>
            </w:r>
          </w:p>
        </w:tc>
      </w:tr>
      <w:tr w:rsidR="007B7029" w:rsidDel="00FC5F26" w14:paraId="5B682BA0"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3B0F53AE" w14:textId="77777777" w:rsidR="007B7029" w:rsidRPr="004102A6" w:rsidDel="00FC5F26" w:rsidRDefault="007B7029" w:rsidP="0069051D">
            <w:pPr>
              <w:pStyle w:val="TableTextLeft"/>
              <w:rPr>
                <w:rStyle w:val="Strong"/>
                <w:rFonts w:eastAsia="Calibri"/>
              </w:rPr>
            </w:pPr>
            <w:r w:rsidRPr="003727DA" w:rsidDel="00FC5F26">
              <w:rPr>
                <w:rStyle w:val="Strong"/>
                <w:rFonts w:eastAsia="Calibri"/>
              </w:rPr>
              <w:lastRenderedPageBreak/>
              <w:t>ISO</w:t>
            </w:r>
          </w:p>
        </w:tc>
        <w:tc>
          <w:tcPr>
            <w:tcW w:w="7240" w:type="dxa"/>
            <w:hideMark/>
          </w:tcPr>
          <w:p w14:paraId="560A122D" w14:textId="77777777" w:rsidR="007B7029" w:rsidDel="00FC5F26" w:rsidRDefault="007B7029" w:rsidP="0069051D">
            <w:pPr>
              <w:pStyle w:val="TableTextLeft"/>
              <w:rPr>
                <w:rFonts w:eastAsia="Calibri"/>
              </w:rPr>
            </w:pPr>
            <w:r w:rsidRPr="00894BB2" w:rsidDel="00FC5F26">
              <w:rPr>
                <w:rFonts w:eastAsia="Calibri"/>
              </w:rPr>
              <w:t>International Organi</w:t>
            </w:r>
            <w:r>
              <w:rPr>
                <w:rFonts w:eastAsia="Calibri"/>
              </w:rPr>
              <w:t>z</w:t>
            </w:r>
            <w:r w:rsidRPr="00894BB2" w:rsidDel="00FC5F26">
              <w:rPr>
                <w:rFonts w:eastAsia="Calibri"/>
              </w:rPr>
              <w:t>ation for Standardi</w:t>
            </w:r>
            <w:r>
              <w:rPr>
                <w:rFonts w:eastAsia="Calibri"/>
              </w:rPr>
              <w:t>z</w:t>
            </w:r>
            <w:r w:rsidRPr="00894BB2" w:rsidDel="00FC5F26">
              <w:rPr>
                <w:rFonts w:eastAsia="Calibri"/>
              </w:rPr>
              <w:t>ation</w:t>
            </w:r>
          </w:p>
        </w:tc>
      </w:tr>
      <w:tr w:rsidR="007B7029" w:rsidRPr="00916FA5" w:rsidDel="00FC5F26" w14:paraId="070AE017"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465E8CD0" w14:textId="77777777" w:rsidR="007B7029" w:rsidRPr="00916FA5" w:rsidDel="00FC5F26" w:rsidRDefault="007B7029" w:rsidP="0069051D">
            <w:pPr>
              <w:pStyle w:val="TableTextLeft"/>
              <w:rPr>
                <w:rStyle w:val="Strong"/>
                <w:rFonts w:eastAsia="Calibri"/>
              </w:rPr>
            </w:pPr>
            <w:r w:rsidRPr="00911C07" w:rsidDel="00FC5F26">
              <w:rPr>
                <w:rStyle w:val="Strong"/>
                <w:rFonts w:eastAsia="Calibri"/>
              </w:rPr>
              <w:t>ITECA</w:t>
            </w:r>
            <w:r w:rsidRPr="00916FA5" w:rsidDel="00FC5F26">
              <w:rPr>
                <w:rStyle w:val="Strong"/>
                <w:rFonts w:eastAsia="Calibri"/>
              </w:rPr>
              <w:t> </w:t>
            </w:r>
          </w:p>
        </w:tc>
        <w:tc>
          <w:tcPr>
            <w:tcW w:w="7240" w:type="dxa"/>
            <w:hideMark/>
          </w:tcPr>
          <w:p w14:paraId="344CF2C9" w14:textId="77777777" w:rsidR="007B7029" w:rsidRPr="00916FA5" w:rsidDel="00FC5F26" w:rsidRDefault="007B7029" w:rsidP="0069051D">
            <w:pPr>
              <w:pStyle w:val="TableTextLeft"/>
              <w:rPr>
                <w:rFonts w:eastAsia="Calibri"/>
              </w:rPr>
            </w:pPr>
            <w:r w:rsidRPr="00916FA5" w:rsidDel="00FC5F26">
              <w:rPr>
                <w:rFonts w:eastAsia="Calibri"/>
              </w:rPr>
              <w:t>Independent Tertiary Education Council Australia </w:t>
            </w:r>
          </w:p>
        </w:tc>
      </w:tr>
      <w:tr w:rsidR="007B7029" w:rsidRPr="00916FA5" w14:paraId="4BEBF265"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47438861" w14:textId="77777777" w:rsidR="007B7029" w:rsidRPr="00916FA5" w:rsidRDefault="007B7029" w:rsidP="0069051D">
            <w:pPr>
              <w:pStyle w:val="TableTextLeft"/>
              <w:rPr>
                <w:rStyle w:val="Strong"/>
                <w:rFonts w:eastAsia="Calibri"/>
              </w:rPr>
            </w:pPr>
            <w:r w:rsidRPr="00916FA5">
              <w:rPr>
                <w:rStyle w:val="Strong"/>
                <w:rFonts w:eastAsia="Calibri"/>
              </w:rPr>
              <w:t>MBIE</w:t>
            </w:r>
          </w:p>
        </w:tc>
        <w:tc>
          <w:tcPr>
            <w:tcW w:w="7240" w:type="dxa"/>
          </w:tcPr>
          <w:p w14:paraId="04D3C9A8" w14:textId="77777777" w:rsidR="007B7029" w:rsidRPr="00916FA5" w:rsidRDefault="007B7029" w:rsidP="0069051D">
            <w:pPr>
              <w:pStyle w:val="TableTextLeft"/>
              <w:rPr>
                <w:rFonts w:eastAsia="Calibri"/>
              </w:rPr>
            </w:pPr>
            <w:r w:rsidRPr="00916FA5">
              <w:t>Ministry of Business, Innovation and Employment (New Zealand)</w:t>
            </w:r>
          </w:p>
        </w:tc>
      </w:tr>
      <w:tr w:rsidR="007B7029" w:rsidRPr="00916FA5" w:rsidDel="00FC5F26" w14:paraId="16822A05"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35BEE7A8"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McCluskey Review </w:t>
            </w:r>
          </w:p>
        </w:tc>
        <w:tc>
          <w:tcPr>
            <w:tcW w:w="7240" w:type="dxa"/>
            <w:hideMark/>
          </w:tcPr>
          <w:p w14:paraId="77C9DF23" w14:textId="77777777" w:rsidR="007B7029" w:rsidRPr="00916FA5" w:rsidDel="00FC5F26" w:rsidRDefault="007B7029" w:rsidP="0069051D">
            <w:pPr>
              <w:pStyle w:val="TableTextLeft"/>
              <w:rPr>
                <w:rFonts w:eastAsia="Calibri"/>
              </w:rPr>
            </w:pPr>
            <w:r w:rsidRPr="00916FA5" w:rsidDel="00FC5F26">
              <w:rPr>
                <w:rFonts w:eastAsia="Calibri"/>
              </w:rPr>
              <w:t>2017 Review of the Australian Small Business and Family Enterprise Ombudsman </w:t>
            </w:r>
          </w:p>
        </w:tc>
      </w:tr>
      <w:tr w:rsidR="007B7029" w:rsidRPr="00916FA5" w:rsidDel="00FC5F26" w14:paraId="46D12C82"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1A92AF4D"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McGregor Review </w:t>
            </w:r>
          </w:p>
        </w:tc>
        <w:tc>
          <w:tcPr>
            <w:tcW w:w="7240" w:type="dxa"/>
            <w:hideMark/>
          </w:tcPr>
          <w:p w14:paraId="085BDA45" w14:textId="77777777" w:rsidR="007B7029" w:rsidRPr="00916FA5" w:rsidDel="00FC5F26" w:rsidRDefault="007B7029" w:rsidP="0069051D">
            <w:pPr>
              <w:pStyle w:val="TableTextLeft"/>
              <w:rPr>
                <w:rFonts w:eastAsia="Calibri"/>
              </w:rPr>
            </w:pPr>
            <w:r w:rsidRPr="00916FA5" w:rsidDel="00FC5F26">
              <w:rPr>
                <w:rFonts w:eastAsia="Calibri"/>
              </w:rPr>
              <w:t>2021 Review of the Australian Small Business and Family Enterprise Ombudsman </w:t>
            </w:r>
          </w:p>
        </w:tc>
      </w:tr>
      <w:tr w:rsidR="007B7029" w:rsidRPr="00916FA5" w14:paraId="5855F6EC"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tcPr>
          <w:p w14:paraId="61A54DD8" w14:textId="77777777" w:rsidR="007B7029" w:rsidRPr="00916FA5" w:rsidRDefault="007B7029" w:rsidP="0069051D">
            <w:pPr>
              <w:pStyle w:val="TableTextLeft"/>
              <w:rPr>
                <w:rStyle w:val="Strong"/>
                <w:rFonts w:eastAsia="Calibri"/>
              </w:rPr>
            </w:pPr>
            <w:r>
              <w:rPr>
                <w:rStyle w:val="Strong"/>
                <w:rFonts w:eastAsia="Calibri"/>
              </w:rPr>
              <w:t>MPS</w:t>
            </w:r>
          </w:p>
        </w:tc>
        <w:tc>
          <w:tcPr>
            <w:tcW w:w="7240" w:type="dxa"/>
          </w:tcPr>
          <w:p w14:paraId="1DA83069" w14:textId="77777777" w:rsidR="007B7029" w:rsidRPr="00916FA5" w:rsidRDefault="007B7029" w:rsidP="0069051D">
            <w:pPr>
              <w:pStyle w:val="TableTextLeft"/>
              <w:rPr>
                <w:rFonts w:eastAsia="Calibri"/>
              </w:rPr>
            </w:pPr>
            <w:r w:rsidRPr="00361868">
              <w:rPr>
                <w:rFonts w:eastAsia="Calibri"/>
              </w:rPr>
              <w:t>National Mediation Accreditation System Practice Standards</w:t>
            </w:r>
          </w:p>
        </w:tc>
      </w:tr>
      <w:tr w:rsidR="007B7029" w:rsidRPr="00916FA5" w:rsidDel="00FC5F26" w14:paraId="6C5140C3"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74EEA036"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MTAA </w:t>
            </w:r>
          </w:p>
        </w:tc>
        <w:tc>
          <w:tcPr>
            <w:tcW w:w="7240" w:type="dxa"/>
            <w:hideMark/>
          </w:tcPr>
          <w:p w14:paraId="018527B7" w14:textId="77777777" w:rsidR="007B7029" w:rsidRPr="00916FA5" w:rsidDel="00FC5F26" w:rsidRDefault="007B7029" w:rsidP="0069051D">
            <w:pPr>
              <w:pStyle w:val="TableTextLeft"/>
              <w:rPr>
                <w:rFonts w:eastAsia="Calibri"/>
              </w:rPr>
            </w:pPr>
            <w:r w:rsidRPr="00916FA5" w:rsidDel="00FC5F26">
              <w:rPr>
                <w:rFonts w:eastAsia="Calibri"/>
              </w:rPr>
              <w:t>Motor Trade</w:t>
            </w:r>
            <w:r w:rsidDel="00FC5F26">
              <w:rPr>
                <w:rFonts w:eastAsia="Calibri"/>
              </w:rPr>
              <w:t>s</w:t>
            </w:r>
            <w:r w:rsidRPr="00916FA5" w:rsidDel="00FC5F26">
              <w:rPr>
                <w:rFonts w:eastAsia="Calibri"/>
              </w:rPr>
              <w:t xml:space="preserve"> Association of Australia </w:t>
            </w:r>
          </w:p>
        </w:tc>
      </w:tr>
      <w:tr w:rsidR="007B7029" w:rsidRPr="00916FA5" w:rsidDel="00FC5F26" w14:paraId="7B722AE4"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042E7C45" w14:textId="77777777" w:rsidR="007B7029" w:rsidRPr="00916FA5" w:rsidDel="00FC5F26" w:rsidRDefault="007B7029" w:rsidP="0069051D">
            <w:pPr>
              <w:pStyle w:val="TableTextLeft"/>
              <w:rPr>
                <w:rStyle w:val="Strong"/>
                <w:rFonts w:eastAsia="Calibri"/>
              </w:rPr>
            </w:pPr>
            <w:r w:rsidRPr="00911C07" w:rsidDel="00FC5F26">
              <w:rPr>
                <w:rStyle w:val="Strong"/>
                <w:rFonts w:eastAsia="Calibri"/>
              </w:rPr>
              <w:t>NANA</w:t>
            </w:r>
            <w:r w:rsidRPr="00916FA5" w:rsidDel="00FC5F26">
              <w:rPr>
                <w:rStyle w:val="Strong"/>
                <w:rFonts w:eastAsia="Calibri"/>
              </w:rPr>
              <w:t> </w:t>
            </w:r>
          </w:p>
        </w:tc>
        <w:tc>
          <w:tcPr>
            <w:tcW w:w="7240" w:type="dxa"/>
            <w:hideMark/>
          </w:tcPr>
          <w:p w14:paraId="066212A6" w14:textId="77777777" w:rsidR="007B7029" w:rsidRPr="00916FA5" w:rsidDel="00FC5F26" w:rsidRDefault="007B7029" w:rsidP="0069051D">
            <w:pPr>
              <w:pStyle w:val="TableTextLeft"/>
              <w:rPr>
                <w:rFonts w:eastAsia="Calibri"/>
              </w:rPr>
            </w:pPr>
            <w:r w:rsidRPr="00916FA5" w:rsidDel="00FC5F26">
              <w:rPr>
                <w:rFonts w:eastAsia="Calibri"/>
              </w:rPr>
              <w:t>Newsagents Association of NSW &amp; ACT Limited </w:t>
            </w:r>
          </w:p>
        </w:tc>
      </w:tr>
      <w:tr w:rsidR="007B7029" w:rsidRPr="00916FA5" w:rsidDel="00FC5F26" w14:paraId="13B1C3DD"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65E45CB2" w14:textId="77777777" w:rsidR="007B7029" w:rsidRPr="00DE4FA5" w:rsidDel="00FC5F26" w:rsidRDefault="007B7029" w:rsidP="0069051D">
            <w:pPr>
              <w:pStyle w:val="TableTextLeft"/>
              <w:rPr>
                <w:rStyle w:val="Strong"/>
                <w:rFonts w:eastAsia="Calibri"/>
                <w:highlight w:val="yellow"/>
              </w:rPr>
            </w:pPr>
            <w:r w:rsidRPr="004C749D">
              <w:rPr>
                <w:rStyle w:val="Strong"/>
                <w:rFonts w:eastAsia="Calibri"/>
              </w:rPr>
              <w:t>NECA</w:t>
            </w:r>
          </w:p>
        </w:tc>
        <w:tc>
          <w:tcPr>
            <w:tcW w:w="7240" w:type="dxa"/>
          </w:tcPr>
          <w:p w14:paraId="04C4F9DA" w14:textId="77777777" w:rsidR="007B7029" w:rsidRPr="00916FA5" w:rsidDel="00FC5F26" w:rsidRDefault="007B7029" w:rsidP="0069051D">
            <w:pPr>
              <w:pStyle w:val="TableTextLeft"/>
              <w:rPr>
                <w:rFonts w:eastAsia="Calibri"/>
              </w:rPr>
            </w:pPr>
            <w:r w:rsidRPr="004102A6">
              <w:t>National Electrical and Communications Association</w:t>
            </w:r>
          </w:p>
        </w:tc>
      </w:tr>
      <w:tr w:rsidR="007B7029" w:rsidRPr="00916FA5" w:rsidDel="00FC5F26" w14:paraId="74E2A32C"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tcPr>
          <w:p w14:paraId="25B3BA72" w14:textId="77777777" w:rsidR="007B7029" w:rsidRPr="004C749D" w:rsidRDefault="007B7029" w:rsidP="0069051D">
            <w:pPr>
              <w:pStyle w:val="TableTextLeft"/>
              <w:rPr>
                <w:rStyle w:val="Strong"/>
                <w:rFonts w:eastAsia="Calibri"/>
              </w:rPr>
            </w:pPr>
            <w:r>
              <w:rPr>
                <w:rStyle w:val="Strong"/>
                <w:rFonts w:eastAsia="Calibri"/>
              </w:rPr>
              <w:t>NT</w:t>
            </w:r>
          </w:p>
        </w:tc>
        <w:tc>
          <w:tcPr>
            <w:tcW w:w="7240" w:type="dxa"/>
          </w:tcPr>
          <w:p w14:paraId="7B0473FD" w14:textId="77777777" w:rsidR="007B7029" w:rsidRPr="004102A6" w:rsidRDefault="007B7029" w:rsidP="0069051D">
            <w:pPr>
              <w:pStyle w:val="TableTextLeft"/>
            </w:pPr>
            <w:r w:rsidRPr="004102A6">
              <w:t>Northern Territory</w:t>
            </w:r>
          </w:p>
        </w:tc>
      </w:tr>
      <w:tr w:rsidR="007B7029" w:rsidRPr="00916FA5" w:rsidDel="00FC5F26" w14:paraId="18B75D37"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359ACF56"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OIA </w:t>
            </w:r>
          </w:p>
        </w:tc>
        <w:tc>
          <w:tcPr>
            <w:tcW w:w="7240" w:type="dxa"/>
            <w:hideMark/>
          </w:tcPr>
          <w:p w14:paraId="0F10F5EE" w14:textId="77777777" w:rsidR="007B7029" w:rsidRPr="00916FA5" w:rsidDel="00FC5F26" w:rsidRDefault="007B7029" w:rsidP="0069051D">
            <w:pPr>
              <w:pStyle w:val="TableTextLeft"/>
              <w:rPr>
                <w:rFonts w:eastAsia="Calibri"/>
              </w:rPr>
            </w:pPr>
            <w:r w:rsidRPr="00916FA5" w:rsidDel="00FC5F26">
              <w:rPr>
                <w:rFonts w:eastAsia="Calibri"/>
              </w:rPr>
              <w:t>Office of Impact Analysis  </w:t>
            </w:r>
          </w:p>
        </w:tc>
      </w:tr>
      <w:tr w:rsidR="007B7029" w:rsidRPr="00916FA5" w:rsidDel="00FC5F26" w14:paraId="47E261A0"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tcPr>
          <w:p w14:paraId="4D7FD1D5"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Ombudsman, the Ombudsman</w:t>
            </w:r>
          </w:p>
        </w:tc>
        <w:tc>
          <w:tcPr>
            <w:tcW w:w="7240" w:type="dxa"/>
          </w:tcPr>
          <w:p w14:paraId="3BA1C3D4" w14:textId="77777777" w:rsidR="007B7029" w:rsidRPr="00916FA5" w:rsidDel="00FC5F26" w:rsidRDefault="007B7029" w:rsidP="0069051D">
            <w:pPr>
              <w:pStyle w:val="TableTextLeft"/>
              <w:rPr>
                <w:rFonts w:eastAsia="Calibri"/>
              </w:rPr>
            </w:pPr>
            <w:r w:rsidRPr="00916FA5" w:rsidDel="00FC5F26">
              <w:rPr>
                <w:rFonts w:eastAsia="Calibri"/>
              </w:rPr>
              <w:t xml:space="preserve">The ASBFEO Ombudsman, currently </w:t>
            </w:r>
            <w:r>
              <w:rPr>
                <w:rFonts w:eastAsia="Calibri"/>
              </w:rPr>
              <w:t xml:space="preserve">the </w:t>
            </w:r>
            <w:r w:rsidRPr="00916FA5" w:rsidDel="00FC5F26">
              <w:rPr>
                <w:rFonts w:eastAsia="Calibri"/>
              </w:rPr>
              <w:t xml:space="preserve">Hon Bruce Billson </w:t>
            </w:r>
          </w:p>
        </w:tc>
      </w:tr>
      <w:tr w:rsidR="007B7029" w:rsidRPr="00916FA5" w14:paraId="16B10A22"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52C80726" w14:textId="77777777" w:rsidR="007B7029" w:rsidRPr="00916FA5" w:rsidRDefault="007B7029" w:rsidP="0069051D">
            <w:pPr>
              <w:pStyle w:val="TableTextLeft"/>
              <w:rPr>
                <w:rStyle w:val="Strong"/>
                <w:rFonts w:eastAsia="Calibri"/>
              </w:rPr>
            </w:pPr>
            <w:r w:rsidRPr="00916FA5">
              <w:rPr>
                <w:rStyle w:val="Strong"/>
                <w:rFonts w:eastAsia="Calibri"/>
              </w:rPr>
              <w:t>ONO</w:t>
            </w:r>
            <w:r w:rsidRPr="00916FA5" w:rsidDel="00A17CDB">
              <w:rPr>
                <w:rStyle w:val="Strong"/>
                <w:rFonts w:eastAsia="Calibri"/>
              </w:rPr>
              <w:t> </w:t>
            </w:r>
          </w:p>
        </w:tc>
        <w:tc>
          <w:tcPr>
            <w:tcW w:w="7240" w:type="dxa"/>
            <w:hideMark/>
          </w:tcPr>
          <w:p w14:paraId="5EC71658" w14:textId="77777777" w:rsidR="007B7029" w:rsidRPr="00916FA5" w:rsidRDefault="007B7029" w:rsidP="0069051D">
            <w:pPr>
              <w:pStyle w:val="TableTextLeft"/>
              <w:rPr>
                <w:rFonts w:eastAsia="Calibri"/>
              </w:rPr>
            </w:pPr>
            <w:r w:rsidRPr="00916FA5">
              <w:rPr>
                <w:rFonts w:eastAsia="Calibri"/>
              </w:rPr>
              <w:t>Office of the National Ombudsman (United States)</w:t>
            </w:r>
          </w:p>
        </w:tc>
      </w:tr>
      <w:tr w:rsidR="007B7029" w:rsidRPr="00916FA5" w14:paraId="1F96D0EE"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tcPr>
          <w:p w14:paraId="20DE7DDD" w14:textId="77777777" w:rsidR="007B7029" w:rsidRDefault="007B7029" w:rsidP="0069051D">
            <w:pPr>
              <w:pStyle w:val="TableTextLeft"/>
              <w:rPr>
                <w:rStyle w:val="Strong"/>
                <w:rFonts w:eastAsia="Calibri"/>
              </w:rPr>
            </w:pPr>
            <w:r>
              <w:rPr>
                <w:rStyle w:val="Strong"/>
                <w:rFonts w:eastAsia="Calibri"/>
              </w:rPr>
              <w:t>OPO</w:t>
            </w:r>
          </w:p>
        </w:tc>
        <w:tc>
          <w:tcPr>
            <w:tcW w:w="7240" w:type="dxa"/>
          </w:tcPr>
          <w:p w14:paraId="128F5404" w14:textId="77777777" w:rsidR="007B7029" w:rsidRPr="00916FA5" w:rsidRDefault="007B7029" w:rsidP="0069051D">
            <w:pPr>
              <w:pStyle w:val="TableTextLeft"/>
            </w:pPr>
            <w:r w:rsidRPr="004102A6">
              <w:t>Office of Procurement Ombudsman (Canada)</w:t>
            </w:r>
          </w:p>
        </w:tc>
      </w:tr>
      <w:tr w:rsidR="007B7029" w:rsidRPr="00916FA5" w14:paraId="23834053"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77DA0C21" w14:textId="77777777" w:rsidR="007B7029" w:rsidRDefault="007B7029" w:rsidP="0069051D">
            <w:pPr>
              <w:pStyle w:val="TableTextLeft"/>
              <w:rPr>
                <w:rStyle w:val="Strong"/>
                <w:rFonts w:eastAsia="Calibri"/>
              </w:rPr>
            </w:pPr>
            <w:r>
              <w:rPr>
                <w:rStyle w:val="Strong"/>
                <w:rFonts w:eastAsia="Calibri"/>
              </w:rPr>
              <w:t>OSBC</w:t>
            </w:r>
          </w:p>
        </w:tc>
        <w:tc>
          <w:tcPr>
            <w:tcW w:w="7240" w:type="dxa"/>
          </w:tcPr>
          <w:p w14:paraId="03104DBF" w14:textId="77777777" w:rsidR="007B7029" w:rsidRPr="004102A6" w:rsidRDefault="007B7029" w:rsidP="0069051D">
            <w:pPr>
              <w:pStyle w:val="TableTextLeft"/>
            </w:pPr>
            <w:r w:rsidRPr="004102A6">
              <w:t>Office of the Small Business Commissioner (United Kingdom)</w:t>
            </w:r>
          </w:p>
        </w:tc>
      </w:tr>
      <w:tr w:rsidR="007B7029" w:rsidRPr="00916FA5" w:rsidDel="00FC5F26" w14:paraId="05B39824"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7D4782DF"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OSSB </w:t>
            </w:r>
          </w:p>
        </w:tc>
        <w:tc>
          <w:tcPr>
            <w:tcW w:w="7240" w:type="dxa"/>
            <w:hideMark/>
          </w:tcPr>
          <w:p w14:paraId="3B74AA3C" w14:textId="77777777" w:rsidR="007B7029" w:rsidRPr="00916FA5" w:rsidDel="00FC5F26" w:rsidRDefault="007B7029" w:rsidP="0069051D">
            <w:pPr>
              <w:pStyle w:val="TableTextLeft"/>
              <w:rPr>
                <w:rFonts w:eastAsia="Calibri"/>
              </w:rPr>
            </w:pPr>
            <w:r w:rsidRPr="00916FA5" w:rsidDel="00B3334C">
              <w:t xml:space="preserve">The </w:t>
            </w:r>
            <w:r w:rsidRPr="00916FA5" w:rsidDel="00FC5F26">
              <w:t>Financial Ombudsman Service for Small Business</w:t>
            </w:r>
            <w:r w:rsidRPr="00916FA5" w:rsidDel="00FC5F26">
              <w:rPr>
                <w:rFonts w:eastAsia="Calibri"/>
              </w:rPr>
              <w:t xml:space="preserve"> (United Kingdom) </w:t>
            </w:r>
          </w:p>
        </w:tc>
      </w:tr>
      <w:tr w:rsidR="007B7029" w:rsidRPr="00916FA5" w:rsidDel="00FC5F26" w14:paraId="46194FBA"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55E05679"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PGPA Act </w:t>
            </w:r>
          </w:p>
        </w:tc>
        <w:tc>
          <w:tcPr>
            <w:tcW w:w="7240" w:type="dxa"/>
            <w:hideMark/>
          </w:tcPr>
          <w:p w14:paraId="1A623F0B" w14:textId="77777777" w:rsidR="007B7029" w:rsidRPr="004102A6" w:rsidDel="00FC5F26" w:rsidRDefault="007B7029" w:rsidP="0069051D">
            <w:pPr>
              <w:pStyle w:val="TableTextLeft"/>
              <w:rPr>
                <w:rFonts w:eastAsia="Calibri"/>
              </w:rPr>
            </w:pPr>
            <w:r w:rsidRPr="004102A6" w:rsidDel="00FC5F26">
              <w:rPr>
                <w:rFonts w:eastAsia="Calibri"/>
              </w:rPr>
              <w:t>Public Governance, Performance and Accountability Act 2013 </w:t>
            </w:r>
            <w:r w:rsidRPr="00833D5F">
              <w:rPr>
                <w:rFonts w:eastAsia="Calibri"/>
              </w:rPr>
              <w:t>(</w:t>
            </w:r>
            <w:proofErr w:type="spellStart"/>
            <w:r w:rsidRPr="00833D5F">
              <w:rPr>
                <w:rFonts w:eastAsia="Calibri"/>
              </w:rPr>
              <w:t>Cth</w:t>
            </w:r>
            <w:proofErr w:type="spellEnd"/>
            <w:r w:rsidRPr="00833D5F">
              <w:rPr>
                <w:rFonts w:eastAsia="Calibri"/>
              </w:rPr>
              <w:t>)</w:t>
            </w:r>
          </w:p>
        </w:tc>
      </w:tr>
      <w:tr w:rsidR="007B7029" w:rsidRPr="00916FA5" w14:paraId="3F417613"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tcPr>
          <w:p w14:paraId="54147E64" w14:textId="77777777" w:rsidR="007B7029" w:rsidRDefault="007B7029" w:rsidP="0069051D">
            <w:pPr>
              <w:pStyle w:val="TableTextLeft"/>
              <w:rPr>
                <w:rStyle w:val="Strong"/>
                <w:rFonts w:eastAsia="Calibri"/>
              </w:rPr>
            </w:pPr>
            <w:r>
              <w:rPr>
                <w:rStyle w:val="Strong"/>
                <w:rFonts w:eastAsia="Calibri"/>
              </w:rPr>
              <w:t>Public Service Act</w:t>
            </w:r>
          </w:p>
        </w:tc>
        <w:tc>
          <w:tcPr>
            <w:tcW w:w="7240" w:type="dxa"/>
          </w:tcPr>
          <w:p w14:paraId="3141AAC8" w14:textId="77777777" w:rsidR="007B7029" w:rsidRPr="004102A6" w:rsidRDefault="007B7029" w:rsidP="0069051D">
            <w:pPr>
              <w:pStyle w:val="TableTextLeft"/>
            </w:pPr>
            <w:r w:rsidRPr="004102A6">
              <w:rPr>
                <w:rStyle w:val="Emphasis"/>
                <w:i w:val="0"/>
              </w:rPr>
              <w:t>Public Service Act 1999</w:t>
            </w:r>
            <w:r w:rsidRPr="004102A6">
              <w:t xml:space="preserve"> (</w:t>
            </w:r>
            <w:proofErr w:type="spellStart"/>
            <w:r w:rsidRPr="004102A6">
              <w:t>Cth</w:t>
            </w:r>
            <w:proofErr w:type="spellEnd"/>
            <w:r w:rsidRPr="004102A6">
              <w:t>)</w:t>
            </w:r>
          </w:p>
        </w:tc>
      </w:tr>
      <w:tr w:rsidR="007B7029" w:rsidRPr="00916FA5" w14:paraId="6C1E27C1"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4D5B9250" w14:textId="77777777" w:rsidR="007B7029" w:rsidRDefault="007B7029" w:rsidP="0069051D">
            <w:pPr>
              <w:pStyle w:val="TableTextLeft"/>
              <w:rPr>
                <w:rStyle w:val="Strong"/>
                <w:rFonts w:eastAsia="Calibri"/>
              </w:rPr>
            </w:pPr>
            <w:r>
              <w:rPr>
                <w:rStyle w:val="Strong"/>
                <w:rFonts w:eastAsia="Calibri"/>
              </w:rPr>
              <w:t>QSBC</w:t>
            </w:r>
          </w:p>
        </w:tc>
        <w:tc>
          <w:tcPr>
            <w:tcW w:w="7240" w:type="dxa"/>
          </w:tcPr>
          <w:p w14:paraId="4D08F7FB" w14:textId="77777777" w:rsidR="007B7029" w:rsidRPr="00916FA5" w:rsidRDefault="007B7029" w:rsidP="0069051D">
            <w:pPr>
              <w:pStyle w:val="TableTextLeft"/>
            </w:pPr>
            <w:r w:rsidRPr="00C059D3">
              <w:t>Queensland Small Business Commissioner</w:t>
            </w:r>
          </w:p>
        </w:tc>
      </w:tr>
      <w:tr w:rsidR="007B7029" w:rsidDel="00FC5F26" w14:paraId="48F6D9CF"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tcPr>
          <w:p w14:paraId="5BE81391" w14:textId="77777777" w:rsidR="007B7029" w:rsidRPr="4C09DE39" w:rsidDel="00FC5F26" w:rsidRDefault="007B7029" w:rsidP="0069051D">
            <w:pPr>
              <w:pStyle w:val="TableTextLeft"/>
              <w:rPr>
                <w:rStyle w:val="Strong"/>
                <w:rFonts w:eastAsia="Calibri"/>
              </w:rPr>
            </w:pPr>
            <w:r w:rsidDel="00FC5F26">
              <w:rPr>
                <w:rStyle w:val="Strong"/>
                <w:rFonts w:eastAsia="Calibri"/>
              </w:rPr>
              <w:t xml:space="preserve">Review </w:t>
            </w:r>
            <w:r>
              <w:rPr>
                <w:rStyle w:val="Strong"/>
                <w:rFonts w:eastAsia="Calibri"/>
              </w:rPr>
              <w:t>t</w:t>
            </w:r>
            <w:r w:rsidDel="00FC5F26">
              <w:rPr>
                <w:rStyle w:val="Strong"/>
                <w:rFonts w:eastAsia="Calibri"/>
              </w:rPr>
              <w:t>eam</w:t>
            </w:r>
          </w:p>
        </w:tc>
        <w:tc>
          <w:tcPr>
            <w:tcW w:w="7240" w:type="dxa"/>
          </w:tcPr>
          <w:p w14:paraId="714396A3" w14:textId="2A3DBEF2" w:rsidR="007B7029" w:rsidRPr="3AE57565" w:rsidDel="00FC5F26" w:rsidRDefault="007B7029" w:rsidP="0069051D">
            <w:pPr>
              <w:pStyle w:val="TableTextLeft"/>
              <w:rPr>
                <w:rFonts w:eastAsia="Calibri"/>
              </w:rPr>
            </w:pPr>
            <w:r w:rsidRPr="003B75CC" w:rsidDel="00FC5F26">
              <w:rPr>
                <w:rFonts w:eastAsia="Calibri"/>
              </w:rPr>
              <w:t>Ms Judy O’Connell and the Secretariat</w:t>
            </w:r>
          </w:p>
        </w:tc>
      </w:tr>
      <w:tr w:rsidR="007B7029" w:rsidDel="00FC5F26" w14:paraId="310ECD0B"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410EB7EF" w14:textId="77777777" w:rsidR="007B7029" w:rsidRPr="004102A6" w:rsidDel="00FC5F26" w:rsidRDefault="007B7029" w:rsidP="0069051D">
            <w:pPr>
              <w:pStyle w:val="TableTextLeft"/>
              <w:rPr>
                <w:rStyle w:val="Strong"/>
                <w:rFonts w:eastAsia="Calibri"/>
              </w:rPr>
            </w:pPr>
            <w:r w:rsidRPr="4C09DE39" w:rsidDel="00FC5F26">
              <w:rPr>
                <w:rStyle w:val="Strong"/>
                <w:rFonts w:eastAsia="Calibri"/>
              </w:rPr>
              <w:t>Review, the Review</w:t>
            </w:r>
          </w:p>
        </w:tc>
        <w:tc>
          <w:tcPr>
            <w:tcW w:w="7240" w:type="dxa"/>
            <w:hideMark/>
          </w:tcPr>
          <w:p w14:paraId="6CB32E94" w14:textId="77777777" w:rsidR="007B7029" w:rsidDel="00FC5F26" w:rsidRDefault="007B7029" w:rsidP="0069051D">
            <w:pPr>
              <w:pStyle w:val="TableTextLeft"/>
              <w:rPr>
                <w:rFonts w:eastAsia="Calibri"/>
              </w:rPr>
            </w:pPr>
            <w:r w:rsidRPr="3AE57565" w:rsidDel="00FC5F26">
              <w:rPr>
                <w:rFonts w:eastAsia="Calibri"/>
              </w:rPr>
              <w:t>2025 Independent Review of the Australian Small Business and Family Enterprise Ombudsman</w:t>
            </w:r>
          </w:p>
        </w:tc>
      </w:tr>
      <w:tr w:rsidR="007B7029" w:rsidDel="00FC5F26" w14:paraId="7007FB49"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tcPr>
          <w:p w14:paraId="1FDCDA6B" w14:textId="77777777" w:rsidR="007B7029" w:rsidDel="00FC5F26" w:rsidRDefault="007B7029" w:rsidP="0069051D">
            <w:pPr>
              <w:pStyle w:val="TableTextLeft"/>
              <w:rPr>
                <w:rStyle w:val="Strong"/>
                <w:rFonts w:eastAsia="Calibri"/>
              </w:rPr>
            </w:pPr>
            <w:r w:rsidDel="00FC5F26">
              <w:rPr>
                <w:rStyle w:val="Strong"/>
                <w:rFonts w:eastAsia="Calibri"/>
              </w:rPr>
              <w:t>SA</w:t>
            </w:r>
          </w:p>
        </w:tc>
        <w:tc>
          <w:tcPr>
            <w:tcW w:w="7240" w:type="dxa"/>
          </w:tcPr>
          <w:p w14:paraId="76B3EFEB" w14:textId="77777777" w:rsidR="007B7029" w:rsidRPr="003B75CC" w:rsidDel="00FC5F26" w:rsidRDefault="007B7029" w:rsidP="0069051D">
            <w:pPr>
              <w:pStyle w:val="TableTextLeft"/>
              <w:rPr>
                <w:rFonts w:eastAsia="Calibri"/>
              </w:rPr>
            </w:pPr>
            <w:r w:rsidRPr="00916FA5" w:rsidDel="00FC5F26">
              <w:t>South Australia</w:t>
            </w:r>
          </w:p>
        </w:tc>
      </w:tr>
      <w:tr w:rsidR="007B7029" w:rsidRPr="00916FA5" w14:paraId="373AA8F2"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7D401587" w14:textId="77777777" w:rsidR="007B7029" w:rsidRDefault="007B7029" w:rsidP="0069051D">
            <w:pPr>
              <w:pStyle w:val="TableTextLeft"/>
              <w:rPr>
                <w:rStyle w:val="Strong"/>
                <w:rFonts w:eastAsia="Calibri"/>
              </w:rPr>
            </w:pPr>
            <w:r>
              <w:rPr>
                <w:rStyle w:val="Strong"/>
                <w:rFonts w:eastAsia="Calibri"/>
              </w:rPr>
              <w:t>SBA</w:t>
            </w:r>
          </w:p>
        </w:tc>
        <w:tc>
          <w:tcPr>
            <w:tcW w:w="7240" w:type="dxa"/>
          </w:tcPr>
          <w:p w14:paraId="1E86DF8B" w14:textId="77777777" w:rsidR="007B7029" w:rsidRPr="004102A6" w:rsidRDefault="007B7029" w:rsidP="0069051D">
            <w:pPr>
              <w:pStyle w:val="TableTextLeft"/>
            </w:pPr>
            <w:r w:rsidRPr="004102A6">
              <w:t xml:space="preserve">Small Business Administration </w:t>
            </w:r>
            <w:r w:rsidRPr="00916FA5">
              <w:rPr>
                <w:rFonts w:eastAsia="Calibri"/>
              </w:rPr>
              <w:t>(United States)</w:t>
            </w:r>
          </w:p>
        </w:tc>
      </w:tr>
      <w:tr w:rsidR="007B7029" w:rsidRPr="00916FA5" w:rsidDel="00FC5F26" w14:paraId="055CCB93"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60701066" w14:textId="5EF1E57D" w:rsidR="007B7029" w:rsidRPr="00916FA5" w:rsidDel="00FC5F26" w:rsidRDefault="007B7029" w:rsidP="0069051D">
            <w:pPr>
              <w:pStyle w:val="TableTextLeft"/>
              <w:rPr>
                <w:rStyle w:val="Strong"/>
                <w:rFonts w:eastAsia="Calibri"/>
              </w:rPr>
            </w:pPr>
            <w:r w:rsidRPr="00916FA5" w:rsidDel="00FC5F26">
              <w:rPr>
                <w:rStyle w:val="Strong"/>
                <w:rFonts w:eastAsia="Calibri"/>
              </w:rPr>
              <w:t>SBCs</w:t>
            </w:r>
            <w:r w:rsidR="00EA1807">
              <w:rPr>
                <w:rStyle w:val="Strong"/>
                <w:rFonts w:eastAsia="Calibri"/>
              </w:rPr>
              <w:t>,</w:t>
            </w:r>
            <w:r>
              <w:rPr>
                <w:rStyle w:val="Strong"/>
                <w:rFonts w:eastAsia="Calibri"/>
              </w:rPr>
              <w:t xml:space="preserve"> SBC</w:t>
            </w:r>
            <w:r w:rsidRPr="00916FA5" w:rsidDel="00FC5F26">
              <w:rPr>
                <w:rStyle w:val="Strong"/>
                <w:rFonts w:eastAsia="Calibri"/>
              </w:rPr>
              <w:t> </w:t>
            </w:r>
          </w:p>
        </w:tc>
        <w:tc>
          <w:tcPr>
            <w:tcW w:w="7240" w:type="dxa"/>
            <w:hideMark/>
          </w:tcPr>
          <w:p w14:paraId="4631F3A5" w14:textId="77777777" w:rsidR="007B7029" w:rsidRPr="00916FA5" w:rsidDel="00FC5F26" w:rsidRDefault="007B7029" w:rsidP="0069051D">
            <w:pPr>
              <w:pStyle w:val="TableTextLeft"/>
              <w:rPr>
                <w:rFonts w:eastAsia="Calibri"/>
              </w:rPr>
            </w:pPr>
            <w:r w:rsidRPr="00916FA5" w:rsidDel="00FC5F26">
              <w:rPr>
                <w:rFonts w:eastAsia="Calibri"/>
              </w:rPr>
              <w:t>Small Business Commissioners</w:t>
            </w:r>
            <w:r>
              <w:rPr>
                <w:rFonts w:eastAsia="Calibri"/>
              </w:rPr>
              <w:t>, Small Business Commissioner</w:t>
            </w:r>
          </w:p>
        </w:tc>
      </w:tr>
      <w:tr w:rsidR="007B7029" w:rsidRPr="00916FA5" w14:paraId="113E2859"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53FA7695" w14:textId="77777777" w:rsidR="007B7029" w:rsidRPr="00916FA5" w:rsidRDefault="007B7029" w:rsidP="0069051D">
            <w:pPr>
              <w:pStyle w:val="TableTextLeft"/>
              <w:rPr>
                <w:rStyle w:val="Strong"/>
                <w:rFonts w:eastAsia="Calibri"/>
              </w:rPr>
            </w:pPr>
            <w:r w:rsidRPr="00916FA5">
              <w:rPr>
                <w:rStyle w:val="Strong"/>
                <w:rFonts w:eastAsia="Calibri"/>
              </w:rPr>
              <w:t>SBDC </w:t>
            </w:r>
            <w:r>
              <w:rPr>
                <w:rStyle w:val="Strong"/>
                <w:rFonts w:eastAsia="Calibri"/>
              </w:rPr>
              <w:t>(WA)</w:t>
            </w:r>
          </w:p>
        </w:tc>
        <w:tc>
          <w:tcPr>
            <w:tcW w:w="7240" w:type="dxa"/>
          </w:tcPr>
          <w:p w14:paraId="4AA4041A" w14:textId="77777777" w:rsidR="007B7029" w:rsidRPr="00916FA5" w:rsidRDefault="007B7029" w:rsidP="0069051D">
            <w:pPr>
              <w:pStyle w:val="TableTextLeft"/>
              <w:rPr>
                <w:rFonts w:eastAsia="Calibri"/>
              </w:rPr>
            </w:pPr>
            <w:r w:rsidRPr="00916FA5">
              <w:rPr>
                <w:rFonts w:eastAsia="Calibri"/>
              </w:rPr>
              <w:t>Small Business Development Corporation </w:t>
            </w:r>
            <w:r>
              <w:rPr>
                <w:rFonts w:eastAsia="Calibri"/>
              </w:rPr>
              <w:t>(</w:t>
            </w:r>
            <w:r w:rsidRPr="00916FA5">
              <w:rPr>
                <w:rFonts w:eastAsia="Calibri"/>
              </w:rPr>
              <w:t>Western Australia</w:t>
            </w:r>
            <w:r>
              <w:rPr>
                <w:rFonts w:eastAsia="Calibri"/>
              </w:rPr>
              <w:t>)</w:t>
            </w:r>
          </w:p>
        </w:tc>
      </w:tr>
      <w:tr w:rsidR="007B7029" w:rsidRPr="00916FA5" w14:paraId="141A866D"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189E9C13" w14:textId="77777777" w:rsidR="007B7029" w:rsidRPr="00916FA5" w:rsidRDefault="007B7029" w:rsidP="0069051D">
            <w:pPr>
              <w:pStyle w:val="TableTextLeft"/>
              <w:rPr>
                <w:rStyle w:val="Strong"/>
                <w:rFonts w:eastAsia="Calibri"/>
              </w:rPr>
            </w:pPr>
            <w:r w:rsidRPr="00916FA5">
              <w:rPr>
                <w:rStyle w:val="Strong"/>
                <w:rFonts w:eastAsia="Calibri"/>
              </w:rPr>
              <w:t>SBDH </w:t>
            </w:r>
          </w:p>
        </w:tc>
        <w:tc>
          <w:tcPr>
            <w:tcW w:w="7240" w:type="dxa"/>
            <w:hideMark/>
          </w:tcPr>
          <w:p w14:paraId="17D65228" w14:textId="77777777" w:rsidR="007B7029" w:rsidRPr="00916FA5" w:rsidRDefault="007B7029" w:rsidP="0069051D">
            <w:pPr>
              <w:pStyle w:val="TableTextLeft"/>
              <w:rPr>
                <w:rFonts w:eastAsia="Calibri"/>
              </w:rPr>
            </w:pPr>
            <w:r w:rsidRPr="00916FA5">
              <w:rPr>
                <w:rFonts w:eastAsia="Calibri"/>
              </w:rPr>
              <w:t>Small Business Debt Helpline </w:t>
            </w:r>
          </w:p>
        </w:tc>
      </w:tr>
      <w:tr w:rsidR="007B7029" w:rsidRPr="00916FA5" w14:paraId="03A8C3D4"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hideMark/>
          </w:tcPr>
          <w:p w14:paraId="58A3B86C" w14:textId="77777777" w:rsidR="007B7029" w:rsidRPr="00916FA5" w:rsidRDefault="007B7029" w:rsidP="0069051D">
            <w:pPr>
              <w:pStyle w:val="TableTextLeft"/>
              <w:rPr>
                <w:rStyle w:val="Strong"/>
                <w:rFonts w:eastAsia="Calibri"/>
              </w:rPr>
            </w:pPr>
            <w:r w:rsidRPr="00916FA5">
              <w:rPr>
                <w:rStyle w:val="Strong"/>
                <w:rFonts w:eastAsia="Calibri"/>
              </w:rPr>
              <w:t>SBTC </w:t>
            </w:r>
          </w:p>
        </w:tc>
        <w:tc>
          <w:tcPr>
            <w:tcW w:w="7240" w:type="dxa"/>
            <w:hideMark/>
          </w:tcPr>
          <w:p w14:paraId="1BE6E340" w14:textId="77777777" w:rsidR="007B7029" w:rsidRPr="00916FA5" w:rsidRDefault="007B7029" w:rsidP="0069051D">
            <w:pPr>
              <w:pStyle w:val="TableTextLeft"/>
              <w:rPr>
                <w:rFonts w:eastAsia="Calibri"/>
              </w:rPr>
            </w:pPr>
            <w:r w:rsidRPr="00916FA5">
              <w:rPr>
                <w:rFonts w:eastAsia="Calibri"/>
              </w:rPr>
              <w:t>Small Business Tax Concierge </w:t>
            </w:r>
          </w:p>
        </w:tc>
      </w:tr>
      <w:tr w:rsidR="007B7029" w:rsidRPr="00916FA5" w:rsidDel="00FC5F26" w14:paraId="007919FD"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hideMark/>
          </w:tcPr>
          <w:p w14:paraId="7C6D4A9E" w14:textId="77777777" w:rsidR="007B7029" w:rsidRPr="00916FA5" w:rsidDel="00FC5F26" w:rsidRDefault="007B7029" w:rsidP="0069051D">
            <w:pPr>
              <w:pStyle w:val="TableTextLeft"/>
              <w:rPr>
                <w:rStyle w:val="Strong"/>
                <w:rFonts w:eastAsia="Calibri"/>
              </w:rPr>
            </w:pPr>
            <w:r w:rsidRPr="00916FA5" w:rsidDel="00FC5F26">
              <w:rPr>
                <w:rStyle w:val="Strong"/>
                <w:rFonts w:eastAsia="Calibri"/>
              </w:rPr>
              <w:t>The Act, ASBFEO Act </w:t>
            </w:r>
          </w:p>
        </w:tc>
        <w:tc>
          <w:tcPr>
            <w:tcW w:w="7240" w:type="dxa"/>
            <w:hideMark/>
          </w:tcPr>
          <w:p w14:paraId="07D48EDB" w14:textId="77777777" w:rsidR="007B7029" w:rsidRPr="00916FA5" w:rsidDel="00FC5F26" w:rsidRDefault="007B7029" w:rsidP="0069051D">
            <w:pPr>
              <w:pStyle w:val="TableTextLeft"/>
              <w:rPr>
                <w:rFonts w:eastAsia="Calibri"/>
              </w:rPr>
            </w:pPr>
            <w:r w:rsidRPr="004102A6" w:rsidDel="00FC5F26">
              <w:rPr>
                <w:rFonts w:eastAsia="Calibri"/>
              </w:rPr>
              <w:t xml:space="preserve">Australian Small Business and Family Enterprise Ombudsman Act 2015 </w:t>
            </w:r>
            <w:r w:rsidRPr="00833D5F" w:rsidDel="00FC5F26">
              <w:rPr>
                <w:rFonts w:eastAsia="Calibri"/>
              </w:rPr>
              <w:t>(</w:t>
            </w:r>
            <w:proofErr w:type="spellStart"/>
            <w:r w:rsidRPr="00833D5F" w:rsidDel="00FC5F26">
              <w:rPr>
                <w:rFonts w:eastAsia="Calibri"/>
              </w:rPr>
              <w:t>Cth</w:t>
            </w:r>
            <w:proofErr w:type="spellEnd"/>
            <w:r w:rsidRPr="00833D5F" w:rsidDel="00FC5F26">
              <w:rPr>
                <w:rFonts w:eastAsia="Calibri"/>
              </w:rPr>
              <w:t>)</w:t>
            </w:r>
            <w:r w:rsidRPr="00F85B22" w:rsidDel="00FC5F26">
              <w:rPr>
                <w:rFonts w:eastAsia="Calibri"/>
                <w:iCs/>
              </w:rPr>
              <w:t> </w:t>
            </w:r>
          </w:p>
        </w:tc>
      </w:tr>
      <w:tr w:rsidR="007B7029" w:rsidRPr="00916FA5" w:rsidDel="00FC5F26" w14:paraId="7BE87366"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40E6BBC1" w14:textId="77777777" w:rsidR="007B7029" w:rsidRPr="00916FA5" w:rsidDel="00FC5F26" w:rsidRDefault="007B7029" w:rsidP="0069051D">
            <w:pPr>
              <w:pStyle w:val="TableTextLeft"/>
              <w:rPr>
                <w:rStyle w:val="Strong"/>
                <w:rFonts w:eastAsia="Calibri"/>
              </w:rPr>
            </w:pPr>
            <w:proofErr w:type="spellStart"/>
            <w:r w:rsidDel="00FC5F26">
              <w:rPr>
                <w:rStyle w:val="Strong"/>
                <w:rFonts w:eastAsia="Calibri"/>
              </w:rPr>
              <w:t>ToR</w:t>
            </w:r>
            <w:proofErr w:type="spellEnd"/>
          </w:p>
        </w:tc>
        <w:tc>
          <w:tcPr>
            <w:tcW w:w="7240" w:type="dxa"/>
          </w:tcPr>
          <w:p w14:paraId="6EBDA178" w14:textId="77777777" w:rsidR="007B7029" w:rsidRPr="00916FA5" w:rsidDel="00FC5F26" w:rsidRDefault="007B7029" w:rsidP="0069051D">
            <w:pPr>
              <w:pStyle w:val="TableTextLeft"/>
              <w:rPr>
                <w:rFonts w:eastAsia="Calibri"/>
              </w:rPr>
            </w:pPr>
            <w:r w:rsidDel="00FC5F26">
              <w:rPr>
                <w:rFonts w:eastAsia="Calibri"/>
              </w:rPr>
              <w:t>Terms of Reference</w:t>
            </w:r>
          </w:p>
        </w:tc>
      </w:tr>
      <w:tr w:rsidR="007B7029" w:rsidRPr="00916FA5" w14:paraId="010DB2C0"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tcPr>
          <w:p w14:paraId="1FA0052B" w14:textId="77777777" w:rsidR="007B7029" w:rsidRPr="00916FA5" w:rsidRDefault="007B7029" w:rsidP="0069051D">
            <w:pPr>
              <w:pStyle w:val="TableTextLeft"/>
              <w:rPr>
                <w:rStyle w:val="Strong"/>
                <w:rFonts w:eastAsia="Calibri"/>
              </w:rPr>
            </w:pPr>
            <w:r>
              <w:rPr>
                <w:rStyle w:val="Strong"/>
                <w:rFonts w:eastAsia="Calibri"/>
              </w:rPr>
              <w:t>UK</w:t>
            </w:r>
          </w:p>
        </w:tc>
        <w:tc>
          <w:tcPr>
            <w:tcW w:w="7240" w:type="dxa"/>
          </w:tcPr>
          <w:p w14:paraId="58F318DD" w14:textId="77777777" w:rsidR="007B7029" w:rsidRPr="00916FA5" w:rsidRDefault="007B7029" w:rsidP="0069051D">
            <w:pPr>
              <w:pStyle w:val="TableTextLeft"/>
            </w:pPr>
            <w:r w:rsidRPr="00630D55">
              <w:t>United Kingdom</w:t>
            </w:r>
          </w:p>
        </w:tc>
      </w:tr>
      <w:tr w:rsidR="007B7029" w:rsidRPr="00916FA5" w14:paraId="2AD9AED2" w14:textId="77777777" w:rsidTr="0069051D">
        <w:trPr>
          <w:cnfStyle w:val="000000010000" w:firstRow="0" w:lastRow="0" w:firstColumn="0" w:lastColumn="0" w:oddVBand="0" w:evenVBand="0" w:oddHBand="0" w:evenHBand="1" w:firstRowFirstColumn="0" w:firstRowLastColumn="0" w:lastRowFirstColumn="0" w:lastRowLastColumn="0"/>
          <w:trHeight w:val="300"/>
        </w:trPr>
        <w:tc>
          <w:tcPr>
            <w:tcW w:w="1830" w:type="dxa"/>
          </w:tcPr>
          <w:p w14:paraId="058F28C6" w14:textId="77777777" w:rsidR="007B7029" w:rsidRPr="00916FA5" w:rsidRDefault="007B7029" w:rsidP="0069051D">
            <w:pPr>
              <w:pStyle w:val="TableTextLeft"/>
              <w:rPr>
                <w:rStyle w:val="Strong"/>
                <w:rFonts w:eastAsia="Calibri"/>
              </w:rPr>
            </w:pPr>
            <w:r>
              <w:rPr>
                <w:rStyle w:val="Strong"/>
                <w:rFonts w:eastAsia="Calibri"/>
              </w:rPr>
              <w:t>US</w:t>
            </w:r>
          </w:p>
        </w:tc>
        <w:tc>
          <w:tcPr>
            <w:tcW w:w="7240" w:type="dxa"/>
          </w:tcPr>
          <w:p w14:paraId="601BF02C" w14:textId="77777777" w:rsidR="007B7029" w:rsidRPr="00916FA5" w:rsidRDefault="007B7029" w:rsidP="0069051D">
            <w:pPr>
              <w:pStyle w:val="TableTextLeft"/>
            </w:pPr>
            <w:r w:rsidRPr="00567232">
              <w:t>United States</w:t>
            </w:r>
          </w:p>
        </w:tc>
      </w:tr>
      <w:tr w:rsidR="007B7029" w:rsidRPr="00916FA5" w14:paraId="2E3CD40E" w14:textId="77777777" w:rsidTr="0069051D">
        <w:trPr>
          <w:cnfStyle w:val="000000100000" w:firstRow="0" w:lastRow="0" w:firstColumn="0" w:lastColumn="0" w:oddVBand="0" w:evenVBand="0" w:oddHBand="1" w:evenHBand="0" w:firstRowFirstColumn="0" w:firstRowLastColumn="0" w:lastRowFirstColumn="0" w:lastRowLastColumn="0"/>
          <w:trHeight w:val="300"/>
        </w:trPr>
        <w:tc>
          <w:tcPr>
            <w:tcW w:w="1830" w:type="dxa"/>
          </w:tcPr>
          <w:p w14:paraId="7C1478EA" w14:textId="77777777" w:rsidR="007B7029" w:rsidRDefault="007B7029" w:rsidP="0069051D">
            <w:pPr>
              <w:pStyle w:val="TableTextLeft"/>
              <w:rPr>
                <w:rStyle w:val="Strong"/>
                <w:rFonts w:eastAsia="Calibri"/>
              </w:rPr>
            </w:pPr>
            <w:r>
              <w:rPr>
                <w:rStyle w:val="Strong"/>
                <w:rFonts w:eastAsia="Calibri"/>
              </w:rPr>
              <w:t>VSBC</w:t>
            </w:r>
          </w:p>
        </w:tc>
        <w:tc>
          <w:tcPr>
            <w:tcW w:w="7240" w:type="dxa"/>
          </w:tcPr>
          <w:p w14:paraId="386FA5EA" w14:textId="77777777" w:rsidR="007B7029" w:rsidRPr="00916FA5" w:rsidRDefault="007B7029" w:rsidP="0069051D">
            <w:pPr>
              <w:pStyle w:val="TableTextLeft"/>
            </w:pPr>
            <w:r w:rsidRPr="00C92205">
              <w:t xml:space="preserve">Victorian Small Business Commission </w:t>
            </w:r>
          </w:p>
        </w:tc>
      </w:tr>
    </w:tbl>
    <w:p w14:paraId="3F985CD4" w14:textId="77777777" w:rsidR="00BC4018" w:rsidRDefault="00BC4018">
      <w:pPr>
        <w:spacing w:before="0" w:after="160" w:line="259" w:lineRule="auto"/>
      </w:pPr>
    </w:p>
    <w:p w14:paraId="21E3927E" w14:textId="2EA4810E" w:rsidR="006C5B73" w:rsidRDefault="00D823FF" w:rsidP="00B77704">
      <w:pPr>
        <w:pStyle w:val="Heading1"/>
      </w:pPr>
      <w:r>
        <w:br w:type="page"/>
      </w:r>
      <w:bookmarkStart w:id="1" w:name="_Toc199940914"/>
      <w:r w:rsidR="00FF3A6A">
        <w:lastRenderedPageBreak/>
        <w:t>Letter of Transmittal</w:t>
      </w:r>
      <w:bookmarkEnd w:id="1"/>
    </w:p>
    <w:p w14:paraId="55479368" w14:textId="4D452855" w:rsidR="00600034" w:rsidRPr="00E358D5" w:rsidRDefault="00D63470" w:rsidP="00600034">
      <w:pPr>
        <w:jc w:val="right"/>
        <w:rPr>
          <w:rFonts w:ascii="Calibri" w:hAnsi="Calibri" w:cs="Calibri"/>
        </w:rPr>
      </w:pPr>
      <w:r w:rsidRPr="00D63470">
        <w:rPr>
          <w:rFonts w:ascii="Calibri" w:hAnsi="Calibri" w:cs="Calibri"/>
        </w:rPr>
        <w:t xml:space="preserve"> 18 </w:t>
      </w:r>
      <w:r w:rsidR="00600034" w:rsidRPr="00D63470">
        <w:rPr>
          <w:rFonts w:ascii="Calibri" w:hAnsi="Calibri" w:cs="Calibri"/>
        </w:rPr>
        <w:t>June 2025</w:t>
      </w:r>
    </w:p>
    <w:p w14:paraId="35EEE8D4" w14:textId="7F381483" w:rsidR="00600034" w:rsidRPr="00E358D5" w:rsidRDefault="00600034" w:rsidP="00742A6D">
      <w:pPr>
        <w:spacing w:before="60" w:after="0"/>
        <w:rPr>
          <w:rFonts w:ascii="Calibri" w:hAnsi="Calibri" w:cs="Calibri"/>
        </w:rPr>
      </w:pPr>
      <w:r w:rsidRPr="00E358D5">
        <w:rPr>
          <w:rFonts w:ascii="Calibri" w:hAnsi="Calibri" w:cs="Calibri"/>
        </w:rPr>
        <w:t xml:space="preserve">The Hon </w:t>
      </w:r>
      <w:r>
        <w:rPr>
          <w:rFonts w:ascii="Calibri" w:hAnsi="Calibri" w:cs="Calibri"/>
        </w:rPr>
        <w:t>Dr Anne Aly MP</w:t>
      </w:r>
    </w:p>
    <w:p w14:paraId="2966E402" w14:textId="12C09B54" w:rsidR="00600034" w:rsidRPr="00E358D5" w:rsidRDefault="00600034" w:rsidP="00742A6D">
      <w:pPr>
        <w:spacing w:before="60" w:after="0"/>
        <w:rPr>
          <w:rFonts w:ascii="Calibri" w:hAnsi="Calibri" w:cs="Calibri"/>
        </w:rPr>
      </w:pPr>
      <w:r w:rsidRPr="00E358D5">
        <w:rPr>
          <w:rFonts w:ascii="Calibri" w:hAnsi="Calibri" w:cs="Calibri"/>
        </w:rPr>
        <w:t>Minister for Small Business</w:t>
      </w:r>
      <w:r w:rsidR="005A1A0B" w:rsidRPr="005A1A0B">
        <w:rPr>
          <w:rFonts w:ascii="Calibri" w:hAnsi="Calibri" w:cs="Calibri"/>
        </w:rPr>
        <w:t>, Multicultural Affairs and International Development</w:t>
      </w:r>
    </w:p>
    <w:p w14:paraId="6B45F624" w14:textId="77777777" w:rsidR="00600034" w:rsidRPr="00E358D5" w:rsidRDefault="00600034" w:rsidP="00742A6D">
      <w:pPr>
        <w:spacing w:before="60" w:after="0"/>
        <w:rPr>
          <w:rFonts w:ascii="Calibri" w:hAnsi="Calibri" w:cs="Calibri"/>
        </w:rPr>
      </w:pPr>
      <w:r w:rsidRPr="00E358D5">
        <w:rPr>
          <w:rFonts w:ascii="Calibri" w:hAnsi="Calibri" w:cs="Calibri"/>
        </w:rPr>
        <w:t>Parliament House</w:t>
      </w:r>
    </w:p>
    <w:p w14:paraId="7600C5FA" w14:textId="77777777" w:rsidR="00600034" w:rsidRPr="00E358D5" w:rsidRDefault="00600034" w:rsidP="00742A6D">
      <w:pPr>
        <w:spacing w:before="60" w:after="0"/>
        <w:rPr>
          <w:rFonts w:ascii="Calibri" w:hAnsi="Calibri" w:cs="Calibri"/>
        </w:rPr>
      </w:pPr>
      <w:r w:rsidRPr="00E358D5">
        <w:rPr>
          <w:rFonts w:ascii="Calibri" w:hAnsi="Calibri" w:cs="Calibri"/>
        </w:rPr>
        <w:t>CANBERRA ACT 2600</w:t>
      </w:r>
    </w:p>
    <w:p w14:paraId="16B7EE40" w14:textId="77777777" w:rsidR="00600034" w:rsidRPr="00E358D5" w:rsidRDefault="00600034" w:rsidP="00600034">
      <w:pPr>
        <w:rPr>
          <w:rFonts w:ascii="Calibri" w:hAnsi="Calibri" w:cs="Calibri"/>
        </w:rPr>
      </w:pPr>
    </w:p>
    <w:p w14:paraId="293BCC6B" w14:textId="77777777" w:rsidR="00600034" w:rsidRPr="00E358D5" w:rsidRDefault="00600034" w:rsidP="00600034">
      <w:pPr>
        <w:rPr>
          <w:rFonts w:ascii="Calibri" w:hAnsi="Calibri" w:cs="Calibri"/>
        </w:rPr>
      </w:pPr>
      <w:r w:rsidRPr="00E358D5">
        <w:rPr>
          <w:rFonts w:ascii="Calibri" w:hAnsi="Calibri" w:cs="Calibri"/>
        </w:rPr>
        <w:t>Dear Minister</w:t>
      </w:r>
    </w:p>
    <w:p w14:paraId="761DDD10" w14:textId="7F8D8245" w:rsidR="00600034" w:rsidRPr="00E358D5" w:rsidRDefault="00600034" w:rsidP="00600034">
      <w:pPr>
        <w:rPr>
          <w:rFonts w:ascii="Calibri" w:hAnsi="Calibri" w:cs="Calibri"/>
        </w:rPr>
      </w:pPr>
      <w:r w:rsidRPr="00E358D5">
        <w:rPr>
          <w:rFonts w:ascii="Calibri" w:hAnsi="Calibri" w:cs="Calibri"/>
        </w:rPr>
        <w:t>I am pleased to submit the report of the third independent review of the Australian Small Business and Family Enterprise Ombudsman</w:t>
      </w:r>
      <w:r>
        <w:rPr>
          <w:rFonts w:ascii="Calibri" w:hAnsi="Calibri" w:cs="Calibri"/>
        </w:rPr>
        <w:t xml:space="preserve"> (</w:t>
      </w:r>
      <w:r w:rsidRPr="00991840">
        <w:rPr>
          <w:rFonts w:ascii="Calibri" w:hAnsi="Calibri" w:cs="Calibri"/>
        </w:rPr>
        <w:t>ASBFEO</w:t>
      </w:r>
      <w:r>
        <w:rPr>
          <w:rFonts w:ascii="Calibri" w:hAnsi="Calibri" w:cs="Calibri"/>
        </w:rPr>
        <w:t>)</w:t>
      </w:r>
      <w:r w:rsidRPr="00E358D5">
        <w:rPr>
          <w:rFonts w:ascii="Calibri" w:hAnsi="Calibri" w:cs="Calibri"/>
        </w:rPr>
        <w:t>.</w:t>
      </w:r>
    </w:p>
    <w:p w14:paraId="72B6B7DB" w14:textId="190A62DA" w:rsidR="00600034" w:rsidRPr="002073B1" w:rsidRDefault="00600034" w:rsidP="00600034">
      <w:pPr>
        <w:tabs>
          <w:tab w:val="num" w:pos="720"/>
        </w:tabs>
        <w:rPr>
          <w:rFonts w:ascii="Calibri" w:hAnsi="Calibri" w:cs="Calibri"/>
        </w:rPr>
      </w:pPr>
      <w:r w:rsidRPr="00E358D5">
        <w:rPr>
          <w:rFonts w:ascii="Calibri" w:hAnsi="Calibri" w:cs="Calibri"/>
        </w:rPr>
        <w:t>In accordance with the</w:t>
      </w:r>
      <w:r w:rsidR="00DB2D79">
        <w:rPr>
          <w:rFonts w:ascii="Calibri" w:hAnsi="Calibri" w:cs="Calibri"/>
        </w:rPr>
        <w:t xml:space="preserve"> </w:t>
      </w:r>
      <w:r w:rsidR="00ED2271" w:rsidRPr="00E358D5">
        <w:rPr>
          <w:rFonts w:ascii="Calibri" w:hAnsi="Calibri" w:cs="Calibri"/>
        </w:rPr>
        <w:t>terms of reference</w:t>
      </w:r>
      <w:r w:rsidR="00ED2271" w:rsidRPr="3AE57565" w:rsidDel="00FC5F26">
        <w:rPr>
          <w:rFonts w:eastAsia="Calibri"/>
        </w:rPr>
        <w:t xml:space="preserve"> </w:t>
      </w:r>
      <w:r w:rsidR="00FC35D1">
        <w:rPr>
          <w:rFonts w:eastAsia="Calibri"/>
        </w:rPr>
        <w:t xml:space="preserve">for </w:t>
      </w:r>
      <w:r w:rsidR="00DB2D79" w:rsidRPr="3AE57565" w:rsidDel="00FC5F26">
        <w:rPr>
          <w:rFonts w:eastAsia="Calibri"/>
        </w:rPr>
        <w:t>2025 Independent Review of the Australian Small Business and Family Enterprise Ombudsman</w:t>
      </w:r>
      <w:r w:rsidR="0092637D">
        <w:rPr>
          <w:rFonts w:ascii="Calibri" w:hAnsi="Calibri" w:cs="Calibri"/>
        </w:rPr>
        <w:t xml:space="preserve"> </w:t>
      </w:r>
      <w:r w:rsidR="00E826C1">
        <w:rPr>
          <w:rFonts w:ascii="Calibri" w:hAnsi="Calibri" w:cs="Calibri"/>
        </w:rPr>
        <w:t>(</w:t>
      </w:r>
      <w:r w:rsidR="00503A8E">
        <w:rPr>
          <w:rFonts w:ascii="Calibri" w:hAnsi="Calibri" w:cs="Calibri"/>
        </w:rPr>
        <w:t xml:space="preserve">the </w:t>
      </w:r>
      <w:r w:rsidR="00E826C1">
        <w:rPr>
          <w:rFonts w:ascii="Calibri" w:hAnsi="Calibri" w:cs="Calibri"/>
        </w:rPr>
        <w:t>Re</w:t>
      </w:r>
      <w:r w:rsidR="00B16312">
        <w:rPr>
          <w:rFonts w:ascii="Calibri" w:hAnsi="Calibri" w:cs="Calibri"/>
        </w:rPr>
        <w:t>view</w:t>
      </w:r>
      <w:r w:rsidR="00A66458">
        <w:rPr>
          <w:rFonts w:ascii="Calibri" w:hAnsi="Calibri" w:cs="Calibri"/>
        </w:rPr>
        <w:t>)</w:t>
      </w:r>
      <w:r w:rsidRPr="00E358D5">
        <w:rPr>
          <w:rFonts w:ascii="Calibri" w:hAnsi="Calibri" w:cs="Calibri"/>
        </w:rPr>
        <w:t xml:space="preserve">, I have considered the matters prescribed in section 95 of the </w:t>
      </w:r>
      <w:r w:rsidR="005F391B" w:rsidRPr="00F14409">
        <w:rPr>
          <w:rStyle w:val="Emphasis"/>
        </w:rPr>
        <w:t>Australian Small Business and Family Enterprise Ombudsman Act 2015</w:t>
      </w:r>
      <w:r w:rsidR="005F391B" w:rsidRPr="005F391B">
        <w:rPr>
          <w:rFonts w:ascii="Calibri" w:hAnsi="Calibri" w:cs="Calibri"/>
          <w:i/>
          <w:iCs/>
        </w:rPr>
        <w:t xml:space="preserve"> </w:t>
      </w:r>
      <w:r w:rsidR="005F391B" w:rsidRPr="00991840">
        <w:rPr>
          <w:rFonts w:ascii="Calibri" w:hAnsi="Calibri" w:cs="Calibri"/>
        </w:rPr>
        <w:t>(</w:t>
      </w:r>
      <w:proofErr w:type="spellStart"/>
      <w:r w:rsidR="005F391B" w:rsidRPr="00991840">
        <w:rPr>
          <w:rFonts w:ascii="Calibri" w:hAnsi="Calibri" w:cs="Calibri"/>
        </w:rPr>
        <w:t>Cth</w:t>
      </w:r>
      <w:proofErr w:type="spellEnd"/>
      <w:r w:rsidR="005F391B" w:rsidRPr="00991840">
        <w:rPr>
          <w:rFonts w:ascii="Calibri" w:hAnsi="Calibri" w:cs="Calibri"/>
        </w:rPr>
        <w:t>)</w:t>
      </w:r>
      <w:r w:rsidR="005F391B">
        <w:rPr>
          <w:rFonts w:ascii="Calibri" w:hAnsi="Calibri" w:cs="Calibri"/>
          <w:i/>
          <w:iCs/>
        </w:rPr>
        <w:t xml:space="preserve"> </w:t>
      </w:r>
      <w:r w:rsidR="00E22FD3">
        <w:rPr>
          <w:rFonts w:ascii="Calibri" w:hAnsi="Calibri" w:cs="Calibri"/>
        </w:rPr>
        <w:t xml:space="preserve">(the </w:t>
      </w:r>
      <w:r w:rsidRPr="003F4BF7">
        <w:rPr>
          <w:rStyle w:val="Strong"/>
          <w:b w:val="0"/>
          <w:bCs w:val="0"/>
        </w:rPr>
        <w:t>Act</w:t>
      </w:r>
      <w:r w:rsidR="00E22FD3">
        <w:rPr>
          <w:rFonts w:ascii="Calibri" w:hAnsi="Calibri" w:cs="Calibri"/>
        </w:rPr>
        <w:t>)</w:t>
      </w:r>
      <w:r w:rsidR="0014312A">
        <w:rPr>
          <w:rFonts w:ascii="Calibri" w:hAnsi="Calibri" w:cs="Calibri"/>
        </w:rPr>
        <w:t xml:space="preserve"> </w:t>
      </w:r>
      <w:r w:rsidRPr="00E358D5">
        <w:rPr>
          <w:rFonts w:ascii="Calibri" w:hAnsi="Calibri" w:cs="Calibri"/>
        </w:rPr>
        <w:t xml:space="preserve">relating to assistance and beyond these matters also assessed whether </w:t>
      </w:r>
      <w:r w:rsidRPr="002073B1">
        <w:rPr>
          <w:rFonts w:ascii="Calibri" w:hAnsi="Calibri" w:cs="Calibri"/>
        </w:rPr>
        <w:t>ASBFEO’s assistance and dispute resolution function is fit</w:t>
      </w:r>
      <w:r w:rsidR="003A0D5E">
        <w:rPr>
          <w:rFonts w:ascii="Calibri" w:hAnsi="Calibri" w:cs="Calibri"/>
        </w:rPr>
        <w:noBreakHyphen/>
      </w:r>
      <w:r w:rsidRPr="002073B1">
        <w:rPr>
          <w:rFonts w:ascii="Calibri" w:hAnsi="Calibri" w:cs="Calibri"/>
        </w:rPr>
        <w:t>for</w:t>
      </w:r>
      <w:r w:rsidR="003A0D5E">
        <w:rPr>
          <w:rFonts w:ascii="Calibri" w:hAnsi="Calibri" w:cs="Calibri"/>
        </w:rPr>
        <w:noBreakHyphen/>
      </w:r>
      <w:r w:rsidRPr="002073B1">
        <w:rPr>
          <w:rFonts w:ascii="Calibri" w:hAnsi="Calibri" w:cs="Calibri"/>
        </w:rPr>
        <w:t>purpose within the broader dispute resolution ecosystem</w:t>
      </w:r>
      <w:r w:rsidRPr="00E358D5">
        <w:rPr>
          <w:rFonts w:ascii="Calibri" w:hAnsi="Calibri" w:cs="Calibri"/>
        </w:rPr>
        <w:t xml:space="preserve">; </w:t>
      </w:r>
      <w:r w:rsidRPr="002073B1">
        <w:rPr>
          <w:rFonts w:ascii="Calibri" w:hAnsi="Calibri" w:cs="Calibri"/>
        </w:rPr>
        <w:t>ASBFEO’s effectiveness and efficiency in undertaking its function</w:t>
      </w:r>
      <w:r w:rsidRPr="00E358D5">
        <w:rPr>
          <w:rFonts w:ascii="Calibri" w:hAnsi="Calibri" w:cs="Calibri"/>
        </w:rPr>
        <w:t xml:space="preserve"> including </w:t>
      </w:r>
      <w:r w:rsidRPr="002073B1">
        <w:rPr>
          <w:rFonts w:ascii="Calibri" w:hAnsi="Calibri" w:cs="Calibri"/>
        </w:rPr>
        <w:t>in the franchising sector</w:t>
      </w:r>
      <w:r w:rsidRPr="00E358D5">
        <w:rPr>
          <w:rFonts w:ascii="Calibri" w:hAnsi="Calibri" w:cs="Calibri"/>
        </w:rPr>
        <w:t xml:space="preserve">; and </w:t>
      </w:r>
      <w:r w:rsidRPr="002073B1">
        <w:rPr>
          <w:rFonts w:ascii="Calibri" w:hAnsi="Calibri" w:cs="Calibri"/>
        </w:rPr>
        <w:t>the suitability of the nomenclature and branding attached to the statutory office</w:t>
      </w:r>
      <w:r w:rsidRPr="00E358D5">
        <w:rPr>
          <w:rFonts w:ascii="Calibri" w:hAnsi="Calibri" w:cs="Calibri"/>
        </w:rPr>
        <w:t xml:space="preserve">. I </w:t>
      </w:r>
      <w:r w:rsidRPr="002073B1">
        <w:rPr>
          <w:rFonts w:ascii="Calibri" w:hAnsi="Calibri" w:cs="Calibri"/>
        </w:rPr>
        <w:t xml:space="preserve">have </w:t>
      </w:r>
      <w:r w:rsidRPr="00E358D5">
        <w:rPr>
          <w:rFonts w:ascii="Calibri" w:hAnsi="Calibri" w:cs="Calibri"/>
        </w:rPr>
        <w:t xml:space="preserve">done so having </w:t>
      </w:r>
      <w:r w:rsidRPr="002073B1">
        <w:rPr>
          <w:rFonts w:ascii="Calibri" w:hAnsi="Calibri" w:cs="Calibri"/>
        </w:rPr>
        <w:t>regard to the two previous reviews of ASBFEO in 2017 and 202</w:t>
      </w:r>
      <w:r w:rsidRPr="00E358D5">
        <w:rPr>
          <w:rFonts w:ascii="Calibri" w:hAnsi="Calibri" w:cs="Calibri"/>
        </w:rPr>
        <w:t xml:space="preserve">1 and </w:t>
      </w:r>
      <w:r w:rsidRPr="002073B1">
        <w:rPr>
          <w:rFonts w:ascii="Calibri" w:hAnsi="Calibri" w:cs="Calibri"/>
        </w:rPr>
        <w:t>the findings of the 2023 Independent Review of the Franchising Code of Conduct</w:t>
      </w:r>
      <w:r w:rsidRPr="00E358D5">
        <w:rPr>
          <w:rFonts w:ascii="Calibri" w:hAnsi="Calibri" w:cs="Calibri"/>
        </w:rPr>
        <w:t>.</w:t>
      </w:r>
    </w:p>
    <w:p w14:paraId="66B82EF0" w14:textId="293EC2D6" w:rsidR="00600034" w:rsidRPr="00E358D5" w:rsidRDefault="00600034" w:rsidP="00600034">
      <w:pPr>
        <w:rPr>
          <w:rFonts w:ascii="Calibri" w:hAnsi="Calibri" w:cs="Calibri"/>
          <w:b/>
          <w:bCs/>
        </w:rPr>
      </w:pPr>
      <w:r w:rsidRPr="00E358D5">
        <w:rPr>
          <w:rFonts w:ascii="Calibri" w:hAnsi="Calibri" w:cs="Calibri"/>
        </w:rPr>
        <w:t xml:space="preserve">The </w:t>
      </w:r>
      <w:r w:rsidR="00440AFE">
        <w:rPr>
          <w:rFonts w:ascii="Calibri" w:hAnsi="Calibri" w:cs="Calibri"/>
        </w:rPr>
        <w:t>R</w:t>
      </w:r>
      <w:r w:rsidRPr="00E358D5">
        <w:rPr>
          <w:rFonts w:ascii="Calibri" w:hAnsi="Calibri" w:cs="Calibri"/>
        </w:rPr>
        <w:t>eview consulted broadly with approximately 50 stakeholders who shared their views and insights into ASBFEO’s functions and effectiveness through 4</w:t>
      </w:r>
      <w:r w:rsidR="003344D2">
        <w:rPr>
          <w:rFonts w:ascii="Calibri" w:hAnsi="Calibri" w:cs="Calibri"/>
        </w:rPr>
        <w:t>5</w:t>
      </w:r>
      <w:r w:rsidRPr="00E358D5">
        <w:rPr>
          <w:rFonts w:ascii="Calibri" w:hAnsi="Calibri" w:cs="Calibri"/>
        </w:rPr>
        <w:t xml:space="preserve"> meetings and 3 roundtables. The </w:t>
      </w:r>
      <w:r w:rsidR="007A17B6">
        <w:rPr>
          <w:rFonts w:ascii="Calibri" w:hAnsi="Calibri" w:cs="Calibri"/>
        </w:rPr>
        <w:t>R</w:t>
      </w:r>
      <w:r w:rsidRPr="00E358D5">
        <w:rPr>
          <w:rFonts w:ascii="Calibri" w:hAnsi="Calibri" w:cs="Calibri"/>
        </w:rPr>
        <w:t xml:space="preserve">eview also received 34 written submissions and conducted 2 surveys. In addition, the </w:t>
      </w:r>
      <w:r w:rsidR="00224A2D">
        <w:rPr>
          <w:rFonts w:ascii="Calibri" w:hAnsi="Calibri" w:cs="Calibri"/>
        </w:rPr>
        <w:t>R</w:t>
      </w:r>
      <w:r w:rsidRPr="00E358D5">
        <w:rPr>
          <w:rFonts w:ascii="Calibri" w:hAnsi="Calibri" w:cs="Calibri"/>
        </w:rPr>
        <w:t xml:space="preserve">eview met with ASBFEO numerous times who were very generous with their time and provided extensive information throughout </w:t>
      </w:r>
      <w:r w:rsidRPr="00E358D5" w:rsidDel="00F05393">
        <w:rPr>
          <w:rFonts w:ascii="Calibri" w:hAnsi="Calibri" w:cs="Calibri"/>
        </w:rPr>
        <w:t>the</w:t>
      </w:r>
      <w:r w:rsidRPr="004C749D" w:rsidDel="00F05393">
        <w:rPr>
          <w:rFonts w:ascii="Calibri" w:hAnsi="Calibri" w:cs="Calibri"/>
          <w:b/>
        </w:rPr>
        <w:t xml:space="preserve"> </w:t>
      </w:r>
      <w:r w:rsidR="005D2075" w:rsidRPr="00991840">
        <w:rPr>
          <w:rFonts w:ascii="Calibri" w:hAnsi="Calibri" w:cs="Calibri"/>
        </w:rPr>
        <w:t>Review</w:t>
      </w:r>
      <w:r w:rsidRPr="00E358D5">
        <w:rPr>
          <w:rFonts w:ascii="Calibri" w:hAnsi="Calibri" w:cs="Calibri"/>
        </w:rPr>
        <w:t xml:space="preserve">. I would like to express my gratitude to all parties involved for their professionalism and constructive way in which they engaged with </w:t>
      </w:r>
      <w:r w:rsidR="00DE6B8B">
        <w:rPr>
          <w:rFonts w:eastAsia="Calibri"/>
        </w:rPr>
        <w:t>myself</w:t>
      </w:r>
      <w:r w:rsidR="007B071C" w:rsidRPr="003B75CC" w:rsidDel="00FC5F26">
        <w:rPr>
          <w:rFonts w:eastAsia="Calibri"/>
        </w:rPr>
        <w:t xml:space="preserve"> and the Secretariat</w:t>
      </w:r>
      <w:r w:rsidR="00CB7B8D">
        <w:rPr>
          <w:rFonts w:eastAsia="Calibri"/>
        </w:rPr>
        <w:t>.</w:t>
      </w:r>
      <w:r w:rsidR="007B071C" w:rsidRPr="00E358D5">
        <w:rPr>
          <w:rFonts w:ascii="Calibri" w:hAnsi="Calibri" w:cs="Calibri"/>
        </w:rPr>
        <w:t xml:space="preserve"> </w:t>
      </w:r>
    </w:p>
    <w:p w14:paraId="42ED9A0F" w14:textId="155CD44C" w:rsidR="00600034" w:rsidRDefault="00600034" w:rsidP="00600034">
      <w:pPr>
        <w:rPr>
          <w:rFonts w:ascii="Calibri" w:hAnsi="Calibri" w:cs="Calibri"/>
        </w:rPr>
      </w:pPr>
      <w:proofErr w:type="gramStart"/>
      <w:r w:rsidRPr="00E358D5">
        <w:rPr>
          <w:rFonts w:ascii="Calibri" w:hAnsi="Calibri" w:cs="Calibri"/>
        </w:rPr>
        <w:t>It is clear that ASBFEO’s</w:t>
      </w:r>
      <w:proofErr w:type="gramEnd"/>
      <w:r w:rsidRPr="00E358D5">
        <w:rPr>
          <w:rFonts w:ascii="Calibri" w:hAnsi="Calibri" w:cs="Calibri"/>
        </w:rPr>
        <w:t xml:space="preserve"> assistance and advocacy functions are highly valued by small businesses</w:t>
      </w:r>
      <w:r>
        <w:rPr>
          <w:rFonts w:ascii="Calibri" w:hAnsi="Calibri" w:cs="Calibri"/>
        </w:rPr>
        <w:t>, but some targeted</w:t>
      </w:r>
      <w:r w:rsidRPr="00E358D5">
        <w:rPr>
          <w:rFonts w:ascii="Calibri" w:hAnsi="Calibri" w:cs="Calibri"/>
        </w:rPr>
        <w:t xml:space="preserve"> improvement</w:t>
      </w:r>
      <w:r>
        <w:rPr>
          <w:rFonts w:ascii="Calibri" w:hAnsi="Calibri" w:cs="Calibri"/>
        </w:rPr>
        <w:t xml:space="preserve">s could </w:t>
      </w:r>
      <w:r w:rsidR="00167A80">
        <w:rPr>
          <w:rFonts w:ascii="Calibri" w:hAnsi="Calibri" w:cs="Calibri"/>
        </w:rPr>
        <w:t xml:space="preserve">increase </w:t>
      </w:r>
      <w:r w:rsidR="00FB67F4">
        <w:rPr>
          <w:rFonts w:ascii="Calibri" w:hAnsi="Calibri" w:cs="Calibri"/>
        </w:rPr>
        <w:t>its</w:t>
      </w:r>
      <w:r>
        <w:rPr>
          <w:rFonts w:ascii="Calibri" w:hAnsi="Calibri" w:cs="Calibri"/>
        </w:rPr>
        <w:t xml:space="preserve"> effectiveness and efficiency</w:t>
      </w:r>
      <w:r w:rsidRPr="00E358D5">
        <w:rPr>
          <w:rFonts w:ascii="Calibri" w:hAnsi="Calibri" w:cs="Calibri"/>
        </w:rPr>
        <w:t>.</w:t>
      </w:r>
      <w:r w:rsidRPr="00E358D5">
        <w:rPr>
          <w:rFonts w:ascii="Calibri" w:hAnsi="Calibri" w:cs="Calibri"/>
          <w:b/>
          <w:bCs/>
        </w:rPr>
        <w:t xml:space="preserve"> </w:t>
      </w:r>
      <w:r w:rsidRPr="00E358D5">
        <w:rPr>
          <w:rFonts w:ascii="Calibri" w:hAnsi="Calibri" w:cs="Calibri"/>
        </w:rPr>
        <w:t xml:space="preserve">Most key stakeholders and state and federal government agencies overwhelmingly supported ASBFEO’s advocacy role. However, the advocacy function has a </w:t>
      </w:r>
      <w:r>
        <w:rPr>
          <w:rFonts w:ascii="Calibri" w:hAnsi="Calibri" w:cs="Calibri"/>
        </w:rPr>
        <w:t xml:space="preserve">very </w:t>
      </w:r>
      <w:r w:rsidRPr="00E358D5">
        <w:rPr>
          <w:rFonts w:ascii="Calibri" w:hAnsi="Calibri" w:cs="Calibri"/>
        </w:rPr>
        <w:t xml:space="preserve">broad </w:t>
      </w:r>
      <w:r>
        <w:rPr>
          <w:rFonts w:ascii="Calibri" w:hAnsi="Calibri" w:cs="Calibri"/>
        </w:rPr>
        <w:t xml:space="preserve">and complex </w:t>
      </w:r>
      <w:r w:rsidRPr="00E358D5">
        <w:rPr>
          <w:rFonts w:ascii="Calibri" w:hAnsi="Calibri" w:cs="Calibri"/>
        </w:rPr>
        <w:t>agenda</w:t>
      </w:r>
      <w:r>
        <w:rPr>
          <w:rFonts w:ascii="Calibri" w:hAnsi="Calibri" w:cs="Calibri"/>
        </w:rPr>
        <w:t>. To ensure advocacy efforts deliver impact in the areas of greatest concern for small businesses, I have recommended ASBFEO employ a more formal approach to developing a disciplined advocacy</w:t>
      </w:r>
      <w:r w:rsidRPr="00E358D5" w:rsidDel="00152380">
        <w:rPr>
          <w:rFonts w:ascii="Calibri" w:hAnsi="Calibri" w:cs="Calibri"/>
        </w:rPr>
        <w:t xml:space="preserve"> </w:t>
      </w:r>
      <w:r w:rsidRPr="00E358D5">
        <w:rPr>
          <w:rFonts w:ascii="Calibri" w:hAnsi="Calibri" w:cs="Calibri"/>
        </w:rPr>
        <w:t>agenda</w:t>
      </w:r>
      <w:r>
        <w:rPr>
          <w:rFonts w:ascii="Calibri" w:hAnsi="Calibri" w:cs="Calibri"/>
        </w:rPr>
        <w:t xml:space="preserve">. </w:t>
      </w:r>
    </w:p>
    <w:p w14:paraId="303C085E" w14:textId="3E691A77" w:rsidR="00600034" w:rsidRDefault="00600034" w:rsidP="00600034">
      <w:pPr>
        <w:rPr>
          <w:rFonts w:ascii="Calibri" w:hAnsi="Calibri" w:cs="Calibri"/>
        </w:rPr>
      </w:pPr>
      <w:r>
        <w:rPr>
          <w:rFonts w:ascii="Calibri" w:hAnsi="Calibri" w:cs="Calibri"/>
        </w:rPr>
        <w:t>This formal approach to setting priorities in the advocacy space will also benefit ASBFEO</w:t>
      </w:r>
      <w:r w:rsidR="00481759">
        <w:rPr>
          <w:rFonts w:ascii="Calibri" w:hAnsi="Calibri" w:cs="Calibri"/>
        </w:rPr>
        <w:t>’</w:t>
      </w:r>
      <w:r>
        <w:rPr>
          <w:rFonts w:ascii="Calibri" w:hAnsi="Calibri" w:cs="Calibri"/>
        </w:rPr>
        <w:t xml:space="preserve">s </w:t>
      </w:r>
      <w:r w:rsidR="00A20E4C" w:rsidRPr="00916FA5">
        <w:rPr>
          <w:rFonts w:eastAsia="Calibri"/>
        </w:rPr>
        <w:t xml:space="preserve">Economic and Data Analytics </w:t>
      </w:r>
      <w:r w:rsidR="0034518E">
        <w:rPr>
          <w:rFonts w:eastAsia="Calibri"/>
        </w:rPr>
        <w:t>t</w:t>
      </w:r>
      <w:r w:rsidR="00A20E4C" w:rsidRPr="00916FA5">
        <w:rPr>
          <w:rFonts w:eastAsia="Calibri"/>
        </w:rPr>
        <w:t>eam</w:t>
      </w:r>
      <w:r w:rsidR="00A20E4C">
        <w:rPr>
          <w:rFonts w:ascii="Calibri" w:hAnsi="Calibri" w:cs="Calibri"/>
        </w:rPr>
        <w:t xml:space="preserve"> (</w:t>
      </w:r>
      <w:r w:rsidR="00481759" w:rsidRPr="00991840">
        <w:rPr>
          <w:rFonts w:ascii="Calibri" w:hAnsi="Calibri" w:cs="Calibri"/>
        </w:rPr>
        <w:t>D</w:t>
      </w:r>
      <w:r w:rsidRPr="00991840">
        <w:rPr>
          <w:rFonts w:ascii="Calibri" w:hAnsi="Calibri" w:cs="Calibri"/>
        </w:rPr>
        <w:t xml:space="preserve">ata </w:t>
      </w:r>
      <w:r w:rsidR="0034518E" w:rsidRPr="00991840">
        <w:rPr>
          <w:rFonts w:ascii="Calibri" w:hAnsi="Calibri" w:cs="Calibri"/>
        </w:rPr>
        <w:t>t</w:t>
      </w:r>
      <w:r w:rsidRPr="00991840">
        <w:rPr>
          <w:rFonts w:ascii="Calibri" w:hAnsi="Calibri" w:cs="Calibri"/>
        </w:rPr>
        <w:t>eam</w:t>
      </w:r>
      <w:r w:rsidR="00A20E4C">
        <w:rPr>
          <w:rFonts w:ascii="Calibri" w:hAnsi="Calibri" w:cs="Calibri"/>
        </w:rPr>
        <w:t>)</w:t>
      </w:r>
      <w:r>
        <w:rPr>
          <w:rFonts w:ascii="Calibri" w:hAnsi="Calibri" w:cs="Calibri"/>
        </w:rPr>
        <w:t xml:space="preserve">. Due to the high regard stakeholders have for their </w:t>
      </w:r>
      <w:r w:rsidR="00C12386">
        <w:rPr>
          <w:rFonts w:ascii="Calibri" w:hAnsi="Calibri" w:cs="Calibri"/>
        </w:rPr>
        <w:t xml:space="preserve">data </w:t>
      </w:r>
      <w:r>
        <w:rPr>
          <w:rFonts w:ascii="Calibri" w:hAnsi="Calibri" w:cs="Calibri"/>
        </w:rPr>
        <w:t xml:space="preserve">work, the team are dealing with a high volume of requests for data analysis across a range of areas. The </w:t>
      </w:r>
      <w:r w:rsidR="00A3605E">
        <w:rPr>
          <w:rFonts w:ascii="Calibri" w:hAnsi="Calibri" w:cs="Calibri"/>
        </w:rPr>
        <w:t>R</w:t>
      </w:r>
      <w:r>
        <w:rPr>
          <w:rFonts w:ascii="Calibri" w:hAnsi="Calibri" w:cs="Calibri"/>
        </w:rPr>
        <w:t xml:space="preserve">eview finds the </w:t>
      </w:r>
      <w:r w:rsidR="0034518E">
        <w:rPr>
          <w:rFonts w:ascii="Calibri" w:hAnsi="Calibri" w:cs="Calibri"/>
        </w:rPr>
        <w:t>D</w:t>
      </w:r>
      <w:r>
        <w:rPr>
          <w:rFonts w:ascii="Calibri" w:hAnsi="Calibri" w:cs="Calibri"/>
        </w:rPr>
        <w:t>ata team need to support ASBFEOs core assistance and advocacy functions, before taking on additional work.</w:t>
      </w:r>
    </w:p>
    <w:p w14:paraId="0A19CC9A" w14:textId="19E282CD" w:rsidR="00600034" w:rsidRPr="00403728" w:rsidRDefault="00600034" w:rsidP="00600034">
      <w:pPr>
        <w:rPr>
          <w:rFonts w:ascii="Calibri" w:hAnsi="Calibri" w:cs="Calibri"/>
        </w:rPr>
      </w:pPr>
      <w:r w:rsidRPr="00403728">
        <w:rPr>
          <w:rFonts w:ascii="Calibri" w:hAnsi="Calibri" w:cs="Calibri"/>
        </w:rPr>
        <w:t>ASBFEO’s assistance function is vital for small businesses needing low</w:t>
      </w:r>
      <w:r w:rsidR="003A0D5E">
        <w:rPr>
          <w:rFonts w:ascii="Calibri" w:hAnsi="Calibri" w:cs="Calibri"/>
        </w:rPr>
        <w:noBreakHyphen/>
      </w:r>
      <w:r w:rsidRPr="00403728">
        <w:rPr>
          <w:rFonts w:ascii="Calibri" w:hAnsi="Calibri" w:cs="Calibri"/>
        </w:rPr>
        <w:t xml:space="preserve">cost dispute resolution. ASBFEO has advanced its assistance function over the past </w:t>
      </w:r>
      <w:r w:rsidR="00F85250">
        <w:rPr>
          <w:rFonts w:ascii="Calibri" w:hAnsi="Calibri" w:cs="Calibri"/>
        </w:rPr>
        <w:t>10</w:t>
      </w:r>
      <w:r w:rsidR="00F85250" w:rsidRPr="00403728">
        <w:rPr>
          <w:rFonts w:ascii="Calibri" w:hAnsi="Calibri" w:cs="Calibri"/>
        </w:rPr>
        <w:t xml:space="preserve"> </w:t>
      </w:r>
      <w:r w:rsidRPr="00403728">
        <w:rPr>
          <w:rFonts w:ascii="Calibri" w:hAnsi="Calibri" w:cs="Calibri"/>
        </w:rPr>
        <w:t xml:space="preserve">years. The Contact Centre is working </w:t>
      </w:r>
      <w:r w:rsidR="00334298" w:rsidRPr="00403728">
        <w:rPr>
          <w:rFonts w:ascii="Calibri" w:hAnsi="Calibri" w:cs="Calibri"/>
        </w:rPr>
        <w:t>effectively; however,</w:t>
      </w:r>
      <w:r w:rsidRPr="00403728">
        <w:rPr>
          <w:rFonts w:ascii="Calibri" w:hAnsi="Calibri" w:cs="Calibri"/>
        </w:rPr>
        <w:t xml:space="preserve"> ASBFEO’s mediation services are underutilised, and disputes are often not fully </w:t>
      </w:r>
      <w:r w:rsidRPr="00403728">
        <w:rPr>
          <w:rFonts w:ascii="Calibri" w:hAnsi="Calibri" w:cs="Calibri"/>
        </w:rPr>
        <w:lastRenderedPageBreak/>
        <w:t>resolved. To be fully effective in providing a low</w:t>
      </w:r>
      <w:r w:rsidR="003A0D5E">
        <w:rPr>
          <w:rFonts w:ascii="Calibri" w:hAnsi="Calibri" w:cs="Calibri"/>
        </w:rPr>
        <w:noBreakHyphen/>
      </w:r>
      <w:r w:rsidRPr="00403728">
        <w:rPr>
          <w:rFonts w:ascii="Calibri" w:hAnsi="Calibri" w:cs="Calibri"/>
        </w:rPr>
        <w:t xml:space="preserve">cost dispute resolution service, </w:t>
      </w:r>
      <w:r w:rsidR="00A16ABA">
        <w:rPr>
          <w:rFonts w:ascii="Calibri" w:hAnsi="Calibri" w:cs="Calibri"/>
        </w:rPr>
        <w:t xml:space="preserve">the Government </w:t>
      </w:r>
      <w:r w:rsidRPr="00403728">
        <w:rPr>
          <w:rFonts w:ascii="Calibri" w:hAnsi="Calibri" w:cs="Calibri"/>
        </w:rPr>
        <w:t xml:space="preserve">should consider amending </w:t>
      </w:r>
      <w:r w:rsidR="00A16ABA">
        <w:rPr>
          <w:rFonts w:ascii="Calibri" w:hAnsi="Calibri" w:cs="Calibri"/>
        </w:rPr>
        <w:t xml:space="preserve">the </w:t>
      </w:r>
      <w:r w:rsidR="00F01C30">
        <w:rPr>
          <w:rFonts w:ascii="Calibri" w:hAnsi="Calibri" w:cs="Calibri"/>
        </w:rPr>
        <w:t xml:space="preserve">Act </w:t>
      </w:r>
      <w:r w:rsidR="00F01C30" w:rsidRPr="00403728">
        <w:rPr>
          <w:rFonts w:ascii="Calibri" w:hAnsi="Calibri" w:cs="Calibri"/>
        </w:rPr>
        <w:t>to</w:t>
      </w:r>
      <w:r w:rsidRPr="00403728">
        <w:rPr>
          <w:rFonts w:ascii="Calibri" w:hAnsi="Calibri" w:cs="Calibri"/>
        </w:rPr>
        <w:t xml:space="preserve"> enable</w:t>
      </w:r>
      <w:r w:rsidR="00985C33">
        <w:rPr>
          <w:rFonts w:ascii="Calibri" w:hAnsi="Calibri" w:cs="Calibri"/>
        </w:rPr>
        <w:t xml:space="preserve"> ASBFEO</w:t>
      </w:r>
      <w:r w:rsidRPr="00403728">
        <w:rPr>
          <w:rFonts w:ascii="Calibri" w:hAnsi="Calibri" w:cs="Calibri"/>
        </w:rPr>
        <w:t xml:space="preserve"> to conduct </w:t>
      </w:r>
      <w:r w:rsidR="00DA1C08" w:rsidRPr="00DA1C08">
        <w:rPr>
          <w:rFonts w:ascii="Calibri" w:hAnsi="Calibri" w:cs="Calibri"/>
        </w:rPr>
        <w:t>Alternative Dispute Resolution </w:t>
      </w:r>
      <w:r w:rsidR="00DA1C08">
        <w:rPr>
          <w:rFonts w:ascii="Calibri" w:hAnsi="Calibri" w:cs="Calibri"/>
        </w:rPr>
        <w:t>(</w:t>
      </w:r>
      <w:r w:rsidRPr="00991840">
        <w:rPr>
          <w:rFonts w:ascii="Calibri" w:hAnsi="Calibri" w:cs="Calibri"/>
        </w:rPr>
        <w:t>ADR</w:t>
      </w:r>
      <w:r w:rsidR="00DA1C08">
        <w:rPr>
          <w:rFonts w:ascii="Calibri" w:hAnsi="Calibri" w:cs="Calibri"/>
        </w:rPr>
        <w:t>)</w:t>
      </w:r>
      <w:r w:rsidRPr="00403728">
        <w:rPr>
          <w:rFonts w:ascii="Calibri" w:hAnsi="Calibri" w:cs="Calibri"/>
        </w:rPr>
        <w:t xml:space="preserve">. </w:t>
      </w:r>
      <w:r w:rsidR="00893A69">
        <w:rPr>
          <w:rFonts w:ascii="Calibri" w:hAnsi="Calibri" w:cs="Calibri"/>
        </w:rPr>
        <w:t xml:space="preserve">This </w:t>
      </w:r>
      <w:r w:rsidRPr="00403728">
        <w:rPr>
          <w:rFonts w:ascii="Calibri" w:hAnsi="Calibri" w:cs="Calibri"/>
        </w:rPr>
        <w:t xml:space="preserve">includes allowing </w:t>
      </w:r>
      <w:r w:rsidR="00893A69">
        <w:rPr>
          <w:rFonts w:ascii="Calibri" w:hAnsi="Calibri" w:cs="Calibri"/>
        </w:rPr>
        <w:t>ASBFEO</w:t>
      </w:r>
      <w:r w:rsidRPr="00403728">
        <w:rPr>
          <w:rFonts w:ascii="Calibri" w:hAnsi="Calibri" w:cs="Calibri"/>
        </w:rPr>
        <w:t xml:space="preserve"> Case Managers to negotiate resolutions </w:t>
      </w:r>
      <w:r w:rsidR="00D93ED4">
        <w:rPr>
          <w:rFonts w:ascii="Calibri" w:hAnsi="Calibri" w:cs="Calibri"/>
        </w:rPr>
        <w:t>with parties</w:t>
      </w:r>
      <w:r w:rsidR="00D93ED4" w:rsidRPr="00403728">
        <w:rPr>
          <w:rFonts w:ascii="Calibri" w:hAnsi="Calibri" w:cs="Calibri"/>
        </w:rPr>
        <w:t xml:space="preserve"> </w:t>
      </w:r>
      <w:r w:rsidRPr="00403728">
        <w:rPr>
          <w:rFonts w:ascii="Calibri" w:hAnsi="Calibri" w:cs="Calibri"/>
        </w:rPr>
        <w:t xml:space="preserve">before mediation and </w:t>
      </w:r>
      <w:r w:rsidR="00CE036E">
        <w:rPr>
          <w:rFonts w:ascii="Calibri" w:hAnsi="Calibri" w:cs="Calibri"/>
        </w:rPr>
        <w:t xml:space="preserve">procure a </w:t>
      </w:r>
      <w:r w:rsidRPr="00403728">
        <w:rPr>
          <w:rFonts w:ascii="Calibri" w:hAnsi="Calibri" w:cs="Calibri"/>
        </w:rPr>
        <w:t xml:space="preserve">mediation panel to appoint mediators. Increased requests for assistance resulting from </w:t>
      </w:r>
      <w:r w:rsidR="00005E34">
        <w:rPr>
          <w:rFonts w:ascii="Calibri" w:hAnsi="Calibri" w:cs="Calibri"/>
        </w:rPr>
        <w:t xml:space="preserve">ASBFEO conducting ADR </w:t>
      </w:r>
      <w:r w:rsidRPr="00403728">
        <w:rPr>
          <w:rFonts w:ascii="Calibri" w:hAnsi="Calibri" w:cs="Calibri"/>
        </w:rPr>
        <w:t>may warrant additional funding.</w:t>
      </w:r>
    </w:p>
    <w:p w14:paraId="1ACAEA3E" w14:textId="06A539AB" w:rsidR="00600034" w:rsidRPr="00E358D5" w:rsidRDefault="00600034" w:rsidP="00600034">
      <w:pPr>
        <w:rPr>
          <w:rFonts w:ascii="Calibri" w:hAnsi="Calibri" w:cs="Calibri"/>
        </w:rPr>
      </w:pPr>
      <w:r w:rsidRPr="00E358D5">
        <w:rPr>
          <w:rFonts w:ascii="Calibri" w:hAnsi="Calibri" w:cs="Calibri"/>
        </w:rPr>
        <w:t xml:space="preserve">ASBFEO </w:t>
      </w:r>
      <w:r w:rsidRPr="006912B5">
        <w:rPr>
          <w:rFonts w:ascii="Calibri" w:hAnsi="Calibri" w:cs="Calibri"/>
        </w:rPr>
        <w:t>has developed</w:t>
      </w:r>
      <w:r w:rsidRPr="00E358D5">
        <w:rPr>
          <w:rFonts w:ascii="Calibri" w:hAnsi="Calibri" w:cs="Calibri"/>
        </w:rPr>
        <w:t xml:space="preserve"> an informative website</w:t>
      </w:r>
      <w:r w:rsidRPr="006912B5">
        <w:rPr>
          <w:rFonts w:ascii="Calibri" w:hAnsi="Calibri" w:cs="Calibri"/>
        </w:rPr>
        <w:t>,</w:t>
      </w:r>
      <w:r w:rsidRPr="00E358D5">
        <w:rPr>
          <w:rFonts w:ascii="Calibri" w:hAnsi="Calibri" w:cs="Calibri"/>
        </w:rPr>
        <w:t xml:space="preserve"> and </w:t>
      </w:r>
      <w:r w:rsidRPr="006912B5">
        <w:rPr>
          <w:rFonts w:ascii="Calibri" w:hAnsi="Calibri" w:cs="Calibri"/>
        </w:rPr>
        <w:t>a strong</w:t>
      </w:r>
      <w:r w:rsidRPr="00E358D5">
        <w:rPr>
          <w:rFonts w:ascii="Calibri" w:hAnsi="Calibri" w:cs="Calibri"/>
        </w:rPr>
        <w:t xml:space="preserve"> media and social media </w:t>
      </w:r>
      <w:r w:rsidRPr="006912B5">
        <w:rPr>
          <w:rFonts w:ascii="Calibri" w:hAnsi="Calibri" w:cs="Calibri"/>
        </w:rPr>
        <w:t>presence. However</w:t>
      </w:r>
      <w:r>
        <w:rPr>
          <w:rFonts w:ascii="Calibri" w:hAnsi="Calibri" w:cs="Calibri"/>
        </w:rPr>
        <w:t>,</w:t>
      </w:r>
      <w:r w:rsidRPr="006912B5">
        <w:rPr>
          <w:rFonts w:ascii="Calibri" w:hAnsi="Calibri" w:cs="Calibri"/>
        </w:rPr>
        <w:t xml:space="preserve"> a large proportion of small businesses are unaware of the services ASBFEO offers.</w:t>
      </w:r>
      <w:r w:rsidRPr="00E358D5">
        <w:rPr>
          <w:rFonts w:ascii="Calibri" w:hAnsi="Calibri" w:cs="Calibri"/>
        </w:rPr>
        <w:t xml:space="preserve"> </w:t>
      </w:r>
      <w:r w:rsidR="00FF277A">
        <w:rPr>
          <w:rFonts w:ascii="Calibri" w:hAnsi="Calibri" w:cs="Calibri"/>
        </w:rPr>
        <w:t>Small Business Commissioners</w:t>
      </w:r>
      <w:r w:rsidR="004014F2">
        <w:rPr>
          <w:rFonts w:ascii="Calibri" w:hAnsi="Calibri" w:cs="Calibri"/>
        </w:rPr>
        <w:t xml:space="preserve"> </w:t>
      </w:r>
      <w:r w:rsidRPr="00E358D5">
        <w:rPr>
          <w:rFonts w:ascii="Calibri" w:hAnsi="Calibri" w:cs="Calibri"/>
        </w:rPr>
        <w:t>or professional advis</w:t>
      </w:r>
      <w:r w:rsidR="00AB4422">
        <w:rPr>
          <w:rFonts w:ascii="Calibri" w:hAnsi="Calibri" w:cs="Calibri"/>
        </w:rPr>
        <w:t>e</w:t>
      </w:r>
      <w:r w:rsidRPr="00E358D5">
        <w:rPr>
          <w:rFonts w:ascii="Calibri" w:hAnsi="Calibri" w:cs="Calibri"/>
        </w:rPr>
        <w:t>rs are usually the first point of contact for a dispute</w:t>
      </w:r>
      <w:r w:rsidR="0046044C">
        <w:rPr>
          <w:rFonts w:ascii="Calibri" w:hAnsi="Calibri" w:cs="Calibri"/>
        </w:rPr>
        <w:t xml:space="preserve"> </w:t>
      </w:r>
      <w:r w:rsidR="00F13682">
        <w:rPr>
          <w:rFonts w:ascii="Calibri" w:hAnsi="Calibri" w:cs="Calibri"/>
        </w:rPr>
        <w:t xml:space="preserve">however </w:t>
      </w:r>
      <w:proofErr w:type="gramStart"/>
      <w:r w:rsidR="00F13682">
        <w:rPr>
          <w:rFonts w:ascii="Calibri" w:hAnsi="Calibri" w:cs="Calibri"/>
        </w:rPr>
        <w:t>a large number of</w:t>
      </w:r>
      <w:proofErr w:type="gramEnd"/>
      <w:r w:rsidR="00F13682">
        <w:rPr>
          <w:rFonts w:ascii="Calibri" w:hAnsi="Calibri" w:cs="Calibri"/>
        </w:rPr>
        <w:t xml:space="preserve"> professional advisors are also unaware of ASBFEO’s services</w:t>
      </w:r>
      <w:r w:rsidRPr="00E358D5">
        <w:rPr>
          <w:rFonts w:ascii="Calibri" w:hAnsi="Calibri" w:cs="Calibri"/>
        </w:rPr>
        <w:t xml:space="preserve">. The </w:t>
      </w:r>
      <w:r w:rsidR="00E77846">
        <w:rPr>
          <w:rFonts w:ascii="Calibri" w:hAnsi="Calibri" w:cs="Calibri"/>
        </w:rPr>
        <w:t>R</w:t>
      </w:r>
      <w:r w:rsidRPr="00E358D5">
        <w:rPr>
          <w:rFonts w:ascii="Calibri" w:hAnsi="Calibri" w:cs="Calibri"/>
        </w:rPr>
        <w:t>eview recommends that the communication and engagement strategy be updated with a greater focus on the assistance function especially among industry associations and legal and accounting professions and special interest groups, including small businesses run by First Nations people and members of the multicultural community.</w:t>
      </w:r>
    </w:p>
    <w:p w14:paraId="75890C22" w14:textId="23BF7EE5" w:rsidR="00600034" w:rsidRPr="00E358D5" w:rsidRDefault="00600034" w:rsidP="00600034">
      <w:pPr>
        <w:rPr>
          <w:rFonts w:ascii="Calibri" w:hAnsi="Calibri" w:cs="Calibri"/>
        </w:rPr>
      </w:pPr>
      <w:r w:rsidRPr="00E358D5">
        <w:rPr>
          <w:rFonts w:ascii="Calibri" w:hAnsi="Calibri" w:cs="Calibri"/>
        </w:rPr>
        <w:t xml:space="preserve">There was overwhelming support for a name change for ASBFEO as the current name is difficult to pronounce and does not reflect its functions. The </w:t>
      </w:r>
      <w:r w:rsidR="00683011">
        <w:rPr>
          <w:rFonts w:ascii="Calibri" w:hAnsi="Calibri" w:cs="Calibri"/>
        </w:rPr>
        <w:t>R</w:t>
      </w:r>
      <w:r w:rsidRPr="00E358D5">
        <w:rPr>
          <w:rFonts w:ascii="Calibri" w:hAnsi="Calibri" w:cs="Calibri"/>
        </w:rPr>
        <w:t>eview recommends that the name be changed to incorporate the term Commission</w:t>
      </w:r>
      <w:r w:rsidR="00F20CA7">
        <w:rPr>
          <w:rFonts w:ascii="Calibri" w:hAnsi="Calibri" w:cs="Calibri"/>
        </w:rPr>
        <w:t>er</w:t>
      </w:r>
      <w:r w:rsidRPr="00E358D5">
        <w:rPr>
          <w:rFonts w:ascii="Calibri" w:hAnsi="Calibri" w:cs="Calibri"/>
        </w:rPr>
        <w:t xml:space="preserve"> to better reflect the role of ASBFEO. Rebranding will require additional funding to promote awareness of the new brand.</w:t>
      </w:r>
    </w:p>
    <w:p w14:paraId="25A37CB9" w14:textId="7791229A" w:rsidR="00600034" w:rsidRPr="00460D19" w:rsidRDefault="00600034" w:rsidP="00600034">
      <w:pPr>
        <w:rPr>
          <w:rFonts w:ascii="Calibri" w:eastAsia="Calibri" w:hAnsi="Calibri" w:cs="Calibri"/>
        </w:rPr>
      </w:pPr>
      <w:r w:rsidRPr="00E358D5">
        <w:rPr>
          <w:rFonts w:ascii="Calibri" w:eastAsia="Calibri Light" w:hAnsi="Calibri" w:cs="Calibri"/>
        </w:rPr>
        <w:t xml:space="preserve">The </w:t>
      </w:r>
      <w:r w:rsidR="00E066AF">
        <w:rPr>
          <w:rFonts w:ascii="Calibri" w:eastAsia="Calibri Light" w:hAnsi="Calibri" w:cs="Calibri"/>
        </w:rPr>
        <w:t>R</w:t>
      </w:r>
      <w:r w:rsidRPr="00E358D5">
        <w:rPr>
          <w:rFonts w:ascii="Calibri" w:eastAsia="Calibri Light" w:hAnsi="Calibri" w:cs="Calibri"/>
        </w:rPr>
        <w:t xml:space="preserve">eview also assessed the efficacy of ASBFEO’s role in the franchising sector </w:t>
      </w:r>
      <w:proofErr w:type="gramStart"/>
      <w:r w:rsidRPr="00E358D5">
        <w:rPr>
          <w:rFonts w:ascii="Calibri" w:eastAsia="Calibri Light" w:hAnsi="Calibri" w:cs="Calibri"/>
        </w:rPr>
        <w:t>with regard to</w:t>
      </w:r>
      <w:proofErr w:type="gramEnd"/>
      <w:r w:rsidRPr="00E358D5">
        <w:rPr>
          <w:rFonts w:ascii="Calibri" w:eastAsia="Calibri Light" w:hAnsi="Calibri" w:cs="Calibri"/>
        </w:rPr>
        <w:t xml:space="preserve"> the findings of the </w:t>
      </w:r>
      <w:r>
        <w:rPr>
          <w:rFonts w:ascii="Calibri" w:eastAsia="Calibri Light" w:hAnsi="Calibri" w:cs="Calibri"/>
        </w:rPr>
        <w:t xml:space="preserve">2023 Independent Review of the </w:t>
      </w:r>
      <w:r w:rsidRPr="006823FF">
        <w:rPr>
          <w:rFonts w:ascii="Calibri" w:eastAsia="Calibri Light" w:hAnsi="Calibri" w:cs="Calibri"/>
        </w:rPr>
        <w:t>Franchising Code of Conduct</w:t>
      </w:r>
      <w:r w:rsidR="00516013">
        <w:rPr>
          <w:rFonts w:ascii="Calibri" w:eastAsia="Calibri Light" w:hAnsi="Calibri" w:cs="Calibri"/>
        </w:rPr>
        <w:t xml:space="preserve"> </w:t>
      </w:r>
      <w:r w:rsidR="00516013" w:rsidRPr="00991840">
        <w:rPr>
          <w:rFonts w:ascii="Calibri" w:eastAsia="Calibri Light" w:hAnsi="Calibri" w:cs="Calibri"/>
        </w:rPr>
        <w:t>(Franchising Review)</w:t>
      </w:r>
      <w:r>
        <w:rPr>
          <w:rFonts w:ascii="Calibri" w:eastAsia="Calibri Light" w:hAnsi="Calibri" w:cs="Calibri"/>
        </w:rPr>
        <w:t xml:space="preserve">. The </w:t>
      </w:r>
      <w:r w:rsidR="00AD7FBC">
        <w:rPr>
          <w:rFonts w:ascii="Calibri" w:eastAsia="Calibri Light" w:hAnsi="Calibri" w:cs="Calibri"/>
        </w:rPr>
        <w:t>Franchising</w:t>
      </w:r>
      <w:r>
        <w:rPr>
          <w:rFonts w:ascii="Calibri" w:eastAsia="Calibri Light" w:hAnsi="Calibri" w:cs="Calibri"/>
        </w:rPr>
        <w:t xml:space="preserve"> Review</w:t>
      </w:r>
      <w:r w:rsidRPr="006823FF">
        <w:rPr>
          <w:rFonts w:ascii="Calibri" w:eastAsia="Calibri Light" w:hAnsi="Calibri" w:cs="Calibri"/>
        </w:rPr>
        <w:t xml:space="preserve"> recommended improvements to access justice and</w:t>
      </w:r>
      <w:r w:rsidRPr="006823FF" w:rsidDel="00224EE2">
        <w:rPr>
          <w:rFonts w:ascii="Calibri" w:eastAsia="Calibri Light" w:hAnsi="Calibri" w:cs="Calibri"/>
        </w:rPr>
        <w:t xml:space="preserve"> </w:t>
      </w:r>
      <w:r w:rsidRPr="006823FF">
        <w:rPr>
          <w:rFonts w:ascii="Calibri" w:eastAsia="Calibri Light" w:hAnsi="Calibri" w:cs="Calibri"/>
        </w:rPr>
        <w:t>guidance material for franchisees</w:t>
      </w:r>
      <w:r>
        <w:rPr>
          <w:rFonts w:ascii="Calibri" w:eastAsia="Calibri Light" w:hAnsi="Calibri" w:cs="Calibri"/>
        </w:rPr>
        <w:t>.</w:t>
      </w:r>
      <w:r>
        <w:rPr>
          <w:rFonts w:ascii="Calibri" w:eastAsia="Calibri" w:hAnsi="Calibri" w:cs="Calibri"/>
        </w:rPr>
        <w:t xml:space="preserve"> </w:t>
      </w:r>
      <w:r w:rsidRPr="00E358D5">
        <w:rPr>
          <w:rFonts w:ascii="Calibri" w:eastAsia="Calibri Light" w:hAnsi="Calibri" w:cs="Calibri"/>
        </w:rPr>
        <w:t xml:space="preserve">As </w:t>
      </w:r>
      <w:r>
        <w:rPr>
          <w:rFonts w:ascii="Calibri" w:eastAsia="Calibri Light" w:hAnsi="Calibri" w:cs="Calibri"/>
        </w:rPr>
        <w:t xml:space="preserve">these </w:t>
      </w:r>
      <w:r w:rsidRPr="00E358D5">
        <w:rPr>
          <w:rFonts w:ascii="Calibri" w:eastAsia="Calibri" w:hAnsi="Calibri" w:cs="Calibri"/>
        </w:rPr>
        <w:t xml:space="preserve">recommendations have only been recently implemented or are still to be implemented it is too early to assess their effectiveness. Therefore, </w:t>
      </w:r>
      <w:r>
        <w:rPr>
          <w:rFonts w:ascii="Calibri" w:eastAsia="Calibri" w:hAnsi="Calibri" w:cs="Calibri"/>
        </w:rPr>
        <w:t xml:space="preserve">the </w:t>
      </w:r>
      <w:r w:rsidR="00FE20B4">
        <w:rPr>
          <w:rFonts w:ascii="Calibri" w:eastAsia="Calibri" w:hAnsi="Calibri" w:cs="Calibri"/>
        </w:rPr>
        <w:t>R</w:t>
      </w:r>
      <w:r w:rsidRPr="00E358D5">
        <w:rPr>
          <w:rFonts w:ascii="Calibri" w:eastAsia="Calibri" w:hAnsi="Calibri" w:cs="Calibri"/>
        </w:rPr>
        <w:t xml:space="preserve">eview recommends the implementation of these </w:t>
      </w:r>
      <w:r w:rsidRPr="00E358D5">
        <w:rPr>
          <w:rFonts w:ascii="Calibri" w:eastAsia="Calibri Light" w:hAnsi="Calibri" w:cs="Calibri"/>
        </w:rPr>
        <w:t xml:space="preserve">recommendations be </w:t>
      </w:r>
      <w:r>
        <w:rPr>
          <w:rFonts w:ascii="Calibri" w:eastAsia="Calibri Light" w:hAnsi="Calibri" w:cs="Calibri"/>
        </w:rPr>
        <w:t>evaluated</w:t>
      </w:r>
      <w:r w:rsidRPr="00E358D5">
        <w:rPr>
          <w:rFonts w:ascii="Calibri" w:eastAsia="Calibri Light" w:hAnsi="Calibri" w:cs="Calibri"/>
        </w:rPr>
        <w:t xml:space="preserve"> as part of the next statutory review of the ASBFEO</w:t>
      </w:r>
      <w:r w:rsidR="00C12386">
        <w:rPr>
          <w:rFonts w:ascii="Calibri" w:eastAsia="Calibri Light" w:hAnsi="Calibri" w:cs="Calibri"/>
        </w:rPr>
        <w:t>,</w:t>
      </w:r>
      <w:r w:rsidRPr="00E358D5">
        <w:rPr>
          <w:rFonts w:ascii="Calibri" w:eastAsia="Calibri Light" w:hAnsi="Calibri" w:cs="Calibri"/>
        </w:rPr>
        <w:t xml:space="preserve"> </w:t>
      </w:r>
      <w:r>
        <w:rPr>
          <w:rFonts w:ascii="Calibri" w:eastAsia="Calibri Light" w:hAnsi="Calibri" w:cs="Calibri"/>
        </w:rPr>
        <w:t>however</w:t>
      </w:r>
      <w:r w:rsidRPr="00E358D5">
        <w:rPr>
          <w:rFonts w:ascii="Calibri" w:eastAsia="Calibri Light" w:hAnsi="Calibri" w:cs="Calibri"/>
        </w:rPr>
        <w:t xml:space="preserve"> </w:t>
      </w:r>
      <w:r w:rsidRPr="00E358D5" w:rsidDel="00E102F4">
        <w:rPr>
          <w:rFonts w:ascii="Calibri" w:eastAsia="Calibri Light" w:hAnsi="Calibri" w:cs="Calibri"/>
        </w:rPr>
        <w:t>low</w:t>
      </w:r>
      <w:r w:rsidR="003A0D5E">
        <w:rPr>
          <w:rFonts w:ascii="Calibri" w:eastAsia="Calibri Light" w:hAnsi="Calibri" w:cs="Calibri"/>
        </w:rPr>
        <w:noBreakHyphen/>
      </w:r>
      <w:r w:rsidR="00E102F4" w:rsidRPr="00E358D5">
        <w:rPr>
          <w:rFonts w:ascii="Calibri" w:eastAsia="Calibri Light" w:hAnsi="Calibri" w:cs="Calibri"/>
        </w:rPr>
        <w:t>cost</w:t>
      </w:r>
      <w:r w:rsidRPr="00E358D5">
        <w:rPr>
          <w:rFonts w:ascii="Calibri" w:eastAsia="Calibri Light" w:hAnsi="Calibri" w:cs="Calibri"/>
        </w:rPr>
        <w:t xml:space="preserve"> legal advice should be reviewed after 2 years of implementation.</w:t>
      </w:r>
    </w:p>
    <w:p w14:paraId="0BF48F2A" w14:textId="21A23B42" w:rsidR="00600034" w:rsidRPr="00E358D5" w:rsidRDefault="00600034" w:rsidP="00600034">
      <w:pPr>
        <w:rPr>
          <w:rFonts w:ascii="Calibri" w:hAnsi="Calibri" w:cs="Calibri"/>
        </w:rPr>
      </w:pPr>
      <w:r w:rsidRPr="00E358D5">
        <w:rPr>
          <w:rFonts w:ascii="Calibri" w:hAnsi="Calibri" w:cs="Calibri"/>
        </w:rPr>
        <w:t>Finally, I would like to thank the Treasury secretariat (Michelle Calder, Nerida Cole, Petra Peters</w:t>
      </w:r>
      <w:r w:rsidR="00F03BEB">
        <w:rPr>
          <w:rFonts w:ascii="Calibri" w:hAnsi="Calibri" w:cs="Calibri"/>
        </w:rPr>
        <w:t>e</w:t>
      </w:r>
      <w:r w:rsidRPr="00E358D5">
        <w:rPr>
          <w:rFonts w:ascii="Calibri" w:hAnsi="Calibri" w:cs="Calibri"/>
        </w:rPr>
        <w:t xml:space="preserve">n and Eilish Kochel) for their highly professional support, analysis and management of the </w:t>
      </w:r>
      <w:r w:rsidR="00AA07C8">
        <w:rPr>
          <w:rFonts w:ascii="Calibri" w:hAnsi="Calibri" w:cs="Calibri"/>
        </w:rPr>
        <w:t>R</w:t>
      </w:r>
      <w:r w:rsidRPr="00E358D5">
        <w:rPr>
          <w:rFonts w:ascii="Calibri" w:hAnsi="Calibri" w:cs="Calibri"/>
        </w:rPr>
        <w:t>eview.</w:t>
      </w:r>
      <w:r w:rsidR="00397EA9">
        <w:rPr>
          <w:rFonts w:ascii="Calibri" w:hAnsi="Calibri" w:cs="Calibri"/>
        </w:rPr>
        <w:t xml:space="preserve"> </w:t>
      </w:r>
      <w:r w:rsidR="00397EA9" w:rsidRPr="003D49F1">
        <w:rPr>
          <w:bCs/>
        </w:rPr>
        <w:t xml:space="preserve">I would also like to thank ASBFEO for </w:t>
      </w:r>
      <w:r w:rsidR="001360DC">
        <w:rPr>
          <w:bCs/>
        </w:rPr>
        <w:t xml:space="preserve">sharing their insights and providing extensive information </w:t>
      </w:r>
      <w:r w:rsidR="00397EA9" w:rsidRPr="003D49F1">
        <w:rPr>
          <w:bCs/>
        </w:rPr>
        <w:t xml:space="preserve">throughout the </w:t>
      </w:r>
      <w:r w:rsidR="004C4E4D">
        <w:rPr>
          <w:bCs/>
        </w:rPr>
        <w:t>R</w:t>
      </w:r>
      <w:r w:rsidR="00397EA9" w:rsidRPr="003D49F1">
        <w:rPr>
          <w:bCs/>
        </w:rPr>
        <w:t>eview.</w:t>
      </w:r>
    </w:p>
    <w:p w14:paraId="4024FC73" w14:textId="718C8C96" w:rsidR="00600034" w:rsidRPr="00E358D5" w:rsidRDefault="00600034" w:rsidP="00600034">
      <w:pPr>
        <w:rPr>
          <w:rFonts w:ascii="Calibri" w:hAnsi="Calibri" w:cs="Calibri"/>
        </w:rPr>
      </w:pPr>
      <w:r w:rsidRPr="00E358D5">
        <w:rPr>
          <w:rFonts w:ascii="Calibri" w:hAnsi="Calibri" w:cs="Calibri"/>
        </w:rPr>
        <w:t xml:space="preserve">I wish the Government well in considering the recommendations of this </w:t>
      </w:r>
      <w:r w:rsidR="00F87FA1">
        <w:rPr>
          <w:rFonts w:ascii="Calibri" w:hAnsi="Calibri" w:cs="Calibri"/>
        </w:rPr>
        <w:t>R</w:t>
      </w:r>
      <w:r w:rsidRPr="00E358D5">
        <w:rPr>
          <w:rFonts w:ascii="Calibri" w:hAnsi="Calibri" w:cs="Calibri"/>
        </w:rPr>
        <w:t xml:space="preserve">eview and thank you for the opportunity to work on this important </w:t>
      </w:r>
      <w:r w:rsidR="00427DC2">
        <w:rPr>
          <w:rFonts w:ascii="Calibri" w:hAnsi="Calibri" w:cs="Calibri"/>
        </w:rPr>
        <w:t>R</w:t>
      </w:r>
      <w:r>
        <w:rPr>
          <w:rFonts w:ascii="Calibri" w:hAnsi="Calibri" w:cs="Calibri"/>
        </w:rPr>
        <w:t>eview.</w:t>
      </w:r>
    </w:p>
    <w:p w14:paraId="65F59879" w14:textId="77777777" w:rsidR="00600034" w:rsidRPr="00E358D5" w:rsidRDefault="00600034" w:rsidP="00600034">
      <w:pPr>
        <w:rPr>
          <w:rFonts w:ascii="Calibri" w:hAnsi="Calibri" w:cs="Calibri"/>
        </w:rPr>
      </w:pPr>
      <w:r w:rsidRPr="00E358D5">
        <w:rPr>
          <w:rFonts w:ascii="Calibri" w:hAnsi="Calibri" w:cs="Calibri"/>
        </w:rPr>
        <w:t>Yours sincerely</w:t>
      </w:r>
    </w:p>
    <w:p w14:paraId="19E74BDA" w14:textId="49B65D16" w:rsidR="00600034" w:rsidRDefault="00902B0F" w:rsidP="00600034">
      <w:pPr>
        <w:rPr>
          <w:rFonts w:ascii="Calibri" w:hAnsi="Calibri" w:cs="Calibri"/>
        </w:rPr>
      </w:pPr>
      <w:r w:rsidRPr="00902B0F">
        <w:rPr>
          <w:rFonts w:ascii="Calibri" w:hAnsi="Calibri" w:cs="Calibri"/>
          <w:noProof/>
        </w:rPr>
        <w:drawing>
          <wp:inline distT="0" distB="0" distL="0" distR="0" wp14:anchorId="0155A80F" wp14:editId="71B8552D">
            <wp:extent cx="1074717" cy="465068"/>
            <wp:effectExtent l="0" t="0" r="0" b="0"/>
            <wp:docPr id="783505618" name="Picture 1" descr="P36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05618" name="Picture 1" descr="P363#yIS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8474" cy="471021"/>
                    </a:xfrm>
                    <a:prstGeom prst="rect">
                      <a:avLst/>
                    </a:prstGeom>
                  </pic:spPr>
                </pic:pic>
              </a:graphicData>
            </a:graphic>
          </wp:inline>
        </w:drawing>
      </w:r>
    </w:p>
    <w:p w14:paraId="45189AF3" w14:textId="33B861A5" w:rsidR="00600034" w:rsidRPr="0015247B" w:rsidRDefault="00600034" w:rsidP="00600034">
      <w:pPr>
        <w:spacing w:after="0"/>
        <w:rPr>
          <w:rFonts w:ascii="Calibri" w:hAnsi="Calibri" w:cs="Calibri"/>
          <w:b/>
          <w:bCs/>
        </w:rPr>
      </w:pPr>
      <w:r w:rsidRPr="0015247B">
        <w:rPr>
          <w:rFonts w:ascii="Calibri" w:hAnsi="Calibri" w:cs="Calibri"/>
          <w:b/>
          <w:bCs/>
        </w:rPr>
        <w:t xml:space="preserve">Ms Judy </w:t>
      </w:r>
      <w:r w:rsidRPr="00E6704E">
        <w:rPr>
          <w:rStyle w:val="Strong"/>
        </w:rPr>
        <w:t>O</w:t>
      </w:r>
      <w:r>
        <w:rPr>
          <w:rStyle w:val="Strong"/>
        </w:rPr>
        <w:t>’</w:t>
      </w:r>
      <w:r w:rsidRPr="00E6704E">
        <w:rPr>
          <w:rStyle w:val="Strong"/>
        </w:rPr>
        <w:t>Connell</w:t>
      </w:r>
    </w:p>
    <w:p w14:paraId="60954A71" w14:textId="34C42875" w:rsidR="004E7897" w:rsidRDefault="00600034">
      <w:pPr>
        <w:spacing w:before="0" w:after="160" w:line="259" w:lineRule="auto"/>
        <w:sectPr w:rsidR="004E7897" w:rsidSect="00DB04B9">
          <w:footerReference w:type="even" r:id="rId21"/>
          <w:footerReference w:type="default" r:id="rId22"/>
          <w:footerReference w:type="first" r:id="rId23"/>
          <w:type w:val="oddPage"/>
          <w:pgSz w:w="11906" w:h="16838" w:code="9"/>
          <w:pgMar w:top="1843" w:right="1418" w:bottom="1418" w:left="1418" w:header="709" w:footer="709" w:gutter="0"/>
          <w:pgNumType w:start="1"/>
          <w:cols w:space="708"/>
          <w:docGrid w:linePitch="360"/>
        </w:sectPr>
      </w:pPr>
      <w:r>
        <w:rPr>
          <w:rFonts w:ascii="Calibri" w:hAnsi="Calibri" w:cs="Calibri"/>
        </w:rPr>
        <w:t>Independent Reviewer</w:t>
      </w:r>
    </w:p>
    <w:p w14:paraId="667DFB9D" w14:textId="4BF1A346" w:rsidR="00BB79C9" w:rsidRDefault="00BB79C9" w:rsidP="00BB79C9">
      <w:pPr>
        <w:pStyle w:val="Heading1"/>
      </w:pPr>
      <w:bookmarkStart w:id="2" w:name="_Toc199940915"/>
      <w:r>
        <w:lastRenderedPageBreak/>
        <w:t xml:space="preserve">Executive </w:t>
      </w:r>
      <w:r w:rsidR="000E2B63">
        <w:t>s</w:t>
      </w:r>
      <w:r>
        <w:t>ummary</w:t>
      </w:r>
      <w:bookmarkEnd w:id="2"/>
    </w:p>
    <w:p w14:paraId="144050A6" w14:textId="22F95D61" w:rsidR="00B549CB" w:rsidRDefault="00B549CB" w:rsidP="00B549CB">
      <w:r>
        <w:t xml:space="preserve">Since its inception almost </w:t>
      </w:r>
      <w:r w:rsidR="002A7453">
        <w:t xml:space="preserve">10 </w:t>
      </w:r>
      <w:r>
        <w:t xml:space="preserve">years ago, </w:t>
      </w:r>
      <w:r w:rsidR="005340FB">
        <w:t>Australian Small Business and Family Enterprise Ombudsman (</w:t>
      </w:r>
      <w:r w:rsidRPr="0057529F">
        <w:t>ASBFEO</w:t>
      </w:r>
      <w:r w:rsidR="005340FB">
        <w:t>)</w:t>
      </w:r>
      <w:r>
        <w:t xml:space="preserve"> has grown to provide an essential service to small businesses through its assistance and advocacy roles. The Ombudsman’s</w:t>
      </w:r>
      <w:r w:rsidRPr="00BC4A33">
        <w:t xml:space="preserve"> independence gives stakeholders confidence</w:t>
      </w:r>
      <w:r>
        <w:t xml:space="preserve"> that it can appropriately represent the views of small businesses, and </w:t>
      </w:r>
      <w:r w:rsidR="00416BB2">
        <w:t>its</w:t>
      </w:r>
      <w:r>
        <w:t xml:space="preserve"> assistance </w:t>
      </w:r>
      <w:r w:rsidR="00416BB2">
        <w:t xml:space="preserve">function </w:t>
      </w:r>
      <w:r>
        <w:t xml:space="preserve">provides a mechanism for efficient dispute resolution. </w:t>
      </w:r>
    </w:p>
    <w:p w14:paraId="0262BA30" w14:textId="71FAA88E" w:rsidR="00B549CB" w:rsidRDefault="00B549CB" w:rsidP="00B549CB">
      <w:pPr>
        <w:rPr>
          <w:rFonts w:ascii="Calibri" w:hAnsi="Calibri" w:cs="Calibri"/>
        </w:rPr>
      </w:pPr>
      <w:r>
        <w:t xml:space="preserve">A review is required every </w:t>
      </w:r>
      <w:r w:rsidR="00910DA0">
        <w:t>4</w:t>
      </w:r>
      <w:r w:rsidDel="00910DA0">
        <w:t xml:space="preserve"> </w:t>
      </w:r>
      <w:r>
        <w:t xml:space="preserve">years under </w:t>
      </w:r>
      <w:r w:rsidR="00F338C5">
        <w:t>s</w:t>
      </w:r>
      <w:r w:rsidR="00716DC3">
        <w:t>ection</w:t>
      </w:r>
      <w:r w:rsidR="00DA2008">
        <w:t xml:space="preserve"> </w:t>
      </w:r>
      <w:r>
        <w:t xml:space="preserve">95 of the </w:t>
      </w:r>
      <w:r w:rsidR="00F76D64" w:rsidRPr="00E6704E">
        <w:rPr>
          <w:rStyle w:val="Emphasis"/>
        </w:rPr>
        <w:t xml:space="preserve">Australian Small Business and Family Enterprise Ombudsman Act 2015 </w:t>
      </w:r>
      <w:r w:rsidR="00F76D64" w:rsidRPr="0057529F">
        <w:t>(</w:t>
      </w:r>
      <w:proofErr w:type="spellStart"/>
      <w:r w:rsidR="00F76D64" w:rsidRPr="0057529F">
        <w:t>Cth</w:t>
      </w:r>
      <w:proofErr w:type="spellEnd"/>
      <w:r w:rsidR="00F76D64" w:rsidRPr="0057529F">
        <w:t>)</w:t>
      </w:r>
      <w:r w:rsidR="00F76D64" w:rsidRPr="00F76D64">
        <w:t> </w:t>
      </w:r>
      <w:r w:rsidR="00F76D64">
        <w:t>(</w:t>
      </w:r>
      <w:r w:rsidRPr="0057529F">
        <w:t>ASBFEO</w:t>
      </w:r>
      <w:r>
        <w:t xml:space="preserve"> </w:t>
      </w:r>
      <w:r w:rsidRPr="0057529F">
        <w:t>Act</w:t>
      </w:r>
      <w:r w:rsidR="009A4667" w:rsidRPr="0057529F">
        <w:t xml:space="preserve">, </w:t>
      </w:r>
      <w:r w:rsidR="009A4667" w:rsidRPr="009A4667">
        <w:t>the</w:t>
      </w:r>
      <w:r w:rsidR="009A4667" w:rsidRPr="0057529F">
        <w:t xml:space="preserve"> Act</w:t>
      </w:r>
      <w:r w:rsidR="00F76D64">
        <w:t>)</w:t>
      </w:r>
      <w:r>
        <w:t>, to assess whether the</w:t>
      </w:r>
      <w:r w:rsidRPr="002073B1">
        <w:rPr>
          <w:rFonts w:ascii="Calibri" w:hAnsi="Calibri" w:cs="Calibri"/>
        </w:rPr>
        <w:t xml:space="preserve"> </w:t>
      </w:r>
      <w:r w:rsidRPr="626ACBE4">
        <w:rPr>
          <w:rFonts w:ascii="Calibri" w:hAnsi="Calibri" w:cs="Calibri"/>
        </w:rPr>
        <w:t xml:space="preserve">ASBFEO’s </w:t>
      </w:r>
      <w:r w:rsidRPr="002073B1">
        <w:rPr>
          <w:rFonts w:ascii="Calibri" w:hAnsi="Calibri" w:cs="Calibri"/>
        </w:rPr>
        <w:t>assistance and dispute resolution function is fit</w:t>
      </w:r>
      <w:r w:rsidR="003A0D5E">
        <w:rPr>
          <w:rFonts w:ascii="Calibri" w:hAnsi="Calibri" w:cs="Calibri"/>
        </w:rPr>
        <w:noBreakHyphen/>
      </w:r>
      <w:r w:rsidRPr="002073B1">
        <w:rPr>
          <w:rFonts w:ascii="Calibri" w:hAnsi="Calibri" w:cs="Calibri"/>
        </w:rPr>
        <w:t>for</w:t>
      </w:r>
      <w:r w:rsidR="003A0D5E">
        <w:rPr>
          <w:rFonts w:ascii="Calibri" w:hAnsi="Calibri" w:cs="Calibri"/>
        </w:rPr>
        <w:noBreakHyphen/>
      </w:r>
      <w:r w:rsidRPr="002073B1">
        <w:rPr>
          <w:rFonts w:ascii="Calibri" w:hAnsi="Calibri" w:cs="Calibri"/>
        </w:rPr>
        <w:t>purpose within the broader dispute resolution ecosystem</w:t>
      </w:r>
      <w:r>
        <w:rPr>
          <w:rFonts w:ascii="Calibri" w:hAnsi="Calibri" w:cs="Calibri"/>
        </w:rPr>
        <w:t>. This is the third review of A</w:t>
      </w:r>
      <w:r w:rsidRPr="626ACBE4">
        <w:rPr>
          <w:rFonts w:ascii="Calibri" w:hAnsi="Calibri" w:cs="Calibri"/>
        </w:rPr>
        <w:t xml:space="preserve">SBFEO </w:t>
      </w:r>
      <w:r w:rsidR="002D2564">
        <w:rPr>
          <w:rFonts w:ascii="Calibri" w:hAnsi="Calibri" w:cs="Calibri"/>
        </w:rPr>
        <w:t xml:space="preserve">as </w:t>
      </w:r>
      <w:r>
        <w:rPr>
          <w:rFonts w:ascii="Calibri" w:hAnsi="Calibri" w:cs="Calibri"/>
        </w:rPr>
        <w:t>previous reviews were conducted in 2017 and 2021</w:t>
      </w:r>
      <w:r w:rsidRPr="626ACBE4">
        <w:rPr>
          <w:rFonts w:ascii="Calibri" w:hAnsi="Calibri" w:cs="Calibri"/>
        </w:rPr>
        <w:t>,</w:t>
      </w:r>
      <w:r>
        <w:rPr>
          <w:rFonts w:ascii="Calibri" w:hAnsi="Calibri" w:cs="Calibri"/>
        </w:rPr>
        <w:t xml:space="preserve"> therefore</w:t>
      </w:r>
      <w:r w:rsidRPr="626ACBE4">
        <w:rPr>
          <w:rFonts w:ascii="Calibri" w:hAnsi="Calibri" w:cs="Calibri"/>
        </w:rPr>
        <w:t xml:space="preserve"> it is timely to undertake a </w:t>
      </w:r>
      <w:r w:rsidR="00613BEE">
        <w:rPr>
          <w:rFonts w:ascii="Calibri" w:hAnsi="Calibri" w:cs="Calibri"/>
        </w:rPr>
        <w:t>comprehensive</w:t>
      </w:r>
      <w:r w:rsidR="00613BEE" w:rsidRPr="626ACBE4">
        <w:rPr>
          <w:rFonts w:ascii="Calibri" w:hAnsi="Calibri" w:cs="Calibri"/>
        </w:rPr>
        <w:t xml:space="preserve"> rev</w:t>
      </w:r>
      <w:r w:rsidR="00613BEE">
        <w:rPr>
          <w:rFonts w:ascii="Calibri" w:hAnsi="Calibri" w:cs="Calibri"/>
        </w:rPr>
        <w:t>i</w:t>
      </w:r>
      <w:r w:rsidR="00613BEE" w:rsidRPr="626ACBE4">
        <w:rPr>
          <w:rFonts w:ascii="Calibri" w:hAnsi="Calibri" w:cs="Calibri"/>
        </w:rPr>
        <w:t>ew of its operations includ</w:t>
      </w:r>
      <w:r w:rsidR="00613BEE">
        <w:rPr>
          <w:rFonts w:ascii="Calibri" w:hAnsi="Calibri" w:cs="Calibri"/>
        </w:rPr>
        <w:t>ing</w:t>
      </w:r>
      <w:r w:rsidR="00613BEE" w:rsidRPr="626ACBE4">
        <w:rPr>
          <w:rFonts w:ascii="Calibri" w:hAnsi="Calibri" w:cs="Calibri"/>
        </w:rPr>
        <w:t xml:space="preserve"> </w:t>
      </w:r>
      <w:r w:rsidR="00613BEE">
        <w:rPr>
          <w:rFonts w:ascii="Calibri" w:hAnsi="Calibri" w:cs="Calibri"/>
        </w:rPr>
        <w:t xml:space="preserve">the advocacy and assistance functions, the roles of the franchising sector and assessing the nomenclature and branding of the </w:t>
      </w:r>
      <w:r w:rsidR="00CE5B6B">
        <w:rPr>
          <w:rFonts w:ascii="Calibri" w:hAnsi="Calibri" w:cs="Calibri"/>
        </w:rPr>
        <w:t>office.</w:t>
      </w:r>
    </w:p>
    <w:p w14:paraId="208D7AA9" w14:textId="3FB3AE86" w:rsidR="00B549CB" w:rsidRDefault="00B549CB" w:rsidP="00B549CB">
      <w:r>
        <w:t xml:space="preserve">ASBFEO has matured in its approach to advocacy and assistance over the past 10 years. Small businesses and the broader community highly value its </w:t>
      </w:r>
      <w:r w:rsidR="00613BEE">
        <w:t>role</w:t>
      </w:r>
      <w:r>
        <w:t>, and this has been recognised nationally and international</w:t>
      </w:r>
      <w:r w:rsidR="00CF369F">
        <w:t>ly</w:t>
      </w:r>
      <w:r>
        <w:t>. ASBFEO received th</w:t>
      </w:r>
      <w:r w:rsidRPr="00E96A7D">
        <w:t>e</w:t>
      </w:r>
      <w:r w:rsidR="00D66B7C">
        <w:t xml:space="preserve"> </w:t>
      </w:r>
      <w:r w:rsidRPr="00E96A7D">
        <w:t>ICSB</w:t>
      </w:r>
      <w:r w:rsidR="00D66B7C">
        <w:t> </w:t>
      </w:r>
      <w:proofErr w:type="spellStart"/>
      <w:r w:rsidRPr="00E96A7D">
        <w:t>Light</w:t>
      </w:r>
      <w:r w:rsidR="00A1263F">
        <w:t>H</w:t>
      </w:r>
      <w:r w:rsidRPr="00E96A7D">
        <w:t>ouse</w:t>
      </w:r>
      <w:proofErr w:type="spellEnd"/>
      <w:r w:rsidRPr="00E96A7D">
        <w:t xml:space="preserve"> Award 2024</w:t>
      </w:r>
      <w:r w:rsidR="001B602A" w:rsidRPr="001B602A">
        <w:t>–</w:t>
      </w:r>
      <w:r w:rsidRPr="00E96A7D">
        <w:t>2025 from the International Council for Small Business</w:t>
      </w:r>
      <w:r w:rsidR="00D243F2">
        <w:t>,</w:t>
      </w:r>
      <w:r>
        <w:t xml:space="preserve"> and </w:t>
      </w:r>
      <w:r w:rsidRPr="004F3A19" w:rsidDel="00D243F2">
        <w:t xml:space="preserve">the </w:t>
      </w:r>
      <w:r w:rsidR="00D61AFF">
        <w:t xml:space="preserve">2025 </w:t>
      </w:r>
      <w:r w:rsidRPr="004F3A19">
        <w:t xml:space="preserve">Ombudsmen and Commissions </w:t>
      </w:r>
      <w:r>
        <w:t>Alternative Dispute Resolution</w:t>
      </w:r>
      <w:r w:rsidRPr="004F3A19">
        <w:t xml:space="preserve"> Group of the Year award</w:t>
      </w:r>
      <w:r w:rsidR="00F02163">
        <w:t xml:space="preserve"> from the Australian Dispute Centre. </w:t>
      </w:r>
    </w:p>
    <w:p w14:paraId="6EA77A37" w14:textId="6E2D4A83" w:rsidR="00B549CB" w:rsidRDefault="00B549CB" w:rsidP="00B549CB">
      <w:r>
        <w:t>S</w:t>
      </w:r>
      <w:r w:rsidRPr="00086361">
        <w:t xml:space="preserve">takeholders and state and federal government agencies overwhelmingly supported </w:t>
      </w:r>
      <w:r>
        <w:t>ASBFEO’s</w:t>
      </w:r>
      <w:r w:rsidRPr="00086361">
        <w:t xml:space="preserve"> advocacy role.</w:t>
      </w:r>
      <w:r w:rsidRPr="00E720B9">
        <w:t xml:space="preserve"> </w:t>
      </w:r>
      <w:r w:rsidR="00716DC3">
        <w:t xml:space="preserve">ASBFEO </w:t>
      </w:r>
      <w:r w:rsidRPr="00086361">
        <w:t xml:space="preserve">is highly regarded and respected by stakeholders. </w:t>
      </w:r>
      <w:r w:rsidR="00D300A0">
        <w:t>It</w:t>
      </w:r>
      <w:r w:rsidR="00C44A34">
        <w:t xml:space="preserve"> </w:t>
      </w:r>
      <w:r>
        <w:t>understand</w:t>
      </w:r>
      <w:r w:rsidR="00D300A0">
        <w:t>s</w:t>
      </w:r>
      <w:r>
        <w:t xml:space="preserve"> small business issues</w:t>
      </w:r>
      <w:r w:rsidRPr="00086361">
        <w:t xml:space="preserve"> and advocate</w:t>
      </w:r>
      <w:r>
        <w:t xml:space="preserve">s </w:t>
      </w:r>
      <w:r w:rsidRPr="00086361">
        <w:t xml:space="preserve">effectively in forums. </w:t>
      </w:r>
      <w:r w:rsidR="00C44A34">
        <w:t xml:space="preserve">The Ombudsman </w:t>
      </w:r>
      <w:r w:rsidRPr="00086361">
        <w:t xml:space="preserve">is very </w:t>
      </w:r>
      <w:r>
        <w:t>generous</w:t>
      </w:r>
      <w:r w:rsidRPr="00086361">
        <w:t xml:space="preserve"> with his time and willingness to attend </w:t>
      </w:r>
      <w:r>
        <w:t>conferences and small business events</w:t>
      </w:r>
      <w:r w:rsidRPr="00086361">
        <w:t>.</w:t>
      </w:r>
      <w:r>
        <w:t xml:space="preserve"> Those who attend the ASBFEO forums highly value their participation.</w:t>
      </w:r>
    </w:p>
    <w:p w14:paraId="2A087223" w14:textId="74D4F7CC" w:rsidR="00B549CB" w:rsidRDefault="00B549CB" w:rsidP="00B549CB">
      <w:r>
        <w:t xml:space="preserve">ASBFEO’s engagement with </w:t>
      </w:r>
      <w:r w:rsidRPr="004D39B3">
        <w:t>policy and regulatory reform has</w:t>
      </w:r>
      <w:r>
        <w:t xml:space="preserve"> been broad reaching, including</w:t>
      </w:r>
      <w:r w:rsidRPr="004D39B3">
        <w:t xml:space="preserve"> government departments and regulators, parliamentary committees</w:t>
      </w:r>
      <w:r>
        <w:t xml:space="preserve"> and industry associations. Stakeholders who participated in </w:t>
      </w:r>
      <w:r w:rsidR="003D4EB9">
        <w:t>the</w:t>
      </w:r>
      <w:r>
        <w:t xml:space="preserve"> </w:t>
      </w:r>
      <w:r w:rsidR="003D4EB9" w:rsidRPr="007F4D95">
        <w:t>2025 Independent Review of the Australian Small Business and Family Enterprise Ombudsman</w:t>
      </w:r>
      <w:r w:rsidR="002E4943">
        <w:t xml:space="preserve"> </w:t>
      </w:r>
      <w:r w:rsidR="003D4EB9">
        <w:t>(</w:t>
      </w:r>
      <w:r w:rsidR="00B54357">
        <w:t>t</w:t>
      </w:r>
      <w:r>
        <w:t xml:space="preserve">he </w:t>
      </w:r>
      <w:r w:rsidRPr="008E75A1">
        <w:t>Review</w:t>
      </w:r>
      <w:r w:rsidR="003D4EB9">
        <w:t>)</w:t>
      </w:r>
      <w:r>
        <w:t xml:space="preserve"> perceived the advocacy function as the primary focus for ASBFEO</w:t>
      </w:r>
      <w:r w:rsidR="00AD69B3">
        <w:t>.</w:t>
      </w:r>
      <w:r w:rsidRPr="00634136" w:rsidDel="00AD69B3">
        <w:t xml:space="preserve"> </w:t>
      </w:r>
      <w:r w:rsidR="00AD69B3">
        <w:t xml:space="preserve">A </w:t>
      </w:r>
      <w:r w:rsidRPr="00634136">
        <w:t xml:space="preserve">more </w:t>
      </w:r>
      <w:r>
        <w:t>structured</w:t>
      </w:r>
      <w:r w:rsidRPr="00634136">
        <w:t xml:space="preserve"> </w:t>
      </w:r>
      <w:r>
        <w:t>approach to</w:t>
      </w:r>
      <w:r w:rsidRPr="00634136">
        <w:t xml:space="preserve"> </w:t>
      </w:r>
      <w:r>
        <w:t>setting advocacy priorities is needed</w:t>
      </w:r>
      <w:r w:rsidR="00AD69B3">
        <w:t xml:space="preserve"> to capitalise on this role into the future</w:t>
      </w:r>
      <w:r>
        <w:t xml:space="preserve">. This should </w:t>
      </w:r>
      <w:r w:rsidRPr="007044D8">
        <w:t>includ</w:t>
      </w:r>
      <w:r>
        <w:t>e</w:t>
      </w:r>
      <w:r w:rsidRPr="007044D8">
        <w:t xml:space="preserve"> gathering </w:t>
      </w:r>
      <w:r>
        <w:t xml:space="preserve">intelligence from </w:t>
      </w:r>
      <w:r w:rsidRPr="007044D8">
        <w:t>stakeholder</w:t>
      </w:r>
      <w:r>
        <w:t>s</w:t>
      </w:r>
      <w:r w:rsidRPr="007044D8">
        <w:t xml:space="preserve">, </w:t>
      </w:r>
      <w:r>
        <w:t>defining</w:t>
      </w:r>
      <w:r w:rsidRPr="007044D8">
        <w:t xml:space="preserve"> its role with other key agencies, documenting a framework for prioriti</w:t>
      </w:r>
      <w:r>
        <w:t>s</w:t>
      </w:r>
      <w:r w:rsidRPr="007044D8">
        <w:t>ing topics, and measuring advocacy outcomes</w:t>
      </w:r>
      <w:r>
        <w:t>.</w:t>
      </w:r>
    </w:p>
    <w:p w14:paraId="210F80C2" w14:textId="77DCCDE5" w:rsidR="00B549CB" w:rsidDel="000C713C" w:rsidRDefault="00B549CB" w:rsidP="00B549CB">
      <w:r>
        <w:t>S</w:t>
      </w:r>
      <w:r w:rsidRPr="00460613">
        <w:t xml:space="preserve">takeholders </w:t>
      </w:r>
      <w:r>
        <w:t>applauded ASBFEO’s</w:t>
      </w:r>
      <w:r w:rsidRPr="00460613">
        <w:t xml:space="preserve"> research and data function, </w:t>
      </w:r>
      <w:r>
        <w:t>with</w:t>
      </w:r>
      <w:r w:rsidRPr="00460613">
        <w:t xml:space="preserve"> </w:t>
      </w:r>
      <w:r>
        <w:t>many</w:t>
      </w:r>
      <w:r w:rsidRPr="00086361">
        <w:t xml:space="preserve"> associations and government agencies us</w:t>
      </w:r>
      <w:r>
        <w:t>ing i</w:t>
      </w:r>
      <w:r w:rsidRPr="00086361">
        <w:t>t</w:t>
      </w:r>
      <w:r>
        <w:t xml:space="preserve"> to inform their policies and advocacy agendas. This has put pressure on the </w:t>
      </w:r>
      <w:r w:rsidR="00D33B7B" w:rsidRPr="00D33B7B">
        <w:t xml:space="preserve">Economic and </w:t>
      </w:r>
      <w:r>
        <w:t xml:space="preserve">Data </w:t>
      </w:r>
      <w:r w:rsidR="00D33B7B" w:rsidRPr="00D33B7B">
        <w:t xml:space="preserve">Analytics </w:t>
      </w:r>
      <w:r w:rsidR="001C34AB">
        <w:t>t</w:t>
      </w:r>
      <w:r>
        <w:t xml:space="preserve">eam’s </w:t>
      </w:r>
      <w:r w:rsidR="00D33B7B">
        <w:t>(</w:t>
      </w:r>
      <w:r w:rsidRPr="007F4D95">
        <w:t xml:space="preserve">Data </w:t>
      </w:r>
      <w:r w:rsidR="001C34AB" w:rsidRPr="007F4D95">
        <w:t>t</w:t>
      </w:r>
      <w:r w:rsidRPr="007F4D95">
        <w:t>eam</w:t>
      </w:r>
      <w:r w:rsidR="00D33B7B">
        <w:t>)</w:t>
      </w:r>
      <w:r>
        <w:t xml:space="preserve"> resources</w:t>
      </w:r>
      <w:r w:rsidRPr="00086361">
        <w:t xml:space="preserve">. </w:t>
      </w:r>
      <w:r>
        <w:t xml:space="preserve">A framework for advocacy work will also help ASBFEO’s </w:t>
      </w:r>
      <w:r w:rsidR="001C34AB">
        <w:t>D</w:t>
      </w:r>
      <w:r>
        <w:t xml:space="preserve">ata team align data requests and research to the priorities of the assistance and advocacy functions. </w:t>
      </w:r>
    </w:p>
    <w:p w14:paraId="6ACB565C" w14:textId="37423F86" w:rsidR="00B549CB" w:rsidRDefault="00B549CB" w:rsidP="00B549CB">
      <w:r>
        <w:t xml:space="preserve">The Review considered the types of assistance requested by small businesses, and whether that assistance was </w:t>
      </w:r>
      <w:r>
        <w:rPr>
          <w:rFonts w:eastAsiaTheme="minorEastAsia"/>
        </w:rPr>
        <w:t xml:space="preserve">convenient and effective. </w:t>
      </w:r>
      <w:r>
        <w:t xml:space="preserve">Consultation emphasised the vital need for </w:t>
      </w:r>
      <w:r w:rsidRPr="001B7C7E">
        <w:t>ASBFEO’s assistance function</w:t>
      </w:r>
      <w:r>
        <w:t>,</w:t>
      </w:r>
      <w:r w:rsidRPr="001B7C7E">
        <w:t xml:space="preserve"> especially</w:t>
      </w:r>
      <w:r>
        <w:t xml:space="preserve"> low</w:t>
      </w:r>
      <w:r w:rsidR="003A0D5E">
        <w:noBreakHyphen/>
      </w:r>
      <w:r w:rsidRPr="001B7C7E">
        <w:t>cost dispute resolution</w:t>
      </w:r>
      <w:r>
        <w:t xml:space="preserve"> and highlighted the limitations in ASBFEO’s ability to conduct Alternative Dispute Resolution (</w:t>
      </w:r>
      <w:r w:rsidRPr="008E75A1">
        <w:t>ADR</w:t>
      </w:r>
      <w:r>
        <w:t>).</w:t>
      </w:r>
      <w:r w:rsidRPr="00CB5388">
        <w:t xml:space="preserve"> </w:t>
      </w:r>
      <w:r>
        <w:t>ASBFEO’s</w:t>
      </w:r>
      <w:r w:rsidRPr="00CB5388">
        <w:t xml:space="preserve"> mediation services are underutilised, and disputes are often not fully resolved. </w:t>
      </w:r>
      <w:r>
        <w:t xml:space="preserve">Current legislation prohibits ASBFEO from conducting ADR. The Review </w:t>
      </w:r>
      <w:r w:rsidR="001276A4">
        <w:t xml:space="preserve">determined </w:t>
      </w:r>
      <w:r w:rsidR="00CE5B6B">
        <w:t>that amending</w:t>
      </w:r>
      <w:r>
        <w:t xml:space="preserve"> </w:t>
      </w:r>
      <w:r w:rsidRPr="00CB5388">
        <w:t xml:space="preserve">legislation to enable </w:t>
      </w:r>
      <w:r>
        <w:t>ASBFEO t</w:t>
      </w:r>
      <w:r w:rsidRPr="00CB5388">
        <w:t xml:space="preserve">o conduct ADR </w:t>
      </w:r>
      <w:r>
        <w:lastRenderedPageBreak/>
        <w:t xml:space="preserve">services </w:t>
      </w:r>
      <w:r w:rsidR="009F3CDC">
        <w:t>at the pre</w:t>
      </w:r>
      <w:r w:rsidR="003A0D5E">
        <w:noBreakHyphen/>
      </w:r>
      <w:r w:rsidR="009F3CDC">
        <w:t xml:space="preserve">mediation stage and to procure a panel of independent mediators </w:t>
      </w:r>
      <w:r>
        <w:t>is necessary, as this would enable ASBFEO to be</w:t>
      </w:r>
      <w:r w:rsidRPr="00CB5388">
        <w:t xml:space="preserve"> </w:t>
      </w:r>
      <w:r>
        <w:t>more</w:t>
      </w:r>
      <w:r w:rsidRPr="00CB5388">
        <w:t xml:space="preserve"> effective in providing a low</w:t>
      </w:r>
      <w:r w:rsidR="003A0D5E">
        <w:noBreakHyphen/>
      </w:r>
      <w:r w:rsidRPr="00CB5388">
        <w:t>cost dispute resolution service</w:t>
      </w:r>
      <w:r>
        <w:t>.</w:t>
      </w:r>
      <w:r w:rsidRPr="00CB5388">
        <w:t xml:space="preserve"> </w:t>
      </w:r>
    </w:p>
    <w:p w14:paraId="15BCF6FE" w14:textId="75FBACC4" w:rsidR="00B549CB" w:rsidRPr="00876633" w:rsidRDefault="00B549CB" w:rsidP="00B549CB">
      <w:r>
        <w:t xml:space="preserve">ASBFEO’s role is to assist </w:t>
      </w:r>
      <w:r w:rsidR="005D1C40">
        <w:t>s</w:t>
      </w:r>
      <w:r>
        <w:t xml:space="preserve">mall </w:t>
      </w:r>
      <w:r w:rsidR="005D1C40">
        <w:t>b</w:t>
      </w:r>
      <w:r>
        <w:t>usinesses without duplicating the work of other agencies</w:t>
      </w:r>
      <w:r w:rsidR="002F08E7">
        <w:t>. H</w:t>
      </w:r>
      <w:r>
        <w:t>owever</w:t>
      </w:r>
      <w:r w:rsidR="002F08E7">
        <w:t>,</w:t>
      </w:r>
      <w:r>
        <w:t xml:space="preserve"> referring small business dispute cases</w:t>
      </w:r>
      <w:r w:rsidRPr="00CB5388">
        <w:t xml:space="preserve"> to other agencies </w:t>
      </w:r>
      <w:r>
        <w:t xml:space="preserve">accounts for </w:t>
      </w:r>
      <w:r w:rsidR="00A54FE5">
        <w:t xml:space="preserve">approximately </w:t>
      </w:r>
      <w:r>
        <w:t xml:space="preserve">a quarter of the </w:t>
      </w:r>
      <w:r w:rsidR="00BF60EF">
        <w:t>Information and A</w:t>
      </w:r>
      <w:r>
        <w:t>ssistance team</w:t>
      </w:r>
      <w:r w:rsidR="005A5949">
        <w:t>’s</w:t>
      </w:r>
      <w:r w:rsidR="00830C78">
        <w:t xml:space="preserve"> </w:t>
      </w:r>
      <w:r w:rsidR="00BF60EF">
        <w:t>(</w:t>
      </w:r>
      <w:r w:rsidR="00960C69">
        <w:t>Assistance team)</w:t>
      </w:r>
      <w:r w:rsidR="00802C03">
        <w:t xml:space="preserve"> </w:t>
      </w:r>
      <w:r>
        <w:t>workload. Reviewing</w:t>
      </w:r>
      <w:r w:rsidRPr="00876633">
        <w:t xml:space="preserve"> th</w:t>
      </w:r>
      <w:r>
        <w:t>e</w:t>
      </w:r>
      <w:r w:rsidR="00A062CE">
        <w:t xml:space="preserve"> process to</w:t>
      </w:r>
      <w:r w:rsidRPr="00876633">
        <w:t xml:space="preserve"> transfer </w:t>
      </w:r>
      <w:r w:rsidR="0096444C">
        <w:t xml:space="preserve">the </w:t>
      </w:r>
      <w:r w:rsidR="00A062CE">
        <w:t xml:space="preserve">documents and information regarding a dispute case to other </w:t>
      </w:r>
      <w:proofErr w:type="gramStart"/>
      <w:r w:rsidR="00A062CE">
        <w:t>agencies</w:t>
      </w:r>
      <w:r w:rsidR="00624B76">
        <w:t>,</w:t>
      </w:r>
      <w:r w:rsidR="00B36918">
        <w:t xml:space="preserve"> </w:t>
      </w:r>
      <w:r>
        <w:t>and</w:t>
      </w:r>
      <w:proofErr w:type="gramEnd"/>
      <w:r>
        <w:t xml:space="preserve"> revising the </w:t>
      </w:r>
      <w:r w:rsidR="003A786C">
        <w:t xml:space="preserve">Contact Centre referrals process </w:t>
      </w:r>
      <w:r>
        <w:t>would help enable</w:t>
      </w:r>
      <w:r w:rsidRPr="00876633">
        <w:t xml:space="preserve"> </w:t>
      </w:r>
      <w:r>
        <w:t xml:space="preserve">the </w:t>
      </w:r>
      <w:r w:rsidRPr="00876633">
        <w:t>timely transfer of cases.</w:t>
      </w:r>
    </w:p>
    <w:p w14:paraId="0D5C3396" w14:textId="1FE3FA2A" w:rsidR="00B549CB" w:rsidRPr="00291BDA" w:rsidRDefault="00B549CB" w:rsidP="00B549CB">
      <w:r>
        <w:t xml:space="preserve">ASBFEO has recognised that </w:t>
      </w:r>
      <w:r w:rsidR="005D1C40">
        <w:t xml:space="preserve">its </w:t>
      </w:r>
      <w:r>
        <w:t xml:space="preserve">reporting function needs further work to allow the </w:t>
      </w:r>
      <w:r w:rsidRPr="0009353D">
        <w:t>tracking</w:t>
      </w:r>
      <w:r>
        <w:t xml:space="preserve"> and extraction of intelligence from a dispute case. </w:t>
      </w:r>
      <w:r w:rsidRPr="00CB5388">
        <w:t>ASBFEO’s ambition is to achieve I</w:t>
      </w:r>
      <w:r w:rsidR="000E29C6">
        <w:t xml:space="preserve">nternational </w:t>
      </w:r>
      <w:r w:rsidR="00A2434E">
        <w:t>Organi</w:t>
      </w:r>
      <w:r w:rsidR="00667E73">
        <w:t>z</w:t>
      </w:r>
      <w:r w:rsidR="00A2434E">
        <w:t xml:space="preserve">ation for </w:t>
      </w:r>
      <w:r w:rsidRPr="00CB5388">
        <w:t>S</w:t>
      </w:r>
      <w:r w:rsidR="000E29C6">
        <w:t>tandard</w:t>
      </w:r>
      <w:r w:rsidR="00A2434E">
        <w:t>i</w:t>
      </w:r>
      <w:r w:rsidR="00EC40CC">
        <w:t>z</w:t>
      </w:r>
      <w:r w:rsidR="00A2434E">
        <w:t>ation (</w:t>
      </w:r>
      <w:r w:rsidR="00A2434E" w:rsidRPr="00EE25C0">
        <w:t>ISO</w:t>
      </w:r>
      <w:r w:rsidR="00A2434E">
        <w:t>)</w:t>
      </w:r>
      <w:r w:rsidRPr="00CB5388">
        <w:t xml:space="preserve"> accreditation for the assistance function</w:t>
      </w:r>
      <w:r>
        <w:t>,</w:t>
      </w:r>
      <w:r w:rsidRPr="00CB5388">
        <w:t xml:space="preserve"> and t</w:t>
      </w:r>
      <w:r w:rsidRPr="009119C3">
        <w:t xml:space="preserve">he Review </w:t>
      </w:r>
      <w:r>
        <w:t>commends this.</w:t>
      </w:r>
      <w:r w:rsidR="00975F2A" w:rsidRPr="00975F2A">
        <w:rPr>
          <w:rFonts w:ascii="Aptos" w:eastAsiaTheme="minorHAnsi" w:hAnsi="Aptos" w:cs="Aptos"/>
          <w:color w:val="auto"/>
          <w:szCs w:val="22"/>
        </w:rPr>
        <w:t xml:space="preserve"> </w:t>
      </w:r>
      <w:r w:rsidR="00975F2A" w:rsidRPr="00975F2A">
        <w:t>Th</w:t>
      </w:r>
      <w:r w:rsidR="005824B7">
        <w:t>e</w:t>
      </w:r>
      <w:r w:rsidR="00975F2A" w:rsidRPr="00975F2A">
        <w:t xml:space="preserve"> accreditation when finalised will </w:t>
      </w:r>
      <w:r w:rsidR="00B71BF4">
        <w:t>provide</w:t>
      </w:r>
      <w:r w:rsidR="00975F2A" w:rsidRPr="00975F2A">
        <w:t xml:space="preserve"> small businesses</w:t>
      </w:r>
      <w:r w:rsidR="005E100F">
        <w:t xml:space="preserve"> confidence </w:t>
      </w:r>
      <w:r w:rsidR="00922187">
        <w:t xml:space="preserve">that ASBFEO’s assistance </w:t>
      </w:r>
      <w:r w:rsidR="00975F2A" w:rsidRPr="00975F2A">
        <w:t>service</w:t>
      </w:r>
      <w:r w:rsidR="00922187">
        <w:t>s</w:t>
      </w:r>
      <w:r w:rsidR="00975F2A" w:rsidRPr="00975F2A">
        <w:t xml:space="preserve"> meets the international standards and expectations of delivering high quality ADR processes.</w:t>
      </w:r>
    </w:p>
    <w:p w14:paraId="2533B5A5" w14:textId="28D53361" w:rsidR="00B549CB" w:rsidRDefault="00B549CB" w:rsidP="00B549CB">
      <w:pPr>
        <w:rPr>
          <w:rFonts w:ascii="Calibri" w:hAnsi="Calibri" w:cs="Calibri"/>
        </w:rPr>
      </w:pPr>
      <w:r w:rsidRPr="00CB5388">
        <w:t xml:space="preserve">Stakeholders </w:t>
      </w:r>
      <w:r>
        <w:t>highlighted the important role</w:t>
      </w:r>
      <w:r w:rsidRPr="00CB5388">
        <w:t xml:space="preserve"> that ASBFEO plays </w:t>
      </w:r>
      <w:r>
        <w:t xml:space="preserve">in </w:t>
      </w:r>
      <w:r w:rsidRPr="00D81AA6">
        <w:t xml:space="preserve">the franchising sector. </w:t>
      </w:r>
      <w:r w:rsidRPr="00CB5388">
        <w:t xml:space="preserve">ASBFEO </w:t>
      </w:r>
      <w:r>
        <w:t>provides access to low</w:t>
      </w:r>
      <w:r w:rsidR="003A0D5E">
        <w:noBreakHyphen/>
      </w:r>
      <w:r>
        <w:t xml:space="preserve">cost dispute resolution </w:t>
      </w:r>
      <w:r w:rsidRPr="00CB5388">
        <w:t>under the Franchising Code</w:t>
      </w:r>
      <w:r>
        <w:t xml:space="preserve"> </w:t>
      </w:r>
      <w:r w:rsidR="00991F40">
        <w:t>of Conduct</w:t>
      </w:r>
      <w:r>
        <w:t xml:space="preserve"> and</w:t>
      </w:r>
      <w:r w:rsidRPr="00CB5388">
        <w:t xml:space="preserve"> advocates</w:t>
      </w:r>
      <w:r>
        <w:t xml:space="preserve"> effectively</w:t>
      </w:r>
      <w:r w:rsidRPr="00CB5388">
        <w:t xml:space="preserve"> for </w:t>
      </w:r>
      <w:r>
        <w:t xml:space="preserve">franchisees, representing their views in policy forums. ASBFEO is currently implementing </w:t>
      </w:r>
      <w:r w:rsidR="00E67735">
        <w:t xml:space="preserve">some of the </w:t>
      </w:r>
      <w:r>
        <w:t xml:space="preserve">recommendations from the 2023 Independent Review of the Franchising Code of Conduct </w:t>
      </w:r>
      <w:r w:rsidR="0063100F">
        <w:t>(</w:t>
      </w:r>
      <w:r w:rsidR="00286E4F" w:rsidRPr="00EE25C0">
        <w:t>Franchising Revi</w:t>
      </w:r>
      <w:r w:rsidR="00125F0E" w:rsidRPr="00EE25C0">
        <w:t>ew</w:t>
      </w:r>
      <w:r w:rsidR="00CE5B6B">
        <w:t>); providing</w:t>
      </w:r>
      <w:r>
        <w:t xml:space="preserve"> low</w:t>
      </w:r>
      <w:r w:rsidR="003A0D5E">
        <w:noBreakHyphen/>
      </w:r>
      <w:r>
        <w:t>cost legal advice before formal ADR, publicly naming franchis</w:t>
      </w:r>
      <w:r w:rsidR="005E27C6">
        <w:t>or</w:t>
      </w:r>
      <w:r>
        <w:t xml:space="preserve">s who have not participated in meaningful ADR and improving guidance material for franchisees. As these measures </w:t>
      </w:r>
      <w:r w:rsidRPr="00FB1EC2">
        <w:t>have only been recently implemented or are still to be implemented</w:t>
      </w:r>
      <w:r>
        <w:t>,</w:t>
      </w:r>
      <w:r w:rsidRPr="00FB1EC2">
        <w:t xml:space="preserve"> it is too early to assess their effectiveness</w:t>
      </w:r>
      <w:r>
        <w:t xml:space="preserve"> and should be evaluated later.</w:t>
      </w:r>
    </w:p>
    <w:p w14:paraId="4BCC3E9A" w14:textId="3874F99F" w:rsidR="00B549CB" w:rsidRDefault="00B549CB" w:rsidP="00B549CB">
      <w:r>
        <w:rPr>
          <w:rFonts w:ascii="Calibri" w:hAnsi="Calibri" w:cs="Calibri"/>
        </w:rPr>
        <w:t xml:space="preserve">Small business owners and some small business associations still lack awareness of ASBFEO. Although </w:t>
      </w:r>
      <w:r>
        <w:t xml:space="preserve">Small Business Commissioners </w:t>
      </w:r>
      <w:r w:rsidR="0001794F">
        <w:t>(</w:t>
      </w:r>
      <w:r w:rsidR="0001794F" w:rsidRPr="00EE25C0">
        <w:t>SBC</w:t>
      </w:r>
      <w:r w:rsidR="00854399" w:rsidRPr="00EE25C0">
        <w:t>s</w:t>
      </w:r>
      <w:r w:rsidR="00854399">
        <w:t>)</w:t>
      </w:r>
      <w:r>
        <w:t xml:space="preserve"> or professional advis</w:t>
      </w:r>
      <w:r w:rsidR="00AB4422">
        <w:t>e</w:t>
      </w:r>
      <w:r>
        <w:t xml:space="preserve">rs are usually the first point of contact for a dispute, it is still essential for the small business community to understand the support and assistance ASBFEO can provide. An updated communication and engagement strategy focusing on the assistance function would support greater recognition. </w:t>
      </w:r>
    </w:p>
    <w:p w14:paraId="758A749B" w14:textId="55196C15" w:rsidR="00B549CB" w:rsidRDefault="00B549CB" w:rsidP="00B549CB">
      <w:pPr>
        <w:rPr>
          <w:rFonts w:ascii="Aptos" w:eastAsia="Aptos" w:hAnsi="Aptos" w:cs="Aptos"/>
          <w:b/>
          <w:bCs/>
          <w:sz w:val="24"/>
          <w:szCs w:val="24"/>
        </w:rPr>
      </w:pPr>
      <w:r w:rsidRPr="00687D87">
        <w:t>The</w:t>
      </w:r>
      <w:r>
        <w:t xml:space="preserve">re was overwhelming support for </w:t>
      </w:r>
      <w:r w:rsidRPr="00687D87">
        <w:t>a name change for ASBFEO</w:t>
      </w:r>
      <w:r>
        <w:t xml:space="preserve"> as the current name is difficult to pronounce and does not reflect its functions.</w:t>
      </w:r>
      <w:r w:rsidRPr="005525C8">
        <w:t xml:space="preserve"> </w:t>
      </w:r>
      <w:r>
        <w:t>Stakeholders supported a name change that</w:t>
      </w:r>
      <w:r w:rsidRPr="005525C8">
        <w:t xml:space="preserve"> </w:t>
      </w:r>
      <w:r>
        <w:t xml:space="preserve">incorporated the term </w:t>
      </w:r>
      <w:r w:rsidR="000D01C1">
        <w:t>‘</w:t>
      </w:r>
      <w:r w:rsidRPr="005525C8">
        <w:t>Commission</w:t>
      </w:r>
      <w:r w:rsidR="00770C6B">
        <w:t>er</w:t>
      </w:r>
      <w:r w:rsidR="000D01C1">
        <w:t>’</w:t>
      </w:r>
      <w:r w:rsidRPr="005525C8">
        <w:t xml:space="preserve"> to better reflect the role of ASBFEO</w:t>
      </w:r>
      <w:r>
        <w:t>. An awareness campaign would be necessary to promote awareness of the new name and require additional funding.</w:t>
      </w:r>
    </w:p>
    <w:p w14:paraId="031E178A" w14:textId="0FD01DF3" w:rsidR="00BC6471" w:rsidRDefault="00BC6471">
      <w:pPr>
        <w:spacing w:before="0" w:after="160" w:line="259" w:lineRule="auto"/>
      </w:pPr>
      <w:r>
        <w:br w:type="page"/>
      </w:r>
    </w:p>
    <w:p w14:paraId="577D5AE5" w14:textId="78FFB487" w:rsidR="00B83FBE" w:rsidRDefault="00B83FBE" w:rsidP="00B83FBE">
      <w:pPr>
        <w:pStyle w:val="Heading1"/>
      </w:pPr>
      <w:bookmarkStart w:id="3" w:name="_Toc199940916"/>
      <w:r>
        <w:lastRenderedPageBreak/>
        <w:t>Recommendations</w:t>
      </w:r>
      <w:bookmarkEnd w:id="3"/>
    </w:p>
    <w:p w14:paraId="27C6A44D" w14:textId="277931D0" w:rsidR="00096146" w:rsidRPr="00AD181D" w:rsidRDefault="00096146" w:rsidP="00AD181D">
      <w:r>
        <w:rPr>
          <w:rStyle w:val="Strong"/>
        </w:rPr>
        <w:t>Recommendation 1:</w:t>
      </w:r>
      <w:r w:rsidRPr="00AD181D">
        <w:t xml:space="preserve"> </w:t>
      </w:r>
      <w:r w:rsidR="003449A8" w:rsidRPr="00AD181D">
        <w:t>Australian Small Business and Family Enterp</w:t>
      </w:r>
      <w:r w:rsidR="00C83CF7" w:rsidRPr="00AD181D">
        <w:t>rise Ombudsman (</w:t>
      </w:r>
      <w:r w:rsidRPr="00AD181D">
        <w:t>ASBFEO</w:t>
      </w:r>
      <w:r w:rsidR="00C83CF7" w:rsidRPr="00AD181D">
        <w:t>)</w:t>
      </w:r>
      <w:r w:rsidRPr="00AD181D">
        <w:t xml:space="preserve"> should consider a biannual forum with agencies that do not typically focus on small business matters but may benefit from an improved understanding of the issues small businesses encounter. The structure could be </w:t>
      </w:r>
      <w:proofErr w:type="gramStart"/>
      <w:r w:rsidRPr="00AD181D">
        <w:t>similar to</w:t>
      </w:r>
      <w:proofErr w:type="gramEnd"/>
      <w:r w:rsidRPr="00AD181D">
        <w:t xml:space="preserve"> </w:t>
      </w:r>
      <w:r w:rsidR="000F1F7C">
        <w:t xml:space="preserve">the </w:t>
      </w:r>
      <w:r w:rsidR="009469F0" w:rsidRPr="009469F0">
        <w:t xml:space="preserve">Federal Regulatory Agency Group </w:t>
      </w:r>
      <w:r w:rsidR="009469F0">
        <w:t>(</w:t>
      </w:r>
      <w:r w:rsidRPr="00AD181D">
        <w:t>FRAG</w:t>
      </w:r>
      <w:r w:rsidR="009469F0" w:rsidRPr="00AD181D">
        <w:t>)</w:t>
      </w:r>
      <w:r w:rsidRPr="00AD181D">
        <w:t xml:space="preserve"> forum and include agencies such as the Tax Practitioners Board and the Department of Agriculture, Fisheries and Forestry. </w:t>
      </w:r>
    </w:p>
    <w:p w14:paraId="15EFD25E" w14:textId="00E004AC" w:rsidR="00096146" w:rsidRPr="00096146" w:rsidRDefault="00096146" w:rsidP="00AD181D">
      <w:pPr>
        <w:rPr>
          <w:bCs/>
        </w:rPr>
      </w:pPr>
      <w:r w:rsidRPr="00AD181D">
        <w:rPr>
          <w:rStyle w:val="Strong"/>
        </w:rPr>
        <w:t>Recommendation 2:</w:t>
      </w:r>
      <w:r>
        <w:rPr>
          <w:b/>
        </w:rPr>
        <w:t xml:space="preserve"> </w:t>
      </w:r>
      <w:r w:rsidRPr="00096146">
        <w:rPr>
          <w:bCs/>
        </w:rPr>
        <w:t xml:space="preserve">ASBFEO </w:t>
      </w:r>
      <w:r w:rsidR="00581536">
        <w:rPr>
          <w:bCs/>
        </w:rPr>
        <w:t xml:space="preserve">should </w:t>
      </w:r>
      <w:r w:rsidRPr="00096146">
        <w:rPr>
          <w:bCs/>
        </w:rPr>
        <w:t>review its agenda for the advocacy function to ensure it includes a clear prioritisation of the advocacy and data research program, including: </w:t>
      </w:r>
    </w:p>
    <w:p w14:paraId="64228640" w14:textId="4BA0E618" w:rsidR="00096146" w:rsidRPr="00096146" w:rsidRDefault="001252AB" w:rsidP="00096146">
      <w:pPr>
        <w:pStyle w:val="Bullet"/>
        <w:rPr>
          <w:bCs/>
        </w:rPr>
      </w:pPr>
      <w:r>
        <w:rPr>
          <w:bCs/>
        </w:rPr>
        <w:t>a</w:t>
      </w:r>
      <w:r w:rsidR="00096146" w:rsidRPr="00096146">
        <w:rPr>
          <w:bCs/>
        </w:rPr>
        <w:t xml:space="preserve"> mechanism to gather intelligence from a broader range of small business stakeholders, including stakeholders representing small businesses run by women, First Nations people, members of multicultural communities; based in regional and remote areas</w:t>
      </w:r>
    </w:p>
    <w:p w14:paraId="1B8534E5" w14:textId="59E3A769" w:rsidR="00096146" w:rsidRPr="00096146" w:rsidRDefault="002E2127" w:rsidP="00096146">
      <w:pPr>
        <w:pStyle w:val="Bullet"/>
        <w:rPr>
          <w:bCs/>
        </w:rPr>
      </w:pPr>
      <w:r>
        <w:rPr>
          <w:bCs/>
        </w:rPr>
        <w:t>a</w:t>
      </w:r>
      <w:r w:rsidR="00096146" w:rsidRPr="00096146">
        <w:rPr>
          <w:bCs/>
        </w:rPr>
        <w:t xml:space="preserve"> re</w:t>
      </w:r>
      <w:r w:rsidR="003A0D5E">
        <w:rPr>
          <w:bCs/>
        </w:rPr>
        <w:noBreakHyphen/>
      </w:r>
      <w:r w:rsidR="00096146" w:rsidRPr="00096146">
        <w:rPr>
          <w:bCs/>
        </w:rPr>
        <w:t xml:space="preserve">evaluation of the </w:t>
      </w:r>
      <w:r w:rsidR="00E3222F">
        <w:rPr>
          <w:bCs/>
        </w:rPr>
        <w:t>4</w:t>
      </w:r>
      <w:r w:rsidR="003A0D5E">
        <w:rPr>
          <w:bCs/>
        </w:rPr>
        <w:noBreakHyphen/>
      </w:r>
      <w:r w:rsidR="00096146" w:rsidRPr="00096146">
        <w:rPr>
          <w:bCs/>
        </w:rPr>
        <w:t>pillar process</w:t>
      </w:r>
      <w:r w:rsidR="004C5D3C" w:rsidRPr="00096146">
        <w:rPr>
          <w:bCs/>
        </w:rPr>
        <w:t xml:space="preserve">, </w:t>
      </w:r>
      <w:r w:rsidR="004C5D3C">
        <w:rPr>
          <w:bCs/>
        </w:rPr>
        <w:t>and development of</w:t>
      </w:r>
      <w:r w:rsidR="004C5D3C" w:rsidRPr="00096146">
        <w:rPr>
          <w:bCs/>
        </w:rPr>
        <w:t xml:space="preserve"> a methodology to enable prioritisation of key issues </w:t>
      </w:r>
      <w:r w:rsidR="004C5D3C">
        <w:rPr>
          <w:bCs/>
        </w:rPr>
        <w:t>to</w:t>
      </w:r>
      <w:r w:rsidR="004C5D3C" w:rsidRPr="00096146">
        <w:rPr>
          <w:bCs/>
        </w:rPr>
        <w:t xml:space="preserve"> be addressed in the forward work plan, while accommodating emerging issues</w:t>
      </w:r>
    </w:p>
    <w:p w14:paraId="38814F1E" w14:textId="5C0E7535" w:rsidR="00096146" w:rsidRDefault="002E2127" w:rsidP="00096146">
      <w:pPr>
        <w:pStyle w:val="Bullet"/>
        <w:rPr>
          <w:b/>
        </w:rPr>
      </w:pPr>
      <w:r>
        <w:rPr>
          <w:bCs/>
        </w:rPr>
        <w:t>e</w:t>
      </w:r>
      <w:r w:rsidR="00096146" w:rsidRPr="00096146">
        <w:rPr>
          <w:bCs/>
        </w:rPr>
        <w:t xml:space="preserve">valuating advocacy activities by developing success measures that can be recorded and tracked by the </w:t>
      </w:r>
      <w:r w:rsidR="003331C5" w:rsidRPr="00916FA5">
        <w:rPr>
          <w:rFonts w:eastAsia="Calibri"/>
        </w:rPr>
        <w:t xml:space="preserve">Economic and Data Analytics </w:t>
      </w:r>
      <w:r w:rsidR="003331C5">
        <w:rPr>
          <w:rFonts w:eastAsia="Calibri"/>
        </w:rPr>
        <w:t>t</w:t>
      </w:r>
      <w:r w:rsidR="003331C5" w:rsidRPr="00916FA5">
        <w:rPr>
          <w:rFonts w:eastAsia="Calibri"/>
        </w:rPr>
        <w:t>eam</w:t>
      </w:r>
      <w:r w:rsidR="003331C5" w:rsidRPr="00410E2A">
        <w:rPr>
          <w:rStyle w:val="Strong"/>
          <w:b w:val="0"/>
          <w:bCs w:val="0"/>
        </w:rPr>
        <w:t xml:space="preserve"> </w:t>
      </w:r>
      <w:r w:rsidR="003331C5">
        <w:rPr>
          <w:rStyle w:val="Strong"/>
          <w:b w:val="0"/>
          <w:bCs w:val="0"/>
        </w:rPr>
        <w:t>(</w:t>
      </w:r>
      <w:r w:rsidR="003331C5" w:rsidRPr="00334789">
        <w:rPr>
          <w:rStyle w:val="Strong"/>
          <w:b w:val="0"/>
        </w:rPr>
        <w:t>Data team</w:t>
      </w:r>
      <w:r w:rsidR="003331C5">
        <w:rPr>
          <w:rStyle w:val="Strong"/>
          <w:b w:val="0"/>
          <w:bCs w:val="0"/>
        </w:rPr>
        <w:t>)</w:t>
      </w:r>
      <w:r w:rsidR="00096146" w:rsidRPr="00096146">
        <w:rPr>
          <w:bCs/>
        </w:rPr>
        <w:t>.</w:t>
      </w:r>
      <w:r w:rsidR="00096146" w:rsidRPr="00283611">
        <w:rPr>
          <w:b/>
        </w:rPr>
        <w:t>  </w:t>
      </w:r>
    </w:p>
    <w:p w14:paraId="2B7D6894" w14:textId="65789ACF" w:rsidR="007A3DA3" w:rsidRDefault="009A5C37" w:rsidP="00054D5C">
      <w:pPr>
        <w:pStyle w:val="Bullet"/>
        <w:numPr>
          <w:ilvl w:val="0"/>
          <w:numId w:val="0"/>
        </w:numPr>
        <w:rPr>
          <w:b/>
        </w:rPr>
      </w:pPr>
      <w:r>
        <w:rPr>
          <w:bCs/>
        </w:rPr>
        <w:t>T</w:t>
      </w:r>
      <w:r w:rsidR="007A3DA3" w:rsidRPr="0039078D">
        <w:rPr>
          <w:bCs/>
        </w:rPr>
        <w:t>he</w:t>
      </w:r>
      <w:r w:rsidR="007A3DA3">
        <w:rPr>
          <w:bCs/>
        </w:rPr>
        <w:t xml:space="preserve"> </w:t>
      </w:r>
      <w:r w:rsidR="002E2127">
        <w:rPr>
          <w:bCs/>
        </w:rPr>
        <w:t xml:space="preserve">Australian </w:t>
      </w:r>
      <w:r w:rsidR="007A3DA3">
        <w:rPr>
          <w:bCs/>
        </w:rPr>
        <w:t xml:space="preserve">Government may </w:t>
      </w:r>
      <w:r w:rsidR="00075814">
        <w:rPr>
          <w:bCs/>
        </w:rPr>
        <w:t xml:space="preserve">also </w:t>
      </w:r>
      <w:r w:rsidR="007A3DA3">
        <w:rPr>
          <w:bCs/>
        </w:rPr>
        <w:t>wish to e</w:t>
      </w:r>
      <w:r w:rsidR="007A3DA3" w:rsidRPr="00096146">
        <w:rPr>
          <w:bCs/>
        </w:rPr>
        <w:t>xplor</w:t>
      </w:r>
      <w:r w:rsidR="007A3DA3">
        <w:rPr>
          <w:bCs/>
        </w:rPr>
        <w:t xml:space="preserve">e </w:t>
      </w:r>
      <w:r w:rsidR="007A3DA3" w:rsidRPr="00096146">
        <w:rPr>
          <w:bCs/>
        </w:rPr>
        <w:t xml:space="preserve">the possibility of issuing a Statement of Expectations to ASBFEO. </w:t>
      </w:r>
    </w:p>
    <w:p w14:paraId="7C06CA0F" w14:textId="7B77055F" w:rsidR="00410E2A" w:rsidRPr="00AD181D" w:rsidRDefault="00410E2A" w:rsidP="00AD181D">
      <w:r>
        <w:rPr>
          <w:rStyle w:val="Strong"/>
        </w:rPr>
        <w:t xml:space="preserve">Recommendation 3: </w:t>
      </w:r>
      <w:r w:rsidR="003A6CFB" w:rsidRPr="00AD181D">
        <w:t>ASBFEO should re</w:t>
      </w:r>
      <w:r w:rsidRPr="00AD181D">
        <w:t xml:space="preserve">focus </w:t>
      </w:r>
      <w:r w:rsidR="003A6CFB" w:rsidRPr="00AD181D">
        <w:t xml:space="preserve">the efforts of </w:t>
      </w:r>
      <w:r w:rsidR="00A715BA" w:rsidRPr="00AD181D">
        <w:t xml:space="preserve">its </w:t>
      </w:r>
      <w:r w:rsidR="007A6B90" w:rsidRPr="00AD181D">
        <w:t>Data team</w:t>
      </w:r>
      <w:r w:rsidR="002D1DAC" w:rsidRPr="00AD181D" w:rsidDel="007A6B90">
        <w:t xml:space="preserve"> </w:t>
      </w:r>
      <w:r w:rsidR="00596721" w:rsidRPr="00AD181D">
        <w:t xml:space="preserve">to </w:t>
      </w:r>
      <w:r w:rsidRPr="00AD181D">
        <w:t>support ASBFEO</w:t>
      </w:r>
      <w:r>
        <w:t>’</w:t>
      </w:r>
      <w:r w:rsidRPr="00AD181D">
        <w:t xml:space="preserve">s core functions – advocacy and assistance </w:t>
      </w:r>
      <w:r w:rsidR="003F7B0B" w:rsidRPr="00AD181D">
        <w:t xml:space="preserve">– </w:t>
      </w:r>
      <w:r w:rsidRPr="00AD181D">
        <w:t>and align with the overall organisational and advocacy priorities (refer to previous recommendation)</w:t>
      </w:r>
      <w:r w:rsidR="003F7B0B" w:rsidRPr="00AD181D">
        <w:t>.</w:t>
      </w:r>
    </w:p>
    <w:p w14:paraId="201653D2" w14:textId="3D18C47E" w:rsidR="00410E2A" w:rsidRPr="00410E2A" w:rsidRDefault="00410E2A" w:rsidP="00AD181D">
      <w:pPr>
        <w:rPr>
          <w:rStyle w:val="Strong"/>
        </w:rPr>
      </w:pPr>
      <w:r>
        <w:rPr>
          <w:rStyle w:val="Strong"/>
        </w:rPr>
        <w:t xml:space="preserve">Recommendation 4: </w:t>
      </w:r>
      <w:r w:rsidRPr="00410E2A">
        <w:rPr>
          <w:lang w:val="en-US"/>
        </w:rPr>
        <w:t xml:space="preserve">ASBFEO </w:t>
      </w:r>
      <w:r w:rsidR="00C743D7">
        <w:rPr>
          <w:lang w:val="en-US"/>
        </w:rPr>
        <w:t>sh</w:t>
      </w:r>
      <w:r w:rsidRPr="00410E2A">
        <w:rPr>
          <w:lang w:val="en-US"/>
        </w:rPr>
        <w:t xml:space="preserve">ould </w:t>
      </w:r>
      <w:r w:rsidR="00C9039F">
        <w:rPr>
          <w:lang w:val="en-US"/>
        </w:rPr>
        <w:t>request</w:t>
      </w:r>
      <w:r w:rsidRPr="00410E2A">
        <w:rPr>
          <w:lang w:val="en-US"/>
        </w:rPr>
        <w:t xml:space="preserve"> the </w:t>
      </w:r>
      <w:r w:rsidR="00802386">
        <w:rPr>
          <w:lang w:val="en-US"/>
        </w:rPr>
        <w:t>Australian B</w:t>
      </w:r>
      <w:r w:rsidR="00CC222D">
        <w:rPr>
          <w:lang w:val="en-US"/>
        </w:rPr>
        <w:t>ureau of Statistics</w:t>
      </w:r>
      <w:r w:rsidR="00E55F79">
        <w:rPr>
          <w:lang w:val="en-US"/>
        </w:rPr>
        <w:t xml:space="preserve"> (</w:t>
      </w:r>
      <w:r w:rsidRPr="007F6CFB">
        <w:rPr>
          <w:lang w:val="en-US"/>
        </w:rPr>
        <w:t>ABS</w:t>
      </w:r>
      <w:r w:rsidR="00E55F79">
        <w:rPr>
          <w:lang w:val="en-US"/>
        </w:rPr>
        <w:t>)</w:t>
      </w:r>
      <w:r w:rsidRPr="00410E2A">
        <w:rPr>
          <w:lang w:val="en-US"/>
        </w:rPr>
        <w:t xml:space="preserve"> Methodology team</w:t>
      </w:r>
      <w:r w:rsidR="00C9039F">
        <w:rPr>
          <w:lang w:val="en-US"/>
        </w:rPr>
        <w:t xml:space="preserve"> </w:t>
      </w:r>
      <w:r w:rsidRPr="00410E2A">
        <w:rPr>
          <w:lang w:val="en-US"/>
        </w:rPr>
        <w:t xml:space="preserve">formally review the Small Business Pulse Index to ensure it follows an approved methodology. </w:t>
      </w:r>
    </w:p>
    <w:p w14:paraId="2B5C4BA8" w14:textId="3FA7FA92" w:rsidR="00410E2A" w:rsidRPr="00AD181D" w:rsidRDefault="00410E2A" w:rsidP="00AD181D">
      <w:r w:rsidRPr="00200940">
        <w:rPr>
          <w:rStyle w:val="Strong"/>
        </w:rPr>
        <w:t xml:space="preserve">Recommendation </w:t>
      </w:r>
      <w:r>
        <w:rPr>
          <w:rStyle w:val="Strong"/>
        </w:rPr>
        <w:t>5</w:t>
      </w:r>
      <w:r w:rsidRPr="00200940">
        <w:rPr>
          <w:rStyle w:val="Strong"/>
        </w:rPr>
        <w:t>:</w:t>
      </w:r>
      <w:r w:rsidRPr="00AD181D">
        <w:t xml:space="preserve"> </w:t>
      </w:r>
      <w:r w:rsidR="00C028DC" w:rsidRPr="00AD181D">
        <w:t xml:space="preserve">ASBFEO should </w:t>
      </w:r>
      <w:r w:rsidRPr="00AD181D">
        <w:t>review current guidance materials and tools for dispute resolution to ensure they are more user friendly, provide better guidance on mediation processes and include more case studies. </w:t>
      </w:r>
    </w:p>
    <w:p w14:paraId="47D869FB" w14:textId="743438C4" w:rsidR="00262C08" w:rsidRPr="00AD181D" w:rsidRDefault="003813AF" w:rsidP="00AD181D">
      <w:r w:rsidRPr="003813AF">
        <w:rPr>
          <w:rStyle w:val="Strong"/>
        </w:rPr>
        <w:t>Recommendation 6:</w:t>
      </w:r>
      <w:r w:rsidRPr="00AD181D">
        <w:t> </w:t>
      </w:r>
      <w:r w:rsidR="00013471" w:rsidRPr="00AD181D">
        <w:t xml:space="preserve">ASBFEO should </w:t>
      </w:r>
      <w:r w:rsidR="0005712A" w:rsidRPr="00AD181D">
        <w:t>i</w:t>
      </w:r>
      <w:r w:rsidRPr="00AD181D">
        <w:t xml:space="preserve">mprove the process of transferring </w:t>
      </w:r>
      <w:r w:rsidR="00262C08" w:rsidRPr="00AD181D">
        <w:t xml:space="preserve">assistance </w:t>
      </w:r>
      <w:r w:rsidRPr="00AD181D">
        <w:t xml:space="preserve">cases to other agencies </w:t>
      </w:r>
      <w:r w:rsidR="00A67E6E" w:rsidRPr="00AD181D">
        <w:t>to reduce the number of cases that ASBFEO double</w:t>
      </w:r>
      <w:r w:rsidR="003A0D5E">
        <w:noBreakHyphen/>
      </w:r>
      <w:r w:rsidR="00A67E6E" w:rsidRPr="00AD181D">
        <w:t xml:space="preserve">handles </w:t>
      </w:r>
      <w:r w:rsidRPr="00AD181D">
        <w:t>by: </w:t>
      </w:r>
    </w:p>
    <w:p w14:paraId="063EAC2B" w14:textId="02D104C5" w:rsidR="005F474F" w:rsidRPr="005F3605" w:rsidRDefault="00A41E09" w:rsidP="005F474F">
      <w:pPr>
        <w:pStyle w:val="Bullet"/>
      </w:pPr>
      <w:r>
        <w:t>E</w:t>
      </w:r>
      <w:r w:rsidR="003E644F" w:rsidRPr="003E644F">
        <w:t>valuating a sample of dispute cases the Contact Centre sent to the Case Management team, which were then referred to another agency.</w:t>
      </w:r>
    </w:p>
    <w:p w14:paraId="1ED53221" w14:textId="77777777" w:rsidR="00321555" w:rsidRPr="00334789" w:rsidRDefault="00262C08" w:rsidP="003813AF">
      <w:pPr>
        <w:pStyle w:val="Bullet"/>
      </w:pPr>
      <w:r>
        <w:rPr>
          <w:lang w:val="en-US"/>
        </w:rPr>
        <w:t>R</w:t>
      </w:r>
      <w:r w:rsidRPr="00946B4F">
        <w:rPr>
          <w:lang w:val="en-US"/>
        </w:rPr>
        <w:t xml:space="preserve">eviewing the internal procedures </w:t>
      </w:r>
      <w:r>
        <w:rPr>
          <w:lang w:val="en-US"/>
        </w:rPr>
        <w:t>for the Contact Centre to</w:t>
      </w:r>
      <w:r w:rsidRPr="003813AF">
        <w:rPr>
          <w:lang w:val="en-US"/>
        </w:rPr>
        <w:t xml:space="preserve"> </w:t>
      </w:r>
      <w:r>
        <w:rPr>
          <w:lang w:val="en-US"/>
        </w:rPr>
        <w:t>e</w:t>
      </w:r>
      <w:r w:rsidRPr="003813AF">
        <w:rPr>
          <w:lang w:val="en-US"/>
        </w:rPr>
        <w:t>nsur</w:t>
      </w:r>
      <w:r w:rsidR="00056E06">
        <w:rPr>
          <w:lang w:val="en-US"/>
        </w:rPr>
        <w:t>e</w:t>
      </w:r>
      <w:r w:rsidRPr="00056E06">
        <w:rPr>
          <w:lang w:val="en-US"/>
        </w:rPr>
        <w:t xml:space="preserve"> </w:t>
      </w:r>
      <w:r w:rsidRPr="00946B4F">
        <w:rPr>
          <w:lang w:val="en-US"/>
        </w:rPr>
        <w:t xml:space="preserve">that </w:t>
      </w:r>
      <w:r>
        <w:rPr>
          <w:lang w:val="en-US"/>
        </w:rPr>
        <w:t xml:space="preserve">most </w:t>
      </w:r>
      <w:r w:rsidRPr="00946B4F">
        <w:rPr>
          <w:lang w:val="en-US"/>
        </w:rPr>
        <w:t xml:space="preserve">cases </w:t>
      </w:r>
      <w:r>
        <w:rPr>
          <w:lang w:val="en-US"/>
        </w:rPr>
        <w:t xml:space="preserve">that should be transferred to other agencies, are </w:t>
      </w:r>
      <w:r w:rsidR="00A14F49">
        <w:rPr>
          <w:lang w:val="en-US"/>
        </w:rPr>
        <w:t xml:space="preserve">sent </w:t>
      </w:r>
      <w:r w:rsidR="00A14F49" w:rsidRPr="00946B4F">
        <w:rPr>
          <w:lang w:val="en-US"/>
        </w:rPr>
        <w:t xml:space="preserve">directly from the Contact </w:t>
      </w:r>
      <w:r w:rsidR="00167A80" w:rsidRPr="00946B4F">
        <w:rPr>
          <w:lang w:val="en-US"/>
        </w:rPr>
        <w:t>Centre</w:t>
      </w:r>
      <w:r w:rsidR="00167A80">
        <w:rPr>
          <w:lang w:val="en-US"/>
        </w:rPr>
        <w:t xml:space="preserve">. </w:t>
      </w:r>
    </w:p>
    <w:p w14:paraId="5C7F104E" w14:textId="1267452B" w:rsidR="003813AF" w:rsidRPr="00946B4F" w:rsidRDefault="00167A80" w:rsidP="003813AF">
      <w:pPr>
        <w:pStyle w:val="Bullet"/>
      </w:pPr>
      <w:r w:rsidRPr="00946B4F">
        <w:rPr>
          <w:lang w:val="en-US"/>
        </w:rPr>
        <w:t>Upgrading</w:t>
      </w:r>
      <w:r w:rsidR="003813AF" w:rsidRPr="00946B4F">
        <w:rPr>
          <w:lang w:val="en-US"/>
        </w:rPr>
        <w:t xml:space="preserve"> the current websites dispute support online reference tool</w:t>
      </w:r>
      <w:r w:rsidR="00DC3BEF">
        <w:t>.</w:t>
      </w:r>
    </w:p>
    <w:p w14:paraId="11A1765A" w14:textId="2117A151" w:rsidR="003813AF" w:rsidRPr="00946B4F" w:rsidRDefault="003813AF" w:rsidP="003813AF">
      <w:pPr>
        <w:pStyle w:val="Bullet"/>
      </w:pPr>
      <w:r>
        <w:rPr>
          <w:lang w:val="en-US"/>
        </w:rPr>
        <w:t>E</w:t>
      </w:r>
      <w:r w:rsidRPr="00946B4F">
        <w:rPr>
          <w:lang w:val="en-US"/>
        </w:rPr>
        <w:t xml:space="preserve">ducating agencies </w:t>
      </w:r>
      <w:r>
        <w:rPr>
          <w:lang w:val="en-US"/>
        </w:rPr>
        <w:t>that</w:t>
      </w:r>
      <w:r w:rsidRPr="00946B4F">
        <w:rPr>
          <w:lang w:val="en-US"/>
        </w:rPr>
        <w:t xml:space="preserve"> transfer dispute cases to ASBFEO on the types of cases that ASBFEO can</w:t>
      </w:r>
      <w:r>
        <w:rPr>
          <w:lang w:val="en-US"/>
        </w:rPr>
        <w:t xml:space="preserve"> act on</w:t>
      </w:r>
      <w:r w:rsidRPr="00946B4F">
        <w:rPr>
          <w:lang w:val="en-US"/>
        </w:rPr>
        <w:t>.</w:t>
      </w:r>
    </w:p>
    <w:p w14:paraId="7060B7E7" w14:textId="28B646D7" w:rsidR="001F7B70" w:rsidRPr="0010234A" w:rsidRDefault="001F7B70" w:rsidP="004C4459">
      <w:pPr>
        <w:rPr>
          <w:lang w:val="en-US"/>
        </w:rPr>
      </w:pPr>
      <w:r w:rsidRPr="00DC5683">
        <w:rPr>
          <w:rStyle w:val="Strong"/>
          <w:szCs w:val="22"/>
        </w:rPr>
        <w:lastRenderedPageBreak/>
        <w:t xml:space="preserve">Recommendation 7: </w:t>
      </w:r>
      <w:r w:rsidRPr="00B909FB">
        <w:rPr>
          <w:sz w:val="24"/>
          <w:szCs w:val="24"/>
          <w:lang w:val="en-US"/>
        </w:rPr>
        <w:t xml:space="preserve"> </w:t>
      </w:r>
      <w:r w:rsidR="000A425A">
        <w:rPr>
          <w:lang w:val="en-US"/>
        </w:rPr>
        <w:t xml:space="preserve">The </w:t>
      </w:r>
      <w:r w:rsidR="0062664F">
        <w:rPr>
          <w:lang w:val="en-US"/>
        </w:rPr>
        <w:t xml:space="preserve">Australian </w:t>
      </w:r>
      <w:r w:rsidR="000A425A">
        <w:rPr>
          <w:lang w:val="en-US"/>
        </w:rPr>
        <w:t xml:space="preserve">Government </w:t>
      </w:r>
      <w:r w:rsidRPr="0010234A">
        <w:rPr>
          <w:lang w:val="en-US"/>
        </w:rPr>
        <w:t xml:space="preserve">should consider amending </w:t>
      </w:r>
      <w:r w:rsidR="00613A2B">
        <w:rPr>
          <w:lang w:val="en-US"/>
        </w:rPr>
        <w:t xml:space="preserve">the </w:t>
      </w:r>
      <w:r w:rsidR="00A55F7E" w:rsidRPr="00A55F7E">
        <w:rPr>
          <w:i/>
          <w:iCs/>
          <w:szCs w:val="22"/>
        </w:rPr>
        <w:t xml:space="preserve">Australian Small Business and Family Enterprise Ombudsman Act 2015 </w:t>
      </w:r>
      <w:r w:rsidR="00A55F7E" w:rsidRPr="00DC5683">
        <w:t>(</w:t>
      </w:r>
      <w:proofErr w:type="spellStart"/>
      <w:r w:rsidR="00CE5B6B" w:rsidRPr="00DC5683">
        <w:t>Cth</w:t>
      </w:r>
      <w:proofErr w:type="spellEnd"/>
      <w:r w:rsidR="00CE5B6B" w:rsidRPr="00DC5683">
        <w:t>)</w:t>
      </w:r>
      <w:r w:rsidR="00CE5B6B" w:rsidRPr="00A55F7E">
        <w:t xml:space="preserve"> to</w:t>
      </w:r>
      <w:r w:rsidRPr="0010234A">
        <w:rPr>
          <w:lang w:val="en-US"/>
        </w:rPr>
        <w:t xml:space="preserve"> enable ASBFEO to undertake </w:t>
      </w:r>
      <w:r w:rsidR="007724BB" w:rsidRPr="007724BB">
        <w:t>Alternative Dispute Resolution</w:t>
      </w:r>
      <w:r w:rsidR="007724BB">
        <w:t xml:space="preserve"> (</w:t>
      </w:r>
      <w:r w:rsidRPr="00DC5683">
        <w:rPr>
          <w:lang w:val="en-US"/>
        </w:rPr>
        <w:t>ADR</w:t>
      </w:r>
      <w:r w:rsidR="007724BB">
        <w:rPr>
          <w:lang w:val="en-US"/>
        </w:rPr>
        <w:t>)</w:t>
      </w:r>
      <w:r w:rsidR="000D1ECE">
        <w:rPr>
          <w:lang w:val="en-US"/>
        </w:rPr>
        <w:t xml:space="preserve"> by:</w:t>
      </w:r>
    </w:p>
    <w:p w14:paraId="305A9AD6" w14:textId="523E4D34" w:rsidR="00831118" w:rsidRPr="00831118" w:rsidRDefault="00C525A0" w:rsidP="00831118">
      <w:pPr>
        <w:pStyle w:val="Bullet"/>
        <w:rPr>
          <w:lang w:val="en-US"/>
        </w:rPr>
      </w:pPr>
      <w:r>
        <w:rPr>
          <w:lang w:val="en-US"/>
        </w:rPr>
        <w:t>A</w:t>
      </w:r>
      <w:r w:rsidR="001F7B70" w:rsidRPr="00831118">
        <w:rPr>
          <w:lang w:val="en-US"/>
        </w:rPr>
        <w:t>llowing Case Managers to negotiate a resolution before mediation (pre</w:t>
      </w:r>
      <w:r w:rsidR="003A0D5E">
        <w:rPr>
          <w:lang w:val="en-US"/>
        </w:rPr>
        <w:noBreakHyphen/>
      </w:r>
      <w:r w:rsidR="001F7B70" w:rsidRPr="00831118">
        <w:rPr>
          <w:lang w:val="en-US"/>
        </w:rPr>
        <w:t xml:space="preserve">mediation), including: </w:t>
      </w:r>
    </w:p>
    <w:p w14:paraId="497C1B85" w14:textId="715A429F" w:rsidR="001F7B70" w:rsidRPr="00065580" w:rsidRDefault="0062664F" w:rsidP="001F7B70">
      <w:pPr>
        <w:pStyle w:val="Dash"/>
      </w:pPr>
      <w:r>
        <w:t>a</w:t>
      </w:r>
      <w:r w:rsidR="001F7B70" w:rsidRPr="00065580">
        <w:t>ssessing if there is a legitimate dispute</w:t>
      </w:r>
    </w:p>
    <w:p w14:paraId="393887DF" w14:textId="5045856C" w:rsidR="001F7B70" w:rsidRPr="00065580" w:rsidRDefault="0062664F" w:rsidP="001F7B70">
      <w:pPr>
        <w:pStyle w:val="Dash"/>
      </w:pPr>
      <w:r>
        <w:t>t</w:t>
      </w:r>
      <w:r w:rsidR="001F7B70" w:rsidRPr="00065580">
        <w:t xml:space="preserve">alking to both parties to ensure they </w:t>
      </w:r>
      <w:r w:rsidR="001F7B70" w:rsidRPr="004C4459">
        <w:t>understand the issues well</w:t>
      </w:r>
      <w:r w:rsidRPr="004C4459">
        <w:t>,</w:t>
      </w:r>
      <w:r w:rsidR="001F7B70" w:rsidRPr="004C4459">
        <w:t xml:space="preserve"> and work</w:t>
      </w:r>
      <w:r w:rsidRPr="004C4459">
        <w:t>ing</w:t>
      </w:r>
      <w:r w:rsidR="001F7B70" w:rsidRPr="004C4459">
        <w:t xml:space="preserve"> with them to settle the dispute without </w:t>
      </w:r>
      <w:r w:rsidR="001F7B70">
        <w:t>mediation</w:t>
      </w:r>
    </w:p>
    <w:p w14:paraId="48C14596" w14:textId="5707297E" w:rsidR="001F7B70" w:rsidRPr="00065580" w:rsidRDefault="0062664F" w:rsidP="001F7B70">
      <w:pPr>
        <w:pStyle w:val="Dash"/>
      </w:pPr>
      <w:r>
        <w:t>p</w:t>
      </w:r>
      <w:r w:rsidR="001F7B70" w:rsidRPr="00065580">
        <w:t>repar</w:t>
      </w:r>
      <w:r>
        <w:t>ing</w:t>
      </w:r>
      <w:r w:rsidR="001F7B70" w:rsidRPr="00065580">
        <w:t xml:space="preserve"> both parties for mediation so they understand the mediation process and the role of the mediator.</w:t>
      </w:r>
    </w:p>
    <w:p w14:paraId="39976196" w14:textId="3EBDDEE3" w:rsidR="001F7B70" w:rsidRPr="00946B4F" w:rsidRDefault="00C525A0" w:rsidP="001F7B70">
      <w:pPr>
        <w:pStyle w:val="Bullet"/>
      </w:pPr>
      <w:r>
        <w:rPr>
          <w:lang w:val="en-US"/>
        </w:rPr>
        <w:t>P</w:t>
      </w:r>
      <w:r w:rsidR="001F7B70" w:rsidRPr="00946B4F">
        <w:rPr>
          <w:lang w:val="en-US"/>
        </w:rPr>
        <w:t>rocur</w:t>
      </w:r>
      <w:r w:rsidR="0062664F">
        <w:rPr>
          <w:lang w:val="en-US"/>
        </w:rPr>
        <w:t>ing</w:t>
      </w:r>
      <w:r w:rsidR="001F7B70" w:rsidRPr="00946B4F">
        <w:rPr>
          <w:lang w:val="en-US"/>
        </w:rPr>
        <w:t xml:space="preserve"> </w:t>
      </w:r>
      <w:r w:rsidR="00211331">
        <w:rPr>
          <w:lang w:val="en-US"/>
        </w:rPr>
        <w:t xml:space="preserve">a </w:t>
      </w:r>
      <w:r w:rsidR="001F7B70" w:rsidRPr="00946B4F">
        <w:rPr>
          <w:lang w:val="en-US"/>
        </w:rPr>
        <w:t xml:space="preserve">mediation panel whereby </w:t>
      </w:r>
      <w:r w:rsidR="00211331">
        <w:rPr>
          <w:lang w:val="en-US"/>
        </w:rPr>
        <w:t xml:space="preserve">independent </w:t>
      </w:r>
      <w:r w:rsidR="001F7B70" w:rsidRPr="00946B4F">
        <w:rPr>
          <w:lang w:val="en-US"/>
        </w:rPr>
        <w:t>mediators are chosen based on their mediation success rate and expertise in the field.</w:t>
      </w:r>
    </w:p>
    <w:p w14:paraId="7F878603" w14:textId="5BBB2359" w:rsidR="001F7B70" w:rsidRPr="00946B4F" w:rsidDel="00054D5C" w:rsidRDefault="00257CE1" w:rsidP="00C7625A">
      <w:pPr>
        <w:pStyle w:val="Bullet"/>
      </w:pPr>
      <w:r>
        <w:t>U</w:t>
      </w:r>
      <w:r w:rsidR="00110113">
        <w:t>sing</w:t>
      </w:r>
      <w:r w:rsidR="00110113" w:rsidRPr="00CC7322">
        <w:t xml:space="preserve"> </w:t>
      </w:r>
      <w:r w:rsidR="001F7B70" w:rsidRPr="00CC7322">
        <w:t>certificates when a party</w:t>
      </w:r>
      <w:r w:rsidR="00831118" w:rsidRPr="00CC7322">
        <w:t xml:space="preserve"> </w:t>
      </w:r>
      <w:r w:rsidR="001F7B70" w:rsidRPr="00CC7322">
        <w:t>refuses to negotiate in good faith at mediation</w:t>
      </w:r>
      <w:r w:rsidR="007D4415">
        <w:t>.</w:t>
      </w:r>
      <w:r w:rsidR="001F7B70" w:rsidRPr="00CC7322" w:rsidDel="00054D5C">
        <w:t xml:space="preserve"> </w:t>
      </w:r>
    </w:p>
    <w:p w14:paraId="500DAF71" w14:textId="6D4B5460" w:rsidR="004D2C40" w:rsidRPr="00946B4F" w:rsidDel="00054D5C" w:rsidRDefault="00C05D42" w:rsidP="00F83D15">
      <w:pPr>
        <w:pStyle w:val="Bullet"/>
      </w:pPr>
      <w:r>
        <w:t>E</w:t>
      </w:r>
      <w:r w:rsidR="00110113" w:rsidRPr="009B23BB">
        <w:t xml:space="preserve">xpanding </w:t>
      </w:r>
      <w:r w:rsidR="004D2C40" w:rsidRPr="009B23BB">
        <w:t xml:space="preserve">the use of ASBFEO’s information powers and notification powers in cases of parties </w:t>
      </w:r>
      <w:r w:rsidR="00110113" w:rsidRPr="009B23BB">
        <w:t>‘</w:t>
      </w:r>
      <w:r w:rsidR="004D2C40" w:rsidRPr="009B23BB">
        <w:t>ghosting</w:t>
      </w:r>
      <w:r w:rsidR="00110113" w:rsidRPr="009B23BB">
        <w:t>’</w:t>
      </w:r>
      <w:r w:rsidR="004D2C40" w:rsidRPr="009B23BB">
        <w:t xml:space="preserve"> </w:t>
      </w:r>
      <w:r w:rsidR="004D2C40" w:rsidRPr="00F83D15">
        <w:t>or avoiding calls, emails and written correspondence.</w:t>
      </w:r>
    </w:p>
    <w:p w14:paraId="0D2D2F15" w14:textId="63D32F88" w:rsidR="001F7B70" w:rsidRPr="00054D5C" w:rsidRDefault="2C88D11F" w:rsidP="004D1FDF">
      <w:pPr>
        <w:pStyle w:val="Bullet"/>
        <w:numPr>
          <w:ilvl w:val="0"/>
          <w:numId w:val="0"/>
        </w:numPr>
      </w:pPr>
      <w:r w:rsidRPr="72B303CA">
        <w:rPr>
          <w:lang w:val="en-US"/>
        </w:rPr>
        <w:t xml:space="preserve">The </w:t>
      </w:r>
      <w:r w:rsidR="0062664F">
        <w:rPr>
          <w:lang w:val="en-US"/>
        </w:rPr>
        <w:t xml:space="preserve">Australian </w:t>
      </w:r>
      <w:r w:rsidRPr="72B303CA">
        <w:rPr>
          <w:lang w:val="en-US"/>
        </w:rPr>
        <w:t xml:space="preserve">Government </w:t>
      </w:r>
      <w:r w:rsidR="11475EF2" w:rsidRPr="72B303CA">
        <w:rPr>
          <w:lang w:val="en-US"/>
        </w:rPr>
        <w:t>could c</w:t>
      </w:r>
      <w:r w:rsidR="21A36A79" w:rsidRPr="72B303CA">
        <w:rPr>
          <w:lang w:val="en-US"/>
        </w:rPr>
        <w:t xml:space="preserve">onsider </w:t>
      </w:r>
      <w:proofErr w:type="spellStart"/>
      <w:r w:rsidR="21A36A79" w:rsidRPr="72B303CA">
        <w:rPr>
          <w:lang w:val="en-US"/>
        </w:rPr>
        <w:t>subsidising</w:t>
      </w:r>
      <w:proofErr w:type="spellEnd"/>
      <w:r w:rsidR="21A36A79" w:rsidRPr="72B303CA">
        <w:rPr>
          <w:lang w:val="en-US"/>
        </w:rPr>
        <w:t xml:space="preserve"> the cost of mediation to make it more accessible to small businesses. </w:t>
      </w:r>
    </w:p>
    <w:p w14:paraId="20AE7282" w14:textId="430BA888" w:rsidR="00194454" w:rsidRPr="00946B4F" w:rsidRDefault="00194454" w:rsidP="00C6345E">
      <w:pPr>
        <w:pStyle w:val="Bullet"/>
        <w:numPr>
          <w:ilvl w:val="0"/>
          <w:numId w:val="0"/>
        </w:numPr>
        <w:spacing w:before="240" w:after="120" w:line="240" w:lineRule="auto"/>
      </w:pPr>
      <w:r w:rsidRPr="005F30E5">
        <w:rPr>
          <w:rStyle w:val="Strong"/>
        </w:rPr>
        <w:t xml:space="preserve">Recommendation </w:t>
      </w:r>
      <w:r>
        <w:rPr>
          <w:rStyle w:val="Strong"/>
        </w:rPr>
        <w:t>8</w:t>
      </w:r>
      <w:r w:rsidRPr="005F30E5">
        <w:rPr>
          <w:rStyle w:val="Strong"/>
        </w:rPr>
        <w:t xml:space="preserve">: </w:t>
      </w:r>
      <w:r w:rsidR="00CB1F0D" w:rsidRPr="004D1FDF">
        <w:rPr>
          <w:rStyle w:val="Strong"/>
          <w:b w:val="0"/>
          <w:bCs w:val="0"/>
        </w:rPr>
        <w:t xml:space="preserve">ASBFEO </w:t>
      </w:r>
      <w:r w:rsidR="00D07303" w:rsidRPr="004D1FDF">
        <w:rPr>
          <w:rStyle w:val="Strong"/>
          <w:b w:val="0"/>
          <w:bCs w:val="0"/>
        </w:rPr>
        <w:t>should</w:t>
      </w:r>
      <w:r w:rsidR="00ED51BD">
        <w:rPr>
          <w:rStyle w:val="Strong"/>
        </w:rPr>
        <w:t>:</w:t>
      </w:r>
    </w:p>
    <w:p w14:paraId="4B2ABDA3" w14:textId="0A53179D" w:rsidR="00F8057C" w:rsidRPr="00F70C55" w:rsidRDefault="006C2424" w:rsidP="00F8057C">
      <w:pPr>
        <w:pStyle w:val="Bullet"/>
      </w:pPr>
      <w:r>
        <w:rPr>
          <w:rStyle w:val="Strong"/>
          <w:b w:val="0"/>
          <w:bCs w:val="0"/>
        </w:rPr>
        <w:t>c</w:t>
      </w:r>
      <w:r w:rsidR="00F8057C" w:rsidRPr="00F70C55">
        <w:rPr>
          <w:rStyle w:val="Strong"/>
          <w:b w:val="0"/>
          <w:bCs w:val="0"/>
        </w:rPr>
        <w:t>onduct a post</w:t>
      </w:r>
      <w:r w:rsidR="003A0D5E">
        <w:rPr>
          <w:rStyle w:val="Strong"/>
          <w:b w:val="0"/>
          <w:bCs w:val="0"/>
        </w:rPr>
        <w:noBreakHyphen/>
      </w:r>
      <w:r w:rsidR="00F8057C" w:rsidRPr="00F70C55">
        <w:rPr>
          <w:rStyle w:val="Strong"/>
          <w:b w:val="0"/>
          <w:bCs w:val="0"/>
        </w:rPr>
        <w:t>implementation review of the S</w:t>
      </w:r>
      <w:r w:rsidR="00AD7814">
        <w:rPr>
          <w:rStyle w:val="Strong"/>
          <w:b w:val="0"/>
          <w:bCs w:val="0"/>
        </w:rPr>
        <w:t xml:space="preserve">mall </w:t>
      </w:r>
      <w:r w:rsidR="00F8057C" w:rsidRPr="00F70C55">
        <w:rPr>
          <w:rStyle w:val="Strong"/>
          <w:b w:val="0"/>
          <w:bCs w:val="0"/>
        </w:rPr>
        <w:t>B</w:t>
      </w:r>
      <w:r w:rsidR="00AD7814">
        <w:rPr>
          <w:rStyle w:val="Strong"/>
          <w:b w:val="0"/>
          <w:bCs w:val="0"/>
        </w:rPr>
        <w:t xml:space="preserve">usiness </w:t>
      </w:r>
      <w:r w:rsidR="00F8057C" w:rsidRPr="00F70C55">
        <w:rPr>
          <w:rStyle w:val="Strong"/>
          <w:b w:val="0"/>
          <w:bCs w:val="0"/>
        </w:rPr>
        <w:t>T</w:t>
      </w:r>
      <w:r w:rsidR="00AD7814">
        <w:rPr>
          <w:rStyle w:val="Strong"/>
          <w:b w:val="0"/>
          <w:bCs w:val="0"/>
        </w:rPr>
        <w:t xml:space="preserve">ax </w:t>
      </w:r>
      <w:r w:rsidR="00F8057C" w:rsidRPr="00F70C55">
        <w:rPr>
          <w:rStyle w:val="Strong"/>
          <w:b w:val="0"/>
          <w:bCs w:val="0"/>
        </w:rPr>
        <w:t>C</w:t>
      </w:r>
      <w:r w:rsidR="00AD7814">
        <w:rPr>
          <w:rStyle w:val="Strong"/>
          <w:b w:val="0"/>
          <w:bCs w:val="0"/>
        </w:rPr>
        <w:t>oncierge (SBTC)</w:t>
      </w:r>
      <w:r w:rsidR="00F8057C" w:rsidRPr="00F70C55">
        <w:rPr>
          <w:rStyle w:val="Strong"/>
          <w:b w:val="0"/>
          <w:bCs w:val="0"/>
        </w:rPr>
        <w:t xml:space="preserve"> service in 2 years to determine its effectiveness. </w:t>
      </w:r>
      <w:r w:rsidR="00F70C55" w:rsidRPr="00F70C55">
        <w:rPr>
          <w:rStyle w:val="Strong"/>
          <w:b w:val="0"/>
          <w:bCs w:val="0"/>
        </w:rPr>
        <w:t>Evaluation</w:t>
      </w:r>
      <w:r w:rsidR="00F8057C" w:rsidRPr="00F70C55">
        <w:rPr>
          <w:rStyle w:val="Strong"/>
          <w:b w:val="0"/>
          <w:bCs w:val="0"/>
        </w:rPr>
        <w:t xml:space="preserve"> </w:t>
      </w:r>
      <w:r w:rsidR="00F8057C" w:rsidRPr="00F70C55">
        <w:rPr>
          <w:lang w:val="en-US"/>
        </w:rPr>
        <w:t xml:space="preserve">measures should be developed, and the </w:t>
      </w:r>
      <w:r w:rsidR="001C34AB">
        <w:rPr>
          <w:lang w:val="en-US"/>
        </w:rPr>
        <w:t>D</w:t>
      </w:r>
      <w:r w:rsidR="00F8057C" w:rsidRPr="00F70C55">
        <w:rPr>
          <w:lang w:val="en-US"/>
        </w:rPr>
        <w:t>ata team should track these outcomes</w:t>
      </w:r>
    </w:p>
    <w:p w14:paraId="41B9F5F9" w14:textId="152CAF0B" w:rsidR="00F8057C" w:rsidRPr="00F70C55" w:rsidRDefault="006C2424" w:rsidP="00F8057C">
      <w:pPr>
        <w:pStyle w:val="Bullet"/>
      </w:pPr>
      <w:r>
        <w:t>p</w:t>
      </w:r>
      <w:r w:rsidR="00F8057C" w:rsidRPr="00F70C55">
        <w:t>romote awareness of the SBTC through mechanisms such as forums with tax practitioners</w:t>
      </w:r>
      <w:r w:rsidR="005B2AA2">
        <w:t>,</w:t>
      </w:r>
      <w:r w:rsidR="00F8057C" w:rsidRPr="00F70C55">
        <w:t xml:space="preserve"> and newsletters.</w:t>
      </w:r>
    </w:p>
    <w:p w14:paraId="57A6FB85" w14:textId="61FB5C40" w:rsidR="00194454" w:rsidRPr="00194454" w:rsidRDefault="00194454" w:rsidP="00C6345E">
      <w:pPr>
        <w:spacing w:after="120"/>
        <w:rPr>
          <w:b/>
          <w:bCs/>
        </w:rPr>
      </w:pPr>
      <w:r w:rsidRPr="00194454">
        <w:rPr>
          <w:b/>
          <w:bCs/>
          <w:lang w:val="en-US"/>
        </w:rPr>
        <w:t xml:space="preserve">Recommendation 9: </w:t>
      </w:r>
      <w:r w:rsidRPr="00194454">
        <w:rPr>
          <w:lang w:val="en-US"/>
        </w:rPr>
        <w:t xml:space="preserve">ASBFEO should review </w:t>
      </w:r>
      <w:r w:rsidR="00711925">
        <w:rPr>
          <w:lang w:val="en-US"/>
        </w:rPr>
        <w:t>its</w:t>
      </w:r>
      <w:r w:rsidR="00711925" w:rsidRPr="00194454">
        <w:rPr>
          <w:lang w:val="en-US"/>
        </w:rPr>
        <w:t xml:space="preserve"> </w:t>
      </w:r>
      <w:r w:rsidRPr="00194454">
        <w:rPr>
          <w:lang w:val="en-US"/>
        </w:rPr>
        <w:t>reporting</w:t>
      </w:r>
      <w:r w:rsidR="00B86AA2">
        <w:rPr>
          <w:lang w:val="en-US"/>
        </w:rPr>
        <w:t xml:space="preserve"> </w:t>
      </w:r>
      <w:r w:rsidR="00DA262E">
        <w:rPr>
          <w:lang w:val="en-US"/>
        </w:rPr>
        <w:t xml:space="preserve">systems </w:t>
      </w:r>
      <w:r w:rsidR="00B86AA2">
        <w:rPr>
          <w:lang w:val="en-US"/>
        </w:rPr>
        <w:t>to ensure</w:t>
      </w:r>
      <w:r w:rsidRPr="00194454">
        <w:rPr>
          <w:lang w:val="en-US"/>
        </w:rPr>
        <w:t>:</w:t>
      </w:r>
      <w:r w:rsidRPr="00194454">
        <w:rPr>
          <w:b/>
          <w:bCs/>
        </w:rPr>
        <w:t> </w:t>
      </w:r>
    </w:p>
    <w:p w14:paraId="3C033A4A" w14:textId="07E5ECB5" w:rsidR="00D913AF" w:rsidRPr="00946B4F" w:rsidRDefault="00DA262E" w:rsidP="00D913AF">
      <w:pPr>
        <w:pStyle w:val="Bullet"/>
      </w:pPr>
      <w:r>
        <w:t>a</w:t>
      </w:r>
      <w:r w:rsidR="00D913AF" w:rsidRPr="00946B4F">
        <w:t xml:space="preserve">ssistance and disputes activity </w:t>
      </w:r>
      <w:proofErr w:type="gramStart"/>
      <w:r w:rsidR="00D913AF">
        <w:t>is</w:t>
      </w:r>
      <w:proofErr w:type="gramEnd"/>
      <w:r w:rsidR="00D913AF">
        <w:t xml:space="preserve"> </w:t>
      </w:r>
      <w:r w:rsidR="00D913AF" w:rsidRPr="00946B4F">
        <w:t>consistently track</w:t>
      </w:r>
      <w:r w:rsidR="00D913AF">
        <w:t>ed across</w:t>
      </w:r>
      <w:r w:rsidR="00D913AF" w:rsidRPr="00946B4F">
        <w:t xml:space="preserve"> </w:t>
      </w:r>
      <w:r w:rsidR="00D913AF">
        <w:t xml:space="preserve">reporting periods </w:t>
      </w:r>
      <w:r w:rsidR="00D913AF" w:rsidRPr="00946B4F">
        <w:t xml:space="preserve">and </w:t>
      </w:r>
      <w:r w:rsidR="00D913AF">
        <w:t xml:space="preserve">dispute cases </w:t>
      </w:r>
      <w:r w:rsidR="00D913AF" w:rsidRPr="00946B4F">
        <w:t>report</w:t>
      </w:r>
      <w:r w:rsidR="00D913AF">
        <w:t>ed</w:t>
      </w:r>
      <w:r w:rsidR="00D913AF" w:rsidRPr="00946B4F">
        <w:t xml:space="preserve"> </w:t>
      </w:r>
      <w:r w:rsidR="00D913AF">
        <w:t xml:space="preserve">to </w:t>
      </w:r>
      <w:r w:rsidR="00D913AF" w:rsidRPr="00946B4F">
        <w:t>includ</w:t>
      </w:r>
      <w:r w:rsidR="00D913AF">
        <w:t>e</w:t>
      </w:r>
      <w:r w:rsidR="00D913AF" w:rsidRPr="00946B4F">
        <w:t xml:space="preserve"> the types of disputes</w:t>
      </w:r>
      <w:r w:rsidR="00D913AF">
        <w:t xml:space="preserve"> and </w:t>
      </w:r>
      <w:r w:rsidR="00D913AF" w:rsidRPr="00946B4F">
        <w:t>the outcomes reached</w:t>
      </w:r>
      <w:r w:rsidR="00D913AF">
        <w:t xml:space="preserve"> </w:t>
      </w:r>
    </w:p>
    <w:p w14:paraId="080A6FC7" w14:textId="07456014" w:rsidR="001E7AF7" w:rsidRPr="00946B4F" w:rsidRDefault="00D913AF" w:rsidP="00D913AF">
      <w:pPr>
        <w:pStyle w:val="Bullet"/>
      </w:pPr>
      <w:r w:rsidRPr="00946B4F">
        <w:t xml:space="preserve">intelligence gathered from </w:t>
      </w:r>
      <w:r w:rsidR="001E7AF7" w:rsidRPr="008647B2">
        <w:rPr>
          <w:bCs/>
        </w:rPr>
        <w:t xml:space="preserve">analysing requests for assistance </w:t>
      </w:r>
      <w:r w:rsidR="00407A9B">
        <w:t xml:space="preserve">is </w:t>
      </w:r>
      <w:r w:rsidRPr="00946B4F">
        <w:t>used for case studies and case pathways on the website</w:t>
      </w:r>
      <w:r w:rsidRPr="00946B4F">
        <w:rPr>
          <w:lang w:val="en-US"/>
        </w:rPr>
        <w:t xml:space="preserve">, and </w:t>
      </w:r>
      <w:r w:rsidR="00DA2380">
        <w:rPr>
          <w:lang w:val="en-US"/>
        </w:rPr>
        <w:t xml:space="preserve">the </w:t>
      </w:r>
      <w:r w:rsidRPr="00946B4F">
        <w:rPr>
          <w:lang w:val="en-US"/>
        </w:rPr>
        <w:t>advocacy agenda on systemic issues</w:t>
      </w:r>
      <w:r w:rsidRPr="00946B4F">
        <w:t>   </w:t>
      </w:r>
    </w:p>
    <w:p w14:paraId="44BE9CEF" w14:textId="3D870C38" w:rsidR="00D913AF" w:rsidRDefault="001638F0" w:rsidP="00D913AF">
      <w:pPr>
        <w:pStyle w:val="Bullet"/>
      </w:pPr>
      <w:r>
        <w:t>it</w:t>
      </w:r>
      <w:r w:rsidR="00C751D8">
        <w:t xml:space="preserve"> </w:t>
      </w:r>
      <w:r w:rsidR="00D913AF" w:rsidRPr="00946B4F">
        <w:t>communicate</w:t>
      </w:r>
      <w:r w:rsidR="00F07E7C">
        <w:t>s</w:t>
      </w:r>
      <w:r w:rsidR="00D913AF" w:rsidRPr="00946B4F">
        <w:t xml:space="preserve"> themes and trends in disputes more effectivel</w:t>
      </w:r>
      <w:r w:rsidR="00F07E7C">
        <w:t>y</w:t>
      </w:r>
    </w:p>
    <w:p w14:paraId="5F975576" w14:textId="73BEB887" w:rsidR="00D913AF" w:rsidRPr="00946B4F" w:rsidRDefault="001638F0" w:rsidP="00D913AF">
      <w:pPr>
        <w:pStyle w:val="Bullet"/>
      </w:pPr>
      <w:r>
        <w:t>it</w:t>
      </w:r>
      <w:r w:rsidR="00EA5E6B">
        <w:t xml:space="preserve"> </w:t>
      </w:r>
      <w:r w:rsidR="00F07E7C">
        <w:t>uses</w:t>
      </w:r>
      <w:r w:rsidR="00D913AF" w:rsidRPr="00946B4F">
        <w:t xml:space="preserve"> one</w:t>
      </w:r>
      <w:r w:rsidR="00D913AF">
        <w:noBreakHyphen/>
      </w:r>
      <w:r w:rsidR="00D913AF" w:rsidRPr="00946B4F">
        <w:t xml:space="preserve">page briefs </w:t>
      </w:r>
      <w:r w:rsidR="00D913AF">
        <w:t xml:space="preserve">to highlight </w:t>
      </w:r>
      <w:r w:rsidR="00D913AF" w:rsidRPr="00946B4F">
        <w:t>key policy reforms</w:t>
      </w:r>
      <w:r w:rsidR="00D913AF">
        <w:t xml:space="preserve"> that may address issues arising from trends and themes in disputes</w:t>
      </w:r>
      <w:r w:rsidR="00D913AF" w:rsidRPr="00946B4F">
        <w:t>.</w:t>
      </w:r>
    </w:p>
    <w:p w14:paraId="08B507E9" w14:textId="0738FA24" w:rsidR="006E0C0E" w:rsidRDefault="006E0C0E" w:rsidP="00C86C79">
      <w:r w:rsidRPr="005F30E5">
        <w:rPr>
          <w:rStyle w:val="Strong"/>
        </w:rPr>
        <w:t xml:space="preserve">Recommendation </w:t>
      </w:r>
      <w:r>
        <w:rPr>
          <w:rStyle w:val="Strong"/>
        </w:rPr>
        <w:t>10</w:t>
      </w:r>
      <w:r w:rsidRPr="005F30E5">
        <w:rPr>
          <w:rStyle w:val="Strong"/>
        </w:rPr>
        <w:t>:</w:t>
      </w:r>
      <w:r w:rsidRPr="00C86C79">
        <w:t xml:space="preserve"> ASBFEO should develop assistance service standards and </w:t>
      </w:r>
      <w:r w:rsidR="0097355E" w:rsidRPr="00C86C79">
        <w:t xml:space="preserve">key performance indicators to measure </w:t>
      </w:r>
      <w:r w:rsidRPr="00C86C79">
        <w:t>effectiveness and publish the results where appropriate.</w:t>
      </w:r>
      <w:r w:rsidRPr="00946B4F">
        <w:t> </w:t>
      </w:r>
    </w:p>
    <w:p w14:paraId="34AFCE83" w14:textId="58D22877" w:rsidR="006E0C0E" w:rsidRDefault="006E0C0E" w:rsidP="00C6345E">
      <w:pPr>
        <w:spacing w:after="120"/>
      </w:pPr>
      <w:r w:rsidRPr="005F30E5">
        <w:rPr>
          <w:rStyle w:val="Strong"/>
        </w:rPr>
        <w:t xml:space="preserve">Recommendation </w:t>
      </w:r>
      <w:r>
        <w:rPr>
          <w:rStyle w:val="Strong"/>
        </w:rPr>
        <w:t>11</w:t>
      </w:r>
      <w:r w:rsidRPr="005F30E5">
        <w:rPr>
          <w:rStyle w:val="Strong"/>
        </w:rPr>
        <w:t xml:space="preserve">: </w:t>
      </w:r>
      <w:r w:rsidRPr="006E0C0E">
        <w:rPr>
          <w:lang w:val="en-US"/>
        </w:rPr>
        <w:t xml:space="preserve">ASBFEO should </w:t>
      </w:r>
      <w:r w:rsidR="00863109">
        <w:rPr>
          <w:lang w:val="en-US"/>
        </w:rPr>
        <w:t xml:space="preserve">develop surveys that </w:t>
      </w:r>
      <w:r w:rsidRPr="006E0C0E">
        <w:rPr>
          <w:lang w:val="en-US"/>
        </w:rPr>
        <w:t xml:space="preserve">cover the preliminary assistance stage and/or after </w:t>
      </w:r>
      <w:r w:rsidR="00F01C30" w:rsidRPr="006E0C0E">
        <w:rPr>
          <w:lang w:val="en-US"/>
        </w:rPr>
        <w:t>mediation</w:t>
      </w:r>
      <w:r w:rsidR="00F01C30">
        <w:rPr>
          <w:lang w:val="en-US"/>
        </w:rPr>
        <w:t>.</w:t>
      </w:r>
      <w:r w:rsidRPr="005F30E5">
        <w:rPr>
          <w:rStyle w:val="Strong"/>
        </w:rPr>
        <w:t xml:space="preserve"> </w:t>
      </w:r>
      <w:r w:rsidRPr="00946B4F">
        <w:rPr>
          <w:lang w:val="en-US"/>
        </w:rPr>
        <w:t>Surveys should also be undertaken for SBTC and low</w:t>
      </w:r>
      <w:r>
        <w:rPr>
          <w:lang w:val="en-US"/>
        </w:rPr>
        <w:noBreakHyphen/>
      </w:r>
      <w:r w:rsidRPr="00946B4F">
        <w:rPr>
          <w:lang w:val="en-US"/>
        </w:rPr>
        <w:t>cost legal advice.</w:t>
      </w:r>
      <w:r w:rsidRPr="00946B4F">
        <w:t> </w:t>
      </w:r>
    </w:p>
    <w:p w14:paraId="596F866A" w14:textId="339D1081" w:rsidR="00561AE3" w:rsidRPr="004F6271" w:rsidRDefault="00561AE3" w:rsidP="00C6345E">
      <w:pPr>
        <w:spacing w:after="120"/>
      </w:pPr>
      <w:r w:rsidRPr="004F6271">
        <w:rPr>
          <w:b/>
          <w:bCs/>
        </w:rPr>
        <w:lastRenderedPageBreak/>
        <w:t xml:space="preserve">Recommendation </w:t>
      </w:r>
      <w:r>
        <w:rPr>
          <w:b/>
          <w:bCs/>
        </w:rPr>
        <w:t>12</w:t>
      </w:r>
      <w:r w:rsidRPr="004F6271">
        <w:rPr>
          <w:b/>
          <w:bCs/>
        </w:rPr>
        <w:t>:</w:t>
      </w:r>
      <w:r w:rsidRPr="004F6271">
        <w:t xml:space="preserve"> </w:t>
      </w:r>
      <w:r w:rsidR="007C3B01">
        <w:t>A</w:t>
      </w:r>
      <w:r w:rsidR="007C3B01" w:rsidRPr="00561AE3">
        <w:t>s part of the next statutory review of ASBFEO</w:t>
      </w:r>
      <w:r w:rsidR="007C3B01">
        <w:t>, the</w:t>
      </w:r>
      <w:r w:rsidR="00CC3D68">
        <w:t xml:space="preserve"> Australian</w:t>
      </w:r>
      <w:r w:rsidR="007C3B01">
        <w:t xml:space="preserve"> Government should assess the implementation of the recommendations specific to ASBFEO from the 2023</w:t>
      </w:r>
      <w:r w:rsidR="00C719D6">
        <w:t> </w:t>
      </w:r>
      <w:r w:rsidR="005637EB" w:rsidRPr="005637EB">
        <w:t>Independent Review of the Franchising Code of Conduc</w:t>
      </w:r>
      <w:r w:rsidR="005637EB" w:rsidRPr="00A05C39">
        <w:t>t</w:t>
      </w:r>
      <w:r w:rsidR="00F37C97" w:rsidRPr="00A05C39">
        <w:t>.</w:t>
      </w:r>
      <w:r w:rsidR="005637EB" w:rsidDel="005637EB">
        <w:t xml:space="preserve"> </w:t>
      </w:r>
    </w:p>
    <w:p w14:paraId="758D3311" w14:textId="4C506C93" w:rsidR="00D144E4" w:rsidRPr="00D144E4" w:rsidRDefault="00D144E4" w:rsidP="00C719D6">
      <w:r w:rsidRPr="00C719D6">
        <w:rPr>
          <w:rStyle w:val="Strong"/>
        </w:rPr>
        <w:t>Recommendation 1</w:t>
      </w:r>
      <w:r w:rsidR="00560114" w:rsidRPr="00C719D6">
        <w:rPr>
          <w:rStyle w:val="Strong"/>
        </w:rPr>
        <w:t>3</w:t>
      </w:r>
      <w:r w:rsidRPr="00C719D6">
        <w:rPr>
          <w:rStyle w:val="Strong"/>
        </w:rPr>
        <w:t>:</w:t>
      </w:r>
      <w:r w:rsidRPr="00C719D6">
        <w:t xml:space="preserve"> </w:t>
      </w:r>
      <w:r w:rsidR="00CB40B8" w:rsidRPr="00C719D6">
        <w:t xml:space="preserve">ASBFEO should develop </w:t>
      </w:r>
      <w:r w:rsidRPr="00C719D6">
        <w:t>a communications and engagement strategy to promote greater awareness of ASBFEO services</w:t>
      </w:r>
      <w:r w:rsidRPr="00D144E4">
        <w:t>.</w:t>
      </w:r>
      <w:r w:rsidR="00D10BC4">
        <w:t xml:space="preserve"> The strategy should:</w:t>
      </w:r>
    </w:p>
    <w:p w14:paraId="44ECF88E" w14:textId="3675BD35" w:rsidR="00D144E4" w:rsidRPr="00D144E4" w:rsidRDefault="00CC3D68" w:rsidP="00C719D6">
      <w:pPr>
        <w:pStyle w:val="Bullet"/>
      </w:pPr>
      <w:r>
        <w:rPr>
          <w:lang w:val="en-US"/>
        </w:rPr>
        <w:t>c</w:t>
      </w:r>
      <w:r w:rsidR="00D10BC4">
        <w:rPr>
          <w:lang w:val="en-US"/>
        </w:rPr>
        <w:t>over</w:t>
      </w:r>
      <w:r w:rsidR="00D144E4" w:rsidRPr="00D144E4">
        <w:rPr>
          <w:lang w:val="en-US"/>
        </w:rPr>
        <w:t xml:space="preserve"> meetings</w:t>
      </w:r>
      <w:r w:rsidR="00A4739B">
        <w:rPr>
          <w:lang w:val="en-US"/>
        </w:rPr>
        <w:t>,</w:t>
      </w:r>
      <w:r w:rsidR="00D144E4" w:rsidRPr="00D144E4">
        <w:rPr>
          <w:lang w:val="en-US"/>
        </w:rPr>
        <w:t xml:space="preserve"> forums, media and social media</w:t>
      </w:r>
    </w:p>
    <w:p w14:paraId="52083048" w14:textId="1AD87EE1" w:rsidR="00D144E4" w:rsidRPr="00D144E4" w:rsidRDefault="00D144E4" w:rsidP="00C719D6">
      <w:pPr>
        <w:pStyle w:val="Bullet"/>
      </w:pPr>
      <w:r w:rsidRPr="00D144E4">
        <w:rPr>
          <w:lang w:val="en-US"/>
        </w:rPr>
        <w:t>leverag</w:t>
      </w:r>
      <w:r w:rsidR="00CC3D68">
        <w:rPr>
          <w:lang w:val="en-US"/>
        </w:rPr>
        <w:t>e</w:t>
      </w:r>
      <w:r w:rsidRPr="00D144E4">
        <w:rPr>
          <w:lang w:val="en-US"/>
        </w:rPr>
        <w:t xml:space="preserve"> </w:t>
      </w:r>
      <w:proofErr w:type="spellStart"/>
      <w:r w:rsidRPr="00D144E4">
        <w:rPr>
          <w:lang w:val="en-US"/>
        </w:rPr>
        <w:t>AusIndustry</w:t>
      </w:r>
      <w:r w:rsidR="003A0D5E">
        <w:rPr>
          <w:lang w:val="en-US"/>
        </w:rPr>
        <w:t>’</w:t>
      </w:r>
      <w:r w:rsidRPr="00D144E4">
        <w:rPr>
          <w:lang w:val="en-US"/>
        </w:rPr>
        <w:t>s</w:t>
      </w:r>
      <w:proofErr w:type="spellEnd"/>
      <w:r w:rsidRPr="00D144E4">
        <w:rPr>
          <w:lang w:val="en-US"/>
        </w:rPr>
        <w:t xml:space="preserve"> extensive outreach network to build efficiencies and avoid duplication</w:t>
      </w:r>
    </w:p>
    <w:p w14:paraId="1F312C0D" w14:textId="56015124" w:rsidR="00D144E4" w:rsidRPr="00D144E4" w:rsidRDefault="00CC3D68" w:rsidP="00C719D6">
      <w:pPr>
        <w:pStyle w:val="Bullet"/>
      </w:pPr>
      <w:r>
        <w:rPr>
          <w:lang w:val="en-US"/>
        </w:rPr>
        <w:t>c</w:t>
      </w:r>
      <w:r w:rsidR="00D144E4" w:rsidRPr="00D144E4">
        <w:rPr>
          <w:lang w:val="en-US"/>
        </w:rPr>
        <w:t>onsider special interest groups, including small businesses run by First Nations people, members of multicultural communities</w:t>
      </w:r>
      <w:r>
        <w:rPr>
          <w:lang w:val="en-US"/>
        </w:rPr>
        <w:t>,</w:t>
      </w:r>
      <w:r w:rsidR="00D144E4" w:rsidRPr="00D144E4">
        <w:rPr>
          <w:lang w:val="en-US"/>
        </w:rPr>
        <w:t xml:space="preserve"> and </w:t>
      </w:r>
      <w:r>
        <w:rPr>
          <w:lang w:val="en-US"/>
        </w:rPr>
        <w:t xml:space="preserve">in </w:t>
      </w:r>
      <w:r w:rsidR="00D144E4" w:rsidRPr="00D144E4">
        <w:rPr>
          <w:lang w:val="en-US"/>
        </w:rPr>
        <w:t>regional and remote areas.</w:t>
      </w:r>
      <w:r w:rsidR="00D144E4" w:rsidRPr="00D144E4">
        <w:t> </w:t>
      </w:r>
    </w:p>
    <w:p w14:paraId="6D3C2C3C" w14:textId="0A1151A4" w:rsidR="004A746C" w:rsidRPr="00B21EAC" w:rsidRDefault="00B21EAC" w:rsidP="00C6345E">
      <w:pPr>
        <w:spacing w:after="120"/>
      </w:pPr>
      <w:r>
        <w:rPr>
          <w:b/>
          <w:bCs/>
          <w:lang w:val="en-US"/>
        </w:rPr>
        <w:t>Recommendation 1</w:t>
      </w:r>
      <w:r w:rsidR="00560114">
        <w:rPr>
          <w:b/>
          <w:bCs/>
          <w:lang w:val="en-US"/>
        </w:rPr>
        <w:t>4</w:t>
      </w:r>
      <w:r>
        <w:rPr>
          <w:b/>
          <w:bCs/>
          <w:lang w:val="en-US"/>
        </w:rPr>
        <w:t xml:space="preserve">: </w:t>
      </w:r>
      <w:r w:rsidRPr="00B21EAC">
        <w:rPr>
          <w:lang w:val="en-US"/>
        </w:rPr>
        <w:t xml:space="preserve">ASBFEO </w:t>
      </w:r>
      <w:r w:rsidR="00E57278">
        <w:rPr>
          <w:lang w:val="en-US"/>
        </w:rPr>
        <w:t xml:space="preserve">should </w:t>
      </w:r>
      <w:r w:rsidR="005839C6">
        <w:rPr>
          <w:lang w:val="en-US"/>
        </w:rPr>
        <w:t>take steps to reference data with greater clarity</w:t>
      </w:r>
      <w:r w:rsidR="00E74273">
        <w:rPr>
          <w:lang w:val="en-US"/>
        </w:rPr>
        <w:t xml:space="preserve"> in its communications, </w:t>
      </w:r>
      <w:r w:rsidR="0072755A">
        <w:rPr>
          <w:lang w:val="en-US"/>
        </w:rPr>
        <w:t xml:space="preserve">to improve </w:t>
      </w:r>
      <w:r w:rsidRPr="00B21EAC">
        <w:rPr>
          <w:lang w:val="en-US"/>
        </w:rPr>
        <w:t>accuracy and consistency of reporting and the data it produces or uses</w:t>
      </w:r>
      <w:r w:rsidR="0081454F">
        <w:rPr>
          <w:lang w:val="en-US"/>
        </w:rPr>
        <w:t xml:space="preserve">. </w:t>
      </w:r>
      <w:r w:rsidR="000808D7">
        <w:t>W</w:t>
      </w:r>
      <w:r w:rsidR="0081454F">
        <w:t xml:space="preserve">hen </w:t>
      </w:r>
      <w:r w:rsidR="0081454F" w:rsidRPr="00B21EAC">
        <w:rPr>
          <w:lang w:val="en-US"/>
        </w:rPr>
        <w:t>communicating statistics or explaining research findings in media and other publications, ASBFEO should reference and communicate the findings by quoting the correct year and the source</w:t>
      </w:r>
      <w:r w:rsidR="0081454F">
        <w:rPr>
          <w:lang w:val="en-US"/>
        </w:rPr>
        <w:t>.</w:t>
      </w:r>
    </w:p>
    <w:p w14:paraId="28B108A7" w14:textId="29B1FD6E" w:rsidR="009032D3" w:rsidRDefault="008D1401" w:rsidP="00C6345E">
      <w:pPr>
        <w:spacing w:after="120"/>
        <w:rPr>
          <w:bCs/>
          <w:lang w:val="en-US"/>
        </w:rPr>
      </w:pPr>
      <w:r w:rsidRPr="008D1401">
        <w:rPr>
          <w:b/>
          <w:lang w:val="en-US"/>
        </w:rPr>
        <w:t>Recommendation 1</w:t>
      </w:r>
      <w:r w:rsidR="00560114">
        <w:rPr>
          <w:b/>
          <w:lang w:val="en-US"/>
        </w:rPr>
        <w:t>5</w:t>
      </w:r>
      <w:r w:rsidRPr="008D1401">
        <w:rPr>
          <w:b/>
          <w:lang w:val="en-US"/>
        </w:rPr>
        <w:t xml:space="preserve">: </w:t>
      </w:r>
      <w:r w:rsidR="00CC3D68">
        <w:rPr>
          <w:bCs/>
          <w:lang w:val="en-US"/>
        </w:rPr>
        <w:t xml:space="preserve">The Australian </w:t>
      </w:r>
      <w:r w:rsidR="00F20EDE" w:rsidRPr="004D1FDF">
        <w:rPr>
          <w:bCs/>
          <w:lang w:val="en-US"/>
        </w:rPr>
        <w:t xml:space="preserve">Government should consider changing </w:t>
      </w:r>
      <w:r w:rsidR="009032D3">
        <w:rPr>
          <w:bCs/>
          <w:lang w:val="en-US"/>
        </w:rPr>
        <w:t>ASBFEO’s</w:t>
      </w:r>
      <w:r w:rsidR="009032D3" w:rsidRPr="004D1FDF">
        <w:rPr>
          <w:bCs/>
          <w:lang w:val="en-US"/>
        </w:rPr>
        <w:t xml:space="preserve"> </w:t>
      </w:r>
      <w:r w:rsidR="00BB1FC0">
        <w:rPr>
          <w:bCs/>
          <w:lang w:val="en-US"/>
        </w:rPr>
        <w:t>n</w:t>
      </w:r>
      <w:r w:rsidRPr="008D1401">
        <w:rPr>
          <w:bCs/>
          <w:lang w:val="en-US"/>
        </w:rPr>
        <w:t xml:space="preserve">ame </w:t>
      </w:r>
      <w:r w:rsidRPr="008D1401" w:rsidDel="009032D3">
        <w:rPr>
          <w:bCs/>
          <w:lang w:val="en-US"/>
        </w:rPr>
        <w:t xml:space="preserve">to </w:t>
      </w:r>
      <w:r w:rsidR="00742E01">
        <w:rPr>
          <w:bCs/>
          <w:lang w:val="en-US"/>
        </w:rPr>
        <w:t>include ‘Commission</w:t>
      </w:r>
      <w:r w:rsidR="00345101">
        <w:rPr>
          <w:bCs/>
          <w:lang w:val="en-US"/>
        </w:rPr>
        <w:t>er</w:t>
      </w:r>
      <w:r w:rsidR="00742E01">
        <w:rPr>
          <w:bCs/>
          <w:lang w:val="en-US"/>
        </w:rPr>
        <w:t xml:space="preserve">’ </w:t>
      </w:r>
      <w:r w:rsidRPr="008D1401">
        <w:rPr>
          <w:bCs/>
          <w:lang w:val="en-US"/>
        </w:rPr>
        <w:t xml:space="preserve">to better reflect </w:t>
      </w:r>
      <w:r w:rsidR="009032D3">
        <w:rPr>
          <w:bCs/>
          <w:lang w:val="en-US"/>
        </w:rPr>
        <w:t>its</w:t>
      </w:r>
      <w:r w:rsidRPr="008D1401" w:rsidDel="009032D3">
        <w:rPr>
          <w:bCs/>
          <w:lang w:val="en-US"/>
        </w:rPr>
        <w:t xml:space="preserve"> role</w:t>
      </w:r>
      <w:r w:rsidRPr="008D1401">
        <w:rPr>
          <w:bCs/>
          <w:lang w:val="en-US"/>
        </w:rPr>
        <w:t>. Suggestions include</w:t>
      </w:r>
      <w:r w:rsidR="009032D3">
        <w:rPr>
          <w:bCs/>
          <w:lang w:val="en-US"/>
        </w:rPr>
        <w:t>:</w:t>
      </w:r>
    </w:p>
    <w:p w14:paraId="1F56B030" w14:textId="3903D931" w:rsidR="009032D3" w:rsidRDefault="008D1401" w:rsidP="00FC5004">
      <w:pPr>
        <w:pStyle w:val="Bullet"/>
        <w:rPr>
          <w:lang w:val="en-US"/>
        </w:rPr>
      </w:pPr>
      <w:r w:rsidRPr="008D1401">
        <w:rPr>
          <w:lang w:val="en-US"/>
        </w:rPr>
        <w:t>National Small Business Commission</w:t>
      </w:r>
      <w:r w:rsidR="00345101">
        <w:rPr>
          <w:lang w:val="en-US"/>
        </w:rPr>
        <w:t>er</w:t>
      </w:r>
    </w:p>
    <w:p w14:paraId="1DF07BDE" w14:textId="096FFB7B" w:rsidR="009032D3" w:rsidRDefault="008D1401" w:rsidP="00FC5004">
      <w:pPr>
        <w:pStyle w:val="Bullet"/>
        <w:rPr>
          <w:lang w:val="en-US"/>
        </w:rPr>
      </w:pPr>
      <w:r w:rsidRPr="008D1401">
        <w:rPr>
          <w:lang w:val="en-US"/>
        </w:rPr>
        <w:t>Federal Small Business Commission</w:t>
      </w:r>
      <w:r w:rsidR="00345101">
        <w:rPr>
          <w:lang w:val="en-US"/>
        </w:rPr>
        <w:t>er</w:t>
      </w:r>
    </w:p>
    <w:p w14:paraId="1C9EAF1C" w14:textId="4AF35AA7" w:rsidR="008D1401" w:rsidRDefault="008D1401" w:rsidP="00FC5004">
      <w:pPr>
        <w:pStyle w:val="Bullet"/>
      </w:pPr>
      <w:r w:rsidRPr="008D1401">
        <w:rPr>
          <w:lang w:val="en-US"/>
        </w:rPr>
        <w:t>Australian Small Business Commission</w:t>
      </w:r>
      <w:r w:rsidR="00345101">
        <w:rPr>
          <w:lang w:val="en-US"/>
        </w:rPr>
        <w:t>er</w:t>
      </w:r>
      <w:r w:rsidRPr="008D1401">
        <w:rPr>
          <w:lang w:val="en-US"/>
        </w:rPr>
        <w:t xml:space="preserve">. </w:t>
      </w:r>
    </w:p>
    <w:p w14:paraId="5977FB2F" w14:textId="77777777" w:rsidR="00376482" w:rsidRDefault="00376482" w:rsidP="002B68F8">
      <w:pPr>
        <w:rPr>
          <w:rFonts w:asciiTheme="majorHAnsi" w:hAnsiTheme="majorHAnsi" w:cs="Arial"/>
          <w:color w:val="3C0E40"/>
          <w:kern w:val="32"/>
          <w:sz w:val="56"/>
          <w:szCs w:val="36"/>
        </w:rPr>
      </w:pPr>
      <w:r>
        <w:br w:type="page"/>
      </w:r>
    </w:p>
    <w:p w14:paraId="6484AFEF" w14:textId="0D358690" w:rsidR="001510BB" w:rsidRPr="001510BB" w:rsidRDefault="001510BB" w:rsidP="001510BB">
      <w:pPr>
        <w:pStyle w:val="Heading1"/>
        <w:rPr>
          <w:b w:val="0"/>
          <w:bCs/>
        </w:rPr>
      </w:pPr>
      <w:bookmarkStart w:id="4" w:name="_Toc199940917"/>
      <w:r>
        <w:lastRenderedPageBreak/>
        <w:t>Observations</w:t>
      </w:r>
      <w:bookmarkEnd w:id="4"/>
    </w:p>
    <w:p w14:paraId="5EDAD0CC" w14:textId="0625C3E8" w:rsidR="00B86A63" w:rsidRPr="004E2A08" w:rsidRDefault="001510BB" w:rsidP="001510BB">
      <w:pPr>
        <w:rPr>
          <w:b/>
        </w:rPr>
      </w:pPr>
      <w:r w:rsidRPr="00B55EDC">
        <w:rPr>
          <w:rStyle w:val="Strong"/>
        </w:rPr>
        <w:t>Observation</w:t>
      </w:r>
      <w:r>
        <w:rPr>
          <w:rStyle w:val="Strong"/>
        </w:rPr>
        <w:t xml:space="preserve"> 1</w:t>
      </w:r>
      <w:r w:rsidRPr="00B55EDC">
        <w:rPr>
          <w:rStyle w:val="Strong"/>
        </w:rPr>
        <w:t>:</w:t>
      </w:r>
      <w:r w:rsidRPr="00946B4F">
        <w:rPr>
          <w:lang w:val="en-US"/>
        </w:rPr>
        <w:t xml:space="preserve"> </w:t>
      </w:r>
      <w:r w:rsidR="00B86A63" w:rsidRPr="00B86A63">
        <w:rPr>
          <w:bCs/>
          <w:lang w:val="en-US"/>
        </w:rPr>
        <w:t xml:space="preserve">ASBFEO </w:t>
      </w:r>
      <w:r w:rsidR="00840D49">
        <w:rPr>
          <w:bCs/>
          <w:lang w:val="en-US"/>
        </w:rPr>
        <w:t xml:space="preserve">– </w:t>
      </w:r>
      <w:r w:rsidR="00B86A63" w:rsidRPr="00B86A63">
        <w:rPr>
          <w:bCs/>
          <w:lang w:val="en-US"/>
        </w:rPr>
        <w:t>in conjunction with the O</w:t>
      </w:r>
      <w:r w:rsidR="00251C91">
        <w:rPr>
          <w:bCs/>
          <w:lang w:val="en-US"/>
        </w:rPr>
        <w:t xml:space="preserve">ffice of </w:t>
      </w:r>
      <w:r w:rsidR="00B86A63" w:rsidRPr="00B86A63">
        <w:rPr>
          <w:bCs/>
          <w:lang w:val="en-US"/>
        </w:rPr>
        <w:t>I</w:t>
      </w:r>
      <w:r w:rsidR="00251C91">
        <w:rPr>
          <w:bCs/>
          <w:lang w:val="en-US"/>
        </w:rPr>
        <w:t xml:space="preserve">mpact </w:t>
      </w:r>
      <w:r w:rsidR="00B86A63" w:rsidRPr="00B86A63">
        <w:rPr>
          <w:bCs/>
          <w:lang w:val="en-US"/>
        </w:rPr>
        <w:t>A</w:t>
      </w:r>
      <w:r w:rsidR="00251C91">
        <w:rPr>
          <w:bCs/>
          <w:lang w:val="en-US"/>
        </w:rPr>
        <w:t>nalysis</w:t>
      </w:r>
      <w:r w:rsidR="00B86A63" w:rsidRPr="00B86A63">
        <w:rPr>
          <w:bCs/>
          <w:lang w:val="en-US"/>
        </w:rPr>
        <w:t xml:space="preserve"> and Treasury </w:t>
      </w:r>
      <w:r w:rsidR="00840D49">
        <w:rPr>
          <w:bCs/>
          <w:lang w:val="en-US"/>
        </w:rPr>
        <w:t xml:space="preserve">– </w:t>
      </w:r>
      <w:r w:rsidR="00B86A63" w:rsidRPr="00B86A63">
        <w:rPr>
          <w:bCs/>
          <w:lang w:val="en-US"/>
        </w:rPr>
        <w:t>may wish to consider if the development and publication of a practical guide on small business impact analysis would be an efficient way to improve the consistency of analysis.</w:t>
      </w:r>
    </w:p>
    <w:p w14:paraId="5434F766" w14:textId="241A729A" w:rsidR="001510BB" w:rsidRPr="00946B4F" w:rsidRDefault="00B86A63" w:rsidP="001510BB">
      <w:r w:rsidRPr="00F83E53">
        <w:rPr>
          <w:rStyle w:val="Strong"/>
        </w:rPr>
        <w:t>Observation</w:t>
      </w:r>
      <w:r>
        <w:rPr>
          <w:rStyle w:val="Strong"/>
        </w:rPr>
        <w:t xml:space="preserve"> 2</w:t>
      </w:r>
      <w:r w:rsidRPr="00F83E53">
        <w:rPr>
          <w:rStyle w:val="Strong"/>
        </w:rPr>
        <w:t>:</w:t>
      </w:r>
      <w:r w:rsidR="001510BB" w:rsidRPr="00946B4F">
        <w:t> </w:t>
      </w:r>
      <w:r w:rsidR="00A90C56" w:rsidRPr="00A90C56">
        <w:t>To measure the effectiveness of its services, ASBFEO could use the ‘satisfaction survey’ and service standards it currently uses in its Contact Centre.</w:t>
      </w:r>
    </w:p>
    <w:p w14:paraId="05495D24" w14:textId="19225783" w:rsidR="0057752F" w:rsidRPr="002D1D7A" w:rsidRDefault="009A1014" w:rsidP="002D1D7A">
      <w:r w:rsidRPr="004F6271">
        <w:rPr>
          <w:b/>
          <w:bCs/>
        </w:rPr>
        <w:t xml:space="preserve">Observation </w:t>
      </w:r>
      <w:r>
        <w:rPr>
          <w:b/>
          <w:bCs/>
        </w:rPr>
        <w:t>3</w:t>
      </w:r>
      <w:r w:rsidRPr="004F6271">
        <w:rPr>
          <w:b/>
          <w:bCs/>
        </w:rPr>
        <w:t>:</w:t>
      </w:r>
      <w:r w:rsidRPr="004F6271">
        <w:t xml:space="preserve"> </w:t>
      </w:r>
      <w:r w:rsidRPr="009A1014">
        <w:t xml:space="preserve">Franchisees need to know </w:t>
      </w:r>
      <w:r w:rsidR="00346765">
        <w:t>which agency is best suited</w:t>
      </w:r>
      <w:r w:rsidR="00346765" w:rsidRPr="009A1014">
        <w:t xml:space="preserve"> </w:t>
      </w:r>
      <w:r w:rsidRPr="009A1014">
        <w:t>to deal with their franchising dispute, and their rights during the ADR process.</w:t>
      </w:r>
      <w:r w:rsidRPr="004F6271">
        <w:t xml:space="preserve"> ASBFEO should </w:t>
      </w:r>
      <w:r>
        <w:t xml:space="preserve">address </w:t>
      </w:r>
      <w:r w:rsidR="00167A80" w:rsidRPr="004F6271">
        <w:t>th</w:t>
      </w:r>
      <w:r w:rsidR="00167A80">
        <w:t>is</w:t>
      </w:r>
      <w:r w:rsidR="00167A80" w:rsidRPr="004F6271">
        <w:t xml:space="preserve"> when</w:t>
      </w:r>
      <w:r w:rsidRPr="004F6271">
        <w:t xml:space="preserve"> implementing </w:t>
      </w:r>
      <w:r w:rsidR="008B6835">
        <w:t xml:space="preserve">the </w:t>
      </w:r>
      <w:r w:rsidR="00343F6F">
        <w:t xml:space="preserve">2023 </w:t>
      </w:r>
      <w:r w:rsidR="006E053A">
        <w:t xml:space="preserve">Independent Review of the </w:t>
      </w:r>
      <w:r w:rsidRPr="004F6271">
        <w:t xml:space="preserve">Franchising </w:t>
      </w:r>
      <w:r w:rsidR="006E053A">
        <w:t xml:space="preserve">Code of Conduct </w:t>
      </w:r>
      <w:r w:rsidR="00195CE1">
        <w:t>R</w:t>
      </w:r>
      <w:r w:rsidRPr="004F6271">
        <w:t xml:space="preserve">ecommendation </w:t>
      </w:r>
      <w:r>
        <w:t>1</w:t>
      </w:r>
      <w:r w:rsidR="0042190E">
        <w:t>7</w:t>
      </w:r>
      <w:r>
        <w:t xml:space="preserve"> </w:t>
      </w:r>
      <w:r w:rsidRPr="004F6271">
        <w:t>on best practice guidance and education. </w:t>
      </w:r>
    </w:p>
    <w:p w14:paraId="7128D3C2" w14:textId="77777777" w:rsidR="0057752F" w:rsidRPr="00BE0905" w:rsidRDefault="0057752F" w:rsidP="0057752F">
      <w:pPr>
        <w:pStyle w:val="SingleParagraph"/>
        <w:rPr>
          <w:rStyle w:val="Strong"/>
        </w:rPr>
      </w:pPr>
    </w:p>
    <w:p w14:paraId="4ECD1B6A" w14:textId="77777777" w:rsidR="00BC6471" w:rsidRDefault="00BC6471" w:rsidP="001D18F1">
      <w:pPr>
        <w:sectPr w:rsidR="00BC6471" w:rsidSect="00B66783">
          <w:footerReference w:type="even" r:id="rId24"/>
          <w:footerReference w:type="default" r:id="rId25"/>
          <w:pgSz w:w="11906" w:h="16838" w:code="9"/>
          <w:pgMar w:top="1843" w:right="1418" w:bottom="1418" w:left="1418" w:header="709" w:footer="709" w:gutter="0"/>
          <w:cols w:space="708"/>
          <w:docGrid w:linePitch="360"/>
        </w:sectPr>
      </w:pPr>
    </w:p>
    <w:p w14:paraId="7E8E061F" w14:textId="3C7838D0" w:rsidR="001D18F1" w:rsidRDefault="001D18F1" w:rsidP="001D18F1">
      <w:pPr>
        <w:pStyle w:val="Heading1"/>
      </w:pPr>
      <w:bookmarkStart w:id="5" w:name="_Toc199940918"/>
      <w:r>
        <w:lastRenderedPageBreak/>
        <w:t>Chapter 1</w:t>
      </w:r>
      <w:r w:rsidR="00F01BA2">
        <w:t>:</w:t>
      </w:r>
      <w:r w:rsidR="003E3799">
        <w:t xml:space="preserve"> About this </w:t>
      </w:r>
      <w:r w:rsidR="00002E84">
        <w:t>R</w:t>
      </w:r>
      <w:r w:rsidR="003E3799">
        <w:t>eview</w:t>
      </w:r>
      <w:bookmarkEnd w:id="5"/>
    </w:p>
    <w:p w14:paraId="0F5A206D" w14:textId="35909704" w:rsidR="006D6D5E" w:rsidRDefault="00AD6D7C" w:rsidP="00AD6D7C">
      <w:pPr>
        <w:rPr>
          <w:szCs w:val="22"/>
          <w:vertAlign w:val="superscript"/>
        </w:rPr>
      </w:pPr>
      <w:r w:rsidRPr="00916FA5">
        <w:rPr>
          <w:rStyle w:val="Strong"/>
        </w:rPr>
        <w:t>This review considers whether</w:t>
      </w:r>
      <w:r w:rsidRPr="00916FA5" w:rsidDel="00771CC1">
        <w:rPr>
          <w:rStyle w:val="Strong"/>
        </w:rPr>
        <w:t xml:space="preserve"> </w:t>
      </w:r>
      <w:r w:rsidRPr="00916FA5">
        <w:rPr>
          <w:rStyle w:val="Strong"/>
        </w:rPr>
        <w:t>ASBFEO</w:t>
      </w:r>
      <w:r w:rsidR="00916FA5" w:rsidRPr="00916FA5">
        <w:rPr>
          <w:rStyle w:val="Strong"/>
        </w:rPr>
        <w:t>’</w:t>
      </w:r>
      <w:r w:rsidRPr="00916FA5">
        <w:rPr>
          <w:rStyle w:val="Strong"/>
        </w:rPr>
        <w:t>s functions and operations are effective, efficient, and aligned with the needs of the small business community</w:t>
      </w:r>
      <w:r w:rsidRPr="00916FA5">
        <w:t>.</w:t>
      </w:r>
      <w:r w:rsidRPr="00AD6D7C">
        <w:rPr>
          <w:b/>
          <w:bCs/>
        </w:rPr>
        <w:t xml:space="preserve"> </w:t>
      </w:r>
      <w:r w:rsidRPr="00AD6D7C">
        <w:rPr>
          <w:lang w:val="en-US"/>
        </w:rPr>
        <w:t xml:space="preserve">Section 95 of </w:t>
      </w:r>
      <w:r w:rsidR="003249BA">
        <w:rPr>
          <w:lang w:val="en-US"/>
        </w:rPr>
        <w:t>the</w:t>
      </w:r>
      <w:r w:rsidR="00A007DD">
        <w:rPr>
          <w:lang w:val="en-US"/>
        </w:rPr>
        <w:t xml:space="preserve"> </w:t>
      </w:r>
      <w:hyperlink r:id="rId26" w:history="1">
        <w:r w:rsidR="00A8656D" w:rsidRPr="00A007DD">
          <w:rPr>
            <w:rStyle w:val="Emphasis"/>
          </w:rPr>
          <w:t>Australian Small Business and Family Enterprise Ombudsman Act 2015</w:t>
        </w:r>
      </w:hyperlink>
      <w:r w:rsidR="00A8656D">
        <w:t xml:space="preserve"> </w:t>
      </w:r>
      <w:r w:rsidRPr="00AD6D7C">
        <w:rPr>
          <w:lang w:val="en-US"/>
        </w:rPr>
        <w:t>specifies a review of the assistance function of ASBFEO every 4 years</w:t>
      </w:r>
      <w:r w:rsidR="001751A8">
        <w:rPr>
          <w:lang w:val="en-US"/>
        </w:rPr>
        <w:t>.</w:t>
      </w:r>
      <w:r w:rsidR="00821C6D" w:rsidRPr="00821C6D" w:rsidDel="00821C6D">
        <w:rPr>
          <w:szCs w:val="22"/>
          <w:vertAlign w:val="superscript"/>
        </w:rPr>
        <w:t xml:space="preserve"> </w:t>
      </w:r>
    </w:p>
    <w:p w14:paraId="7C8AD0FE" w14:textId="64E90699" w:rsidR="00AD6D7C" w:rsidRPr="00AD6D7C" w:rsidRDefault="00AD6D7C" w:rsidP="00AD6D7C">
      <w:r w:rsidRPr="00AD6D7C">
        <w:t>This is the third independent review of ASBFEO</w:t>
      </w:r>
      <w:r w:rsidR="00916FA5">
        <w:t>’</w:t>
      </w:r>
      <w:r w:rsidRPr="00AD6D7C">
        <w:t>s functions. Th</w:t>
      </w:r>
      <w:r w:rsidR="006D6D5E">
        <w:t>is R</w:t>
      </w:r>
      <w:r w:rsidRPr="00AD6D7C">
        <w:t xml:space="preserve">eview was initiated in November 2024 and is required to be </w:t>
      </w:r>
      <w:r w:rsidR="0066041B">
        <w:t xml:space="preserve">delivered to the Government </w:t>
      </w:r>
      <w:r w:rsidRPr="00AD6D7C">
        <w:t>by 18</w:t>
      </w:r>
      <w:r w:rsidR="00916FA5">
        <w:t> </w:t>
      </w:r>
      <w:r w:rsidRPr="00AD6D7C">
        <w:t>June 2025. The first independent review was conducted by Ms Su McCluskey in 2017 (</w:t>
      </w:r>
      <w:r w:rsidRPr="00327DD4">
        <w:t xml:space="preserve">McCluskey </w:t>
      </w:r>
      <w:r w:rsidR="00250FEE" w:rsidRPr="00327DD4">
        <w:t>R</w:t>
      </w:r>
      <w:r w:rsidRPr="00327DD4">
        <w:t>eview</w:t>
      </w:r>
      <w:r w:rsidRPr="00AD6D7C">
        <w:t>). The second review was undertaken in 2021 and led by Ms Carmel McGregor PSM (</w:t>
      </w:r>
      <w:r w:rsidRPr="00327DD4">
        <w:t xml:space="preserve">McGregor </w:t>
      </w:r>
      <w:r w:rsidR="00250FEE" w:rsidRPr="00327DD4">
        <w:t>R</w:t>
      </w:r>
      <w:r w:rsidRPr="00327DD4">
        <w:t>eview</w:t>
      </w:r>
      <w:r w:rsidRPr="00AD6D7C">
        <w:t xml:space="preserve">). As ASBFEO is approaching 10 years of operation, it is </w:t>
      </w:r>
      <w:r w:rsidR="008C2F95">
        <w:t>appropriate</w:t>
      </w:r>
      <w:r w:rsidRPr="00AD6D7C">
        <w:t xml:space="preserve"> to undertake a comprehensive evaluation of its operations.</w:t>
      </w:r>
    </w:p>
    <w:p w14:paraId="748098C1" w14:textId="0740486F" w:rsidR="00AD6D7C" w:rsidRPr="00AD6D7C" w:rsidRDefault="00AD6D7C" w:rsidP="00AD6D7C">
      <w:r w:rsidRPr="00916FA5">
        <w:rPr>
          <w:rStyle w:val="Strong"/>
        </w:rPr>
        <w:t>While most elements of the Terms of Reference (</w:t>
      </w:r>
      <w:proofErr w:type="spellStart"/>
      <w:r w:rsidRPr="00916FA5">
        <w:rPr>
          <w:rStyle w:val="Strong"/>
        </w:rPr>
        <w:t>T</w:t>
      </w:r>
      <w:r w:rsidR="00082325">
        <w:rPr>
          <w:rStyle w:val="Strong"/>
        </w:rPr>
        <w:t>o</w:t>
      </w:r>
      <w:r w:rsidRPr="00916FA5">
        <w:rPr>
          <w:rStyle w:val="Strong"/>
        </w:rPr>
        <w:t>R</w:t>
      </w:r>
      <w:proofErr w:type="spellEnd"/>
      <w:r w:rsidRPr="00916FA5">
        <w:rPr>
          <w:rStyle w:val="Strong"/>
        </w:rPr>
        <w:t xml:space="preserve">) focus on the assistance function, the </w:t>
      </w:r>
      <w:r w:rsidR="00541756">
        <w:rPr>
          <w:rStyle w:val="Strong"/>
        </w:rPr>
        <w:t>R</w:t>
      </w:r>
      <w:r w:rsidRPr="00916FA5">
        <w:rPr>
          <w:rStyle w:val="Strong"/>
        </w:rPr>
        <w:t>eview also evaluates whether ASBFEO</w:t>
      </w:r>
      <w:r w:rsidR="00916FA5" w:rsidRPr="00916FA5">
        <w:rPr>
          <w:rStyle w:val="Strong"/>
        </w:rPr>
        <w:t>’</w:t>
      </w:r>
      <w:r w:rsidRPr="00916FA5">
        <w:rPr>
          <w:rStyle w:val="Strong"/>
        </w:rPr>
        <w:t>s service offerings align with the needs of the small business community.</w:t>
      </w:r>
      <w:r w:rsidRPr="00AD6D7C">
        <w:rPr>
          <w:b/>
          <w:bCs/>
        </w:rPr>
        <w:t xml:space="preserve"> </w:t>
      </w:r>
      <w:r w:rsidRPr="00AD6D7C">
        <w:t>The advocacy function is a significant focus of ASBFEO</w:t>
      </w:r>
      <w:r w:rsidR="004E276E">
        <w:t>. As such,</w:t>
      </w:r>
      <w:r w:rsidRPr="00AD6D7C" w:rsidDel="004E276E">
        <w:t xml:space="preserve"> </w:t>
      </w:r>
      <w:r w:rsidRPr="00AD6D7C">
        <w:t>it is appropriate that</w:t>
      </w:r>
      <w:r w:rsidRPr="00AD6D7C" w:rsidDel="00B5023D">
        <w:t xml:space="preserve"> </w:t>
      </w:r>
      <w:r w:rsidR="00B5023D">
        <w:t>it</w:t>
      </w:r>
      <w:r w:rsidR="00B5023D" w:rsidRPr="00AD6D7C">
        <w:t xml:space="preserve"> </w:t>
      </w:r>
      <w:r w:rsidRPr="00AD6D7C">
        <w:t>is assessed</w:t>
      </w:r>
      <w:r w:rsidR="007D1CB0">
        <w:t xml:space="preserve"> </w:t>
      </w:r>
      <w:r w:rsidR="007D1CB0" w:rsidRPr="00AD6D7C">
        <w:t>as ASBFEO matures</w:t>
      </w:r>
      <w:r w:rsidRPr="00AD6D7C">
        <w:t>. The</w:t>
      </w:r>
      <w:r w:rsidR="00000312">
        <w:t xml:space="preserve"> </w:t>
      </w:r>
      <w:proofErr w:type="spellStart"/>
      <w:r w:rsidR="00167A80">
        <w:t>To</w:t>
      </w:r>
      <w:r w:rsidR="001751A8">
        <w:t>R</w:t>
      </w:r>
      <w:proofErr w:type="spellEnd"/>
      <w:r w:rsidR="00167A80" w:rsidRPr="00AD6D7C">
        <w:t xml:space="preserve"> include</w:t>
      </w:r>
      <w:r w:rsidRPr="00AD6D7C">
        <w:t xml:space="preserve"> the matters prescribed in section</w:t>
      </w:r>
      <w:r w:rsidR="00916FA5">
        <w:t> </w:t>
      </w:r>
      <w:r w:rsidRPr="00AD6D7C">
        <w:t xml:space="preserve">95 of the </w:t>
      </w:r>
      <w:r w:rsidR="006F2F11">
        <w:t>ASBFEO</w:t>
      </w:r>
      <w:r w:rsidR="008C7E8E">
        <w:t xml:space="preserve"> </w:t>
      </w:r>
      <w:r w:rsidRPr="00AD6D7C">
        <w:t>Act. These are:</w:t>
      </w:r>
    </w:p>
    <w:p w14:paraId="04712751" w14:textId="6DB9C330" w:rsidR="00AD6D7C" w:rsidRPr="00916FA5" w:rsidRDefault="00AD6D7C" w:rsidP="00916FA5">
      <w:pPr>
        <w:pStyle w:val="Bullet"/>
      </w:pPr>
      <w:r w:rsidRPr="00916FA5">
        <w:t>the kinds of assistance requested during the period being reviewed</w:t>
      </w:r>
    </w:p>
    <w:p w14:paraId="03FE0401" w14:textId="0A81F4F0" w:rsidR="00AD6D7C" w:rsidRPr="00916FA5" w:rsidRDefault="00AD6D7C" w:rsidP="00916FA5">
      <w:pPr>
        <w:pStyle w:val="Bullet"/>
      </w:pPr>
      <w:r w:rsidRPr="00916FA5">
        <w:t>whether the assistance given was convenient and effective for the operators of small businesses and family enterprises who requested</w:t>
      </w:r>
    </w:p>
    <w:p w14:paraId="42EC48F8" w14:textId="77777777" w:rsidR="00AD6D7C" w:rsidRPr="00916FA5" w:rsidRDefault="00AD6D7C" w:rsidP="00916FA5">
      <w:pPr>
        <w:pStyle w:val="Bullet"/>
      </w:pPr>
      <w:r w:rsidRPr="00916FA5">
        <w:t>whether amendment of the Act is needed to more conveniently and effectively assist the operators of small businesses and family enterprises. </w:t>
      </w:r>
    </w:p>
    <w:p w14:paraId="7DB82B2E" w14:textId="70941093" w:rsidR="00AD6D7C" w:rsidRPr="00AD6D7C" w:rsidRDefault="00AD6D7C" w:rsidP="00AD6D7C">
      <w:r w:rsidRPr="00AD6D7C">
        <w:t>Beyond the matters set out in section 95 of the</w:t>
      </w:r>
      <w:r w:rsidR="008C7E8E">
        <w:t xml:space="preserve"> </w:t>
      </w:r>
      <w:r w:rsidRPr="00AD6D7C">
        <w:t xml:space="preserve">ASBFEO Act, the </w:t>
      </w:r>
      <w:r w:rsidR="0067270B">
        <w:t>R</w:t>
      </w:r>
      <w:r w:rsidRPr="00AD6D7C">
        <w:t>eview should:  </w:t>
      </w:r>
    </w:p>
    <w:p w14:paraId="1D5D82CB" w14:textId="2D121EA8" w:rsidR="00AD6D7C" w:rsidRPr="00AD6D7C" w:rsidRDefault="00B1324A" w:rsidP="00916FA5">
      <w:pPr>
        <w:pStyle w:val="Bullet"/>
      </w:pPr>
      <w:r>
        <w:t>A</w:t>
      </w:r>
      <w:r w:rsidR="00AD6D7C" w:rsidRPr="00AD6D7C">
        <w:t>ssess whether the ASBFEO</w:t>
      </w:r>
      <w:r w:rsidR="00916FA5">
        <w:t>’</w:t>
      </w:r>
      <w:r w:rsidR="00AD6D7C" w:rsidRPr="00AD6D7C">
        <w:t>s assistance and dispute resolution function is fit</w:t>
      </w:r>
      <w:r w:rsidR="0067270B">
        <w:t xml:space="preserve"> </w:t>
      </w:r>
      <w:r w:rsidR="00AD6D7C" w:rsidRPr="00AD6D7C">
        <w:t>for</w:t>
      </w:r>
      <w:r w:rsidR="0067270B">
        <w:t xml:space="preserve"> </w:t>
      </w:r>
      <w:r w:rsidR="00AD6D7C" w:rsidRPr="00AD6D7C">
        <w:t>purpose within the broader dispute resolution ecosystem in supporting</w:t>
      </w:r>
      <w:r w:rsidR="007C6054">
        <w:t xml:space="preserve"> access to justice for</w:t>
      </w:r>
      <w:r w:rsidR="00AD6D7C" w:rsidRPr="00AD6D7C">
        <w:t xml:space="preserve"> small business</w:t>
      </w:r>
      <w:r w:rsidR="007C6054">
        <w:t>es</w:t>
      </w:r>
      <w:r w:rsidR="00AD6D7C" w:rsidRPr="00AD6D7C">
        <w:t xml:space="preserve"> and family enterprise</w:t>
      </w:r>
      <w:r w:rsidR="007C6054">
        <w:t>s</w:t>
      </w:r>
      <w:r w:rsidR="00916FA5">
        <w:t>.</w:t>
      </w:r>
    </w:p>
    <w:p w14:paraId="276F5B9F" w14:textId="0D16B51F" w:rsidR="00AD6D7C" w:rsidRPr="00AD6D7C" w:rsidRDefault="00B1324A" w:rsidP="00916FA5">
      <w:pPr>
        <w:pStyle w:val="Bullet"/>
      </w:pPr>
      <w:r>
        <w:t>E</w:t>
      </w:r>
      <w:r w:rsidR="00AD6D7C" w:rsidRPr="00AD6D7C">
        <w:t>valuate ASBFEO</w:t>
      </w:r>
      <w:r w:rsidR="00916FA5">
        <w:t>’</w:t>
      </w:r>
      <w:r w:rsidR="00AD6D7C" w:rsidRPr="00AD6D7C">
        <w:t>s effectiveness and efficiency in undertaking its functions, including whether ASBFEO</w:t>
      </w:r>
      <w:r w:rsidR="00916FA5">
        <w:t>’</w:t>
      </w:r>
      <w:r w:rsidR="00AD6D7C" w:rsidRPr="00AD6D7C">
        <w:t>s service offerings align with the needs of the small business community</w:t>
      </w:r>
      <w:r w:rsidR="00916FA5">
        <w:t xml:space="preserve">. </w:t>
      </w:r>
    </w:p>
    <w:p w14:paraId="761AAD3D" w14:textId="180F83F1" w:rsidR="00AD6D7C" w:rsidRPr="00AD6D7C" w:rsidRDefault="00B1324A" w:rsidP="00916FA5">
      <w:pPr>
        <w:pStyle w:val="Bullet"/>
      </w:pPr>
      <w:r>
        <w:t>A</w:t>
      </w:r>
      <w:r w:rsidR="00AD6D7C" w:rsidRPr="00AD6D7C">
        <w:t>ssess the efficacy of ASBFEO</w:t>
      </w:r>
      <w:r w:rsidR="00916FA5">
        <w:t>’</w:t>
      </w:r>
      <w:r w:rsidR="00AD6D7C" w:rsidRPr="00AD6D7C">
        <w:t xml:space="preserve">s role in the franchising sector, </w:t>
      </w:r>
      <w:proofErr w:type="gramStart"/>
      <w:r w:rsidR="00AD6D7C" w:rsidRPr="00AD6D7C">
        <w:t>taking into account</w:t>
      </w:r>
      <w:proofErr w:type="gramEnd"/>
      <w:r w:rsidR="00AD6D7C" w:rsidRPr="00AD6D7C">
        <w:t xml:space="preserve"> the findings of the 2023 Independent Review of the Franchising Code of Conduct</w:t>
      </w:r>
      <w:r>
        <w:t>.</w:t>
      </w:r>
    </w:p>
    <w:p w14:paraId="7874EC20" w14:textId="54C4F3D8" w:rsidR="00AD6D7C" w:rsidRPr="00AD6D7C" w:rsidRDefault="001F68CC" w:rsidP="00916FA5">
      <w:pPr>
        <w:pStyle w:val="Bullet"/>
      </w:pPr>
      <w:r>
        <w:t>A</w:t>
      </w:r>
      <w:r w:rsidR="00AD6D7C" w:rsidRPr="00AD6D7C">
        <w:t>ssess the suitability of the nomenclature and branding attached to the statutory office, having regard to the nature of the role, possible future functions and community awareness of the office and its services.</w:t>
      </w:r>
    </w:p>
    <w:p w14:paraId="38938847" w14:textId="27B015ED" w:rsidR="00916FA5" w:rsidRDefault="00AD6D7C" w:rsidP="00AD6D7C">
      <w:r w:rsidRPr="00504264">
        <w:rPr>
          <w:rStyle w:val="Strong"/>
          <w:b w:val="0"/>
        </w:rPr>
        <w:t xml:space="preserve">In considering these matters, the </w:t>
      </w:r>
      <w:r w:rsidR="00FD539A" w:rsidRPr="00504264">
        <w:rPr>
          <w:rStyle w:val="Strong"/>
          <w:b w:val="0"/>
        </w:rPr>
        <w:t>R</w:t>
      </w:r>
      <w:r w:rsidRPr="00504264">
        <w:rPr>
          <w:rStyle w:val="Strong"/>
          <w:b w:val="0"/>
        </w:rPr>
        <w:t xml:space="preserve">eview also considered how ASBFEO responded to the </w:t>
      </w:r>
      <w:r w:rsidR="00E572CF" w:rsidRPr="00504264">
        <w:rPr>
          <w:rStyle w:val="Strong"/>
          <w:b w:val="0"/>
        </w:rPr>
        <w:t>two</w:t>
      </w:r>
      <w:r w:rsidR="00FD539A" w:rsidRPr="00504264">
        <w:rPr>
          <w:rStyle w:val="Strong"/>
          <w:b w:val="0"/>
        </w:rPr>
        <w:t xml:space="preserve"> </w:t>
      </w:r>
      <w:r w:rsidRPr="00504264">
        <w:rPr>
          <w:rStyle w:val="Strong"/>
          <w:b w:val="0"/>
        </w:rPr>
        <w:t>previous reviews of ASBFEO in 2017 and 2021.</w:t>
      </w:r>
      <w:r w:rsidR="005864FF">
        <w:rPr>
          <w:rStyle w:val="Strong"/>
        </w:rPr>
        <w:t xml:space="preserve"> </w:t>
      </w:r>
      <w:r w:rsidR="005864FF" w:rsidRPr="00AD6D7C">
        <w:t>A table of recommendations from these reviews is provided in Appendix</w:t>
      </w:r>
      <w:r w:rsidR="001C19D7">
        <w:t xml:space="preserve"> A</w:t>
      </w:r>
      <w:r w:rsidR="005864FF">
        <w:t>.</w:t>
      </w:r>
    </w:p>
    <w:p w14:paraId="18F8CDDA" w14:textId="56393937" w:rsidR="00AD6D7C" w:rsidRPr="00AD6D7C" w:rsidRDefault="00AD6D7C" w:rsidP="00FB7439">
      <w:pPr>
        <w:keepLines/>
      </w:pPr>
      <w:r w:rsidRPr="00916FA5">
        <w:rPr>
          <w:rStyle w:val="Strong"/>
        </w:rPr>
        <w:lastRenderedPageBreak/>
        <w:t>Ms Judy O</w:t>
      </w:r>
      <w:r w:rsidR="00916FA5" w:rsidRPr="00916FA5">
        <w:rPr>
          <w:rStyle w:val="Strong"/>
        </w:rPr>
        <w:t>’</w:t>
      </w:r>
      <w:r w:rsidRPr="00916FA5">
        <w:rPr>
          <w:rStyle w:val="Strong"/>
        </w:rPr>
        <w:t xml:space="preserve">Connell was appointed to lead the </w:t>
      </w:r>
      <w:r w:rsidR="00002E84">
        <w:rPr>
          <w:rStyle w:val="Strong"/>
        </w:rPr>
        <w:t>R</w:t>
      </w:r>
      <w:r w:rsidRPr="00916FA5">
        <w:rPr>
          <w:rStyle w:val="Strong"/>
        </w:rPr>
        <w:t>eview.</w:t>
      </w:r>
      <w:r w:rsidRPr="00AD6D7C">
        <w:t xml:space="preserve"> Ms O</w:t>
      </w:r>
      <w:r w:rsidR="00916FA5">
        <w:t>’</w:t>
      </w:r>
      <w:r w:rsidRPr="00AD6D7C">
        <w:t>Connell has extensive experience with the small business sector, as she was previously Commissioner at the Victorian Small Business Commission. She was also an Assistant Commissioner at the Australian Taxation Office, and since 8</w:t>
      </w:r>
      <w:r w:rsidR="00916FA5">
        <w:t> </w:t>
      </w:r>
      <w:r w:rsidRPr="00AD6D7C">
        <w:t>December 2023, she has been a part</w:t>
      </w:r>
      <w:r w:rsidR="00916FA5">
        <w:noBreakHyphen/>
      </w:r>
      <w:r w:rsidRPr="00AD6D7C">
        <w:t>time member of the Board of Taxation. To support Ms Judy O</w:t>
      </w:r>
      <w:r w:rsidR="00916FA5">
        <w:t>’</w:t>
      </w:r>
      <w:r w:rsidRPr="00AD6D7C">
        <w:t>Connell, a small secretariat was established within the Treasury, comprising: Michelle Calder (Head of Secretariat), Nerida Cole, Petra Petersen and Eilish Kochel. </w:t>
      </w:r>
    </w:p>
    <w:p w14:paraId="1BFDDB32" w14:textId="5DECE0CB" w:rsidR="00AD6D7C" w:rsidRPr="00AD6D7C" w:rsidRDefault="00AD6D7C" w:rsidP="0054600A">
      <w:pPr>
        <w:pStyle w:val="Heading2"/>
      </w:pPr>
      <w:bookmarkStart w:id="6" w:name="_Toc199940919"/>
      <w:r w:rsidRPr="00AD6D7C">
        <w:t xml:space="preserve">Overview of </w:t>
      </w:r>
      <w:r w:rsidR="00E3222F">
        <w:t>c</w:t>
      </w:r>
      <w:r w:rsidRPr="00AD6D7C">
        <w:t xml:space="preserve">onsultation </w:t>
      </w:r>
      <w:r w:rsidR="00E3222F">
        <w:t>p</w:t>
      </w:r>
      <w:r w:rsidRPr="00AD6D7C">
        <w:t>rocess</w:t>
      </w:r>
      <w:bookmarkEnd w:id="6"/>
      <w:r w:rsidRPr="00AD6D7C">
        <w:t> </w:t>
      </w:r>
    </w:p>
    <w:p w14:paraId="74CECD13" w14:textId="0F0836A8" w:rsidR="00AD6D7C" w:rsidRPr="00AD6D7C" w:rsidRDefault="00AD6D7C" w:rsidP="00AD6D7C">
      <w:r w:rsidRPr="004B4D44">
        <w:rPr>
          <w:rStyle w:val="Strong"/>
        </w:rPr>
        <w:t>Ms Judy O</w:t>
      </w:r>
      <w:r w:rsidR="00916FA5" w:rsidRPr="004B4D44">
        <w:rPr>
          <w:rStyle w:val="Strong"/>
        </w:rPr>
        <w:t>’</w:t>
      </w:r>
      <w:r w:rsidRPr="004B4D44">
        <w:rPr>
          <w:rStyle w:val="Strong"/>
        </w:rPr>
        <w:t xml:space="preserve">Connell and the Secretariat (Review </w:t>
      </w:r>
      <w:r w:rsidR="006924A3">
        <w:rPr>
          <w:rStyle w:val="Strong"/>
        </w:rPr>
        <w:t>t</w:t>
      </w:r>
      <w:r w:rsidRPr="004B4D44">
        <w:rPr>
          <w:rStyle w:val="Strong"/>
        </w:rPr>
        <w:t xml:space="preserve">eam) wish to express their appreciation to all stakeholders who participated in the </w:t>
      </w:r>
      <w:r w:rsidR="000F73DB">
        <w:rPr>
          <w:rStyle w:val="Strong"/>
        </w:rPr>
        <w:t>R</w:t>
      </w:r>
      <w:r w:rsidRPr="004B4D44">
        <w:rPr>
          <w:rStyle w:val="Strong"/>
        </w:rPr>
        <w:t>eview.</w:t>
      </w:r>
      <w:r w:rsidRPr="00AD6D7C">
        <w:rPr>
          <w:lang w:val="en-US"/>
        </w:rPr>
        <w:t xml:space="preserve"> Approximately 50 stakeholders shared their views and insights into the ASBFEO</w:t>
      </w:r>
      <w:r w:rsidR="00916FA5">
        <w:rPr>
          <w:lang w:val="en-US"/>
        </w:rPr>
        <w:t>’</w:t>
      </w:r>
      <w:r w:rsidRPr="00AD6D7C">
        <w:rPr>
          <w:lang w:val="en-US"/>
        </w:rPr>
        <w:t>s functions and effectiveness through meetings, roundtables, surveys and written submissions</w:t>
      </w:r>
      <w:r w:rsidR="00916FA5">
        <w:rPr>
          <w:lang w:val="en-US"/>
        </w:rPr>
        <w:t xml:space="preserve">. </w:t>
      </w:r>
    </w:p>
    <w:p w14:paraId="3C9E4FC8" w14:textId="3FD6D0D3" w:rsidR="00AD6D7C" w:rsidRPr="0010234A" w:rsidRDefault="002F16D5" w:rsidP="00AD6D7C">
      <w:pPr>
        <w:rPr>
          <w:b/>
        </w:rPr>
      </w:pPr>
      <w:bookmarkStart w:id="7" w:name="_Hlk197941238"/>
      <w:r w:rsidRPr="00CB5388">
        <w:rPr>
          <w:b/>
        </w:rPr>
        <w:t xml:space="preserve">The Review </w:t>
      </w:r>
      <w:r w:rsidR="006924A3">
        <w:rPr>
          <w:b/>
        </w:rPr>
        <w:t>t</w:t>
      </w:r>
      <w:r w:rsidRPr="00CB5388">
        <w:rPr>
          <w:b/>
        </w:rPr>
        <w:t>eam appreciates ASBFEO</w:t>
      </w:r>
      <w:r w:rsidR="003A0D5E">
        <w:rPr>
          <w:b/>
        </w:rPr>
        <w:t>’</w:t>
      </w:r>
      <w:r w:rsidRPr="00CB5388">
        <w:rPr>
          <w:b/>
        </w:rPr>
        <w:t>s time and extensive information provided</w:t>
      </w:r>
      <w:r>
        <w:rPr>
          <w:b/>
        </w:rPr>
        <w:t xml:space="preserve"> throughout the </w:t>
      </w:r>
      <w:r w:rsidR="00592430">
        <w:rPr>
          <w:b/>
        </w:rPr>
        <w:t>R</w:t>
      </w:r>
      <w:r>
        <w:rPr>
          <w:b/>
        </w:rPr>
        <w:t>eview</w:t>
      </w:r>
      <w:r w:rsidRPr="00CB5388">
        <w:rPr>
          <w:b/>
        </w:rPr>
        <w:t>.</w:t>
      </w:r>
      <w:bookmarkEnd w:id="7"/>
      <w:r w:rsidR="001D100A">
        <w:t xml:space="preserve"> A</w:t>
      </w:r>
      <w:r w:rsidR="001D100A" w:rsidRPr="00A30F70">
        <w:t xml:space="preserve">SBFEO attended </w:t>
      </w:r>
      <w:r w:rsidR="005C39AD">
        <w:t>3</w:t>
      </w:r>
      <w:r w:rsidR="005C39AD" w:rsidRPr="00A30F70">
        <w:t xml:space="preserve"> </w:t>
      </w:r>
      <w:r w:rsidR="001D100A" w:rsidRPr="00A30F70">
        <w:t>meetings</w:t>
      </w:r>
      <w:r w:rsidR="005C39AD">
        <w:t xml:space="preserve"> to give </w:t>
      </w:r>
      <w:r w:rsidR="001D100A" w:rsidRPr="00A30F70">
        <w:t xml:space="preserve">the Review </w:t>
      </w:r>
      <w:r w:rsidR="00522573">
        <w:t>t</w:t>
      </w:r>
      <w:r w:rsidR="001D100A" w:rsidRPr="00A30F70">
        <w:t xml:space="preserve">eam insight into </w:t>
      </w:r>
      <w:r w:rsidR="005C39AD">
        <w:t xml:space="preserve">its </w:t>
      </w:r>
      <w:r w:rsidR="001D100A" w:rsidRPr="00A30F70">
        <w:t xml:space="preserve">operations. </w:t>
      </w:r>
      <w:r w:rsidR="0016645D">
        <w:t>ASBFEO</w:t>
      </w:r>
      <w:r w:rsidR="001D100A" w:rsidRPr="00A30F70">
        <w:t xml:space="preserve"> also </w:t>
      </w:r>
      <w:r w:rsidR="00576D2C">
        <w:t>provided</w:t>
      </w:r>
      <w:r w:rsidR="00576D2C" w:rsidRPr="00A30F70">
        <w:t xml:space="preserve"> a</w:t>
      </w:r>
      <w:r w:rsidR="001D100A" w:rsidRPr="00A30F70">
        <w:t xml:space="preserve"> comprehensive </w:t>
      </w:r>
      <w:r w:rsidR="001D100A">
        <w:t>submission</w:t>
      </w:r>
      <w:r w:rsidR="001D100A" w:rsidRPr="00A30F70">
        <w:t xml:space="preserve">, which included </w:t>
      </w:r>
      <w:r w:rsidR="00C05CE4">
        <w:t xml:space="preserve">some </w:t>
      </w:r>
      <w:r w:rsidR="001D100A" w:rsidRPr="00A30F70">
        <w:t xml:space="preserve">recommendations outside the </w:t>
      </w:r>
      <w:r w:rsidR="00B24196">
        <w:t>R</w:t>
      </w:r>
      <w:r w:rsidR="001D100A" w:rsidRPr="00A30F70">
        <w:t>eview</w:t>
      </w:r>
      <w:r w:rsidR="003A0D5E">
        <w:t>’</w:t>
      </w:r>
      <w:r w:rsidR="001D100A" w:rsidRPr="00A30F70">
        <w:t>s scope.</w:t>
      </w:r>
    </w:p>
    <w:p w14:paraId="20678B7E" w14:textId="2B19B33C" w:rsidR="00AD6D7C" w:rsidRDefault="00327DD4" w:rsidP="00AD6D7C">
      <w:r>
        <w:rPr>
          <w:rStyle w:val="Strong"/>
        </w:rPr>
        <w:t>Ms O’Connell</w:t>
      </w:r>
      <w:r w:rsidR="0074003B" w:rsidDel="00A3421E">
        <w:rPr>
          <w:rStyle w:val="Strong"/>
        </w:rPr>
        <w:t xml:space="preserve"> </w:t>
      </w:r>
      <w:r w:rsidR="0074003B">
        <w:rPr>
          <w:rStyle w:val="Strong"/>
        </w:rPr>
        <w:t xml:space="preserve">released the </w:t>
      </w:r>
      <w:r w:rsidR="00AD6D7C" w:rsidRPr="00916FA5">
        <w:rPr>
          <w:rStyle w:val="Strong"/>
        </w:rPr>
        <w:t>consultation paper on 22 November 2024</w:t>
      </w:r>
      <w:r w:rsidR="000C22EA" w:rsidRPr="00F309B1">
        <w:rPr>
          <w:rStyle w:val="Strong"/>
          <w:b w:val="0"/>
          <w:bCs w:val="0"/>
        </w:rPr>
        <w:t xml:space="preserve">. It invited </w:t>
      </w:r>
      <w:r w:rsidR="00AD6D7C" w:rsidRPr="00F309B1">
        <w:rPr>
          <w:rStyle w:val="Strong"/>
          <w:b w:val="0"/>
          <w:bCs w:val="0"/>
        </w:rPr>
        <w:t>the public to make written submissions</w:t>
      </w:r>
      <w:r w:rsidR="00916FA5" w:rsidRPr="00F309B1">
        <w:rPr>
          <w:b/>
          <w:bCs/>
          <w:lang w:val="en-US"/>
        </w:rPr>
        <w:t>.</w:t>
      </w:r>
      <w:r w:rsidR="00916FA5">
        <w:rPr>
          <w:b/>
          <w:bCs/>
          <w:lang w:val="en-US"/>
        </w:rPr>
        <w:t xml:space="preserve"> </w:t>
      </w:r>
      <w:r w:rsidR="000C22EA">
        <w:t xml:space="preserve">The Review received a </w:t>
      </w:r>
      <w:r w:rsidR="00AD6D7C" w:rsidRPr="00916FA5">
        <w:t>total of 34 written submissions</w:t>
      </w:r>
      <w:r w:rsidR="000C22EA">
        <w:t xml:space="preserve">, </w:t>
      </w:r>
      <w:r w:rsidR="001B41BE">
        <w:t xml:space="preserve">listed in </w:t>
      </w:r>
      <w:r w:rsidR="00F36C61" w:rsidRPr="00477C4D">
        <w:t xml:space="preserve">Table </w:t>
      </w:r>
      <w:r w:rsidR="00642484" w:rsidRPr="00477C4D">
        <w:t>1</w:t>
      </w:r>
      <w:r w:rsidR="00477C4D" w:rsidRPr="00477C4D">
        <w:t>.1</w:t>
      </w:r>
      <w:r w:rsidR="001B41BE">
        <w:t xml:space="preserve"> </w:t>
      </w:r>
      <w:r w:rsidR="000C22EA">
        <w:t>(</w:t>
      </w:r>
      <w:proofErr w:type="gramStart"/>
      <w:r w:rsidR="001B41BE">
        <w:t>with the exception of</w:t>
      </w:r>
      <w:proofErr w:type="gramEnd"/>
      <w:r w:rsidR="001B41BE">
        <w:t xml:space="preserve"> confidential submissions</w:t>
      </w:r>
      <w:r w:rsidR="000C22EA">
        <w:t>)</w:t>
      </w:r>
      <w:r w:rsidR="0034344D">
        <w:t>.</w:t>
      </w:r>
    </w:p>
    <w:p w14:paraId="0DD6F14B" w14:textId="48A5D95F" w:rsidR="0052131A" w:rsidRPr="00617DA9" w:rsidRDefault="0052131A" w:rsidP="00A56EC7">
      <w:pPr>
        <w:pStyle w:val="TableMainHeading"/>
        <w:rPr>
          <w:lang w:val="en-US"/>
        </w:rPr>
      </w:pPr>
      <w:r w:rsidRPr="00C47726">
        <w:rPr>
          <w:lang w:val="en-US"/>
        </w:rPr>
        <w:t xml:space="preserve">Table </w:t>
      </w:r>
      <w:r>
        <w:rPr>
          <w:lang w:val="en-US"/>
        </w:rPr>
        <w:t>1</w:t>
      </w:r>
      <w:r w:rsidRPr="00C47726">
        <w:rPr>
          <w:lang w:val="en-US"/>
        </w:rPr>
        <w:t>.</w:t>
      </w:r>
      <w:r>
        <w:rPr>
          <w:lang w:val="en-US"/>
        </w:rPr>
        <w:t>1</w:t>
      </w:r>
      <w:r w:rsidRPr="00C47726">
        <w:rPr>
          <w:lang w:val="en-US"/>
        </w:rPr>
        <w:t xml:space="preserve">: </w:t>
      </w:r>
      <w:r w:rsidR="00A56EC7" w:rsidRPr="00617DA9">
        <w:rPr>
          <w:lang w:val="en-US"/>
        </w:rPr>
        <w:t>List of submissions</w:t>
      </w:r>
    </w:p>
    <w:tbl>
      <w:tblPr>
        <w:tblStyle w:val="TableGrid"/>
        <w:tblW w:w="9072" w:type="dxa"/>
        <w:tblLook w:val="04A0" w:firstRow="1" w:lastRow="0" w:firstColumn="1" w:lastColumn="0" w:noHBand="0" w:noVBand="1"/>
      </w:tblPr>
      <w:tblGrid>
        <w:gridCol w:w="9072"/>
      </w:tblGrid>
      <w:tr w:rsidR="002F2C11" w14:paraId="5A24B614" w14:textId="77777777" w:rsidTr="00081FFF">
        <w:trPr>
          <w:cnfStyle w:val="100000000000" w:firstRow="1" w:lastRow="0" w:firstColumn="0" w:lastColumn="0" w:oddVBand="0" w:evenVBand="0" w:oddHBand="0" w:evenHBand="0" w:firstRowFirstColumn="0" w:firstRowLastColumn="0" w:lastRowFirstColumn="0" w:lastRowLastColumn="0"/>
          <w:trHeight w:val="301"/>
        </w:trPr>
        <w:tc>
          <w:tcPr>
            <w:tcW w:w="9072" w:type="dxa"/>
          </w:tcPr>
          <w:p w14:paraId="4A5F73AB" w14:textId="77777777" w:rsidR="002F2C11" w:rsidRPr="00367725" w:rsidRDefault="002F2C11" w:rsidP="004D1FDF">
            <w:pPr>
              <w:pStyle w:val="TableColumnHeadingLeft"/>
              <w:rPr>
                <w:bCs/>
              </w:rPr>
            </w:pPr>
            <w:r w:rsidRPr="00133367">
              <w:t>Submitted by</w:t>
            </w:r>
          </w:p>
        </w:tc>
      </w:tr>
      <w:tr w:rsidR="002F2C11" w14:paraId="2BA3AFC0"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4D6A00EB" w14:textId="304BADA1" w:rsidR="002F2C11" w:rsidRPr="001B706D" w:rsidRDefault="002F2C11" w:rsidP="004D1FDF">
            <w:pPr>
              <w:pStyle w:val="TableTextLeft"/>
            </w:pPr>
            <w:r w:rsidRPr="00AD6CD3">
              <w:t>Australian Amusement, Leisure and Recreation Association</w:t>
            </w:r>
          </w:p>
        </w:tc>
      </w:tr>
      <w:tr w:rsidR="002F2C11" w14:paraId="359BC9BF" w14:textId="77777777" w:rsidTr="00081FFF">
        <w:trPr>
          <w:cnfStyle w:val="000000010000" w:firstRow="0" w:lastRow="0" w:firstColumn="0" w:lastColumn="0" w:oddVBand="0" w:evenVBand="0" w:oddHBand="0" w:evenHBand="1" w:firstRowFirstColumn="0" w:firstRowLastColumn="0" w:lastRowFirstColumn="0" w:lastRowLastColumn="0"/>
        </w:trPr>
        <w:tc>
          <w:tcPr>
            <w:tcW w:w="9072" w:type="dxa"/>
          </w:tcPr>
          <w:p w14:paraId="419A31B1" w14:textId="77777777" w:rsidR="002F2C11" w:rsidRPr="00AD6CD3" w:rsidRDefault="002F2C11" w:rsidP="004D1FDF">
            <w:pPr>
              <w:pStyle w:val="TableTextLeft"/>
            </w:pPr>
            <w:r w:rsidRPr="00AD6CD3">
              <w:t>Australian Automotive Dealer Association</w:t>
            </w:r>
          </w:p>
        </w:tc>
      </w:tr>
      <w:tr w:rsidR="002F2C11" w14:paraId="2B1A8BEC"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34976E1E" w14:textId="77777777" w:rsidR="002F2C11" w:rsidRPr="00DE3C5D" w:rsidRDefault="002F2C11" w:rsidP="004D1FDF">
            <w:pPr>
              <w:pStyle w:val="TableTextLeft"/>
            </w:pPr>
            <w:r w:rsidRPr="00DE3C5D">
              <w:t>Australian Chamber of Commerce and Industry</w:t>
            </w:r>
          </w:p>
        </w:tc>
      </w:tr>
      <w:tr w:rsidR="002F2C11" w14:paraId="05D837D2" w14:textId="77777777" w:rsidTr="00081FFF">
        <w:trPr>
          <w:cnfStyle w:val="000000010000" w:firstRow="0" w:lastRow="0" w:firstColumn="0" w:lastColumn="0" w:oddVBand="0" w:evenVBand="0" w:oddHBand="0" w:evenHBand="1" w:firstRowFirstColumn="0" w:firstRowLastColumn="0" w:lastRowFirstColumn="0" w:lastRowLastColumn="0"/>
        </w:trPr>
        <w:tc>
          <w:tcPr>
            <w:tcW w:w="9072" w:type="dxa"/>
          </w:tcPr>
          <w:p w14:paraId="3476A724" w14:textId="6E6804EE" w:rsidR="002F2C11" w:rsidRPr="00DE3C5D" w:rsidRDefault="002F2C11" w:rsidP="004D1FDF">
            <w:pPr>
              <w:pStyle w:val="TableTextLeft"/>
            </w:pPr>
            <w:r w:rsidRPr="00AD6CD3">
              <w:t>Australian Charities and Not</w:t>
            </w:r>
            <w:r w:rsidR="003A0D5E">
              <w:noBreakHyphen/>
            </w:r>
            <w:r w:rsidRPr="00AD6CD3">
              <w:t>for</w:t>
            </w:r>
            <w:r w:rsidR="003A0D5E">
              <w:noBreakHyphen/>
            </w:r>
            <w:r w:rsidRPr="00AD6CD3">
              <w:t>profits Commission</w:t>
            </w:r>
          </w:p>
        </w:tc>
      </w:tr>
      <w:tr w:rsidR="002F2C11" w14:paraId="45F7185E"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52E21AB3" w14:textId="77777777" w:rsidR="002F2C11" w:rsidRPr="00DE3C5D" w:rsidRDefault="002F2C11" w:rsidP="004D1FDF">
            <w:pPr>
              <w:pStyle w:val="TableTextLeft"/>
            </w:pPr>
            <w:r>
              <w:t>Australian Small Business and Family Enterprise Ombudsman</w:t>
            </w:r>
          </w:p>
        </w:tc>
      </w:tr>
      <w:tr w:rsidR="002F2C11" w14:paraId="4219B485" w14:textId="77777777" w:rsidTr="00081FFF">
        <w:trPr>
          <w:cnfStyle w:val="000000010000" w:firstRow="0" w:lastRow="0" w:firstColumn="0" w:lastColumn="0" w:oddVBand="0" w:evenVBand="0" w:oddHBand="0" w:evenHBand="1" w:firstRowFirstColumn="0" w:firstRowLastColumn="0" w:lastRowFirstColumn="0" w:lastRowLastColumn="0"/>
        </w:trPr>
        <w:tc>
          <w:tcPr>
            <w:tcW w:w="9072" w:type="dxa"/>
          </w:tcPr>
          <w:p w14:paraId="336EACC9" w14:textId="322CA7DB" w:rsidR="002F2C11" w:rsidRPr="00DE3C5D" w:rsidRDefault="0000475F" w:rsidP="004D1FDF">
            <w:pPr>
              <w:pStyle w:val="TableTextLeft"/>
            </w:pPr>
            <w:r>
              <w:t xml:space="preserve">Business Enterprise </w:t>
            </w:r>
            <w:r w:rsidR="00CE5B6B">
              <w:t xml:space="preserve">Centres </w:t>
            </w:r>
            <w:r w:rsidR="00CE5B6B" w:rsidRPr="009F287A">
              <w:t>Australia</w:t>
            </w:r>
            <w:r w:rsidR="002F2C11" w:rsidRPr="009F287A">
              <w:t xml:space="preserve"> </w:t>
            </w:r>
          </w:p>
        </w:tc>
      </w:tr>
      <w:tr w:rsidR="002F2C11" w14:paraId="42B20051"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6F2F3884" w14:textId="77777777" w:rsidR="002F2C11" w:rsidRPr="001B706D" w:rsidRDefault="002F2C11" w:rsidP="004D1FDF">
            <w:pPr>
              <w:pStyle w:val="TableTextLeft"/>
            </w:pPr>
            <w:r w:rsidRPr="00DE3C5D">
              <w:t>Clubs Australia</w:t>
            </w:r>
          </w:p>
        </w:tc>
      </w:tr>
      <w:tr w:rsidR="002F2C11" w14:paraId="4A927204" w14:textId="77777777" w:rsidTr="00081FFF">
        <w:trPr>
          <w:cnfStyle w:val="000000010000" w:firstRow="0" w:lastRow="0" w:firstColumn="0" w:lastColumn="0" w:oddVBand="0" w:evenVBand="0" w:oddHBand="0" w:evenHBand="1" w:firstRowFirstColumn="0" w:firstRowLastColumn="0" w:lastRowFirstColumn="0" w:lastRowLastColumn="0"/>
        </w:trPr>
        <w:tc>
          <w:tcPr>
            <w:tcW w:w="9072" w:type="dxa"/>
          </w:tcPr>
          <w:p w14:paraId="41C2E9B6" w14:textId="66252191" w:rsidR="002F2C11" w:rsidRPr="00DE3C5D" w:rsidRDefault="002F2C11" w:rsidP="004D1FDF">
            <w:pPr>
              <w:pStyle w:val="TableTextLeft"/>
            </w:pPr>
            <w:r w:rsidRPr="00DE3C5D">
              <w:t>Commercial &amp; Asset Finance Brokers Association of Australia</w:t>
            </w:r>
          </w:p>
        </w:tc>
      </w:tr>
      <w:tr w:rsidR="002F2C11" w14:paraId="6D3B47B9"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6F2CD25A" w14:textId="77777777" w:rsidR="002F2C11" w:rsidRPr="001B706D" w:rsidRDefault="002F2C11" w:rsidP="004D1FDF">
            <w:pPr>
              <w:pStyle w:val="TableTextLeft"/>
            </w:pPr>
            <w:r w:rsidRPr="00AE68F8">
              <w:t>Consult Australia</w:t>
            </w:r>
          </w:p>
        </w:tc>
      </w:tr>
      <w:tr w:rsidR="002F2C11" w14:paraId="66157ED6" w14:textId="77777777" w:rsidTr="00081FFF">
        <w:trPr>
          <w:cnfStyle w:val="000000010000" w:firstRow="0" w:lastRow="0" w:firstColumn="0" w:lastColumn="0" w:oddVBand="0" w:evenVBand="0" w:oddHBand="0" w:evenHBand="1" w:firstRowFirstColumn="0" w:firstRowLastColumn="0" w:lastRowFirstColumn="0" w:lastRowLastColumn="0"/>
        </w:trPr>
        <w:tc>
          <w:tcPr>
            <w:tcW w:w="9072" w:type="dxa"/>
          </w:tcPr>
          <w:p w14:paraId="163B6877" w14:textId="77777777" w:rsidR="002F2C11" w:rsidRPr="00DE3C5D" w:rsidRDefault="002F2C11" w:rsidP="004D1FDF">
            <w:pPr>
              <w:pStyle w:val="TableTextLeft"/>
            </w:pPr>
            <w:r w:rsidRPr="00F51E47">
              <w:t>Council of Small Business Organisations Australia</w:t>
            </w:r>
          </w:p>
        </w:tc>
      </w:tr>
      <w:tr w:rsidR="002F2C11" w14:paraId="627AC004"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61AFD1CD" w14:textId="6B13D123" w:rsidR="002F2C11" w:rsidRPr="00DE3C5D" w:rsidRDefault="002F2C11" w:rsidP="004D1FDF">
            <w:pPr>
              <w:pStyle w:val="TableTextLeft"/>
            </w:pPr>
            <w:r w:rsidRPr="00E54FCD">
              <w:t>CPA Australia</w:t>
            </w:r>
            <w:r w:rsidR="001F2C3B">
              <w:t xml:space="preserve"> and </w:t>
            </w:r>
            <w:r w:rsidRPr="00E54FCD">
              <w:t>Chartered Accountants Australia and New Zealand</w:t>
            </w:r>
          </w:p>
        </w:tc>
      </w:tr>
      <w:tr w:rsidR="002F2C11" w14:paraId="7018B08F" w14:textId="77777777" w:rsidTr="00081FFF">
        <w:trPr>
          <w:cnfStyle w:val="000000010000" w:firstRow="0" w:lastRow="0" w:firstColumn="0" w:lastColumn="0" w:oddVBand="0" w:evenVBand="0" w:oddHBand="0" w:evenHBand="1" w:firstRowFirstColumn="0" w:firstRowLastColumn="0" w:lastRowFirstColumn="0" w:lastRowLastColumn="0"/>
        </w:trPr>
        <w:tc>
          <w:tcPr>
            <w:tcW w:w="9072" w:type="dxa"/>
          </w:tcPr>
          <w:p w14:paraId="1A253DB6" w14:textId="3985A1DA" w:rsidR="002F2C11" w:rsidRPr="001B706D" w:rsidRDefault="002F2C11" w:rsidP="004D1FDF">
            <w:pPr>
              <w:pStyle w:val="TableTextLeft"/>
            </w:pPr>
            <w:r w:rsidRPr="00DE3C5D">
              <w:t xml:space="preserve">Entrepreneurial &amp; Small </w:t>
            </w:r>
            <w:proofErr w:type="gramStart"/>
            <w:r w:rsidRPr="00DE3C5D">
              <w:t>Business Women</w:t>
            </w:r>
            <w:proofErr w:type="gramEnd"/>
            <w:r w:rsidRPr="00DE3C5D">
              <w:t xml:space="preserve"> Australia</w:t>
            </w:r>
          </w:p>
        </w:tc>
      </w:tr>
      <w:tr w:rsidR="002F2C11" w14:paraId="1AFAB962"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7E3A603F" w14:textId="77777777" w:rsidR="002F2C11" w:rsidRDefault="002F2C11" w:rsidP="004D1FDF">
            <w:pPr>
              <w:pStyle w:val="TableTextLeft"/>
            </w:pPr>
            <w:r w:rsidRPr="001B706D">
              <w:t>Family Business Association</w:t>
            </w:r>
          </w:p>
        </w:tc>
      </w:tr>
      <w:tr w:rsidR="002F2C11" w14:paraId="71283C0F" w14:textId="77777777" w:rsidTr="00081FFF">
        <w:trPr>
          <w:cnfStyle w:val="000000010000" w:firstRow="0" w:lastRow="0" w:firstColumn="0" w:lastColumn="0" w:oddVBand="0" w:evenVBand="0" w:oddHBand="0" w:evenHBand="1" w:firstRowFirstColumn="0" w:firstRowLastColumn="0" w:lastRowFirstColumn="0" w:lastRowLastColumn="0"/>
        </w:trPr>
        <w:tc>
          <w:tcPr>
            <w:tcW w:w="9072" w:type="dxa"/>
          </w:tcPr>
          <w:p w14:paraId="1FA699CE" w14:textId="77777777" w:rsidR="002F2C11" w:rsidRPr="00AD6CD3" w:rsidRDefault="002F2C11" w:rsidP="004D1FDF">
            <w:pPr>
              <w:pStyle w:val="TableTextLeft"/>
            </w:pPr>
            <w:r w:rsidRPr="00AD6CD3">
              <w:t>Federal Chamber of Automotive Industries</w:t>
            </w:r>
          </w:p>
        </w:tc>
      </w:tr>
      <w:tr w:rsidR="002F2C11" w14:paraId="7510523C"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2F9508A8" w14:textId="77777777" w:rsidR="002F2C11" w:rsidRDefault="002F2C11" w:rsidP="004D1FDF">
            <w:pPr>
              <w:pStyle w:val="TableTextLeft"/>
            </w:pPr>
            <w:r w:rsidRPr="001B706D">
              <w:t xml:space="preserve">GM Advisory </w:t>
            </w:r>
            <w:r>
              <w:t xml:space="preserve">(Australia) </w:t>
            </w:r>
            <w:r w:rsidRPr="001B706D">
              <w:t>Services</w:t>
            </w:r>
          </w:p>
        </w:tc>
      </w:tr>
      <w:tr w:rsidR="002F2C11" w14:paraId="6811A597" w14:textId="77777777" w:rsidTr="00081FFF">
        <w:trPr>
          <w:cnfStyle w:val="000000010000" w:firstRow="0" w:lastRow="0" w:firstColumn="0" w:lastColumn="0" w:oddVBand="0" w:evenVBand="0" w:oddHBand="0" w:evenHBand="1" w:firstRowFirstColumn="0" w:firstRowLastColumn="0" w:lastRowFirstColumn="0" w:lastRowLastColumn="0"/>
        </w:trPr>
        <w:tc>
          <w:tcPr>
            <w:tcW w:w="9072" w:type="dxa"/>
          </w:tcPr>
          <w:p w14:paraId="0E2FCFA5" w14:textId="77777777" w:rsidR="002F2C11" w:rsidRDefault="002F2C11" w:rsidP="004D1FDF">
            <w:pPr>
              <w:pStyle w:val="TableTextLeft"/>
            </w:pPr>
            <w:r w:rsidRPr="001B706D">
              <w:t>Independent Tertiary Education Council Australia</w:t>
            </w:r>
          </w:p>
        </w:tc>
      </w:tr>
      <w:tr w:rsidR="0044639E" w14:paraId="16AD3F0C"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464D1862" w14:textId="60232355" w:rsidR="0044639E" w:rsidRPr="001B706D" w:rsidRDefault="0044639E" w:rsidP="004D1FDF">
            <w:pPr>
              <w:pStyle w:val="TableTextLeft"/>
            </w:pPr>
            <w:r w:rsidRPr="00DE3C5D">
              <w:t>Institute of Certified Bookkeepers</w:t>
            </w:r>
          </w:p>
        </w:tc>
      </w:tr>
    </w:tbl>
    <w:p w14:paraId="0A060A00" w14:textId="77777777" w:rsidR="0044639E" w:rsidRDefault="0044639E">
      <w:pPr>
        <w:spacing w:before="0" w:after="160" w:line="259" w:lineRule="auto"/>
        <w:rPr>
          <w:rStyle w:val="Strong"/>
        </w:rPr>
      </w:pPr>
      <w:r>
        <w:rPr>
          <w:rStyle w:val="Strong"/>
        </w:rPr>
        <w:br w:type="page"/>
      </w:r>
    </w:p>
    <w:p w14:paraId="58DAD8A6" w14:textId="740A170A" w:rsidR="00EE5F9F" w:rsidRPr="00EE5F9F" w:rsidRDefault="00EE5F9F" w:rsidP="00EE5F9F">
      <w:pPr>
        <w:pStyle w:val="TableHeadingContinued"/>
      </w:pPr>
      <w:r w:rsidRPr="00EE5F9F">
        <w:lastRenderedPageBreak/>
        <w:t>Table 1.1: List of submissions (continued)</w:t>
      </w:r>
    </w:p>
    <w:tbl>
      <w:tblPr>
        <w:tblStyle w:val="TableGrid"/>
        <w:tblW w:w="9072" w:type="dxa"/>
        <w:tblLook w:val="04A0" w:firstRow="1" w:lastRow="0" w:firstColumn="1" w:lastColumn="0" w:noHBand="0" w:noVBand="1"/>
      </w:tblPr>
      <w:tblGrid>
        <w:gridCol w:w="9072"/>
      </w:tblGrid>
      <w:tr w:rsidR="00110322" w14:paraId="2A6126B0" w14:textId="77777777" w:rsidTr="00081FFF">
        <w:trPr>
          <w:cnfStyle w:val="100000000000" w:firstRow="1" w:lastRow="0" w:firstColumn="0" w:lastColumn="0" w:oddVBand="0" w:evenVBand="0" w:oddHBand="0" w:evenHBand="0" w:firstRowFirstColumn="0" w:firstRowLastColumn="0" w:lastRowFirstColumn="0" w:lastRowLastColumn="0"/>
          <w:trHeight w:val="301"/>
        </w:trPr>
        <w:tc>
          <w:tcPr>
            <w:tcW w:w="9072" w:type="dxa"/>
          </w:tcPr>
          <w:p w14:paraId="6FC9C395" w14:textId="77777777" w:rsidR="00110322" w:rsidRPr="00367725" w:rsidRDefault="00110322" w:rsidP="00E43A43">
            <w:pPr>
              <w:pStyle w:val="TableColumnHeadingLeft"/>
              <w:rPr>
                <w:bCs/>
              </w:rPr>
            </w:pPr>
            <w:r w:rsidRPr="00133367">
              <w:t>Submitted by</w:t>
            </w:r>
          </w:p>
        </w:tc>
      </w:tr>
      <w:tr w:rsidR="00081FFF" w14:paraId="35F422AF"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7C968834" w14:textId="77777777" w:rsidR="00081FFF" w:rsidRDefault="00081FFF" w:rsidP="00081FFF">
            <w:pPr>
              <w:pStyle w:val="TableTextLeft"/>
            </w:pPr>
            <w:r w:rsidRPr="001B706D">
              <w:t>Institute of Public Accountants</w:t>
            </w:r>
          </w:p>
        </w:tc>
      </w:tr>
      <w:tr w:rsidR="00081FFF" w14:paraId="3CF4CCAA" w14:textId="77777777" w:rsidTr="00081FFF">
        <w:trPr>
          <w:cnfStyle w:val="000000010000" w:firstRow="0" w:lastRow="0" w:firstColumn="0" w:lastColumn="0" w:oddVBand="0" w:evenVBand="0" w:oddHBand="0" w:evenHBand="1" w:firstRowFirstColumn="0" w:firstRowLastColumn="0" w:lastRowFirstColumn="0" w:lastRowLastColumn="0"/>
        </w:trPr>
        <w:tc>
          <w:tcPr>
            <w:tcW w:w="9072" w:type="dxa"/>
          </w:tcPr>
          <w:p w14:paraId="71E36DB6" w14:textId="77777777" w:rsidR="00081FFF" w:rsidRDefault="00081FFF" w:rsidP="00081FFF">
            <w:pPr>
              <w:pStyle w:val="TableTextLeft"/>
            </w:pPr>
            <w:r w:rsidRPr="001B706D">
              <w:t>LBG Services Group</w:t>
            </w:r>
          </w:p>
        </w:tc>
      </w:tr>
      <w:tr w:rsidR="00081FFF" w14:paraId="70AE2F38"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165C5ED1" w14:textId="77777777" w:rsidR="00081FFF" w:rsidRPr="00AD6CD3" w:rsidRDefault="00081FFF" w:rsidP="00081FFF">
            <w:pPr>
              <w:pStyle w:val="TableTextLeft"/>
            </w:pPr>
            <w:r w:rsidRPr="00AD6CD3">
              <w:t xml:space="preserve">Mortgage </w:t>
            </w:r>
            <w:r>
              <w:t xml:space="preserve">and </w:t>
            </w:r>
            <w:r w:rsidRPr="00AD6CD3">
              <w:t>Finance Association of Aust</w:t>
            </w:r>
            <w:r>
              <w:t>ralia</w:t>
            </w:r>
          </w:p>
        </w:tc>
      </w:tr>
      <w:tr w:rsidR="00081FFF" w14:paraId="417FC43E" w14:textId="77777777" w:rsidTr="00081FFF">
        <w:trPr>
          <w:cnfStyle w:val="000000010000" w:firstRow="0" w:lastRow="0" w:firstColumn="0" w:lastColumn="0" w:oddVBand="0" w:evenVBand="0" w:oddHBand="0" w:evenHBand="1" w:firstRowFirstColumn="0" w:firstRowLastColumn="0" w:lastRowFirstColumn="0" w:lastRowLastColumn="0"/>
        </w:trPr>
        <w:tc>
          <w:tcPr>
            <w:tcW w:w="9072" w:type="dxa"/>
          </w:tcPr>
          <w:p w14:paraId="6556797E" w14:textId="77777777" w:rsidR="00081FFF" w:rsidRPr="001B706D" w:rsidRDefault="00081FFF" w:rsidP="00081FFF">
            <w:pPr>
              <w:pStyle w:val="TableTextLeft"/>
            </w:pPr>
            <w:r w:rsidRPr="00DE3C5D">
              <w:t>Motor Trades Association of Australia</w:t>
            </w:r>
            <w:r>
              <w:t xml:space="preserve"> Limited</w:t>
            </w:r>
          </w:p>
        </w:tc>
      </w:tr>
      <w:tr w:rsidR="00081FFF" w14:paraId="3AAD807F"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5D9866D2" w14:textId="77777777" w:rsidR="00081FFF" w:rsidRPr="001B706D" w:rsidRDefault="00081FFF" w:rsidP="00081FFF">
            <w:pPr>
              <w:pStyle w:val="TableTextLeft"/>
            </w:pPr>
            <w:r w:rsidRPr="00AE68F8">
              <w:t>National Electrical and Communications Association</w:t>
            </w:r>
          </w:p>
        </w:tc>
      </w:tr>
      <w:tr w:rsidR="00081FFF" w14:paraId="5C5F148D" w14:textId="77777777" w:rsidTr="00081FFF">
        <w:trPr>
          <w:cnfStyle w:val="000000010000" w:firstRow="0" w:lastRow="0" w:firstColumn="0" w:lastColumn="0" w:oddVBand="0" w:evenVBand="0" w:oddHBand="0" w:evenHBand="1" w:firstRowFirstColumn="0" w:firstRowLastColumn="0" w:lastRowFirstColumn="0" w:lastRowLastColumn="0"/>
        </w:trPr>
        <w:tc>
          <w:tcPr>
            <w:tcW w:w="9072" w:type="dxa"/>
          </w:tcPr>
          <w:p w14:paraId="2D276BCB" w14:textId="77777777" w:rsidR="00081FFF" w:rsidRPr="00AD6CD3" w:rsidRDefault="00081FFF" w:rsidP="00081FFF">
            <w:pPr>
              <w:pStyle w:val="TableTextLeft"/>
            </w:pPr>
            <w:r w:rsidRPr="00AD6CD3">
              <w:t xml:space="preserve">Newsagents Association of NSW </w:t>
            </w:r>
            <w:r>
              <w:t>and</w:t>
            </w:r>
            <w:r w:rsidRPr="00AD6CD3">
              <w:t xml:space="preserve"> ACT Limited</w:t>
            </w:r>
          </w:p>
        </w:tc>
      </w:tr>
      <w:tr w:rsidR="00081FFF" w14:paraId="2598800C"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46A43BD7" w14:textId="77777777" w:rsidR="00081FFF" w:rsidRPr="00AD6CD3" w:rsidRDefault="00081FFF" w:rsidP="00081FFF">
            <w:pPr>
              <w:pStyle w:val="TableTextLeft"/>
            </w:pPr>
            <w:r w:rsidRPr="00AD6CD3">
              <w:t xml:space="preserve">Pinter </w:t>
            </w:r>
            <w:r>
              <w:t xml:space="preserve">and </w:t>
            </w:r>
            <w:r w:rsidRPr="00AD6CD3">
              <w:t>Partners</w:t>
            </w:r>
          </w:p>
        </w:tc>
      </w:tr>
      <w:tr w:rsidR="00081FFF" w14:paraId="35057E32" w14:textId="77777777" w:rsidTr="00081FFF">
        <w:trPr>
          <w:cnfStyle w:val="000000010000" w:firstRow="0" w:lastRow="0" w:firstColumn="0" w:lastColumn="0" w:oddVBand="0" w:evenVBand="0" w:oddHBand="0" w:evenHBand="1" w:firstRowFirstColumn="0" w:firstRowLastColumn="0" w:lastRowFirstColumn="0" w:lastRowLastColumn="0"/>
        </w:trPr>
        <w:tc>
          <w:tcPr>
            <w:tcW w:w="9072" w:type="dxa"/>
          </w:tcPr>
          <w:p w14:paraId="66751723" w14:textId="77777777" w:rsidR="00081FFF" w:rsidRPr="00DE3C5D" w:rsidRDefault="00081FFF" w:rsidP="00081FFF">
            <w:pPr>
              <w:pStyle w:val="TableTextLeft"/>
            </w:pPr>
            <w:r w:rsidRPr="00400514">
              <w:t>Post Office Agents Association Limited</w:t>
            </w:r>
          </w:p>
        </w:tc>
      </w:tr>
      <w:tr w:rsidR="00081FFF" w14:paraId="256CD9D8"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2EC70DE5" w14:textId="77777777" w:rsidR="00081FFF" w:rsidRPr="00DE3C5D" w:rsidRDefault="00081FFF" w:rsidP="00081FFF">
            <w:pPr>
              <w:pStyle w:val="TableTextLeft"/>
            </w:pPr>
            <w:r w:rsidRPr="00DE3C5D">
              <w:t>Queensland Law Society</w:t>
            </w:r>
          </w:p>
        </w:tc>
      </w:tr>
      <w:tr w:rsidR="00081FFF" w14:paraId="513D3E06" w14:textId="77777777" w:rsidTr="00081FFF">
        <w:trPr>
          <w:cnfStyle w:val="000000010000" w:firstRow="0" w:lastRow="0" w:firstColumn="0" w:lastColumn="0" w:oddVBand="0" w:evenVBand="0" w:oddHBand="0" w:evenHBand="1" w:firstRowFirstColumn="0" w:firstRowLastColumn="0" w:lastRowFirstColumn="0" w:lastRowLastColumn="0"/>
        </w:trPr>
        <w:tc>
          <w:tcPr>
            <w:tcW w:w="9072" w:type="dxa"/>
          </w:tcPr>
          <w:p w14:paraId="5BEDEA2A" w14:textId="77777777" w:rsidR="00081FFF" w:rsidRPr="00DE3C5D" w:rsidRDefault="00081FFF" w:rsidP="00081FFF">
            <w:pPr>
              <w:pStyle w:val="TableTextLeft"/>
            </w:pPr>
            <w:r w:rsidRPr="00AD6CD3">
              <w:t>Shopping Centre Council of Australia</w:t>
            </w:r>
          </w:p>
        </w:tc>
      </w:tr>
      <w:tr w:rsidR="00081FFF" w14:paraId="3D87470C"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3581542E" w14:textId="77777777" w:rsidR="00081FFF" w:rsidRPr="00DE3C5D" w:rsidRDefault="00081FFF" w:rsidP="00081FFF">
            <w:pPr>
              <w:pStyle w:val="TableTextLeft"/>
            </w:pPr>
            <w:r w:rsidRPr="00DE3C5D">
              <w:t>Small Biz Matters</w:t>
            </w:r>
          </w:p>
        </w:tc>
      </w:tr>
      <w:tr w:rsidR="00081FFF" w14:paraId="41DDB805" w14:textId="77777777" w:rsidTr="00081FFF">
        <w:trPr>
          <w:cnfStyle w:val="000000010000" w:firstRow="0" w:lastRow="0" w:firstColumn="0" w:lastColumn="0" w:oddVBand="0" w:evenVBand="0" w:oddHBand="0" w:evenHBand="1" w:firstRowFirstColumn="0" w:firstRowLastColumn="0" w:lastRowFirstColumn="0" w:lastRowLastColumn="0"/>
        </w:trPr>
        <w:tc>
          <w:tcPr>
            <w:tcW w:w="9072" w:type="dxa"/>
          </w:tcPr>
          <w:p w14:paraId="09BD6523" w14:textId="77777777" w:rsidR="00081FFF" w:rsidRDefault="00081FFF" w:rsidP="00081FFF">
            <w:pPr>
              <w:pStyle w:val="TableTextLeft"/>
            </w:pPr>
            <w:r w:rsidRPr="001B706D">
              <w:t>Small Business Association of Australia</w:t>
            </w:r>
          </w:p>
        </w:tc>
      </w:tr>
      <w:tr w:rsidR="00081FFF" w14:paraId="255AD8F4"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71E97C84" w14:textId="77777777" w:rsidR="00081FFF" w:rsidRDefault="00081FFF" w:rsidP="00081FFF">
            <w:pPr>
              <w:pStyle w:val="TableTextLeft"/>
            </w:pPr>
            <w:r w:rsidRPr="001B706D">
              <w:t>Small Business Debt Helpline and Financial Counselling Australia</w:t>
            </w:r>
          </w:p>
        </w:tc>
      </w:tr>
      <w:tr w:rsidR="00081FFF" w14:paraId="5C3C0127" w14:textId="77777777" w:rsidTr="00081FFF">
        <w:trPr>
          <w:cnfStyle w:val="000000010000" w:firstRow="0" w:lastRow="0" w:firstColumn="0" w:lastColumn="0" w:oddVBand="0" w:evenVBand="0" w:oddHBand="0" w:evenHBand="1" w:firstRowFirstColumn="0" w:firstRowLastColumn="0" w:lastRowFirstColumn="0" w:lastRowLastColumn="0"/>
        </w:trPr>
        <w:tc>
          <w:tcPr>
            <w:tcW w:w="9072" w:type="dxa"/>
          </w:tcPr>
          <w:p w14:paraId="2941CC01" w14:textId="77777777" w:rsidR="00081FFF" w:rsidRPr="00DE3C5D" w:rsidRDefault="00081FFF" w:rsidP="00081FFF">
            <w:pPr>
              <w:pStyle w:val="TableTextLeft"/>
            </w:pPr>
            <w:r w:rsidRPr="004346A5">
              <w:t>Small Business Development Corporation</w:t>
            </w:r>
          </w:p>
        </w:tc>
      </w:tr>
      <w:tr w:rsidR="00081FFF" w14:paraId="2F59C32D" w14:textId="77777777" w:rsidTr="00081FFF">
        <w:trPr>
          <w:cnfStyle w:val="000000100000" w:firstRow="0" w:lastRow="0" w:firstColumn="0" w:lastColumn="0" w:oddVBand="0" w:evenVBand="0" w:oddHBand="1" w:evenHBand="0" w:firstRowFirstColumn="0" w:firstRowLastColumn="0" w:lastRowFirstColumn="0" w:lastRowLastColumn="0"/>
        </w:trPr>
        <w:tc>
          <w:tcPr>
            <w:tcW w:w="9072" w:type="dxa"/>
          </w:tcPr>
          <w:p w14:paraId="05051741" w14:textId="77777777" w:rsidR="00081FFF" w:rsidRPr="00DE3C5D" w:rsidRDefault="00081FFF" w:rsidP="00081FFF">
            <w:pPr>
              <w:pStyle w:val="TableTextLeft"/>
            </w:pPr>
            <w:r w:rsidRPr="00DE3C5D">
              <w:t>Small Enterprise Association of Australia and New Zealand</w:t>
            </w:r>
          </w:p>
        </w:tc>
      </w:tr>
      <w:tr w:rsidR="00081FFF" w14:paraId="44708CF2" w14:textId="77777777" w:rsidTr="000E0B0A">
        <w:trPr>
          <w:cnfStyle w:val="000000010000" w:firstRow="0" w:lastRow="0" w:firstColumn="0" w:lastColumn="0" w:oddVBand="0" w:evenVBand="0" w:oddHBand="0" w:evenHBand="1" w:firstRowFirstColumn="0" w:firstRowLastColumn="0" w:lastRowFirstColumn="0" w:lastRowLastColumn="0"/>
          <w:trHeight w:val="273"/>
        </w:trPr>
        <w:tc>
          <w:tcPr>
            <w:tcW w:w="9072" w:type="dxa"/>
          </w:tcPr>
          <w:p w14:paraId="21A14F6B" w14:textId="77777777" w:rsidR="00081FFF" w:rsidRPr="00DE3C5D" w:rsidRDefault="00081FFF" w:rsidP="00081FFF">
            <w:pPr>
              <w:pStyle w:val="TableTextLeft"/>
            </w:pPr>
            <w:r w:rsidRPr="00DE3C5D">
              <w:t>Tasmanian Small Business Council</w:t>
            </w:r>
            <w:r>
              <w:t xml:space="preserve"> </w:t>
            </w:r>
          </w:p>
        </w:tc>
      </w:tr>
    </w:tbl>
    <w:p w14:paraId="3F5F2076" w14:textId="29DE65F5" w:rsidR="00AD6D7C" w:rsidRPr="00AD6D7C" w:rsidRDefault="00FB751C" w:rsidP="00AD6D7C">
      <w:r>
        <w:rPr>
          <w:rStyle w:val="Strong"/>
        </w:rPr>
        <w:t xml:space="preserve">The Review </w:t>
      </w:r>
      <w:r w:rsidR="007065B6">
        <w:rPr>
          <w:rStyle w:val="Strong"/>
        </w:rPr>
        <w:t>t</w:t>
      </w:r>
      <w:r>
        <w:rPr>
          <w:rStyle w:val="Strong"/>
        </w:rPr>
        <w:t>eam held 3</w:t>
      </w:r>
      <w:r w:rsidRPr="00916FA5">
        <w:rPr>
          <w:rStyle w:val="Strong"/>
        </w:rPr>
        <w:t xml:space="preserve"> </w:t>
      </w:r>
      <w:r w:rsidR="00AD6D7C" w:rsidRPr="00916FA5">
        <w:rPr>
          <w:rStyle w:val="Strong"/>
        </w:rPr>
        <w:t>roundtable events in December 2024 and January 2025.</w:t>
      </w:r>
      <w:r w:rsidR="00AD6D7C" w:rsidRPr="00AD6D7C">
        <w:t xml:space="preserve"> These include</w:t>
      </w:r>
      <w:r>
        <w:t>d</w:t>
      </w:r>
      <w:r w:rsidR="00AD6D7C" w:rsidRPr="00AD6D7C">
        <w:t>: </w:t>
      </w:r>
    </w:p>
    <w:p w14:paraId="705B3E8F" w14:textId="23909DA3" w:rsidR="007832D9" w:rsidRPr="00AD6D7C" w:rsidRDefault="00AD6D7C" w:rsidP="00DE575D">
      <w:pPr>
        <w:pStyle w:val="Bullet"/>
      </w:pPr>
      <w:r w:rsidRPr="00AD6D7C">
        <w:t xml:space="preserve">8 </w:t>
      </w:r>
      <w:r w:rsidR="006A24CD">
        <w:t>small business</w:t>
      </w:r>
      <w:r w:rsidR="00ED3435">
        <w:t xml:space="preserve"> owners </w:t>
      </w:r>
      <w:r w:rsidR="00904A7E">
        <w:t xml:space="preserve">based in Queensland </w:t>
      </w:r>
      <w:r w:rsidR="00590C65">
        <w:t xml:space="preserve">who were </w:t>
      </w:r>
      <w:r w:rsidRPr="00AD6D7C">
        <w:t>members</w:t>
      </w:r>
      <w:r w:rsidR="00381409">
        <w:t xml:space="preserve"> </w:t>
      </w:r>
      <w:r w:rsidRPr="00AD6D7C">
        <w:t>of the Business Chamber Queensland</w:t>
      </w:r>
      <w:r w:rsidR="00A0052D">
        <w:t xml:space="preserve"> (</w:t>
      </w:r>
      <w:r w:rsidR="00A0052D" w:rsidRPr="00AD6D7C">
        <w:t>held on 2</w:t>
      </w:r>
      <w:r w:rsidR="00A0052D">
        <w:t> </w:t>
      </w:r>
      <w:r w:rsidR="00A0052D" w:rsidRPr="00AD6D7C">
        <w:t>December 2024</w:t>
      </w:r>
      <w:r w:rsidR="00381409">
        <w:t>)</w:t>
      </w:r>
      <w:r w:rsidR="00E80798">
        <w:t>.</w:t>
      </w:r>
    </w:p>
    <w:p w14:paraId="2531B1E7" w14:textId="35A3D228" w:rsidR="00AD6D7C" w:rsidRPr="00AD6D7C" w:rsidRDefault="00AD6D7C" w:rsidP="00DE575D">
      <w:pPr>
        <w:pStyle w:val="Bullet"/>
      </w:pPr>
      <w:r w:rsidRPr="00AD6D7C">
        <w:t>3</w:t>
      </w:r>
      <w:r w:rsidRPr="00AD6D7C" w:rsidDel="003819C2">
        <w:t xml:space="preserve"> </w:t>
      </w:r>
      <w:r w:rsidRPr="00AD6D7C">
        <w:t>employees of the Business Chamber Queensland</w:t>
      </w:r>
      <w:r w:rsidR="00A0052D">
        <w:t xml:space="preserve"> (</w:t>
      </w:r>
      <w:r w:rsidR="00A0052D" w:rsidRPr="00AD6D7C">
        <w:t>held on 2</w:t>
      </w:r>
      <w:r w:rsidR="00A0052D">
        <w:t> </w:t>
      </w:r>
      <w:r w:rsidR="00A0052D" w:rsidRPr="00AD6D7C">
        <w:t>December 2024</w:t>
      </w:r>
      <w:r w:rsidR="00A0052D">
        <w:t>)</w:t>
      </w:r>
      <w:r w:rsidRPr="00AD6D7C">
        <w:t>.</w:t>
      </w:r>
    </w:p>
    <w:p w14:paraId="7E82B817" w14:textId="3656BB46" w:rsidR="00AD6D7C" w:rsidRPr="00AD6D7C" w:rsidRDefault="00AD6D7C" w:rsidP="00916FA5">
      <w:pPr>
        <w:pStyle w:val="Bullet"/>
      </w:pPr>
      <w:r w:rsidRPr="00AD6D7C">
        <w:t>4</w:t>
      </w:r>
      <w:r w:rsidR="00E05002">
        <w:t xml:space="preserve"> </w:t>
      </w:r>
      <w:r w:rsidRPr="00AD6D7C">
        <w:t xml:space="preserve">stakeholders </w:t>
      </w:r>
      <w:r w:rsidR="00A92800">
        <w:t xml:space="preserve">from franchising industry, </w:t>
      </w:r>
      <w:r w:rsidRPr="00AD6D7C">
        <w:t xml:space="preserve">including </w:t>
      </w:r>
      <w:r w:rsidRPr="00AD6D7C">
        <w:rPr>
          <w:lang w:val="en-US"/>
        </w:rPr>
        <w:t>the Federal Chamber of Automotive Industries, Franchise Council of Australia, Motor Trades Association of Australia and Australian Automotive Dealer Association</w:t>
      </w:r>
      <w:r w:rsidR="00A92800">
        <w:rPr>
          <w:lang w:val="en-US"/>
        </w:rPr>
        <w:t xml:space="preserve"> (held on </w:t>
      </w:r>
      <w:r w:rsidR="00A92800" w:rsidRPr="00AD6D7C">
        <w:t>30</w:t>
      </w:r>
      <w:r w:rsidR="00A92800">
        <w:t> </w:t>
      </w:r>
      <w:r w:rsidR="00A92800" w:rsidRPr="00AD6D7C">
        <w:t>January 2025</w:t>
      </w:r>
      <w:r w:rsidR="00A92800">
        <w:t>)</w:t>
      </w:r>
      <w:r w:rsidRPr="00AD6D7C">
        <w:t>. </w:t>
      </w:r>
    </w:p>
    <w:p w14:paraId="1C538B04" w14:textId="1F584D18" w:rsidR="000E178A" w:rsidRPr="00AD6D7C" w:rsidRDefault="003A21CD" w:rsidP="004D1FDF">
      <w:r>
        <w:rPr>
          <w:rStyle w:val="Strong"/>
        </w:rPr>
        <w:t xml:space="preserve">The Review </w:t>
      </w:r>
      <w:r w:rsidR="006E2877">
        <w:rPr>
          <w:rStyle w:val="Strong"/>
        </w:rPr>
        <w:t>t</w:t>
      </w:r>
      <w:r>
        <w:rPr>
          <w:rStyle w:val="Strong"/>
        </w:rPr>
        <w:t>eam held</w:t>
      </w:r>
      <w:r w:rsidR="007E6F4C">
        <w:rPr>
          <w:rStyle w:val="Strong"/>
        </w:rPr>
        <w:t xml:space="preserve"> an</w:t>
      </w:r>
      <w:r w:rsidR="00AD6D7C" w:rsidRPr="00916FA5">
        <w:rPr>
          <w:rStyle w:val="Strong"/>
        </w:rPr>
        <w:t xml:space="preserve"> additional 4</w:t>
      </w:r>
      <w:r w:rsidR="003344D2">
        <w:rPr>
          <w:rStyle w:val="Strong"/>
        </w:rPr>
        <w:t>5</w:t>
      </w:r>
      <w:r w:rsidR="00AD6D7C" w:rsidRPr="00916FA5">
        <w:rPr>
          <w:rStyle w:val="Strong"/>
        </w:rPr>
        <w:t xml:space="preserve"> bilateral stakeholder meetings across Australia. </w:t>
      </w:r>
      <w:r w:rsidR="00AD6D7C" w:rsidRPr="00AD6D7C">
        <w:t>These meetings included federal and state government agencies, industry associations, peak bodies and special interest groups</w:t>
      </w:r>
      <w:r w:rsidR="00AD6D7C" w:rsidRPr="00AD6D7C">
        <w:rPr>
          <w:b/>
          <w:bCs/>
        </w:rPr>
        <w:t>.</w:t>
      </w:r>
      <w:r w:rsidR="00AD6D7C" w:rsidRPr="00AD6D7C">
        <w:t xml:space="preserve"> The</w:t>
      </w:r>
      <w:r w:rsidR="004F00DF">
        <w:t xml:space="preserve"> </w:t>
      </w:r>
      <w:r w:rsidR="00A359C0">
        <w:t>Appendix B</w:t>
      </w:r>
      <w:r w:rsidR="00A359C0" w:rsidDel="00A359C0">
        <w:t xml:space="preserve"> </w:t>
      </w:r>
      <w:r w:rsidR="004F00DF">
        <w:t>provides the list of all consultation meetings</w:t>
      </w:r>
      <w:r w:rsidR="00AD6D7C" w:rsidRPr="00AD6D7C">
        <w:t>.</w:t>
      </w:r>
      <w:r w:rsidR="00C94617" w:rsidDel="00503A8E">
        <w:t xml:space="preserve"> </w:t>
      </w:r>
    </w:p>
    <w:p w14:paraId="55CEBE7A" w14:textId="73017291" w:rsidR="00222635" w:rsidRDefault="00B656B9" w:rsidP="00222635">
      <w:r>
        <w:rPr>
          <w:rStyle w:val="Strong"/>
        </w:rPr>
        <w:t xml:space="preserve">Ms O’Connell </w:t>
      </w:r>
      <w:r w:rsidR="00222635">
        <w:rPr>
          <w:rStyle w:val="Strong"/>
        </w:rPr>
        <w:t xml:space="preserve">conducted 2 </w:t>
      </w:r>
      <w:r w:rsidR="00AD6D7C" w:rsidRPr="00916FA5">
        <w:rPr>
          <w:rStyle w:val="Strong"/>
        </w:rPr>
        <w:t>online surveys during the consultation period</w:t>
      </w:r>
      <w:r w:rsidR="00222635">
        <w:rPr>
          <w:rStyle w:val="Strong"/>
        </w:rPr>
        <w:t xml:space="preserve"> – a stakeholder survey, and a mediator survey.</w:t>
      </w:r>
    </w:p>
    <w:p w14:paraId="45680024" w14:textId="73A485D5" w:rsidR="00AD6D7C" w:rsidRPr="00AD6D7C" w:rsidRDefault="005317CF" w:rsidP="00584BD5">
      <w:r w:rsidRPr="00811B02">
        <w:rPr>
          <w:b/>
        </w:rPr>
        <w:t>The stakeholder survey sought feedback from small businesses and their representatives on ASBFEO’s effectiveness in addressing the needs of the small business community.</w:t>
      </w:r>
      <w:r w:rsidRPr="00EF5F51">
        <w:t xml:space="preserve"> It aimed to</w:t>
      </w:r>
      <w:r>
        <w:t xml:space="preserve"> identify</w:t>
      </w:r>
      <w:r w:rsidRPr="00EF5F51">
        <w:t xml:space="preserve"> areas of strong performance </w:t>
      </w:r>
      <w:r>
        <w:t>and</w:t>
      </w:r>
      <w:r w:rsidRPr="00EF5F51">
        <w:t xml:space="preserve"> opportunities for improvement. The</w:t>
      </w:r>
      <w:r w:rsidR="00222635">
        <w:t xml:space="preserve"> Review </w:t>
      </w:r>
      <w:r w:rsidR="00FC7D7B">
        <w:t>t</w:t>
      </w:r>
      <w:r w:rsidR="00222635">
        <w:t>eam distributed the</w:t>
      </w:r>
      <w:r w:rsidRPr="00EF5F51">
        <w:t xml:space="preserve"> survey through various channels, including </w:t>
      </w:r>
      <w:r>
        <w:t xml:space="preserve">government </w:t>
      </w:r>
      <w:r w:rsidRPr="00EF5F51">
        <w:t xml:space="preserve">agencies and </w:t>
      </w:r>
      <w:r>
        <w:t xml:space="preserve">industry </w:t>
      </w:r>
      <w:r w:rsidRPr="00EF5F51">
        <w:t xml:space="preserve">associations that shared it with their members. </w:t>
      </w:r>
      <w:r w:rsidR="00222635">
        <w:t>The stakeholder survey</w:t>
      </w:r>
      <w:r w:rsidRPr="00EF5F51">
        <w:t xml:space="preserve"> was open from 30 January 2025 to 31</w:t>
      </w:r>
      <w:r w:rsidR="000D48EA">
        <w:t> </w:t>
      </w:r>
      <w:r w:rsidRPr="00EF5F51">
        <w:t>March</w:t>
      </w:r>
      <w:r w:rsidR="000D48EA">
        <w:t> </w:t>
      </w:r>
      <w:r w:rsidRPr="00EF5F51">
        <w:t xml:space="preserve">2025 and received 225 responses. Appendix </w:t>
      </w:r>
      <w:r w:rsidR="008D33A2">
        <w:t>C</w:t>
      </w:r>
      <w:r w:rsidRPr="00EF5F51">
        <w:t xml:space="preserve"> contains a</w:t>
      </w:r>
      <w:r>
        <w:t xml:space="preserve"> summary of the </w:t>
      </w:r>
      <w:r w:rsidR="00222635">
        <w:t xml:space="preserve">stakeholder </w:t>
      </w:r>
      <w:r>
        <w:t xml:space="preserve">survey findings. </w:t>
      </w:r>
    </w:p>
    <w:p w14:paraId="41DA4716" w14:textId="5E327A04" w:rsidR="00AD6D7C" w:rsidRPr="00AD6D7C" w:rsidRDefault="00B656B9" w:rsidP="006341E3">
      <w:r>
        <w:rPr>
          <w:rStyle w:val="Strong"/>
        </w:rPr>
        <w:lastRenderedPageBreak/>
        <w:t xml:space="preserve">Ms O’Connell </w:t>
      </w:r>
      <w:r w:rsidR="00222635" w:rsidRPr="006341E3">
        <w:rPr>
          <w:rStyle w:val="Strong"/>
        </w:rPr>
        <w:t>sent the</w:t>
      </w:r>
      <w:r w:rsidR="00877CB9" w:rsidRPr="006341E3">
        <w:rPr>
          <w:rStyle w:val="Strong"/>
        </w:rPr>
        <w:t xml:space="preserve"> mediator</w:t>
      </w:r>
      <w:r w:rsidR="007479BE">
        <w:rPr>
          <w:rStyle w:val="Strong"/>
        </w:rPr>
        <w:t xml:space="preserve"> </w:t>
      </w:r>
      <w:r w:rsidR="00877CB9" w:rsidRPr="006341E3">
        <w:rPr>
          <w:rStyle w:val="Strong"/>
        </w:rPr>
        <w:t>survey to 49 mediators on ASBFEO</w:t>
      </w:r>
      <w:r w:rsidR="00877CB9">
        <w:rPr>
          <w:rStyle w:val="Strong"/>
        </w:rPr>
        <w:t>’</w:t>
      </w:r>
      <w:r w:rsidR="00877CB9" w:rsidRPr="006341E3">
        <w:rPr>
          <w:rStyle w:val="Strong"/>
        </w:rPr>
        <w:t xml:space="preserve">s ADR </w:t>
      </w:r>
      <w:r w:rsidR="00C337A0">
        <w:rPr>
          <w:rStyle w:val="Strong"/>
        </w:rPr>
        <w:t>p</w:t>
      </w:r>
      <w:r w:rsidR="00877CB9" w:rsidRPr="006341E3">
        <w:rPr>
          <w:rStyle w:val="Strong"/>
        </w:rPr>
        <w:t>ractitioners list</w:t>
      </w:r>
      <w:r w:rsidR="00222635" w:rsidRPr="00AA4DFA">
        <w:rPr>
          <w:b/>
        </w:rPr>
        <w:t>.</w:t>
      </w:r>
      <w:r w:rsidR="00222635">
        <w:t xml:space="preserve"> The</w:t>
      </w:r>
      <w:r w:rsidR="000D48EA">
        <w:t> </w:t>
      </w:r>
      <w:r w:rsidR="00222635">
        <w:t>survey aimed</w:t>
      </w:r>
      <w:r w:rsidR="00877CB9">
        <w:t xml:space="preserve"> to obtain feedback </w:t>
      </w:r>
      <w:r w:rsidR="00877CB9" w:rsidRPr="00AD6D7C">
        <w:t xml:space="preserve">regarding </w:t>
      </w:r>
      <w:r w:rsidR="00222635">
        <w:t>mediators’</w:t>
      </w:r>
      <w:r w:rsidR="00222635" w:rsidRPr="00AD6D7C">
        <w:t xml:space="preserve"> </w:t>
      </w:r>
      <w:r w:rsidR="00877CB9" w:rsidRPr="00AD6D7C">
        <w:t xml:space="preserve">work with ASBFEO </w:t>
      </w:r>
      <w:r w:rsidR="00222635">
        <w:t>on delivering</w:t>
      </w:r>
      <w:r w:rsidR="00877CB9" w:rsidRPr="00AD6D7C">
        <w:t xml:space="preserve"> mediation services. The survey opened on 24 February 2025 and closed on 16 March 2025, receiving 15</w:t>
      </w:r>
      <w:r w:rsidR="000D48EA">
        <w:t> </w:t>
      </w:r>
      <w:r w:rsidR="00877CB9" w:rsidRPr="00AD6D7C">
        <w:t xml:space="preserve">responses. Appendix </w:t>
      </w:r>
      <w:r w:rsidR="003F046C">
        <w:t>D</w:t>
      </w:r>
      <w:r w:rsidR="00877CB9" w:rsidRPr="00AD6D7C">
        <w:t xml:space="preserve"> </w:t>
      </w:r>
      <w:r w:rsidR="00877CB9">
        <w:t xml:space="preserve">contains a summary of the </w:t>
      </w:r>
      <w:r w:rsidR="00222635">
        <w:t xml:space="preserve">mediator </w:t>
      </w:r>
      <w:r w:rsidR="00877CB9">
        <w:t>survey findings.</w:t>
      </w:r>
      <w:r w:rsidR="00877CB9" w:rsidRPr="00AD6D7C">
        <w:t> </w:t>
      </w:r>
    </w:p>
    <w:p w14:paraId="26F38878" w14:textId="00E28DA3" w:rsidR="00AD6D7C" w:rsidRPr="00AD6D7C" w:rsidRDefault="00AD6D7C" w:rsidP="005A3ED7">
      <w:pPr>
        <w:pStyle w:val="Heading2"/>
      </w:pPr>
      <w:bookmarkStart w:id="8" w:name="_Toc199940920"/>
      <w:r w:rsidRPr="00AD6D7C">
        <w:t xml:space="preserve">Overview of the </w:t>
      </w:r>
      <w:r w:rsidR="00162451">
        <w:t>s</w:t>
      </w:r>
      <w:r w:rsidRPr="00AD6D7C">
        <w:t xml:space="preserve">mall </w:t>
      </w:r>
      <w:r w:rsidR="00162451">
        <w:t>b</w:t>
      </w:r>
      <w:r w:rsidRPr="00AD6D7C">
        <w:t>usiness environment in Australia</w:t>
      </w:r>
      <w:bookmarkEnd w:id="8"/>
      <w:r w:rsidRPr="00AD6D7C">
        <w:t>  </w:t>
      </w:r>
    </w:p>
    <w:p w14:paraId="67C73470" w14:textId="62AC065F" w:rsidR="00AD6D7C" w:rsidRDefault="00AD6D7C" w:rsidP="00AD6D7C">
      <w:r w:rsidRPr="00916FA5">
        <w:rPr>
          <w:rStyle w:val="Strong"/>
        </w:rPr>
        <w:t>Australia</w:t>
      </w:r>
      <w:r w:rsidR="00916FA5" w:rsidRPr="00916FA5">
        <w:rPr>
          <w:rStyle w:val="Strong"/>
        </w:rPr>
        <w:t>’</w:t>
      </w:r>
      <w:r w:rsidRPr="00916FA5">
        <w:rPr>
          <w:rStyle w:val="Strong"/>
        </w:rPr>
        <w:t>s 2.5 million small businesses</w:t>
      </w:r>
      <w:r w:rsidR="00162451" w:rsidRPr="00162451">
        <w:rPr>
          <w:rStyle w:val="Strong"/>
        </w:rPr>
        <w:t xml:space="preserve"> </w:t>
      </w:r>
      <w:r w:rsidR="00162451" w:rsidRPr="00916FA5">
        <w:rPr>
          <w:rStyle w:val="Strong"/>
        </w:rPr>
        <w:t>are essential contributors to innovation and economic growth.</w:t>
      </w:r>
      <w:r w:rsidR="00065357">
        <w:rPr>
          <w:rStyle w:val="Strong"/>
          <w:rFonts w:ascii="ZWAdobeF" w:hAnsi="ZWAdobeF" w:cs="ZWAdobeF"/>
          <w:b w:val="0"/>
          <w:color w:val="auto"/>
          <w:sz w:val="2"/>
          <w:szCs w:val="2"/>
        </w:rPr>
        <w:t>0F</w:t>
      </w:r>
      <w:r w:rsidR="00E77D1B" w:rsidRPr="009B3D19">
        <w:rPr>
          <w:rStyle w:val="FootnoteReference"/>
          <w:sz w:val="22"/>
          <w:szCs w:val="22"/>
          <w:vertAlign w:val="superscript"/>
        </w:rPr>
        <w:footnoteReference w:id="2"/>
      </w:r>
      <w:r w:rsidRPr="009B3D19">
        <w:rPr>
          <w:rStyle w:val="Strong"/>
          <w:bCs w:val="0"/>
          <w:szCs w:val="22"/>
          <w:vertAlign w:val="superscript"/>
        </w:rPr>
        <w:t xml:space="preserve"> </w:t>
      </w:r>
      <w:r w:rsidRPr="00AD6D7C">
        <w:t>Small businesses provide approximately $590</w:t>
      </w:r>
      <w:r w:rsidR="00916FA5">
        <w:t> </w:t>
      </w:r>
      <w:r w:rsidRPr="00AD6D7C">
        <w:t>billion to the economy and employ around 5.4</w:t>
      </w:r>
      <w:r w:rsidR="00916FA5">
        <w:t> </w:t>
      </w:r>
      <w:r w:rsidRPr="00AD6D7C">
        <w:t>million people. This accounts for around 42</w:t>
      </w:r>
      <w:r w:rsidR="00916FA5">
        <w:t> </w:t>
      </w:r>
      <w:r w:rsidRPr="00AD6D7C">
        <w:t>per cent of the private sector workforce.</w:t>
      </w:r>
      <w:r w:rsidR="00065357">
        <w:rPr>
          <w:rFonts w:ascii="ZWAdobeF" w:hAnsi="ZWAdobeF" w:cs="ZWAdobeF"/>
          <w:color w:val="auto"/>
          <w:sz w:val="2"/>
          <w:szCs w:val="2"/>
        </w:rPr>
        <w:t>1F</w:t>
      </w:r>
      <w:r w:rsidR="00EE786D" w:rsidRPr="009B3D19">
        <w:rPr>
          <w:rStyle w:val="FootnoteReference"/>
          <w:sz w:val="22"/>
          <w:szCs w:val="22"/>
          <w:vertAlign w:val="superscript"/>
        </w:rPr>
        <w:footnoteReference w:id="3"/>
      </w:r>
      <w:r w:rsidR="00543DF0">
        <w:t xml:space="preserve"> </w:t>
      </w:r>
      <w:r w:rsidR="00B656B9">
        <w:t>(</w:t>
      </w:r>
      <w:r w:rsidR="00543DF0">
        <w:t>Figure</w:t>
      </w:r>
      <w:r w:rsidR="000D48EA">
        <w:t> </w:t>
      </w:r>
      <w:r w:rsidR="00543DF0">
        <w:t>1.</w:t>
      </w:r>
      <w:r w:rsidR="00CE0BE0">
        <w:t>1</w:t>
      </w:r>
      <w:r w:rsidR="00B656B9">
        <w:t>)</w:t>
      </w:r>
      <w:r w:rsidR="00543DF0">
        <w:t>.</w:t>
      </w:r>
      <w:r w:rsidRPr="00AD6D7C">
        <w:t xml:space="preserve"> </w:t>
      </w:r>
      <w:r w:rsidR="00877CB9">
        <w:t>S</w:t>
      </w:r>
      <w:r w:rsidRPr="00AD6D7C">
        <w:t>mall businesses also play an important role in the community</w:t>
      </w:r>
      <w:r w:rsidR="00F00FD3">
        <w:t>,</w:t>
      </w:r>
      <w:r w:rsidRPr="00AD6D7C">
        <w:t xml:space="preserve"> building </w:t>
      </w:r>
      <w:r w:rsidR="00F00FD3">
        <w:t xml:space="preserve">a </w:t>
      </w:r>
      <w:r w:rsidRPr="00AD6D7C">
        <w:t xml:space="preserve">sense of belonging </w:t>
      </w:r>
      <w:r w:rsidR="00F00FD3">
        <w:t xml:space="preserve">for </w:t>
      </w:r>
      <w:r w:rsidRPr="00AD6D7C">
        <w:t>many Australians. They provide economic opportunities and preserve cultural traditions by involvement in local sports events, promoting innovation and community spirit. These events encourage spending within the community and support local suppliers, providing for the diverse needs of the community</w:t>
      </w:r>
      <w:r w:rsidR="00916FA5">
        <w:t xml:space="preserve">. </w:t>
      </w:r>
    </w:p>
    <w:p w14:paraId="7A5EBEB7" w14:textId="46B62B74" w:rsidR="00A6120B" w:rsidRDefault="00A6120B" w:rsidP="00721EC0">
      <w:pPr>
        <w:pStyle w:val="ChartMainHeading"/>
      </w:pPr>
      <w:r>
        <w:rPr>
          <w:lang w:val="en-US"/>
        </w:rPr>
        <w:t>Figure 1</w:t>
      </w:r>
      <w:r w:rsidRPr="00C47726">
        <w:rPr>
          <w:lang w:val="en-US"/>
        </w:rPr>
        <w:t>.</w:t>
      </w:r>
      <w:r w:rsidR="00FA1FBB">
        <w:rPr>
          <w:lang w:val="en-US"/>
        </w:rPr>
        <w:t>1</w:t>
      </w:r>
      <w:r w:rsidRPr="00C47726">
        <w:rPr>
          <w:lang w:val="en-US"/>
        </w:rPr>
        <w:t xml:space="preserve">: </w:t>
      </w:r>
      <w:r w:rsidR="0096624D">
        <w:t xml:space="preserve">Small business </w:t>
      </w:r>
      <w:r w:rsidR="009A36BA">
        <w:t>environment</w:t>
      </w:r>
    </w:p>
    <w:p w14:paraId="12DA7012" w14:textId="1AE65261" w:rsidR="008A4F11" w:rsidRPr="00AD6D7C" w:rsidRDefault="008A4F11" w:rsidP="00AD6D7C">
      <w:r>
        <w:rPr>
          <w:noProof/>
        </w:rPr>
        <w:drawing>
          <wp:inline distT="0" distB="0" distL="0" distR="0" wp14:anchorId="58EA775E" wp14:editId="0DD8C05A">
            <wp:extent cx="5695461" cy="1284605"/>
            <wp:effectExtent l="0" t="0" r="635" b="0"/>
            <wp:docPr id="1183481939" name="Picture 4" descr="This infographic shows data relevant to small business environment. Australia’s 2.5 million small businesses are essential contributors to innovation and economic growth. Small businesses provide approximately $590 billion to the economy and employ around 5.4 million people. This accounts for around 42 per cent of the private sector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81939" name="Picture 4" descr="This infographic shows data relevant to small business environment. Australia’s 2.5 million small businesses are essential contributors to innovation and economic growth. Small businesses provide approximately $590 billion to the economy and employ around 5.4 million people. This accounts for around 42 per cent of the private sector workforce."/>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5695461" cy="1284605"/>
                    </a:xfrm>
                    <a:prstGeom prst="rect">
                      <a:avLst/>
                    </a:prstGeom>
                  </pic:spPr>
                </pic:pic>
              </a:graphicData>
            </a:graphic>
          </wp:inline>
        </w:drawing>
      </w:r>
    </w:p>
    <w:p w14:paraId="6033AC83" w14:textId="3A481234" w:rsidR="00AD6D7C" w:rsidRPr="00AD6D7C" w:rsidRDefault="00AD6D7C" w:rsidP="00AD6D7C">
      <w:r w:rsidRPr="00916FA5">
        <w:rPr>
          <w:rStyle w:val="Strong"/>
        </w:rPr>
        <w:t>Small businesses operated by family members are a vital part of the small business sector.</w:t>
      </w:r>
      <w:r w:rsidRPr="00AD6D7C">
        <w:t xml:space="preserve"> There are 1.4</w:t>
      </w:r>
      <w:r w:rsidR="00916FA5">
        <w:t> </w:t>
      </w:r>
      <w:r w:rsidRPr="00AD6D7C">
        <w:t>million</w:t>
      </w:r>
      <w:r w:rsidR="002F7716">
        <w:t xml:space="preserve"> </w:t>
      </w:r>
      <w:r w:rsidR="002F7716" w:rsidRPr="00AD6D7C">
        <w:t>family businesses in Australia which comprise small, medium and large businesses</w:t>
      </w:r>
      <w:r w:rsidR="002F7716">
        <w:t>.</w:t>
      </w:r>
      <w:r w:rsidR="00065357">
        <w:rPr>
          <w:rFonts w:ascii="ZWAdobeF" w:hAnsi="ZWAdobeF" w:cs="ZWAdobeF"/>
          <w:color w:val="auto"/>
          <w:sz w:val="2"/>
          <w:szCs w:val="2"/>
        </w:rPr>
        <w:t>2F</w:t>
      </w:r>
      <w:r w:rsidR="00D24301" w:rsidRPr="009B3D19">
        <w:rPr>
          <w:rStyle w:val="FootnoteReference"/>
          <w:sz w:val="22"/>
          <w:szCs w:val="22"/>
          <w:vertAlign w:val="superscript"/>
        </w:rPr>
        <w:footnoteReference w:id="4"/>
      </w:r>
      <w:r w:rsidR="002F7716" w:rsidRPr="00635364">
        <w:rPr>
          <w:b/>
          <w:bCs/>
          <w:szCs w:val="22"/>
          <w:vertAlign w:val="superscript"/>
        </w:rPr>
        <w:t xml:space="preserve"> </w:t>
      </w:r>
      <w:r w:rsidRPr="00AD6D7C">
        <w:t xml:space="preserve">For </w:t>
      </w:r>
      <w:r w:rsidR="00F00FD3">
        <w:t xml:space="preserve">the </w:t>
      </w:r>
      <w:r w:rsidRPr="00AD6D7C">
        <w:t xml:space="preserve">purpose of this </w:t>
      </w:r>
      <w:r w:rsidR="002F7716">
        <w:t>R</w:t>
      </w:r>
      <w:r w:rsidRPr="00AD6D7C">
        <w:t xml:space="preserve">eview, all references to </w:t>
      </w:r>
      <w:r w:rsidR="002F7716">
        <w:t>‘</w:t>
      </w:r>
      <w:r w:rsidRPr="00AD6D7C">
        <w:t>small businesses</w:t>
      </w:r>
      <w:r w:rsidR="002F7716">
        <w:t>’</w:t>
      </w:r>
      <w:r w:rsidRPr="00AD6D7C">
        <w:t xml:space="preserve"> include family enterprises that are small businesses</w:t>
      </w:r>
      <w:r w:rsidR="002F7716">
        <w:t xml:space="preserve">, </w:t>
      </w:r>
      <w:r w:rsidRPr="00AD6D7C">
        <w:t>as these are a subset of the broader small business sector. </w:t>
      </w:r>
    </w:p>
    <w:p w14:paraId="396E1926" w14:textId="1F003F39" w:rsidR="00AD6D7C" w:rsidRPr="00AD6D7C" w:rsidRDefault="00AD6D7C" w:rsidP="00AD6D7C">
      <w:r w:rsidRPr="004B4D44">
        <w:rPr>
          <w:rStyle w:val="Strong"/>
        </w:rPr>
        <w:t>M</w:t>
      </w:r>
      <w:r w:rsidRPr="00721EC0">
        <w:rPr>
          <w:rStyle w:val="Strong"/>
        </w:rPr>
        <w:t>any small businesses are also part of the franchising sector</w:t>
      </w:r>
      <w:r w:rsidR="00F00FD3" w:rsidRPr="00721EC0">
        <w:rPr>
          <w:rStyle w:val="Strong"/>
        </w:rPr>
        <w:t>,</w:t>
      </w:r>
      <w:r w:rsidRPr="00721EC0">
        <w:rPr>
          <w:rStyle w:val="Strong"/>
        </w:rPr>
        <w:t xml:space="preserve"> as most franchisors and almost all franchisees are small businesses. </w:t>
      </w:r>
      <w:r w:rsidRPr="00AD6D7C">
        <w:t xml:space="preserve">The franchising sector comprises </w:t>
      </w:r>
      <w:r w:rsidRPr="00AD6D7C">
        <w:rPr>
          <w:lang w:val="en-US"/>
        </w:rPr>
        <w:t>more than 1,100 franchisors and more than 70,000 franchisees</w:t>
      </w:r>
      <w:r w:rsidR="00DF43D6">
        <w:rPr>
          <w:lang w:val="en-US"/>
        </w:rPr>
        <w:t>.</w:t>
      </w:r>
      <w:r w:rsidR="00065357">
        <w:rPr>
          <w:rFonts w:ascii="ZWAdobeF" w:hAnsi="ZWAdobeF" w:cs="ZWAdobeF"/>
          <w:color w:val="auto"/>
          <w:sz w:val="2"/>
          <w:szCs w:val="2"/>
          <w:lang w:val="en-US"/>
        </w:rPr>
        <w:t>3F</w:t>
      </w:r>
      <w:r w:rsidR="005077CE" w:rsidRPr="009B3D19">
        <w:rPr>
          <w:rStyle w:val="FootnoteReference"/>
          <w:sz w:val="22"/>
          <w:szCs w:val="22"/>
          <w:vertAlign w:val="superscript"/>
          <w:lang w:val="en-US"/>
        </w:rPr>
        <w:footnoteReference w:id="5"/>
      </w:r>
      <w:r w:rsidR="00DF43D6">
        <w:rPr>
          <w:lang w:val="en-US"/>
        </w:rPr>
        <w:t xml:space="preserve"> </w:t>
      </w:r>
      <w:r w:rsidRPr="00AD6D7C">
        <w:rPr>
          <w:lang w:val="en-US"/>
        </w:rPr>
        <w:t>Franchising has additional challenges for small businesses as franchisors often have greater resources and access to information resulting in power imbalances and information asymmetry between franchisors and franchisees. It is vital that parties know where to go for information and assistance with disputes</w:t>
      </w:r>
      <w:r w:rsidR="00916FA5">
        <w:rPr>
          <w:lang w:val="en-US"/>
        </w:rPr>
        <w:t>.</w:t>
      </w:r>
    </w:p>
    <w:p w14:paraId="4FC78E6F" w14:textId="4ED4C8A3" w:rsidR="00AD6D7C" w:rsidRPr="00AD6D7C" w:rsidRDefault="00AD6D7C" w:rsidP="00AD6D7C">
      <w:r w:rsidRPr="00916FA5">
        <w:rPr>
          <w:rStyle w:val="Strong"/>
        </w:rPr>
        <w:lastRenderedPageBreak/>
        <w:t>Certain sectors of the small business community face particular impediments in conducting their business</w:t>
      </w:r>
      <w:r w:rsidRPr="00AD6D7C">
        <w:rPr>
          <w:b/>
          <w:bCs/>
          <w:lang w:val="en-US"/>
        </w:rPr>
        <w:t xml:space="preserve">. </w:t>
      </w:r>
      <w:r w:rsidRPr="00AD6D7C">
        <w:rPr>
          <w:lang w:val="en-US"/>
        </w:rPr>
        <w:t>These include women, those</w:t>
      </w:r>
      <w:r w:rsidRPr="00AD6D7C" w:rsidDel="00410400">
        <w:rPr>
          <w:lang w:val="en-US"/>
        </w:rPr>
        <w:t xml:space="preserve"> </w:t>
      </w:r>
      <w:r w:rsidR="008D26DA" w:rsidRPr="00AD6D7C">
        <w:rPr>
          <w:lang w:val="en-US"/>
        </w:rPr>
        <w:t>identif</w:t>
      </w:r>
      <w:r w:rsidR="008D26DA">
        <w:rPr>
          <w:lang w:val="en-US"/>
        </w:rPr>
        <w:t>ying</w:t>
      </w:r>
      <w:r w:rsidRPr="00AD6D7C">
        <w:rPr>
          <w:lang w:val="en-US"/>
        </w:rPr>
        <w:t xml:space="preserve"> as First Nations </w:t>
      </w:r>
      <w:r w:rsidR="00410400">
        <w:rPr>
          <w:lang w:val="en-US"/>
        </w:rPr>
        <w:t xml:space="preserve">people </w:t>
      </w:r>
      <w:r w:rsidRPr="00AD6D7C">
        <w:rPr>
          <w:lang w:val="en-US"/>
        </w:rPr>
        <w:t xml:space="preserve">and </w:t>
      </w:r>
      <w:r w:rsidR="00AA4AA2" w:rsidRPr="0010234A">
        <w:t>members of multicultural communitie</w:t>
      </w:r>
      <w:r w:rsidR="003946EA" w:rsidRPr="0010234A">
        <w:t>s</w:t>
      </w:r>
      <w:r w:rsidR="003946EA">
        <w:rPr>
          <w:b/>
          <w:bCs/>
        </w:rPr>
        <w:t xml:space="preserve"> </w:t>
      </w:r>
      <w:r w:rsidRPr="00AD6D7C">
        <w:rPr>
          <w:lang w:val="en-US"/>
        </w:rPr>
        <w:t xml:space="preserve">and regional and remote small businesses. </w:t>
      </w:r>
      <w:r w:rsidR="000D3216">
        <w:rPr>
          <w:lang w:val="en-US"/>
        </w:rPr>
        <w:t>C</w:t>
      </w:r>
      <w:r w:rsidRPr="00AD6D7C">
        <w:rPr>
          <w:lang w:val="en-US"/>
        </w:rPr>
        <w:t>hallenges include time constraints for women juggling work and family and language and culture barriers for</w:t>
      </w:r>
      <w:r w:rsidR="004C1102">
        <w:rPr>
          <w:lang w:val="en-US"/>
        </w:rPr>
        <w:t xml:space="preserve"> </w:t>
      </w:r>
      <w:r w:rsidR="004C1102" w:rsidRPr="00AD6D7C">
        <w:rPr>
          <w:lang w:val="en-US"/>
        </w:rPr>
        <w:t xml:space="preserve">First Nations </w:t>
      </w:r>
      <w:r w:rsidR="004C1102">
        <w:rPr>
          <w:lang w:val="en-US"/>
        </w:rPr>
        <w:t xml:space="preserve">people </w:t>
      </w:r>
      <w:r w:rsidR="004C1102" w:rsidRPr="00AD6D7C">
        <w:rPr>
          <w:lang w:val="en-US"/>
        </w:rPr>
        <w:t xml:space="preserve">and </w:t>
      </w:r>
      <w:r w:rsidR="004C1102" w:rsidRPr="00CB5388">
        <w:t>members of multicultural communities</w:t>
      </w:r>
      <w:r w:rsidRPr="00AD6D7C">
        <w:rPr>
          <w:lang w:val="en-US"/>
        </w:rPr>
        <w:t>.</w:t>
      </w:r>
      <w:r w:rsidRPr="00AD6D7C">
        <w:rPr>
          <w:b/>
          <w:bCs/>
          <w:lang w:val="en-US"/>
        </w:rPr>
        <w:t xml:space="preserve"> </w:t>
      </w:r>
      <w:r w:rsidRPr="00AD6D7C">
        <w:rPr>
          <w:lang w:val="en-US"/>
        </w:rPr>
        <w:t xml:space="preserve">These </w:t>
      </w:r>
      <w:r w:rsidR="000D3216">
        <w:rPr>
          <w:lang w:val="en-US"/>
        </w:rPr>
        <w:t xml:space="preserve">challenges </w:t>
      </w:r>
      <w:r w:rsidRPr="00AD6D7C">
        <w:rPr>
          <w:lang w:val="en-US"/>
        </w:rPr>
        <w:t xml:space="preserve">are compounded for small businesses </w:t>
      </w:r>
      <w:r w:rsidR="00F21EE8" w:rsidRPr="00AD6D7C">
        <w:rPr>
          <w:lang w:val="en-US"/>
        </w:rPr>
        <w:t>in</w:t>
      </w:r>
      <w:r w:rsidRPr="00AD6D7C">
        <w:rPr>
          <w:lang w:val="en-US"/>
        </w:rPr>
        <w:t xml:space="preserve"> remote and regional areas</w:t>
      </w:r>
      <w:r w:rsidR="00F21EE8">
        <w:rPr>
          <w:lang w:val="en-US"/>
        </w:rPr>
        <w:t xml:space="preserve">, </w:t>
      </w:r>
      <w:r w:rsidR="004F71BB">
        <w:rPr>
          <w:lang w:val="en-US"/>
        </w:rPr>
        <w:t xml:space="preserve">which often </w:t>
      </w:r>
      <w:r w:rsidRPr="00AD6D7C">
        <w:rPr>
          <w:lang w:val="en-US"/>
        </w:rPr>
        <w:t xml:space="preserve">lack professional advisers and dispute resolution facilities. These </w:t>
      </w:r>
      <w:r w:rsidR="00E70CED">
        <w:rPr>
          <w:lang w:val="en-US"/>
        </w:rPr>
        <w:t>small business owners and operators</w:t>
      </w:r>
      <w:r w:rsidR="00E70CED" w:rsidRPr="00AD6D7C">
        <w:rPr>
          <w:lang w:val="en-US"/>
        </w:rPr>
        <w:t xml:space="preserve"> </w:t>
      </w:r>
      <w:r w:rsidRPr="00AD6D7C">
        <w:rPr>
          <w:lang w:val="en-US"/>
        </w:rPr>
        <w:t xml:space="preserve">may not know how to access dispute resolution </w:t>
      </w:r>
      <w:r w:rsidR="002B1062">
        <w:rPr>
          <w:lang w:val="en-US"/>
        </w:rPr>
        <w:t xml:space="preserve">services </w:t>
      </w:r>
      <w:r w:rsidRPr="00AD6D7C">
        <w:rPr>
          <w:lang w:val="en-US"/>
        </w:rPr>
        <w:t>despite having a greater need for these services</w:t>
      </w:r>
      <w:r w:rsidR="00916FA5">
        <w:rPr>
          <w:lang w:val="en-US"/>
        </w:rPr>
        <w:t>.</w:t>
      </w:r>
    </w:p>
    <w:p w14:paraId="35B02B0A" w14:textId="5E4A649A" w:rsidR="00AD6D7C" w:rsidRPr="00AD6D7C" w:rsidRDefault="00AD6D7C" w:rsidP="00AD6D7C">
      <w:r w:rsidRPr="00916FA5">
        <w:rPr>
          <w:rStyle w:val="Strong"/>
        </w:rPr>
        <w:t>Small businesses face challenges on a regular basis</w:t>
      </w:r>
      <w:r w:rsidRPr="00AD6D7C">
        <w:rPr>
          <w:b/>
          <w:bCs/>
        </w:rPr>
        <w:t>.</w:t>
      </w:r>
      <w:r w:rsidRPr="00AD6D7C">
        <w:t xml:space="preserve"> These may include a shortage of staff, financial difficulties or regulatory and compliance requirements. The</w:t>
      </w:r>
      <w:r w:rsidR="00AD7212">
        <w:t>ir</w:t>
      </w:r>
      <w:r w:rsidRPr="00AD6D7C" w:rsidDel="00AD7212">
        <w:t xml:space="preserve"> </w:t>
      </w:r>
      <w:r w:rsidRPr="00AD6D7C">
        <w:t>vulnerability is further</w:t>
      </w:r>
      <w:r w:rsidR="00675537">
        <w:t xml:space="preserve"> </w:t>
      </w:r>
      <w:r w:rsidR="00874DD0">
        <w:t>ex</w:t>
      </w:r>
      <w:r w:rsidR="00675537">
        <w:t xml:space="preserve">acerbated </w:t>
      </w:r>
      <w:r w:rsidRPr="00AD6D7C">
        <w:t xml:space="preserve">by events such as natural disasters or supply chain disruptions. In these situations of stress, small businesses </w:t>
      </w:r>
      <w:r w:rsidR="00E43225">
        <w:t xml:space="preserve">may </w:t>
      </w:r>
      <w:r w:rsidRPr="00AD6D7C">
        <w:t xml:space="preserve">be unprepared and unaware of the support available to them. Mental health issues have also been found to affect small business owners as they often face challenges and pressures in solitude. It is important for small businesses to have access to information so they can deal with the </w:t>
      </w:r>
      <w:r w:rsidR="00CA6384">
        <w:t>difficulties experienced</w:t>
      </w:r>
      <w:r w:rsidR="00D529F0">
        <w:t xml:space="preserve"> </w:t>
      </w:r>
      <w:r w:rsidRPr="00AD6D7C">
        <w:t>and ensure the viability of their businesses</w:t>
      </w:r>
      <w:r w:rsidR="00916FA5">
        <w:t xml:space="preserve">. </w:t>
      </w:r>
    </w:p>
    <w:p w14:paraId="426FFBFE" w14:textId="2B7E53C8" w:rsidR="00AD6D7C" w:rsidRPr="00AD6D7C" w:rsidRDefault="00AD6D7C" w:rsidP="00AD6D7C">
      <w:r w:rsidRPr="00916FA5">
        <w:rPr>
          <w:rStyle w:val="Strong"/>
        </w:rPr>
        <w:t xml:space="preserve">Managing disputes, such as disagreements over payments for goods and services or other contractual obligations, can be a time consuming and </w:t>
      </w:r>
      <w:r w:rsidR="00C53426">
        <w:rPr>
          <w:rStyle w:val="Strong"/>
        </w:rPr>
        <w:t xml:space="preserve">demanding aspect </w:t>
      </w:r>
      <w:r w:rsidRPr="00916FA5">
        <w:rPr>
          <w:rStyle w:val="Strong"/>
        </w:rPr>
        <w:t>of running a business.</w:t>
      </w:r>
      <w:r w:rsidRPr="00AD6D7C">
        <w:t xml:space="preserve"> Whe</w:t>
      </w:r>
      <w:r w:rsidR="00DE6237">
        <w:t>n</w:t>
      </w:r>
      <w:r w:rsidRPr="00AD6D7C">
        <w:t xml:space="preserve"> small businesses </w:t>
      </w:r>
      <w:r w:rsidR="00C02A43">
        <w:t xml:space="preserve">lack </w:t>
      </w:r>
      <w:r w:rsidRPr="00AD6D7C">
        <w:t>aware</w:t>
      </w:r>
      <w:r w:rsidR="00C02A43">
        <w:t>ness</w:t>
      </w:r>
      <w:r w:rsidRPr="00AD6D7C">
        <w:t xml:space="preserve"> of, or access</w:t>
      </w:r>
      <w:r w:rsidR="001119AD">
        <w:t xml:space="preserve"> to</w:t>
      </w:r>
      <w:r w:rsidRPr="00AD6D7C">
        <w:t xml:space="preserve"> </w:t>
      </w:r>
      <w:r w:rsidR="00A14EA3">
        <w:t xml:space="preserve">effective </w:t>
      </w:r>
      <w:r w:rsidRPr="00AD6D7C">
        <w:t>low</w:t>
      </w:r>
      <w:r w:rsidR="00916FA5">
        <w:noBreakHyphen/>
      </w:r>
      <w:r w:rsidRPr="00AD6D7C">
        <w:t xml:space="preserve">cost alternative </w:t>
      </w:r>
      <w:r w:rsidR="00EF6FD0">
        <w:t xml:space="preserve">methods </w:t>
      </w:r>
      <w:r w:rsidRPr="00AD6D7C">
        <w:t xml:space="preserve">for addressing disputes, they may </w:t>
      </w:r>
      <w:r w:rsidR="00AB31C1" w:rsidRPr="00AD6D7C">
        <w:t xml:space="preserve">avoid involving a third party to resolve disputes </w:t>
      </w:r>
      <w:r w:rsidR="00AB31C1">
        <w:t xml:space="preserve">or </w:t>
      </w:r>
      <w:r w:rsidRPr="00AD6D7C">
        <w:t>ignore the disput</w:t>
      </w:r>
      <w:r w:rsidRPr="00AD6D7C" w:rsidDel="00966BAE">
        <w:t xml:space="preserve">e </w:t>
      </w:r>
      <w:r w:rsidR="00966BAE">
        <w:t>altogether.</w:t>
      </w:r>
      <w:r w:rsidRPr="00AD6D7C">
        <w:t xml:space="preserve"> This can significantly impact the small business, including an increased risk of business failure</w:t>
      </w:r>
      <w:r w:rsidR="00916FA5">
        <w:t xml:space="preserve">. </w:t>
      </w:r>
      <w:r w:rsidR="007441AB">
        <w:t>Equipping</w:t>
      </w:r>
      <w:r w:rsidRPr="00AD6D7C" w:rsidDel="007441AB">
        <w:t xml:space="preserve"> </w:t>
      </w:r>
      <w:r w:rsidRPr="00AD6D7C">
        <w:t xml:space="preserve">small businesses with the right tools to </w:t>
      </w:r>
      <w:r w:rsidR="00967300">
        <w:t xml:space="preserve">effectively manage </w:t>
      </w:r>
      <w:r w:rsidRPr="00AD6D7C">
        <w:t xml:space="preserve">can </w:t>
      </w:r>
      <w:r w:rsidR="007F51B6">
        <w:t xml:space="preserve">enhance </w:t>
      </w:r>
      <w:r w:rsidRPr="00AD6D7C">
        <w:t xml:space="preserve">their success and ability to contribute </w:t>
      </w:r>
      <w:r w:rsidR="002F2623">
        <w:t xml:space="preserve">positively </w:t>
      </w:r>
      <w:r w:rsidRPr="00AD6D7C">
        <w:t>to the economy</w:t>
      </w:r>
      <w:r w:rsidR="00916FA5">
        <w:t xml:space="preserve">. </w:t>
      </w:r>
    </w:p>
    <w:p w14:paraId="4104B4E6" w14:textId="7D12450E" w:rsidR="002336FC" w:rsidRPr="00AD6D7C" w:rsidRDefault="00AD6D7C" w:rsidP="00AD6D7C">
      <w:r w:rsidRPr="00916FA5">
        <w:rPr>
          <w:rStyle w:val="Strong"/>
        </w:rPr>
        <w:t>Government policy and regulatory settings can significantly impact the productivity of small businesses</w:t>
      </w:r>
      <w:r w:rsidR="00916FA5">
        <w:rPr>
          <w:lang w:val="en-US"/>
        </w:rPr>
        <w:t xml:space="preserve">. </w:t>
      </w:r>
      <w:r w:rsidRPr="00AD6D7C">
        <w:rPr>
          <w:lang w:val="en-US"/>
        </w:rPr>
        <w:t xml:space="preserve">However, as small businesses are time poor and have resource constraints, they are unlikely to actively engage with </w:t>
      </w:r>
      <w:r w:rsidR="00961043">
        <w:rPr>
          <w:lang w:val="en-US"/>
        </w:rPr>
        <w:t>g</w:t>
      </w:r>
      <w:r w:rsidRPr="00AD6D7C">
        <w:rPr>
          <w:lang w:val="en-US"/>
        </w:rPr>
        <w:t>overnment. This makes it challenging for policymakers to gain practical insights into the impact of reforms on small businesses. Therefore, it is essential for small businesses to be represented and have their views heard.</w:t>
      </w:r>
      <w:r w:rsidRPr="00AD6D7C">
        <w:t> </w:t>
      </w:r>
    </w:p>
    <w:p w14:paraId="1B649FAB" w14:textId="26962542" w:rsidR="001D18F1" w:rsidRPr="00AA4DFA" w:rsidRDefault="00AD6D7C" w:rsidP="001D18F1">
      <w:pPr>
        <w:rPr>
          <w:bCs/>
        </w:rPr>
      </w:pPr>
      <w:r w:rsidRPr="00ED421C">
        <w:rPr>
          <w:rStyle w:val="Strong"/>
        </w:rPr>
        <w:t>The purpose of ASBFEO is to reduce these challenges for small businesses</w:t>
      </w:r>
      <w:r w:rsidR="00386F57" w:rsidRPr="00ED421C">
        <w:rPr>
          <w:rStyle w:val="Strong"/>
        </w:rPr>
        <w:t>.</w:t>
      </w:r>
      <w:r w:rsidRPr="00AA4DFA">
        <w:rPr>
          <w:bCs/>
        </w:rPr>
        <w:t xml:space="preserve"> </w:t>
      </w:r>
      <w:r w:rsidR="00386F57" w:rsidRPr="001972D0">
        <w:rPr>
          <w:bCs/>
        </w:rPr>
        <w:t>It does this</w:t>
      </w:r>
      <w:r w:rsidRPr="00AA4DFA">
        <w:rPr>
          <w:bCs/>
        </w:rPr>
        <w:t xml:space="preserve"> by </w:t>
      </w:r>
      <w:r w:rsidRPr="00AA4DFA">
        <w:rPr>
          <w:bCs/>
          <w:lang w:val="en-US"/>
        </w:rPr>
        <w:t xml:space="preserve">providing information, </w:t>
      </w:r>
      <w:r w:rsidRPr="00AA4DFA">
        <w:rPr>
          <w:bCs/>
        </w:rPr>
        <w:t>facilitating timely and cost</w:t>
      </w:r>
      <w:r w:rsidR="003A0D5E">
        <w:rPr>
          <w:bCs/>
        </w:rPr>
        <w:noBreakHyphen/>
      </w:r>
      <w:r w:rsidRPr="00AA4DFA">
        <w:rPr>
          <w:bCs/>
        </w:rPr>
        <w:t xml:space="preserve">effective access to dispute resolution services, and </w:t>
      </w:r>
      <w:r w:rsidR="00065015" w:rsidRPr="00AA4DFA">
        <w:rPr>
          <w:bCs/>
        </w:rPr>
        <w:t>ensuring small</w:t>
      </w:r>
      <w:r w:rsidR="00950B0C" w:rsidRPr="00AA4DFA">
        <w:rPr>
          <w:bCs/>
        </w:rPr>
        <w:t xml:space="preserve"> business </w:t>
      </w:r>
      <w:r w:rsidRPr="00AA4DFA">
        <w:rPr>
          <w:bCs/>
        </w:rPr>
        <w:t xml:space="preserve">views are heard by </w:t>
      </w:r>
      <w:r w:rsidR="00226C8C" w:rsidRPr="00AA4DFA">
        <w:rPr>
          <w:bCs/>
        </w:rPr>
        <w:t>g</w:t>
      </w:r>
      <w:r w:rsidRPr="00AA4DFA">
        <w:rPr>
          <w:bCs/>
        </w:rPr>
        <w:t>overnment. </w:t>
      </w:r>
    </w:p>
    <w:p w14:paraId="6A65F68F" w14:textId="77777777" w:rsidR="00916FA5" w:rsidRDefault="00916FA5" w:rsidP="001D18F1">
      <w:pPr>
        <w:sectPr w:rsidR="00916FA5" w:rsidSect="00BC6471">
          <w:type w:val="oddPage"/>
          <w:pgSz w:w="11906" w:h="16838" w:code="9"/>
          <w:pgMar w:top="1843" w:right="1418" w:bottom="1418" w:left="1418" w:header="709" w:footer="709" w:gutter="0"/>
          <w:cols w:space="708"/>
          <w:docGrid w:linePitch="360"/>
        </w:sectPr>
      </w:pPr>
    </w:p>
    <w:p w14:paraId="378787EA" w14:textId="6A33C10B" w:rsidR="001D18F1" w:rsidRDefault="001D18F1" w:rsidP="001D18F1">
      <w:pPr>
        <w:pStyle w:val="Heading1"/>
      </w:pPr>
      <w:bookmarkStart w:id="9" w:name="_Toc199940921"/>
      <w:r>
        <w:lastRenderedPageBreak/>
        <w:t>Chapter 2</w:t>
      </w:r>
      <w:r w:rsidR="00F47F9C">
        <w:t>: Overview of ASBFEO</w:t>
      </w:r>
      <w:bookmarkEnd w:id="9"/>
    </w:p>
    <w:p w14:paraId="7FD18196" w14:textId="0E2A6DB8" w:rsidR="0054064B" w:rsidRPr="0054064B" w:rsidRDefault="0054064B" w:rsidP="0054064B">
      <w:r w:rsidRPr="00916FA5">
        <w:rPr>
          <w:rStyle w:val="Strong"/>
        </w:rPr>
        <w:t>The ASBFEO Ombudsman (the Ombudsman) is an independent statutory appointment.</w:t>
      </w:r>
      <w:r w:rsidRPr="0054064B">
        <w:t xml:space="preserve"> The Hon</w:t>
      </w:r>
      <w:r w:rsidR="009320CE">
        <w:t> </w:t>
      </w:r>
      <w:r w:rsidRPr="0054064B">
        <w:t>Bruce Billson is the current Ombudsman appointed for a 5</w:t>
      </w:r>
      <w:r w:rsidR="003A0D5E">
        <w:noBreakHyphen/>
      </w:r>
      <w:r w:rsidRPr="0054064B">
        <w:t>year term in March 2021. Ms</w:t>
      </w:r>
      <w:r w:rsidR="009320CE">
        <w:t> </w:t>
      </w:r>
      <w:r w:rsidRPr="0054064B">
        <w:t>Kate</w:t>
      </w:r>
      <w:r w:rsidR="009320CE">
        <w:t> </w:t>
      </w:r>
      <w:r w:rsidRPr="0054064B">
        <w:t>Carnell AO was the inaugural Ombudsman from 2016</w:t>
      </w:r>
      <w:r w:rsidR="002F2623">
        <w:t xml:space="preserve"> to</w:t>
      </w:r>
      <w:r w:rsidR="00226C8C">
        <w:t xml:space="preserve"> </w:t>
      </w:r>
      <w:r w:rsidRPr="0054064B">
        <w:t>2021. </w:t>
      </w:r>
    </w:p>
    <w:p w14:paraId="2365597F" w14:textId="64A6DF9B" w:rsidR="0054064B" w:rsidRDefault="0054064B" w:rsidP="0054064B">
      <w:r w:rsidRPr="004B4D44">
        <w:rPr>
          <w:rStyle w:val="Strong"/>
        </w:rPr>
        <w:t xml:space="preserve">The Ombudsman is supported by an office funded by the </w:t>
      </w:r>
      <w:r w:rsidR="00A13AFC">
        <w:rPr>
          <w:rStyle w:val="Strong"/>
        </w:rPr>
        <w:t>Australian</w:t>
      </w:r>
      <w:r w:rsidR="00A13AFC" w:rsidRPr="004B4D44">
        <w:rPr>
          <w:rStyle w:val="Strong"/>
        </w:rPr>
        <w:t xml:space="preserve"> </w:t>
      </w:r>
      <w:r w:rsidRPr="004B4D44">
        <w:rPr>
          <w:rStyle w:val="Strong"/>
        </w:rPr>
        <w:t xml:space="preserve">Government that </w:t>
      </w:r>
      <w:proofErr w:type="gramStart"/>
      <w:r w:rsidRPr="004B4D44">
        <w:rPr>
          <w:rStyle w:val="Strong"/>
        </w:rPr>
        <w:t>provides assistance</w:t>
      </w:r>
      <w:proofErr w:type="gramEnd"/>
      <w:r w:rsidRPr="004B4D44">
        <w:rPr>
          <w:rStyle w:val="Strong"/>
        </w:rPr>
        <w:t xml:space="preserve"> and advocacy to small business and family enterprises</w:t>
      </w:r>
      <w:r w:rsidRPr="0054064B">
        <w:t xml:space="preserve">. </w:t>
      </w:r>
      <w:r w:rsidR="00413356">
        <w:t xml:space="preserve">The ASBFEO Act section 5 defines </w:t>
      </w:r>
      <w:r w:rsidRPr="0054064B">
        <w:t xml:space="preserve">small business or family enterprise as one with fewer than 100 employees or </w:t>
      </w:r>
      <w:r w:rsidR="000B7D83">
        <w:t xml:space="preserve">an </w:t>
      </w:r>
      <w:r w:rsidRPr="0054064B">
        <w:t>annual revenue less than $5 million</w:t>
      </w:r>
      <w:r w:rsidR="00C24DFE">
        <w:t>.</w:t>
      </w:r>
      <w:r w:rsidR="008C7EDE" w:rsidRPr="00037A05" w:rsidDel="008C7EDE">
        <w:rPr>
          <w:rStyle w:val="FootnoteReference"/>
          <w:sz w:val="22"/>
          <w:szCs w:val="22"/>
          <w:vertAlign w:val="superscript"/>
        </w:rPr>
        <w:t xml:space="preserve"> </w:t>
      </w:r>
    </w:p>
    <w:p w14:paraId="1D0F0933" w14:textId="77777777" w:rsidR="00297948" w:rsidRPr="0054064B" w:rsidRDefault="00297948" w:rsidP="00297948">
      <w:r w:rsidRPr="00916FA5">
        <w:rPr>
          <w:rStyle w:val="Strong"/>
        </w:rPr>
        <w:t xml:space="preserve">ASBFEO commenced operations in March 2016 and is governed by the ASBFEO Act. </w:t>
      </w:r>
      <w:r w:rsidRPr="0054064B">
        <w:t>The ASBFEO Act sets out the functions of ASBFEO, which include: </w:t>
      </w:r>
    </w:p>
    <w:p w14:paraId="64E0AE16" w14:textId="3DC12593" w:rsidR="00297948" w:rsidRPr="0054064B" w:rsidRDefault="00297948" w:rsidP="00297948">
      <w:pPr>
        <w:pStyle w:val="Bullet"/>
      </w:pPr>
      <w:r w:rsidRPr="0054064B">
        <w:t>advocat</w:t>
      </w:r>
      <w:r w:rsidR="0052370F">
        <w:t>ing</w:t>
      </w:r>
      <w:r w:rsidRPr="0054064B">
        <w:t xml:space="preserve"> for small businesses and family enterprises concerning relevant legislation, policies and practices (the advocacy function)</w:t>
      </w:r>
    </w:p>
    <w:p w14:paraId="7E9269A0" w14:textId="1E76E28B" w:rsidR="0052370F" w:rsidRPr="0054064B" w:rsidRDefault="00297948" w:rsidP="00297948">
      <w:pPr>
        <w:pStyle w:val="Bullet"/>
      </w:pPr>
      <w:r w:rsidRPr="0054064B">
        <w:t>giv</w:t>
      </w:r>
      <w:r w:rsidR="0052370F">
        <w:t>ing</w:t>
      </w:r>
      <w:r w:rsidRPr="0054064B">
        <w:t xml:space="preserve"> assistance to small businesses and family enterprises in dispute with other businesses or </w:t>
      </w:r>
      <w:r w:rsidR="0052370F">
        <w:t>Australian</w:t>
      </w:r>
      <w:r w:rsidR="0052370F" w:rsidRPr="0054064B">
        <w:t xml:space="preserve"> </w:t>
      </w:r>
      <w:r w:rsidRPr="0054064B">
        <w:t>Government agencies (the assistance function) </w:t>
      </w:r>
    </w:p>
    <w:p w14:paraId="1C471F76" w14:textId="69D01633" w:rsidR="00297948" w:rsidRPr="0054064B" w:rsidRDefault="00297948" w:rsidP="008C7EDE">
      <w:pPr>
        <w:pStyle w:val="Bullet"/>
      </w:pPr>
      <w:r w:rsidRPr="0054064B">
        <w:t>perform</w:t>
      </w:r>
      <w:r w:rsidR="00985B00">
        <w:t>ing</w:t>
      </w:r>
      <w:r w:rsidRPr="0054064B">
        <w:t xml:space="preserve"> any other function conferred on the Ombudsman by any Act or legislative instrument. </w:t>
      </w:r>
    </w:p>
    <w:p w14:paraId="33B3CA3F" w14:textId="7E6B6F66" w:rsidR="00DD3812" w:rsidRDefault="00DD3812" w:rsidP="004A2927">
      <w:r w:rsidRPr="00AA4DFA">
        <w:rPr>
          <w:b/>
        </w:rPr>
        <w:t>ASBFEO was transferred from the Department of Industry, Science, Energy and Resources to Treasury through a Machinery of Government change effective 15 April 2021</w:t>
      </w:r>
      <w:r w:rsidR="00D00364" w:rsidRPr="00AA4DFA">
        <w:rPr>
          <w:b/>
        </w:rPr>
        <w:t xml:space="preserve"> (</w:t>
      </w:r>
      <w:r w:rsidR="008C7EDE" w:rsidRPr="00AA4DFA">
        <w:rPr>
          <w:b/>
        </w:rPr>
        <w:t>Figure</w:t>
      </w:r>
      <w:r w:rsidR="00417673" w:rsidRPr="00AA4DFA">
        <w:rPr>
          <w:b/>
        </w:rPr>
        <w:t xml:space="preserve"> </w:t>
      </w:r>
      <w:r w:rsidR="00D00364" w:rsidRPr="00AA4DFA">
        <w:rPr>
          <w:b/>
        </w:rPr>
        <w:t>2.1).</w:t>
      </w:r>
      <w:r w:rsidR="00D00364">
        <w:t xml:space="preserve"> Before that it was </w:t>
      </w:r>
      <w:r w:rsidRPr="00DD3812">
        <w:t>assigned to</w:t>
      </w:r>
      <w:r w:rsidR="00D00364">
        <w:t xml:space="preserve"> the </w:t>
      </w:r>
      <w:r w:rsidRPr="00DD3812">
        <w:t xml:space="preserve">Department of Employment, Skills and Small and Family Business </w:t>
      </w:r>
      <w:r w:rsidR="00CE4724">
        <w:br/>
      </w:r>
      <w:r w:rsidRPr="00DD3812">
        <w:t>(2019</w:t>
      </w:r>
      <w:r w:rsidR="00D00364">
        <w:t>–</w:t>
      </w:r>
      <w:r w:rsidRPr="00DD3812">
        <w:t>2020)</w:t>
      </w:r>
      <w:r w:rsidR="00D00364">
        <w:t xml:space="preserve">; the </w:t>
      </w:r>
      <w:r w:rsidRPr="00DD3812">
        <w:t>Department of Jobs and Small Business (2017</w:t>
      </w:r>
      <w:r w:rsidR="00D00364">
        <w:t>–</w:t>
      </w:r>
      <w:r w:rsidRPr="00DD3812">
        <w:t>2019)</w:t>
      </w:r>
      <w:r w:rsidR="00D00364">
        <w:t xml:space="preserve">, and </w:t>
      </w:r>
      <w:r w:rsidRPr="00DD3812">
        <w:t>Treasury (2016</w:t>
      </w:r>
      <w:r w:rsidR="00D00364">
        <w:t>–</w:t>
      </w:r>
      <w:r w:rsidR="00272BE0">
        <w:t>20</w:t>
      </w:r>
      <w:r w:rsidRPr="00DD3812">
        <w:t>17)</w:t>
      </w:r>
      <w:r w:rsidR="005D4EAE">
        <w:t>.</w:t>
      </w:r>
    </w:p>
    <w:p w14:paraId="2C5F9DB8" w14:textId="0F098AD8" w:rsidR="002F215F" w:rsidRDefault="002F215F" w:rsidP="00CE4724">
      <w:pPr>
        <w:pStyle w:val="ChartMainHeading"/>
      </w:pPr>
      <w:bookmarkStart w:id="10" w:name="_Hlk199238936"/>
      <w:r>
        <w:rPr>
          <w:lang w:val="en-US"/>
        </w:rPr>
        <w:t>Figure 2</w:t>
      </w:r>
      <w:r w:rsidRPr="00C47726">
        <w:rPr>
          <w:lang w:val="en-US"/>
        </w:rPr>
        <w:t>.</w:t>
      </w:r>
      <w:r>
        <w:rPr>
          <w:lang w:val="en-US"/>
        </w:rPr>
        <w:t>1</w:t>
      </w:r>
      <w:r w:rsidRPr="00C47726">
        <w:rPr>
          <w:lang w:val="en-US"/>
        </w:rPr>
        <w:t xml:space="preserve">: </w:t>
      </w:r>
      <w:r w:rsidR="00E569AA">
        <w:rPr>
          <w:lang w:val="en-US"/>
        </w:rPr>
        <w:t xml:space="preserve">ASBFEO </w:t>
      </w:r>
      <w:r w:rsidR="004A3F01">
        <w:rPr>
          <w:lang w:val="en-US"/>
        </w:rPr>
        <w:t xml:space="preserve">portfolio </w:t>
      </w:r>
      <w:r w:rsidR="00E569AA">
        <w:rPr>
          <w:lang w:val="en-US"/>
        </w:rPr>
        <w:t xml:space="preserve">transfer </w:t>
      </w:r>
      <w:r w:rsidR="00E569AA">
        <w:t>t</w:t>
      </w:r>
      <w:r w:rsidR="00360083">
        <w:t>imeline</w:t>
      </w:r>
    </w:p>
    <w:bookmarkEnd w:id="10"/>
    <w:p w14:paraId="1C52A6AF" w14:textId="707E1A28" w:rsidR="002F215F" w:rsidRPr="00DD3812" w:rsidRDefault="002F215F" w:rsidP="005806AB">
      <w:pPr>
        <w:jc w:val="center"/>
      </w:pPr>
      <w:r>
        <w:rPr>
          <w:noProof/>
        </w:rPr>
        <w:drawing>
          <wp:inline distT="0" distB="0" distL="0" distR="0" wp14:anchorId="13F8DE21" wp14:editId="54A94D2F">
            <wp:extent cx="5759450" cy="1945030"/>
            <wp:effectExtent l="0" t="0" r="0" b="0"/>
            <wp:docPr id="651837776" name="Picture 5" descr="This infographic shows overview of ASBFEO portfolio changes since commencement. ASBFEO was transferred from the Department of Industry, Science, Energy and Resources to Treasury through a Machinery of Government change effective 15 April 2021, having previously been assigned to Department of Employment, Skills and Small and Family Business (2019- 2020), Department of Jobs and Small Business (2017-2019) and Treasury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37776" name="Picture 5" descr="This infographic shows overview of ASBFEO portfolio changes since commencement. ASBFEO was transferred from the Department of Industry, Science, Energy and Resources to Treasury through a Machinery of Government change effective 15 April 2021, having previously been assigned to Department of Employment, Skills and Small and Family Business (2019- 2020), Department of Jobs and Small Business (2017-2019) and Treasury (2016-17)."/>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5759450" cy="1945030"/>
                    </a:xfrm>
                    <a:prstGeom prst="rect">
                      <a:avLst/>
                    </a:prstGeom>
                  </pic:spPr>
                </pic:pic>
              </a:graphicData>
            </a:graphic>
          </wp:inline>
        </w:drawing>
      </w:r>
    </w:p>
    <w:p w14:paraId="55A76101" w14:textId="37A84FCC" w:rsidR="00185626" w:rsidRDefault="0054064B" w:rsidP="0054064B">
      <w:r w:rsidRPr="0004340F">
        <w:rPr>
          <w:rStyle w:val="Strong"/>
        </w:rPr>
        <w:t>ASBFEO does not operate as a separate entity</w:t>
      </w:r>
      <w:r w:rsidR="00360FB2" w:rsidRPr="0004340F">
        <w:rPr>
          <w:rStyle w:val="Strong"/>
        </w:rPr>
        <w:t>.</w:t>
      </w:r>
      <w:r w:rsidR="00360FB2">
        <w:rPr>
          <w:b/>
          <w:lang w:val="en-US"/>
        </w:rPr>
        <w:t xml:space="preserve"> </w:t>
      </w:r>
      <w:r w:rsidR="00360FB2" w:rsidRPr="00AA4DFA">
        <w:rPr>
          <w:lang w:val="en-US"/>
        </w:rPr>
        <w:t>S</w:t>
      </w:r>
      <w:r w:rsidRPr="00AA4DFA">
        <w:rPr>
          <w:lang w:val="en-US"/>
        </w:rPr>
        <w:t xml:space="preserve">taff </w:t>
      </w:r>
      <w:r w:rsidR="0059781B" w:rsidRPr="00AA4DFA">
        <w:rPr>
          <w:lang w:val="en-US"/>
        </w:rPr>
        <w:t>supporting the Ombudsman are made available by the Secretary of the Treasury</w:t>
      </w:r>
      <w:r w:rsidRPr="0054064B">
        <w:rPr>
          <w:lang w:val="en-US"/>
        </w:rPr>
        <w:t>. ASBFEO</w:t>
      </w:r>
      <w:r w:rsidR="00916FA5">
        <w:rPr>
          <w:lang w:val="en-US"/>
        </w:rPr>
        <w:t>’</w:t>
      </w:r>
      <w:r w:rsidRPr="0054064B">
        <w:rPr>
          <w:lang w:val="en-US"/>
        </w:rPr>
        <w:t>s funding is received from Treasury</w:t>
      </w:r>
      <w:r w:rsidR="00916FA5">
        <w:rPr>
          <w:lang w:val="en-US"/>
        </w:rPr>
        <w:t>’</w:t>
      </w:r>
      <w:r w:rsidRPr="0054064B">
        <w:rPr>
          <w:lang w:val="en-US"/>
        </w:rPr>
        <w:t>s operating revenue and is determined by Treasury</w:t>
      </w:r>
      <w:r w:rsidR="00916FA5">
        <w:rPr>
          <w:lang w:val="en-US"/>
        </w:rPr>
        <w:t>’</w:t>
      </w:r>
      <w:r w:rsidRPr="0054064B">
        <w:rPr>
          <w:lang w:val="en-US"/>
        </w:rPr>
        <w:t>s internal budget process. The 2024</w:t>
      </w:r>
      <w:r w:rsidR="00916FA5" w:rsidRPr="00916FA5">
        <w:t>–</w:t>
      </w:r>
      <w:r w:rsidRPr="0054064B">
        <w:rPr>
          <w:lang w:val="en-US"/>
        </w:rPr>
        <w:t>25 budget for ASBFEO is $6.4</w:t>
      </w:r>
      <w:r w:rsidR="00916FA5">
        <w:rPr>
          <w:lang w:val="en-US"/>
        </w:rPr>
        <w:t> </w:t>
      </w:r>
      <w:r w:rsidRPr="0054064B">
        <w:rPr>
          <w:lang w:val="en-US"/>
        </w:rPr>
        <w:t>million with a</w:t>
      </w:r>
      <w:r w:rsidR="00E2589C">
        <w:rPr>
          <w:lang w:val="en-US"/>
        </w:rPr>
        <w:t>n average</w:t>
      </w:r>
      <w:r w:rsidRPr="0054064B">
        <w:rPr>
          <w:lang w:val="en-US"/>
        </w:rPr>
        <w:t xml:space="preserve"> staffing level of </w:t>
      </w:r>
      <w:r w:rsidR="003B28B1">
        <w:rPr>
          <w:lang w:val="en-US"/>
        </w:rPr>
        <w:t>approximately 30</w:t>
      </w:r>
      <w:r w:rsidR="00BE3744">
        <w:t>.</w:t>
      </w:r>
    </w:p>
    <w:p w14:paraId="02271650" w14:textId="6949F776" w:rsidR="0054064B" w:rsidRPr="0054064B" w:rsidRDefault="0004340F" w:rsidP="0054064B">
      <w:r w:rsidRPr="794D33DD">
        <w:br w:type="page"/>
      </w:r>
    </w:p>
    <w:p w14:paraId="0390681A" w14:textId="4D93438F" w:rsidR="00A13063" w:rsidRPr="0004340F" w:rsidRDefault="009415D2" w:rsidP="0054064B">
      <w:pPr>
        <w:rPr>
          <w:rStyle w:val="Strong"/>
        </w:rPr>
      </w:pPr>
      <w:r w:rsidRPr="0004340F">
        <w:rPr>
          <w:rStyle w:val="Strong"/>
        </w:rPr>
        <w:lastRenderedPageBreak/>
        <w:t>The ASBFEO Act</w:t>
      </w:r>
      <w:r w:rsidR="00F817C2">
        <w:rPr>
          <w:rStyle w:val="Strong"/>
        </w:rPr>
        <w:t>’</w:t>
      </w:r>
      <w:r w:rsidR="00F817C2" w:rsidRPr="0004340F">
        <w:rPr>
          <w:rStyle w:val="Strong"/>
        </w:rPr>
        <w:t>s explanatory memorandum</w:t>
      </w:r>
      <w:r w:rsidRPr="0004340F">
        <w:rPr>
          <w:rStyle w:val="Strong"/>
        </w:rPr>
        <w:t xml:space="preserve"> explains </w:t>
      </w:r>
      <w:r w:rsidR="00F817C2" w:rsidRPr="0004340F">
        <w:rPr>
          <w:rStyle w:val="Strong"/>
        </w:rPr>
        <w:t>why</w:t>
      </w:r>
      <w:r w:rsidRPr="0004340F">
        <w:rPr>
          <w:rStyle w:val="Strong"/>
        </w:rPr>
        <w:t xml:space="preserve"> ASBFEO</w:t>
      </w:r>
      <w:r w:rsidR="00F817C2" w:rsidRPr="0004340F">
        <w:rPr>
          <w:rStyle w:val="Strong"/>
        </w:rPr>
        <w:t xml:space="preserve"> was established</w:t>
      </w:r>
      <w:r w:rsidRPr="0004340F">
        <w:rPr>
          <w:rStyle w:val="Strong"/>
        </w:rPr>
        <w:t>.</w:t>
      </w:r>
    </w:p>
    <w:p w14:paraId="6DFA1D14" w14:textId="6A9A50CE" w:rsidR="0054064B" w:rsidRPr="0054064B" w:rsidRDefault="00916FA5" w:rsidP="0054064B">
      <w:r>
        <w:rPr>
          <w:rStyle w:val="Emphasis"/>
        </w:rPr>
        <w:t>‘</w:t>
      </w:r>
      <w:r w:rsidR="0054064B" w:rsidRPr="0004340F">
        <w:rPr>
          <w:rStyle w:val="Emphasis"/>
        </w:rPr>
        <w:t>A good regulatory regime can make a difference to the productivity of businesses, and decisions about when, or whether, a business should proceed with an investment</w:t>
      </w:r>
      <w:r w:rsidR="00C714C2" w:rsidRPr="0004340F">
        <w:rPr>
          <w:rStyle w:val="Emphasis"/>
        </w:rPr>
        <w:t>.</w:t>
      </w:r>
      <w:r w:rsidR="00C714C2">
        <w:rPr>
          <w:rStyle w:val="Emphasis"/>
        </w:rPr>
        <w:t>’</w:t>
      </w:r>
      <w:r w:rsidR="00293399" w:rsidRPr="0054064B" w:rsidDel="00970990">
        <w:rPr>
          <w:vertAlign w:val="superscript"/>
          <w:lang w:val="en-US"/>
        </w:rPr>
        <w:t xml:space="preserve"> </w:t>
      </w:r>
      <w:r w:rsidR="00065357">
        <w:rPr>
          <w:rFonts w:ascii="ZWAdobeF" w:hAnsi="ZWAdobeF" w:cs="ZWAdobeF"/>
          <w:color w:val="auto"/>
          <w:sz w:val="2"/>
          <w:szCs w:val="2"/>
          <w:lang w:val="en-US"/>
        </w:rPr>
        <w:t>4F</w:t>
      </w:r>
      <w:r w:rsidR="00293399" w:rsidRPr="00037A05">
        <w:rPr>
          <w:rStyle w:val="FootnoteReference"/>
          <w:sz w:val="22"/>
          <w:szCs w:val="22"/>
          <w:vertAlign w:val="superscript"/>
          <w:lang w:val="en-US"/>
        </w:rPr>
        <w:footnoteReference w:id="6"/>
      </w:r>
    </w:p>
    <w:p w14:paraId="2F3A7237" w14:textId="14363FBC" w:rsidR="0054064B" w:rsidRPr="00374012" w:rsidRDefault="0054064B" w:rsidP="0054064B">
      <w:r w:rsidRPr="00374012">
        <w:rPr>
          <w:lang w:val="en-GB"/>
        </w:rPr>
        <w:t xml:space="preserve">The explanatory memorandum </w:t>
      </w:r>
      <w:r w:rsidR="00F817C2">
        <w:rPr>
          <w:lang w:val="en-GB"/>
        </w:rPr>
        <w:t>explains</w:t>
      </w:r>
      <w:r w:rsidRPr="00374012">
        <w:rPr>
          <w:lang w:val="en-GB"/>
        </w:rPr>
        <w:t xml:space="preserve"> </w:t>
      </w:r>
      <w:r w:rsidR="00F817C2">
        <w:rPr>
          <w:lang w:val="en-GB"/>
        </w:rPr>
        <w:t>how</w:t>
      </w:r>
      <w:r w:rsidRPr="00374012">
        <w:rPr>
          <w:lang w:val="en-GB"/>
        </w:rPr>
        <w:t xml:space="preserve"> ASBFEO</w:t>
      </w:r>
      <w:r w:rsidR="00F817C2">
        <w:rPr>
          <w:lang w:val="en-GB"/>
        </w:rPr>
        <w:t>’s work</w:t>
      </w:r>
      <w:r w:rsidRPr="00374012">
        <w:rPr>
          <w:lang w:val="en-GB"/>
        </w:rPr>
        <w:t xml:space="preserve"> </w:t>
      </w:r>
      <w:r w:rsidR="00F817C2">
        <w:rPr>
          <w:lang w:val="en-GB"/>
        </w:rPr>
        <w:t>can</w:t>
      </w:r>
      <w:r w:rsidR="00F817C2" w:rsidRPr="00374012">
        <w:rPr>
          <w:lang w:val="en-GB"/>
        </w:rPr>
        <w:t xml:space="preserve"> </w:t>
      </w:r>
      <w:r w:rsidRPr="00374012">
        <w:rPr>
          <w:lang w:val="en-GB"/>
        </w:rPr>
        <w:t>ease regulatory burden</w:t>
      </w:r>
      <w:r w:rsidR="00F817C2">
        <w:rPr>
          <w:lang w:val="en-GB"/>
        </w:rPr>
        <w:t>s</w:t>
      </w:r>
      <w:r w:rsidRPr="00374012">
        <w:rPr>
          <w:lang w:val="en-GB"/>
        </w:rPr>
        <w:t xml:space="preserve"> faced by small businesses, including:</w:t>
      </w:r>
    </w:p>
    <w:p w14:paraId="703C7BD3" w14:textId="24F99ABD" w:rsidR="0054064B" w:rsidRPr="00374012" w:rsidRDefault="0054064B" w:rsidP="00F31653">
      <w:pPr>
        <w:pStyle w:val="Bullet"/>
      </w:pPr>
      <w:r w:rsidRPr="00374012">
        <w:t>reducing administrative burdens, for example, by suggesting simplifications to administrative forms and processes</w:t>
      </w:r>
    </w:p>
    <w:p w14:paraId="5B67314E" w14:textId="16B2197B" w:rsidR="0054064B" w:rsidRPr="00374012" w:rsidRDefault="0054064B" w:rsidP="00F31653">
      <w:pPr>
        <w:pStyle w:val="Bullet"/>
      </w:pPr>
      <w:r w:rsidRPr="00374012">
        <w:t>minimising the costs businesses incur in complying with regulations</w:t>
      </w:r>
    </w:p>
    <w:p w14:paraId="20DB6DA8" w14:textId="49884ED6" w:rsidR="0054064B" w:rsidRPr="00374012" w:rsidRDefault="0054064B" w:rsidP="00F31653">
      <w:pPr>
        <w:pStyle w:val="Bullet"/>
      </w:pPr>
      <w:r w:rsidRPr="00374012">
        <w:t>providing advice on matters affecting the interactions of small businesses and family enterprises with Commonwealth agencies</w:t>
      </w:r>
    </w:p>
    <w:p w14:paraId="1D0A8439" w14:textId="0D4548B4" w:rsidR="0054064B" w:rsidRPr="00374012" w:rsidRDefault="0054064B" w:rsidP="00F31653">
      <w:pPr>
        <w:pStyle w:val="Bullet"/>
      </w:pPr>
      <w:r w:rsidRPr="00374012">
        <w:t xml:space="preserve">conducting investigations into industry sectors, in which small businesses and family enterprises face </w:t>
      </w:r>
      <w:proofErr w:type="gramStart"/>
      <w:r w:rsidRPr="00374012">
        <w:t>particular problems</w:t>
      </w:r>
      <w:proofErr w:type="gramEnd"/>
    </w:p>
    <w:p w14:paraId="377F4F68" w14:textId="3E11B866" w:rsidR="0054064B" w:rsidRPr="00374012" w:rsidRDefault="0054064B" w:rsidP="00F31653">
      <w:pPr>
        <w:pStyle w:val="Bullet"/>
      </w:pPr>
      <w:r w:rsidRPr="00374012">
        <w:t>making recommendations on practical solutions to reduce burdensome regulation.</w:t>
      </w:r>
      <w:r w:rsidR="008B1BC0" w:rsidRPr="00374012" w:rsidDel="008B1BC0">
        <w:rPr>
          <w:rStyle w:val="FootnoteReference"/>
          <w:vertAlign w:val="superscript"/>
        </w:rPr>
        <w:t xml:space="preserve"> </w:t>
      </w:r>
    </w:p>
    <w:p w14:paraId="2C15F823" w14:textId="03D664CE" w:rsidR="0054064B" w:rsidRPr="0054064B" w:rsidRDefault="0054064B" w:rsidP="0054064B">
      <w:r w:rsidRPr="00916FA5">
        <w:rPr>
          <w:rStyle w:val="Strong"/>
        </w:rPr>
        <w:t xml:space="preserve">Most state governments have </w:t>
      </w:r>
      <w:r w:rsidR="00CE5B6B">
        <w:rPr>
          <w:rStyle w:val="Strong"/>
        </w:rPr>
        <w:t xml:space="preserve">a </w:t>
      </w:r>
      <w:r w:rsidR="007E66C3">
        <w:rPr>
          <w:rStyle w:val="Strong"/>
        </w:rPr>
        <w:t>Small Business Commissioner</w:t>
      </w:r>
      <w:r w:rsidR="009C6636">
        <w:rPr>
          <w:rStyle w:val="Strong"/>
        </w:rPr>
        <w:t xml:space="preserve"> </w:t>
      </w:r>
      <w:r w:rsidR="007E66C3">
        <w:rPr>
          <w:rStyle w:val="Strong"/>
        </w:rPr>
        <w:t>(</w:t>
      </w:r>
      <w:r w:rsidRPr="00916FA5">
        <w:rPr>
          <w:rStyle w:val="Strong"/>
        </w:rPr>
        <w:t>SBC</w:t>
      </w:r>
      <w:r w:rsidR="007E66C3">
        <w:rPr>
          <w:rStyle w:val="Strong"/>
        </w:rPr>
        <w:t>)</w:t>
      </w:r>
      <w:r w:rsidRPr="00916FA5">
        <w:rPr>
          <w:rStyle w:val="Strong"/>
        </w:rPr>
        <w:t xml:space="preserve"> that undertakes advocacy and assistance functions at a state level. </w:t>
      </w:r>
      <w:r w:rsidRPr="00916FA5">
        <w:t>New South Wales, Queensland, South Australia, Western Australia and Victoria each have a</w:t>
      </w:r>
      <w:r w:rsidR="0027100E">
        <w:t>n</w:t>
      </w:r>
      <w:r w:rsidRPr="00916FA5">
        <w:t xml:space="preserve"> </w:t>
      </w:r>
      <w:r w:rsidR="00D0186E" w:rsidRPr="005A2BBB">
        <w:t>SBC</w:t>
      </w:r>
      <w:r w:rsidRPr="00916FA5">
        <w:t xml:space="preserve">. Tasmania has a Small Business Advocate. The breadth of advocacy activities undertaken varies due to differences in legislative authority, structure of </w:t>
      </w:r>
      <w:r w:rsidR="0027100E">
        <w:t>s</w:t>
      </w:r>
      <w:r w:rsidRPr="00916FA5">
        <w:t xml:space="preserve">tate government departments and overall resourcing available to support respective SBCs. Each SBC </w:t>
      </w:r>
      <w:proofErr w:type="gramStart"/>
      <w:r w:rsidRPr="00916FA5">
        <w:t>provides assistance to</w:t>
      </w:r>
      <w:proofErr w:type="gramEnd"/>
      <w:r w:rsidRPr="00916FA5">
        <w:t xml:space="preserve"> small</w:t>
      </w:r>
      <w:r w:rsidRPr="0054064B">
        <w:t xml:space="preserve"> businesses through ADR services such as </w:t>
      </w:r>
      <w:r w:rsidR="00335477">
        <w:t xml:space="preserve">a </w:t>
      </w:r>
      <w:r w:rsidRPr="0054064B">
        <w:t xml:space="preserve">mediation </w:t>
      </w:r>
      <w:r w:rsidR="00335477">
        <w:t xml:space="preserve">panel </w:t>
      </w:r>
      <w:r w:rsidRPr="0054064B">
        <w:t>and works closely with ASBFEO on</w:t>
      </w:r>
      <w:r w:rsidR="0031331B">
        <w:t xml:space="preserve"> case</w:t>
      </w:r>
      <w:r w:rsidRPr="0054064B">
        <w:t xml:space="preserve"> referrals. </w:t>
      </w:r>
    </w:p>
    <w:p w14:paraId="203D3C59" w14:textId="78D2F099" w:rsidR="0054064B" w:rsidRPr="0054064B" w:rsidRDefault="0027100E" w:rsidP="0054064B">
      <w:r>
        <w:rPr>
          <w:rStyle w:val="Strong"/>
        </w:rPr>
        <w:t>ASBFEO’s</w:t>
      </w:r>
      <w:r w:rsidRPr="00916FA5">
        <w:rPr>
          <w:rStyle w:val="Strong"/>
        </w:rPr>
        <w:t xml:space="preserve"> </w:t>
      </w:r>
      <w:r w:rsidR="0054064B" w:rsidRPr="00916FA5">
        <w:rPr>
          <w:rStyle w:val="Strong"/>
        </w:rPr>
        <w:t xml:space="preserve">advocacy function </w:t>
      </w:r>
      <w:r w:rsidR="00A13063">
        <w:rPr>
          <w:rStyle w:val="Strong"/>
        </w:rPr>
        <w:t>allows</w:t>
      </w:r>
      <w:r w:rsidR="0054064B" w:rsidRPr="00916FA5">
        <w:rPr>
          <w:rStyle w:val="Strong"/>
        </w:rPr>
        <w:t xml:space="preserve"> small businesses to </w:t>
      </w:r>
      <w:r w:rsidR="00AC4220">
        <w:rPr>
          <w:rStyle w:val="Strong"/>
        </w:rPr>
        <w:t xml:space="preserve">communicate </w:t>
      </w:r>
      <w:r w:rsidR="0054064B" w:rsidRPr="00916FA5">
        <w:rPr>
          <w:rStyle w:val="Strong"/>
        </w:rPr>
        <w:t xml:space="preserve">views </w:t>
      </w:r>
      <w:r w:rsidR="005B751B">
        <w:rPr>
          <w:rStyle w:val="Strong"/>
        </w:rPr>
        <w:t xml:space="preserve">to </w:t>
      </w:r>
      <w:r>
        <w:rPr>
          <w:rStyle w:val="Strong"/>
        </w:rPr>
        <w:t>g</w:t>
      </w:r>
      <w:r w:rsidR="0054064B" w:rsidRPr="00916FA5">
        <w:rPr>
          <w:rStyle w:val="Strong"/>
        </w:rPr>
        <w:t>overnment and policymakers on how regulations and policies</w:t>
      </w:r>
      <w:r w:rsidR="003F7AA8">
        <w:rPr>
          <w:rStyle w:val="Strong"/>
        </w:rPr>
        <w:t xml:space="preserve"> work</w:t>
      </w:r>
      <w:r w:rsidR="0054064B" w:rsidRPr="00916FA5">
        <w:rPr>
          <w:rStyle w:val="Strong"/>
        </w:rPr>
        <w:t>.</w:t>
      </w:r>
      <w:r w:rsidR="0054064B" w:rsidRPr="0054064B">
        <w:t xml:space="preserve"> </w:t>
      </w:r>
      <w:r w:rsidR="0054064B" w:rsidRPr="00916FA5">
        <w:t xml:space="preserve">ASBFEO </w:t>
      </w:r>
      <w:r w:rsidR="00AB5C84">
        <w:t xml:space="preserve">accomplishes </w:t>
      </w:r>
      <w:r w:rsidR="0054064B" w:rsidRPr="00916FA5">
        <w:t xml:space="preserve">this by providing a nationally consistent and coordinated approach to </w:t>
      </w:r>
      <w:r w:rsidR="008F7FA1">
        <w:t xml:space="preserve">identifying </w:t>
      </w:r>
      <w:r w:rsidR="0054064B" w:rsidRPr="00916FA5">
        <w:t xml:space="preserve">systemic issues facing small business. This </w:t>
      </w:r>
      <w:r w:rsidR="00891D06">
        <w:t xml:space="preserve">process </w:t>
      </w:r>
      <w:r w:rsidR="00195CA1">
        <w:t xml:space="preserve">includes </w:t>
      </w:r>
      <w:r w:rsidR="0054064B" w:rsidRPr="00916FA5">
        <w:t>identifying issues, conducting research and inquiries, collecting and sharing data sources, engaging with government agencies, industry bodies and stakeholders, and providing policy submissions</w:t>
      </w:r>
      <w:r w:rsidR="00916FA5" w:rsidRPr="00916FA5">
        <w:t>.</w:t>
      </w:r>
      <w:r w:rsidR="00916FA5">
        <w:t xml:space="preserve"> </w:t>
      </w:r>
    </w:p>
    <w:p w14:paraId="6840F114" w14:textId="748F0F96" w:rsidR="0054064B" w:rsidRPr="00916FA5" w:rsidRDefault="0054064B" w:rsidP="0054064B">
      <w:pPr>
        <w:rPr>
          <w:rStyle w:val="Strong"/>
        </w:rPr>
      </w:pPr>
      <w:r w:rsidRPr="00916FA5">
        <w:rPr>
          <w:rStyle w:val="Strong"/>
        </w:rPr>
        <w:t xml:space="preserve">Section 14 of the ASBFEO Act defines the advocacy function to include the following </w:t>
      </w:r>
      <w:r w:rsidR="004C70A3">
        <w:rPr>
          <w:rStyle w:val="Strong"/>
        </w:rPr>
        <w:t>8 advocacy</w:t>
      </w:r>
      <w:r w:rsidRPr="00916FA5">
        <w:rPr>
          <w:rStyle w:val="Strong"/>
        </w:rPr>
        <w:t xml:space="preserve"> functions: </w:t>
      </w:r>
    </w:p>
    <w:p w14:paraId="1E6D88CC" w14:textId="08B4D823" w:rsidR="0054064B" w:rsidRPr="0054064B" w:rsidRDefault="0054064B" w:rsidP="00916FA5">
      <w:pPr>
        <w:pStyle w:val="Bullet"/>
      </w:pPr>
      <w:r w:rsidRPr="0054064B">
        <w:t>identifying the concerns arising out of relevant legislation, policies and practices relating to small business and family enterprise operations</w:t>
      </w:r>
    </w:p>
    <w:p w14:paraId="6B25CF9A" w14:textId="743A7353" w:rsidR="0054064B" w:rsidRPr="0054064B" w:rsidRDefault="0054064B" w:rsidP="00916FA5">
      <w:pPr>
        <w:pStyle w:val="Bullet"/>
      </w:pPr>
      <w:r w:rsidRPr="0054064B">
        <w:t>conducting research and making inquiries on the Ombudsman</w:t>
      </w:r>
      <w:r w:rsidR="00916FA5">
        <w:t>’</w:t>
      </w:r>
      <w:r w:rsidRPr="0054064B">
        <w:t>s initiative in relation to relevant legislation, policies, and practices</w:t>
      </w:r>
    </w:p>
    <w:p w14:paraId="249A2A74" w14:textId="1D145ECD" w:rsidR="0054064B" w:rsidRPr="0054064B" w:rsidRDefault="0054064B" w:rsidP="00916FA5">
      <w:pPr>
        <w:pStyle w:val="Bullet"/>
      </w:pPr>
      <w:r w:rsidRPr="0054064B">
        <w:lastRenderedPageBreak/>
        <w:t>inquiring into matters referred to the Ombudsman by the Minister and providing advice to the Minister on matters referred to the Ombudsman  </w:t>
      </w:r>
    </w:p>
    <w:p w14:paraId="495B6002" w14:textId="39822BF8" w:rsidR="0054064B" w:rsidRPr="0054064B" w:rsidRDefault="0054064B" w:rsidP="00916FA5">
      <w:pPr>
        <w:pStyle w:val="Bullet"/>
      </w:pPr>
      <w:r w:rsidRPr="0054064B">
        <w:t>co</w:t>
      </w:r>
      <w:r w:rsidR="00916FA5">
        <w:noBreakHyphen/>
      </w:r>
      <w:r w:rsidRPr="0054064B">
        <w:t xml:space="preserve">operating with the appropriate agencies of the Commonwealth, </w:t>
      </w:r>
      <w:r w:rsidR="006E1C3B">
        <w:t>s</w:t>
      </w:r>
      <w:r w:rsidRPr="0054064B">
        <w:t xml:space="preserve">tates and </w:t>
      </w:r>
      <w:r w:rsidR="006E1C3B">
        <w:t>t</w:t>
      </w:r>
      <w:r w:rsidRPr="0054064B">
        <w:t>erritories to develop national strategies in relation to legislation, policies and practices that affect, or may affect, small businesses or family enterprises</w:t>
      </w:r>
    </w:p>
    <w:p w14:paraId="517F0B96" w14:textId="492A8A14" w:rsidR="0054064B" w:rsidRPr="0054064B" w:rsidRDefault="0054064B" w:rsidP="00916FA5">
      <w:pPr>
        <w:pStyle w:val="Bullet"/>
      </w:pPr>
      <w:r w:rsidRPr="0054064B">
        <w:t>providing information to make submissions or recommendations to, and otherwise contribute to the conduct of inquiries into relevant legislation, policies, and practices</w:t>
      </w:r>
    </w:p>
    <w:p w14:paraId="11EC51B0" w14:textId="7A202DA1" w:rsidR="0054064B" w:rsidRPr="0054064B" w:rsidRDefault="0054064B" w:rsidP="00916FA5">
      <w:pPr>
        <w:pStyle w:val="Bullet"/>
      </w:pPr>
      <w:r w:rsidRPr="0054064B">
        <w:t>reviewing proposals in relation to relevant legislation, policies, and practices, and give the Minister advice in relation to proposals of that kind</w:t>
      </w:r>
    </w:p>
    <w:p w14:paraId="32067866" w14:textId="11AE6B5B" w:rsidR="0054064B" w:rsidRPr="0054064B" w:rsidRDefault="0054064B" w:rsidP="00916FA5">
      <w:pPr>
        <w:pStyle w:val="Bullet"/>
      </w:pPr>
      <w:r w:rsidRPr="0054064B">
        <w:t>promoting best practice in interactions with small businesses and family enterprises</w:t>
      </w:r>
      <w:r w:rsidR="00916FA5">
        <w:t xml:space="preserve">. </w:t>
      </w:r>
    </w:p>
    <w:p w14:paraId="3D45A205" w14:textId="587CC014" w:rsidR="0054064B" w:rsidRPr="0054064B" w:rsidRDefault="0054064B" w:rsidP="0054064B">
      <w:r w:rsidRPr="00916FA5">
        <w:rPr>
          <w:rStyle w:val="Strong"/>
        </w:rPr>
        <w:t>ASBFEO participates in forums that bring together professional bodies, government agencies and industry associations to discuss policy issues.</w:t>
      </w:r>
      <w:r w:rsidRPr="0054064B">
        <w:t xml:space="preserve"> </w:t>
      </w:r>
      <w:r w:rsidR="001C5EAB">
        <w:t>F</w:t>
      </w:r>
      <w:r w:rsidRPr="0054064B">
        <w:t>or</w:t>
      </w:r>
      <w:r w:rsidR="00582867">
        <w:t>ums</w:t>
      </w:r>
      <w:r w:rsidRPr="0054064B">
        <w:t xml:space="preserve"> include</w:t>
      </w:r>
      <w:r w:rsidR="7333DB67">
        <w:t xml:space="preserve"> </w:t>
      </w:r>
      <w:r w:rsidRPr="0054064B">
        <w:t>the Federal Regulatory Agency Group (</w:t>
      </w:r>
      <w:r w:rsidRPr="00206B8F">
        <w:t>FRAG</w:t>
      </w:r>
      <w:r w:rsidRPr="0054064B">
        <w:t xml:space="preserve">), the Policy Forum, the </w:t>
      </w:r>
      <w:r w:rsidR="00230BFB">
        <w:rPr>
          <w:lang w:val="en-US"/>
        </w:rPr>
        <w:t>SBCs</w:t>
      </w:r>
      <w:r w:rsidRPr="0054064B">
        <w:rPr>
          <w:lang w:val="en-US"/>
        </w:rPr>
        <w:t xml:space="preserve"> meetings</w:t>
      </w:r>
      <w:r w:rsidR="002625FD">
        <w:rPr>
          <w:lang w:val="en-US"/>
        </w:rPr>
        <w:t xml:space="preserve"> and </w:t>
      </w:r>
      <w:r w:rsidRPr="0054064B">
        <w:rPr>
          <w:lang w:val="en-US"/>
        </w:rPr>
        <w:t>the Small Business Stewardship Group</w:t>
      </w:r>
      <w:r w:rsidR="00422957">
        <w:rPr>
          <w:lang w:val="en-US"/>
        </w:rPr>
        <w:t>.</w:t>
      </w:r>
      <w:r w:rsidRPr="0054064B">
        <w:t xml:space="preserve"> </w:t>
      </w:r>
      <w:r w:rsidR="00422957">
        <w:t>T</w:t>
      </w:r>
      <w:r w:rsidRPr="0054064B">
        <w:t>hey provide insight into the small business environment and enable a consolidated view of small business issues</w:t>
      </w:r>
      <w:r w:rsidR="00916FA5">
        <w:t xml:space="preserve">. </w:t>
      </w:r>
      <w:r w:rsidR="00485926">
        <w:t>T</w:t>
      </w:r>
      <w:r w:rsidR="00485926" w:rsidRPr="00485926">
        <w:t xml:space="preserve">he full list of participants </w:t>
      </w:r>
      <w:r w:rsidR="00485926">
        <w:t xml:space="preserve">in these forums </w:t>
      </w:r>
      <w:r w:rsidR="00485926" w:rsidRPr="00485926">
        <w:t xml:space="preserve">is </w:t>
      </w:r>
      <w:r w:rsidR="00BF699D">
        <w:t xml:space="preserve">provided </w:t>
      </w:r>
      <w:r w:rsidR="00485926" w:rsidRPr="00485926">
        <w:t xml:space="preserve">in </w:t>
      </w:r>
      <w:r w:rsidR="00485926">
        <w:t>A</w:t>
      </w:r>
      <w:r w:rsidR="00485926" w:rsidRPr="00485926">
        <w:t>ppendix E</w:t>
      </w:r>
      <w:r w:rsidR="00485926">
        <w:t>.</w:t>
      </w:r>
    </w:p>
    <w:p w14:paraId="531907F9" w14:textId="39765AD7" w:rsidR="0054064B" w:rsidRPr="0054064B" w:rsidRDefault="0054064B" w:rsidP="0054064B">
      <w:r w:rsidRPr="00916FA5">
        <w:rPr>
          <w:rStyle w:val="Strong"/>
        </w:rPr>
        <w:t>ASBFEO</w:t>
      </w:r>
      <w:r w:rsidR="00916FA5" w:rsidRPr="00916FA5">
        <w:rPr>
          <w:rStyle w:val="Strong"/>
        </w:rPr>
        <w:t>’</w:t>
      </w:r>
      <w:r w:rsidRPr="00916FA5">
        <w:rPr>
          <w:rStyle w:val="Strong"/>
        </w:rPr>
        <w:t xml:space="preserve">s </w:t>
      </w:r>
      <w:r w:rsidR="00230BFB">
        <w:rPr>
          <w:rStyle w:val="Strong"/>
        </w:rPr>
        <w:t xml:space="preserve">Data </w:t>
      </w:r>
      <w:r w:rsidR="001C34AB">
        <w:rPr>
          <w:rStyle w:val="Strong"/>
        </w:rPr>
        <w:t>t</w:t>
      </w:r>
      <w:r w:rsidR="00230BFB">
        <w:rPr>
          <w:rStyle w:val="Strong"/>
        </w:rPr>
        <w:t>eam</w:t>
      </w:r>
      <w:r w:rsidRPr="00916FA5">
        <w:rPr>
          <w:rStyle w:val="Strong"/>
        </w:rPr>
        <w:t xml:space="preserve"> supports many activities across the organi</w:t>
      </w:r>
      <w:r w:rsidR="00283811">
        <w:rPr>
          <w:rStyle w:val="Strong"/>
        </w:rPr>
        <w:t>s</w:t>
      </w:r>
      <w:r w:rsidRPr="00916FA5">
        <w:rPr>
          <w:rStyle w:val="Strong"/>
        </w:rPr>
        <w:t>ation.</w:t>
      </w:r>
      <w:r w:rsidRPr="0054064B">
        <w:rPr>
          <w:lang w:val="en-US"/>
        </w:rPr>
        <w:t xml:space="preserve"> The </w:t>
      </w:r>
      <w:r w:rsidR="00786B29">
        <w:rPr>
          <w:lang w:val="en-US"/>
        </w:rPr>
        <w:t xml:space="preserve">Data </w:t>
      </w:r>
      <w:r w:rsidRPr="0054064B">
        <w:rPr>
          <w:lang w:val="en-US"/>
        </w:rPr>
        <w:t xml:space="preserve">team was instituted following the </w:t>
      </w:r>
      <w:r w:rsidRPr="007807BF">
        <w:rPr>
          <w:lang w:val="en-US"/>
        </w:rPr>
        <w:t xml:space="preserve">McGregor </w:t>
      </w:r>
      <w:r w:rsidR="00D7203B">
        <w:rPr>
          <w:lang w:val="en-US"/>
        </w:rPr>
        <w:t>R</w:t>
      </w:r>
      <w:r w:rsidRPr="007807BF">
        <w:rPr>
          <w:lang w:val="en-US"/>
        </w:rPr>
        <w:t>eview</w:t>
      </w:r>
      <w:r w:rsidR="00D7203B">
        <w:rPr>
          <w:lang w:val="en-US"/>
        </w:rPr>
        <w:t xml:space="preserve">, which </w:t>
      </w:r>
      <w:r w:rsidRPr="0054064B">
        <w:rPr>
          <w:lang w:val="en-US"/>
        </w:rPr>
        <w:t>noted stakeholders</w:t>
      </w:r>
      <w:r w:rsidR="00D7203B">
        <w:rPr>
          <w:lang w:val="en-US"/>
        </w:rPr>
        <w:t>’</w:t>
      </w:r>
      <w:r w:rsidRPr="0054064B">
        <w:rPr>
          <w:lang w:val="en-US"/>
        </w:rPr>
        <w:t xml:space="preserve"> desire for ASBFEO to use data, analytics and information sharing and highlighted the opportunity for</w:t>
      </w:r>
      <w:r w:rsidR="009976E5">
        <w:rPr>
          <w:lang w:val="en-US"/>
        </w:rPr>
        <w:t xml:space="preserve"> </w:t>
      </w:r>
      <w:r w:rsidR="009976E5" w:rsidRPr="0054064B">
        <w:rPr>
          <w:lang w:val="en-US"/>
        </w:rPr>
        <w:t>ASBFEO to improve the empirical base for its policy positions.</w:t>
      </w:r>
      <w:r w:rsidR="00065357">
        <w:rPr>
          <w:rFonts w:ascii="ZWAdobeF" w:hAnsi="ZWAdobeF" w:cs="ZWAdobeF"/>
          <w:color w:val="auto"/>
          <w:sz w:val="2"/>
          <w:szCs w:val="2"/>
          <w:lang w:val="en-US"/>
        </w:rPr>
        <w:t>5F</w:t>
      </w:r>
      <w:r w:rsidR="005F7E38" w:rsidRPr="00037A05">
        <w:rPr>
          <w:rStyle w:val="FootnoteReference"/>
          <w:sz w:val="22"/>
          <w:szCs w:val="22"/>
          <w:vertAlign w:val="superscript"/>
          <w:lang w:val="en-US"/>
        </w:rPr>
        <w:footnoteReference w:id="7"/>
      </w:r>
      <w:r w:rsidR="009976E5" w:rsidRPr="00037A05">
        <w:rPr>
          <w:szCs w:val="22"/>
          <w:vertAlign w:val="superscript"/>
          <w:lang w:val="en-US"/>
        </w:rPr>
        <w:t xml:space="preserve"> </w:t>
      </w:r>
      <w:r w:rsidR="009976E5" w:rsidRPr="0054064B">
        <w:rPr>
          <w:lang w:val="en-US"/>
        </w:rPr>
        <w:t xml:space="preserve">The </w:t>
      </w:r>
      <w:r w:rsidR="004832C1">
        <w:rPr>
          <w:lang w:val="en-US"/>
        </w:rPr>
        <w:t xml:space="preserve">Data </w:t>
      </w:r>
      <w:r w:rsidR="001C34AB">
        <w:rPr>
          <w:lang w:val="en-US"/>
        </w:rPr>
        <w:t>t</w:t>
      </w:r>
      <w:r w:rsidR="009976E5" w:rsidRPr="0054064B">
        <w:rPr>
          <w:lang w:val="en-US"/>
        </w:rPr>
        <w:t>eam also support the tracking and reporting of assistance activity. </w:t>
      </w:r>
      <w:r w:rsidRPr="0054064B">
        <w:rPr>
          <w:lang w:val="en-US"/>
        </w:rPr>
        <w:t xml:space="preserve">The advocacy function and the </w:t>
      </w:r>
      <w:r w:rsidR="001C5EAB">
        <w:rPr>
          <w:lang w:val="en-US"/>
        </w:rPr>
        <w:t>R</w:t>
      </w:r>
      <w:r w:rsidRPr="0054064B">
        <w:rPr>
          <w:lang w:val="en-US"/>
        </w:rPr>
        <w:t>eview findings are discussed in Chapter 3</w:t>
      </w:r>
      <w:r w:rsidR="00F91671">
        <w:rPr>
          <w:lang w:val="en-US"/>
        </w:rPr>
        <w:t>.</w:t>
      </w:r>
      <w:r w:rsidRPr="0054064B">
        <w:rPr>
          <w:lang w:val="en-US"/>
        </w:rPr>
        <w:t xml:space="preserve"> </w:t>
      </w:r>
    </w:p>
    <w:p w14:paraId="0253C6C2" w14:textId="06A21E3C" w:rsidR="0054064B" w:rsidRPr="0054064B" w:rsidRDefault="0054064B" w:rsidP="0054064B">
      <w:r w:rsidRPr="00916FA5">
        <w:rPr>
          <w:rStyle w:val="Strong"/>
        </w:rPr>
        <w:t>Section</w:t>
      </w:r>
      <w:r w:rsidR="00916FA5">
        <w:rPr>
          <w:rStyle w:val="Strong"/>
        </w:rPr>
        <w:t> </w:t>
      </w:r>
      <w:r w:rsidRPr="00916FA5">
        <w:rPr>
          <w:rStyle w:val="Strong"/>
        </w:rPr>
        <w:t xml:space="preserve">13 of the ASBFEO Act specifies the assistance function to </w:t>
      </w:r>
      <w:r w:rsidR="00916FA5">
        <w:rPr>
          <w:rStyle w:val="Strong"/>
        </w:rPr>
        <w:t>‘</w:t>
      </w:r>
      <w:r w:rsidRPr="00916FA5">
        <w:rPr>
          <w:rStyle w:val="Strong"/>
        </w:rPr>
        <w:t>give assistance in relation to relevant actions if requested to do so</w:t>
      </w:r>
      <w:r w:rsidR="00916FA5" w:rsidRPr="00916FA5">
        <w:rPr>
          <w:rStyle w:val="Strong"/>
        </w:rPr>
        <w:t>’</w:t>
      </w:r>
      <w:r w:rsidRPr="0054064B">
        <w:rPr>
          <w:lang w:val="en-US"/>
        </w:rPr>
        <w:t>. This remit allows for a wide range of assistance, with most requests handled by the Contact Centre</w:t>
      </w:r>
      <w:r w:rsidR="00580A50">
        <w:rPr>
          <w:lang w:val="en-US"/>
        </w:rPr>
        <w:t>.</w:t>
      </w:r>
      <w:r w:rsidRPr="0054064B">
        <w:rPr>
          <w:lang w:val="en-US"/>
        </w:rPr>
        <w:t xml:space="preserve"> </w:t>
      </w:r>
      <w:r w:rsidR="00580A50">
        <w:rPr>
          <w:lang w:val="en-US"/>
        </w:rPr>
        <w:t xml:space="preserve">The Contact Centre </w:t>
      </w:r>
      <w:r w:rsidRPr="0054064B">
        <w:rPr>
          <w:lang w:val="en-US"/>
        </w:rPr>
        <w:t>offer</w:t>
      </w:r>
      <w:r w:rsidR="00580A50">
        <w:rPr>
          <w:lang w:val="en-US"/>
        </w:rPr>
        <w:t>s</w:t>
      </w:r>
      <w:r w:rsidRPr="0054064B">
        <w:rPr>
          <w:lang w:val="en-US"/>
        </w:rPr>
        <w:t xml:space="preserve"> general guidance on matters such as how to manage a dispute or </w:t>
      </w:r>
      <w:r w:rsidR="004832C1">
        <w:rPr>
          <w:lang w:val="en-US"/>
        </w:rPr>
        <w:t>access</w:t>
      </w:r>
      <w:r w:rsidRPr="0054064B">
        <w:rPr>
          <w:lang w:val="en-US"/>
        </w:rPr>
        <w:t xml:space="preserve"> a template letter regarding unpaid invoices.</w:t>
      </w:r>
      <w:r w:rsidRPr="0054064B">
        <w:t> </w:t>
      </w:r>
    </w:p>
    <w:p w14:paraId="62FCB825" w14:textId="7288A045" w:rsidR="0054064B" w:rsidRPr="0054064B" w:rsidRDefault="0054064B" w:rsidP="0054064B">
      <w:r w:rsidRPr="00916FA5">
        <w:rPr>
          <w:rStyle w:val="Strong"/>
        </w:rPr>
        <w:t>ASBFEO</w:t>
      </w:r>
      <w:r w:rsidR="00916FA5" w:rsidRPr="00916FA5">
        <w:rPr>
          <w:rStyle w:val="Strong"/>
        </w:rPr>
        <w:t>’</w:t>
      </w:r>
      <w:r w:rsidRPr="00916FA5">
        <w:rPr>
          <w:rStyle w:val="Strong"/>
        </w:rPr>
        <w:t>s role in assisting with dispute resolution complements the broader dispute resolution ecosystem in Australia.</w:t>
      </w:r>
      <w:r w:rsidRPr="0054064B">
        <w:t xml:space="preserve"> Several other government agencies and bodies provide dispute resolution services, including the Commonwealth </w:t>
      </w:r>
      <w:r w:rsidR="00CE5B6B" w:rsidRPr="0054064B">
        <w:t>Ombudsman, SBCs</w:t>
      </w:r>
      <w:r w:rsidR="00E36D9B">
        <w:t>,</w:t>
      </w:r>
      <w:r w:rsidRPr="0054064B">
        <w:t xml:space="preserve"> </w:t>
      </w:r>
      <w:r w:rsidR="00D70897">
        <w:t>and</w:t>
      </w:r>
      <w:r w:rsidRPr="0054064B">
        <w:t xml:space="preserve"> other ombudsmen </w:t>
      </w:r>
      <w:r w:rsidR="00F7051B">
        <w:t>and</w:t>
      </w:r>
      <w:r w:rsidRPr="0054064B">
        <w:t xml:space="preserve"> specialist dispute resolution bodies.</w:t>
      </w:r>
    </w:p>
    <w:p w14:paraId="14316213" w14:textId="3C9B7533" w:rsidR="0054064B" w:rsidRPr="0054064B" w:rsidRDefault="0054064B" w:rsidP="0054064B">
      <w:r w:rsidRPr="00916FA5">
        <w:rPr>
          <w:rStyle w:val="Strong"/>
        </w:rPr>
        <w:t>The assistance function supports small businesses and family enterprises by recommending low</w:t>
      </w:r>
      <w:r w:rsidR="00916FA5" w:rsidRPr="00916FA5">
        <w:rPr>
          <w:rStyle w:val="Strong"/>
        </w:rPr>
        <w:noBreakHyphen/>
      </w:r>
      <w:r w:rsidRPr="00916FA5">
        <w:rPr>
          <w:rStyle w:val="Strong"/>
        </w:rPr>
        <w:t>cost ADR services.</w:t>
      </w:r>
      <w:r w:rsidRPr="0054064B">
        <w:t xml:space="preserve"> </w:t>
      </w:r>
      <w:r w:rsidR="00D27C3D">
        <w:t>D</w:t>
      </w:r>
      <w:r w:rsidRPr="0054064B">
        <w:t>ue to limited time, resources and familiarity with the appropriate legal processes</w:t>
      </w:r>
      <w:r w:rsidR="001224BF">
        <w:t>, s</w:t>
      </w:r>
      <w:r w:rsidR="001224BF" w:rsidRPr="0054064B">
        <w:t>mall businesses often face significant challenges in navigating</w:t>
      </w:r>
      <w:r w:rsidR="00027A2D">
        <w:t xml:space="preserve"> disputes</w:t>
      </w:r>
      <w:r w:rsidRPr="0054064B">
        <w:t>. Without guidance, disputes can escalate</w:t>
      </w:r>
      <w:r w:rsidR="0023238F">
        <w:t>,</w:t>
      </w:r>
      <w:r w:rsidRPr="0054064B">
        <w:t xml:space="preserve"> leading to unnecessary financial strain, operational disruption and legal consequences</w:t>
      </w:r>
      <w:r w:rsidR="00916FA5">
        <w:t xml:space="preserve">. </w:t>
      </w:r>
    </w:p>
    <w:p w14:paraId="458C3C55" w14:textId="29394CEA" w:rsidR="0054064B" w:rsidRPr="0054064B" w:rsidRDefault="0054064B" w:rsidP="0054064B">
      <w:r w:rsidRPr="00916FA5">
        <w:rPr>
          <w:rStyle w:val="Strong"/>
        </w:rPr>
        <w:t>Section</w:t>
      </w:r>
      <w:r w:rsidR="00916FA5" w:rsidRPr="00916FA5">
        <w:rPr>
          <w:rStyle w:val="Strong"/>
        </w:rPr>
        <w:t> </w:t>
      </w:r>
      <w:r w:rsidRPr="00916FA5">
        <w:rPr>
          <w:rStyle w:val="Strong"/>
        </w:rPr>
        <w:t xml:space="preserve">15 of the ASBFEO Act enables ASBFEO to assist with conflicts between small businesses and other businesses or </w:t>
      </w:r>
      <w:r w:rsidR="00F92667">
        <w:rPr>
          <w:rStyle w:val="Strong"/>
        </w:rPr>
        <w:t xml:space="preserve">a </w:t>
      </w:r>
      <w:r w:rsidRPr="00916FA5">
        <w:rPr>
          <w:rStyle w:val="Strong"/>
        </w:rPr>
        <w:t>Commonwealth agency.</w:t>
      </w:r>
      <w:r w:rsidRPr="0054064B">
        <w:t xml:space="preserve"> ASBFEO can only recommend ADR </w:t>
      </w:r>
      <w:r w:rsidR="00CE5B6B" w:rsidRPr="0054064B">
        <w:t>processes</w:t>
      </w:r>
      <w:r w:rsidR="00CE5B6B">
        <w:t xml:space="preserve"> but</w:t>
      </w:r>
      <w:r w:rsidR="008C7E8E" w:rsidRPr="0054064B">
        <w:t xml:space="preserve"> cannot</w:t>
      </w:r>
      <w:r w:rsidRPr="0054064B">
        <w:t xml:space="preserve"> conduct them.</w:t>
      </w:r>
      <w:r w:rsidRPr="0054064B">
        <w:rPr>
          <w:b/>
          <w:bCs/>
        </w:rPr>
        <w:t xml:space="preserve"> </w:t>
      </w:r>
      <w:r w:rsidRPr="0054064B">
        <w:t xml:space="preserve">Requests for assistance are received from the Contact Centre, via email, or through the website form. Initially, the ASBFEO </w:t>
      </w:r>
      <w:r w:rsidR="00F92667">
        <w:t>C</w:t>
      </w:r>
      <w:r w:rsidRPr="0054064B">
        <w:t xml:space="preserve">ase </w:t>
      </w:r>
      <w:r w:rsidR="00F92667">
        <w:t>M</w:t>
      </w:r>
      <w:r w:rsidRPr="0054064B">
        <w:t xml:space="preserve">anager </w:t>
      </w:r>
      <w:r w:rsidR="00033673">
        <w:t>(</w:t>
      </w:r>
      <w:r w:rsidR="00033673" w:rsidRPr="006B6453">
        <w:t>Case Manager</w:t>
      </w:r>
      <w:r w:rsidR="00033673">
        <w:t>)</w:t>
      </w:r>
      <w:r w:rsidRPr="0054064B">
        <w:t xml:space="preserve"> may refer the case to </w:t>
      </w:r>
      <w:r w:rsidRPr="0054064B">
        <w:lastRenderedPageBreak/>
        <w:t xml:space="preserve">another agency, such as a </w:t>
      </w:r>
      <w:r w:rsidR="00D70897">
        <w:t>s</w:t>
      </w:r>
      <w:r w:rsidRPr="0054064B">
        <w:t xml:space="preserve">tate SBC or contact one or both parties. </w:t>
      </w:r>
      <w:r w:rsidRPr="0054064B">
        <w:rPr>
          <w:lang w:val="en-US"/>
        </w:rPr>
        <w:t xml:space="preserve">If the dispute remains unresolved, the Ombudsman may suggest ADR </w:t>
      </w:r>
      <w:r w:rsidR="00CD68E6">
        <w:rPr>
          <w:lang w:val="en-US"/>
        </w:rPr>
        <w:t>and provide</w:t>
      </w:r>
      <w:r w:rsidR="009539AD">
        <w:rPr>
          <w:lang w:val="en-US"/>
        </w:rPr>
        <w:t xml:space="preserve"> the </w:t>
      </w:r>
      <w:r w:rsidR="00FD6CE3">
        <w:rPr>
          <w:lang w:val="en-US"/>
        </w:rPr>
        <w:t xml:space="preserve">party </w:t>
      </w:r>
      <w:r w:rsidR="009539AD">
        <w:rPr>
          <w:lang w:val="en-US"/>
        </w:rPr>
        <w:t xml:space="preserve">with a list of </w:t>
      </w:r>
      <w:r w:rsidRPr="0054064B">
        <w:rPr>
          <w:lang w:val="en-US"/>
        </w:rPr>
        <w:t>independent practitioner</w:t>
      </w:r>
      <w:r w:rsidR="009539AD">
        <w:rPr>
          <w:lang w:val="en-US"/>
        </w:rPr>
        <w:t>s they may choose to engage</w:t>
      </w:r>
      <w:r w:rsidRPr="0054064B">
        <w:rPr>
          <w:lang w:val="en-US"/>
        </w:rPr>
        <w:t>.</w:t>
      </w:r>
      <w:r w:rsidRPr="0054064B">
        <w:t xml:space="preserve"> </w:t>
      </w:r>
      <w:r w:rsidRPr="0054064B">
        <w:rPr>
          <w:lang w:val="en-US"/>
        </w:rPr>
        <w:t>ADR involves an independent person, such as a mediator, helping parties resolve disputes efficiently without court or tribunal involvement.</w:t>
      </w:r>
      <w:r w:rsidRPr="0054064B">
        <w:t> </w:t>
      </w:r>
    </w:p>
    <w:p w14:paraId="2FF36305" w14:textId="13DEAF75" w:rsidR="0054064B" w:rsidRPr="0054064B" w:rsidRDefault="0054064B" w:rsidP="0054064B">
      <w:r w:rsidRPr="00916FA5">
        <w:rPr>
          <w:rStyle w:val="Strong"/>
        </w:rPr>
        <w:t>ASBFEO is the Disputes Resolution Adviser (DRA) under the Franchising Code of Conduct.</w:t>
      </w:r>
      <w:r w:rsidRPr="0054064B">
        <w:rPr>
          <w:b/>
          <w:bCs/>
          <w:lang w:val="en-US"/>
        </w:rPr>
        <w:t xml:space="preserve"> </w:t>
      </w:r>
      <w:r w:rsidRPr="0054064B">
        <w:rPr>
          <w:lang w:val="en-US"/>
        </w:rPr>
        <w:t xml:space="preserve">The Franchising Code of Conduct governs the relationship between franchisors, franchisees, and prospective franchisees. The code is mandatory and prescribed by regulation under the </w:t>
      </w:r>
      <w:r w:rsidRPr="007A7211">
        <w:rPr>
          <w:rStyle w:val="Emphasis"/>
        </w:rPr>
        <w:t>Competition and Consumer Act 2010</w:t>
      </w:r>
      <w:r w:rsidRPr="0054064B">
        <w:rPr>
          <w:lang w:val="en-US"/>
        </w:rPr>
        <w:t xml:space="preserve">. It contains mechanisms for dispute resolution. </w:t>
      </w:r>
      <w:r w:rsidRPr="0054064B">
        <w:t>ASBFEO also has a specific role in supporting industry participants in disputes covered by the</w:t>
      </w:r>
      <w:r w:rsidRPr="0054064B">
        <w:rPr>
          <w:lang w:val="en-US"/>
        </w:rPr>
        <w:t> Dairy Industry Code</w:t>
      </w:r>
      <w:r w:rsidRPr="0054064B">
        <w:t>, the Horticulture Code of Conduct and the Oil Code of Conduct. ASBFEO</w:t>
      </w:r>
      <w:r w:rsidR="00916FA5">
        <w:t>’</w:t>
      </w:r>
      <w:r w:rsidRPr="0054064B">
        <w:t>s role in the franchising sector is discussed further in Chapter</w:t>
      </w:r>
      <w:r w:rsidR="00916FA5">
        <w:t> </w:t>
      </w:r>
      <w:r w:rsidRPr="0054064B">
        <w:t>5. </w:t>
      </w:r>
    </w:p>
    <w:p w14:paraId="272A7E00" w14:textId="34C50363" w:rsidR="0054064B" w:rsidRPr="0054064B" w:rsidRDefault="0054064B" w:rsidP="0054064B">
      <w:r w:rsidRPr="00916FA5">
        <w:rPr>
          <w:rStyle w:val="Strong"/>
        </w:rPr>
        <w:t>ASBFEO also assists small businesses in dealing with the Australian Taxation Office (ATO) by providing a Small Business Tax Concierge (SBTC) service for small businesses in dispute with the ATO.</w:t>
      </w:r>
      <w:r w:rsidRPr="0054064B">
        <w:t xml:space="preserve"> The SBTC service helps small businesses determin</w:t>
      </w:r>
      <w:r w:rsidR="00B32969">
        <w:t>e</w:t>
      </w:r>
      <w:r w:rsidRPr="0054064B">
        <w:t xml:space="preserve"> whether to lodge an application to the Administrative Review Tribunal (</w:t>
      </w:r>
      <w:r w:rsidRPr="006B6453">
        <w:t>ART</w:t>
      </w:r>
      <w:r w:rsidRPr="0054064B">
        <w:t>) and provides access to subsidised legal advice. Additionally, it supports cases for the Compensation for Detriment and Defective Administration Scheme</w:t>
      </w:r>
      <w:r w:rsidR="00916FA5">
        <w:t xml:space="preserve">. </w:t>
      </w:r>
    </w:p>
    <w:p w14:paraId="24308EE8" w14:textId="54596523" w:rsidR="0054064B" w:rsidRPr="0054064B" w:rsidRDefault="0054064B" w:rsidP="0054064B">
      <w:r w:rsidRPr="00916FA5">
        <w:rPr>
          <w:rStyle w:val="Strong"/>
        </w:rPr>
        <w:t>The SBTC service has been expanded from 3</w:t>
      </w:r>
      <w:r w:rsidR="00916FA5">
        <w:rPr>
          <w:rStyle w:val="Strong"/>
        </w:rPr>
        <w:t> </w:t>
      </w:r>
      <w:r w:rsidRPr="00916FA5">
        <w:rPr>
          <w:rStyle w:val="Strong"/>
        </w:rPr>
        <w:t>March 2025, to enable</w:t>
      </w:r>
      <w:r w:rsidRPr="00916FA5" w:rsidDel="007E29DC">
        <w:rPr>
          <w:rStyle w:val="Strong"/>
        </w:rPr>
        <w:t xml:space="preserve"> </w:t>
      </w:r>
      <w:r w:rsidRPr="00916FA5">
        <w:rPr>
          <w:rStyle w:val="Strong"/>
        </w:rPr>
        <w:t>ASBFEO to provide limited low</w:t>
      </w:r>
      <w:r w:rsidR="00916FA5" w:rsidRPr="00916FA5">
        <w:rPr>
          <w:rStyle w:val="Strong"/>
        </w:rPr>
        <w:noBreakHyphen/>
      </w:r>
      <w:r w:rsidRPr="00916FA5">
        <w:rPr>
          <w:rStyle w:val="Strong"/>
        </w:rPr>
        <w:t>cost legal advice to eligible small businesses involved in disputes.</w:t>
      </w:r>
      <w:r w:rsidRPr="0054064B">
        <w:rPr>
          <w:b/>
          <w:bCs/>
        </w:rPr>
        <w:t xml:space="preserve"> </w:t>
      </w:r>
      <w:r w:rsidRPr="0054064B">
        <w:t>This initiative aims to facilitate more effective resolution of business disputes by offering unrepresented small businesses, including franchisees</w:t>
      </w:r>
      <w:r w:rsidR="001B0E81">
        <w:t>,</w:t>
      </w:r>
      <w:r w:rsidRPr="0054064B">
        <w:t xml:space="preserve"> access </w:t>
      </w:r>
      <w:r w:rsidR="00CF4E65">
        <w:t xml:space="preserve">to </w:t>
      </w:r>
      <w:r w:rsidRPr="0054064B">
        <w:t>low</w:t>
      </w:r>
      <w:r w:rsidR="00916FA5">
        <w:noBreakHyphen/>
      </w:r>
      <w:r w:rsidRPr="0054064B">
        <w:t>cost legal advice and support. The assistance function is discussed in Chapter</w:t>
      </w:r>
      <w:r w:rsidR="00916FA5">
        <w:t> </w:t>
      </w:r>
      <w:r w:rsidRPr="0054064B">
        <w:t>4. </w:t>
      </w:r>
    </w:p>
    <w:p w14:paraId="77AB4B5C" w14:textId="470AE785" w:rsidR="00C103C2" w:rsidRDefault="0054064B" w:rsidP="0054064B">
      <w:r w:rsidRPr="004B4D44">
        <w:rPr>
          <w:rStyle w:val="Strong"/>
        </w:rPr>
        <w:t>ASBFEO actively promotes and influences the interests of small businesses through various communication channels</w:t>
      </w:r>
      <w:r w:rsidR="005E0312">
        <w:rPr>
          <w:rStyle w:val="Strong"/>
        </w:rPr>
        <w:t xml:space="preserve"> (refer to Figure 2.2)</w:t>
      </w:r>
      <w:r w:rsidRPr="004B4D44">
        <w:rPr>
          <w:rStyle w:val="Strong"/>
        </w:rPr>
        <w:t xml:space="preserve">. </w:t>
      </w:r>
      <w:r w:rsidRPr="0054064B">
        <w:t>ASBFEO</w:t>
      </w:r>
      <w:r w:rsidR="00916FA5">
        <w:t>’</w:t>
      </w:r>
      <w:r w:rsidRPr="0054064B">
        <w:t>s website (www.asbfeo.gov.au) profiles the agency</w:t>
      </w:r>
      <w:r w:rsidR="00916FA5">
        <w:t>’</w:t>
      </w:r>
      <w:r w:rsidRPr="0054064B">
        <w:t xml:space="preserve">s functions and supports requests for assistance. ASBFEO upgraded the website in 2024, to include a data portal and Google Translate functionality to assist the </w:t>
      </w:r>
      <w:r w:rsidR="004471AA" w:rsidRPr="0010234A">
        <w:t>members of multicultural communities</w:t>
      </w:r>
      <w:r w:rsidR="004471AA" w:rsidRPr="004471AA" w:rsidDel="001B0E81">
        <w:t xml:space="preserve"> </w:t>
      </w:r>
      <w:r w:rsidRPr="0054064B">
        <w:t>in using the resources available on the ASBFEO website</w:t>
      </w:r>
      <w:r w:rsidR="00916FA5">
        <w:t xml:space="preserve">. </w:t>
      </w:r>
      <w:r w:rsidR="003B7EC3" w:rsidRPr="0054064B">
        <w:t xml:space="preserve">Communication and engagement and the </w:t>
      </w:r>
      <w:r w:rsidR="00E42790">
        <w:t>R</w:t>
      </w:r>
      <w:r w:rsidR="003B7EC3" w:rsidRPr="0054064B">
        <w:t>eview findings are discussed further in Chapter 6.</w:t>
      </w:r>
    </w:p>
    <w:p w14:paraId="2E36F598" w14:textId="2BFCAEB0" w:rsidR="0091277D" w:rsidRDefault="0091277D" w:rsidP="007A7211">
      <w:pPr>
        <w:pStyle w:val="ChartMainHeading"/>
      </w:pPr>
      <w:r>
        <w:rPr>
          <w:lang w:val="en-US"/>
        </w:rPr>
        <w:t>Figure 2</w:t>
      </w:r>
      <w:r w:rsidRPr="00C47726">
        <w:rPr>
          <w:lang w:val="en-US"/>
        </w:rPr>
        <w:t>.</w:t>
      </w:r>
      <w:r>
        <w:rPr>
          <w:lang w:val="en-US"/>
        </w:rPr>
        <w:t>2</w:t>
      </w:r>
      <w:r w:rsidRPr="00C47726">
        <w:rPr>
          <w:lang w:val="en-US"/>
        </w:rPr>
        <w:t xml:space="preserve">: </w:t>
      </w:r>
      <w:r w:rsidR="00C27BC5">
        <w:rPr>
          <w:lang w:val="en-US"/>
        </w:rPr>
        <w:t>Communication channels</w:t>
      </w:r>
    </w:p>
    <w:p w14:paraId="6D4CF4C6" w14:textId="1AABD403" w:rsidR="004759A9" w:rsidRDefault="004759A9" w:rsidP="007A7211">
      <w:pPr>
        <w:pStyle w:val="ChartGraphic"/>
      </w:pPr>
      <w:r>
        <w:rPr>
          <w:noProof/>
        </w:rPr>
        <w:drawing>
          <wp:inline distT="0" distB="0" distL="0" distR="0" wp14:anchorId="208F9C41" wp14:editId="212733B5">
            <wp:extent cx="5710443" cy="1368795"/>
            <wp:effectExtent l="0" t="0" r="5080" b="3175"/>
            <wp:docPr id="1992315710" name="Picture 8" descr="This infographic shows ASBFEO actively promotes and influences the interests of small businesses through various communication channels. These include social media, stakeholder engagement, media, newsletters, products, and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15710" name="Picture 8" descr="This infographic shows ASBFEO actively promotes and influences the interests of small businesses through various communication channels. These include social media, stakeholder engagement, media, newsletters, products, and events. "/>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5744470" cy="1376951"/>
                    </a:xfrm>
                    <a:prstGeom prst="rect">
                      <a:avLst/>
                    </a:prstGeom>
                  </pic:spPr>
                </pic:pic>
              </a:graphicData>
            </a:graphic>
          </wp:inline>
        </w:drawing>
      </w:r>
    </w:p>
    <w:p w14:paraId="79502A5C" w14:textId="77777777" w:rsidR="00185626" w:rsidRDefault="0054064B" w:rsidP="001D18F1">
      <w:r w:rsidRPr="004B4D44">
        <w:rPr>
          <w:rStyle w:val="Strong"/>
        </w:rPr>
        <w:t xml:space="preserve">Section 40 of the ASBFEO </w:t>
      </w:r>
      <w:r w:rsidR="007638ED">
        <w:rPr>
          <w:rStyle w:val="Strong"/>
        </w:rPr>
        <w:t>A</w:t>
      </w:r>
      <w:r w:rsidRPr="004B4D44">
        <w:rPr>
          <w:rStyle w:val="Strong"/>
        </w:rPr>
        <w:t xml:space="preserve">ct stipulates that the Ombudsman must report quarterly to the Minister on the activities of ASBFEO, including any inquiries or submissions undertaken. </w:t>
      </w:r>
      <w:r w:rsidRPr="0054064B">
        <w:t xml:space="preserve">ASBFEO publishes these comprehensive </w:t>
      </w:r>
      <w:r w:rsidR="00C902D0">
        <w:t xml:space="preserve">reports </w:t>
      </w:r>
      <w:r w:rsidRPr="0054064B">
        <w:t xml:space="preserve">on </w:t>
      </w:r>
      <w:r w:rsidR="007638ED">
        <w:t>its</w:t>
      </w:r>
      <w:r w:rsidR="007638ED" w:rsidRPr="0054064B">
        <w:t xml:space="preserve"> </w:t>
      </w:r>
      <w:r w:rsidRPr="0054064B">
        <w:t xml:space="preserve">website. ASBFEO also produces annual data that is included in the </w:t>
      </w:r>
      <w:r w:rsidR="007638ED">
        <w:t xml:space="preserve">Department of the </w:t>
      </w:r>
      <w:r w:rsidRPr="0054064B">
        <w:t>Treasury</w:t>
      </w:r>
      <w:r w:rsidR="007638ED">
        <w:t>’s</w:t>
      </w:r>
      <w:r w:rsidRPr="0054064B">
        <w:t xml:space="preserve"> </w:t>
      </w:r>
      <w:r w:rsidR="007638ED">
        <w:t>A</w:t>
      </w:r>
      <w:r w:rsidRPr="0054064B">
        <w:t xml:space="preserve">nnual </w:t>
      </w:r>
      <w:r w:rsidR="007638ED">
        <w:t>R</w:t>
      </w:r>
      <w:r w:rsidRPr="0054064B">
        <w:t>eport.</w:t>
      </w:r>
    </w:p>
    <w:p w14:paraId="7BD4E3ED" w14:textId="4872DB34" w:rsidR="00916FA5" w:rsidRDefault="0054064B" w:rsidP="001D18F1">
      <w:pPr>
        <w:sectPr w:rsidR="00916FA5" w:rsidSect="00BC6471">
          <w:type w:val="oddPage"/>
          <w:pgSz w:w="11906" w:h="16838" w:code="9"/>
          <w:pgMar w:top="1843" w:right="1418" w:bottom="1418" w:left="1418" w:header="709" w:footer="709" w:gutter="0"/>
          <w:cols w:space="708"/>
          <w:docGrid w:linePitch="360"/>
        </w:sectPr>
      </w:pPr>
      <w:r w:rsidRPr="0054064B">
        <w:t> </w:t>
      </w:r>
    </w:p>
    <w:p w14:paraId="7B66F97C" w14:textId="5DDFF977" w:rsidR="001D18F1" w:rsidRDefault="001D18F1" w:rsidP="001D18F1">
      <w:pPr>
        <w:pStyle w:val="Heading1"/>
      </w:pPr>
      <w:bookmarkStart w:id="11" w:name="_Toc199940922"/>
      <w:r>
        <w:lastRenderedPageBreak/>
        <w:t>Chapter 3</w:t>
      </w:r>
      <w:r w:rsidR="00A9334E">
        <w:t xml:space="preserve">: Advocating for </w:t>
      </w:r>
      <w:r w:rsidR="00A73FA7">
        <w:t>s</w:t>
      </w:r>
      <w:r w:rsidR="00A9334E">
        <w:t xml:space="preserve">mall and </w:t>
      </w:r>
      <w:r w:rsidR="00A73FA7">
        <w:t>f</w:t>
      </w:r>
      <w:r w:rsidR="00A9334E">
        <w:t xml:space="preserve">amily </w:t>
      </w:r>
      <w:r w:rsidR="00A73FA7">
        <w:t>b</w:t>
      </w:r>
      <w:r w:rsidR="00A9334E">
        <w:t>usinesses</w:t>
      </w:r>
      <w:bookmarkEnd w:id="11"/>
    </w:p>
    <w:p w14:paraId="6EDBA228" w14:textId="00CD183A" w:rsidR="00CD1AB2" w:rsidRDefault="00CD1AB2" w:rsidP="00CD1AB2">
      <w:pPr>
        <w:pStyle w:val="Heading2"/>
      </w:pPr>
      <w:bookmarkStart w:id="12" w:name="_Toc199940923"/>
      <w:r>
        <w:t>Summary</w:t>
      </w:r>
      <w:bookmarkEnd w:id="12"/>
    </w:p>
    <w:tbl>
      <w:tblPr>
        <w:tblStyle w:val="BoxStyle"/>
        <w:tblW w:w="5000" w:type="pct"/>
        <w:shd w:val="clear" w:color="auto" w:fill="F4F0EC"/>
        <w:tblLook w:val="0620" w:firstRow="1" w:lastRow="0" w:firstColumn="0" w:lastColumn="0" w:noHBand="1" w:noVBand="1"/>
      </w:tblPr>
      <w:tblGrid>
        <w:gridCol w:w="9070"/>
      </w:tblGrid>
      <w:tr w:rsidR="00CD1AB2" w14:paraId="30533DBB" w14:textId="77777777" w:rsidTr="0063155D">
        <w:tc>
          <w:tcPr>
            <w:tcW w:w="5000" w:type="pct"/>
            <w:shd w:val="clear" w:color="auto" w:fill="F4F0EC"/>
            <w:hideMark/>
          </w:tcPr>
          <w:p w14:paraId="54671A7D" w14:textId="6BE36572" w:rsidR="00ED6E08" w:rsidRPr="00ED6E08" w:rsidRDefault="00E20415" w:rsidP="00916FA5">
            <w:pPr>
              <w:pStyle w:val="BoxText"/>
            </w:pPr>
            <w:r w:rsidRPr="00ED6E08">
              <w:t>ASBFEO has undertaken a significant amount of work in the advocacy function</w:t>
            </w:r>
            <w:r>
              <w:t xml:space="preserve"> and its</w:t>
            </w:r>
            <w:r w:rsidR="00ED6E08" w:rsidRPr="00ED6E08">
              <w:t xml:space="preserve"> service offering aligns with the needs of the small business community. Stakeholders recognise the importance of ASBFEO and </w:t>
            </w:r>
            <w:r w:rsidR="00A73FA7">
              <w:t>its</w:t>
            </w:r>
            <w:r w:rsidR="00A73FA7" w:rsidRPr="00ED6E08">
              <w:t xml:space="preserve"> </w:t>
            </w:r>
            <w:r w:rsidR="00ED6E08" w:rsidRPr="00ED6E08">
              <w:t xml:space="preserve">crucial role as the link between the government, industry associations and the small business sector. </w:t>
            </w:r>
            <w:r w:rsidR="00A73FA7">
              <w:t>ASBFEO</w:t>
            </w:r>
            <w:r w:rsidR="00ED6E08" w:rsidRPr="00ED6E08">
              <w:t xml:space="preserve"> actively engages through forums, meetings, research and consultations to represent small business interests effectively.</w:t>
            </w:r>
          </w:p>
          <w:p w14:paraId="6EBBF4F4" w14:textId="0DB7B2FD" w:rsidR="00ED6E08" w:rsidRPr="00ED6E08" w:rsidRDefault="00ED6E08" w:rsidP="00916FA5">
            <w:pPr>
              <w:pStyle w:val="BoxText"/>
            </w:pPr>
            <w:r w:rsidRPr="00ED6E08">
              <w:t xml:space="preserve">ASBFEO should adopt a structured approach to setting advocacy priorities to maximise </w:t>
            </w:r>
            <w:r w:rsidR="008D2D01">
              <w:t>its</w:t>
            </w:r>
            <w:r w:rsidR="008D2D01" w:rsidRPr="00ED6E08">
              <w:t xml:space="preserve"> </w:t>
            </w:r>
            <w:r w:rsidRPr="00ED6E08">
              <w:t>effectiveness. This includes:</w:t>
            </w:r>
          </w:p>
          <w:p w14:paraId="3BB12F00" w14:textId="5B5A4F07" w:rsidR="00ED6E08" w:rsidRPr="00ED6E08" w:rsidRDefault="00ED6E08" w:rsidP="00916FA5">
            <w:pPr>
              <w:pStyle w:val="Boxbullet"/>
            </w:pPr>
            <w:r w:rsidRPr="00ED6E08">
              <w:t>gathering stakeholder insights</w:t>
            </w:r>
          </w:p>
          <w:p w14:paraId="1764DE4E" w14:textId="3296A572" w:rsidR="00ED6E08" w:rsidRPr="00ED6E08" w:rsidRDefault="00ED6E08" w:rsidP="00916FA5">
            <w:pPr>
              <w:pStyle w:val="Boxbullet"/>
            </w:pPr>
            <w:r w:rsidRPr="00ED6E08">
              <w:t>clearly delineating its role with other key agencies</w:t>
            </w:r>
          </w:p>
          <w:p w14:paraId="13B11EDF" w14:textId="5855E173" w:rsidR="00ED6E08" w:rsidRPr="00ED6E08" w:rsidRDefault="00ED6E08" w:rsidP="00916FA5">
            <w:pPr>
              <w:pStyle w:val="Boxbullet"/>
            </w:pPr>
            <w:r w:rsidRPr="00ED6E08">
              <w:t>documenting a framework for prioritising topics</w:t>
            </w:r>
          </w:p>
          <w:p w14:paraId="0CF9FDE6" w14:textId="77777777" w:rsidR="00ED6E08" w:rsidRPr="00ED6E08" w:rsidRDefault="00ED6E08" w:rsidP="00916FA5">
            <w:pPr>
              <w:pStyle w:val="Boxbullet"/>
            </w:pPr>
            <w:r w:rsidRPr="00ED6E08">
              <w:t>measuring advocacy outcomes.</w:t>
            </w:r>
          </w:p>
          <w:p w14:paraId="6A85F6A0" w14:textId="34372792" w:rsidR="00CD1AB2" w:rsidRDefault="00ED6E08" w:rsidP="00916FA5">
            <w:pPr>
              <w:pStyle w:val="BoxText"/>
            </w:pPr>
            <w:r w:rsidRPr="00ED6E08">
              <w:t>An enhanced focus on data</w:t>
            </w:r>
            <w:r w:rsidR="00916FA5">
              <w:noBreakHyphen/>
            </w:r>
            <w:r w:rsidRPr="00ED6E08">
              <w:t>driven advocacy will further support stakeholders and inform decisions.</w:t>
            </w:r>
          </w:p>
        </w:tc>
      </w:tr>
    </w:tbl>
    <w:p w14:paraId="1C5FAAEA" w14:textId="3BA0678D" w:rsidR="001D18F1" w:rsidRDefault="008768A0" w:rsidP="00C0675E">
      <w:pPr>
        <w:pStyle w:val="Heading2"/>
      </w:pPr>
      <w:bookmarkStart w:id="13" w:name="_Toc199940924"/>
      <w:r>
        <w:t>ASBFEO</w:t>
      </w:r>
      <w:r w:rsidR="00916FA5">
        <w:t>’</w:t>
      </w:r>
      <w:r>
        <w:t>s advocacy function</w:t>
      </w:r>
      <w:bookmarkEnd w:id="13"/>
    </w:p>
    <w:p w14:paraId="05935FA2" w14:textId="6CE88CC6" w:rsidR="0040154F" w:rsidRDefault="00576F4A" w:rsidP="00C47726">
      <w:pPr>
        <w:rPr>
          <w:lang w:val="en-US"/>
        </w:rPr>
      </w:pPr>
      <w:r>
        <w:rPr>
          <w:rStyle w:val="Strong"/>
        </w:rPr>
        <w:t>ASBFEO</w:t>
      </w:r>
      <w:r w:rsidR="00C47726" w:rsidRPr="00916FA5">
        <w:rPr>
          <w:rStyle w:val="Strong"/>
        </w:rPr>
        <w:t xml:space="preserve"> has the authority to undertake activities under the advocacy function relating to legislation, policies and practices relevant to small businesses.</w:t>
      </w:r>
      <w:r w:rsidR="00C47726" w:rsidRPr="00C47726">
        <w:rPr>
          <w:lang w:val="en-US"/>
        </w:rPr>
        <w:t xml:space="preserve"> This is covered in sections 14</w:t>
      </w:r>
      <w:r w:rsidR="00916FA5">
        <w:rPr>
          <w:lang w:val="en-US"/>
        </w:rPr>
        <w:t> </w:t>
      </w:r>
      <w:r w:rsidR="00C47726" w:rsidRPr="00C47726">
        <w:rPr>
          <w:lang w:val="en-US"/>
        </w:rPr>
        <w:t xml:space="preserve">and </w:t>
      </w:r>
      <w:r w:rsidR="002C4A0C">
        <w:rPr>
          <w:lang w:val="en-US"/>
        </w:rPr>
        <w:br/>
      </w:r>
      <w:r w:rsidR="00C47726" w:rsidRPr="00C47726">
        <w:rPr>
          <w:lang w:val="en-US"/>
        </w:rPr>
        <w:t>35</w:t>
      </w:r>
      <w:r w:rsidR="003A0D5E">
        <w:rPr>
          <w:lang w:val="en-US"/>
        </w:rPr>
        <w:noBreakHyphen/>
      </w:r>
      <w:r w:rsidR="00D00FCC">
        <w:rPr>
          <w:lang w:val="en-US"/>
        </w:rPr>
        <w:t xml:space="preserve">64 </w:t>
      </w:r>
      <w:r w:rsidR="00C47726" w:rsidRPr="00C47726">
        <w:rPr>
          <w:lang w:val="en-US"/>
        </w:rPr>
        <w:t>of the ASBFEO Act. These activities include</w:t>
      </w:r>
      <w:r w:rsidR="0040154F">
        <w:rPr>
          <w:lang w:val="en-US"/>
        </w:rPr>
        <w:t>:</w:t>
      </w:r>
    </w:p>
    <w:p w14:paraId="26CCD5DA" w14:textId="475D014B" w:rsidR="0040154F" w:rsidRDefault="00C47726" w:rsidP="004F3ED8">
      <w:pPr>
        <w:pStyle w:val="Bullet"/>
        <w:rPr>
          <w:lang w:val="en-US"/>
        </w:rPr>
      </w:pPr>
      <w:r w:rsidRPr="00C47726">
        <w:rPr>
          <w:lang w:val="en-US"/>
        </w:rPr>
        <w:t>identifying the concerns of small business operators</w:t>
      </w:r>
    </w:p>
    <w:p w14:paraId="3DDDAFC1" w14:textId="56078099" w:rsidR="0040154F" w:rsidRDefault="00C47726" w:rsidP="004F3ED8">
      <w:pPr>
        <w:pStyle w:val="Bullet"/>
        <w:rPr>
          <w:lang w:val="en-US"/>
        </w:rPr>
      </w:pPr>
      <w:r w:rsidRPr="00C47726">
        <w:rPr>
          <w:lang w:val="en-US"/>
        </w:rPr>
        <w:t>undertaking research and inquiries; working with other agencies to develop national strategies</w:t>
      </w:r>
    </w:p>
    <w:p w14:paraId="08582BEB" w14:textId="78DD4C10" w:rsidR="0040154F" w:rsidRDefault="00C47726" w:rsidP="004F3ED8">
      <w:pPr>
        <w:pStyle w:val="Bullet"/>
        <w:rPr>
          <w:lang w:val="en-US"/>
        </w:rPr>
      </w:pPr>
      <w:r w:rsidRPr="00C47726">
        <w:rPr>
          <w:lang w:val="en-US"/>
        </w:rPr>
        <w:t>making submissions and recommendations to relevant inquiries</w:t>
      </w:r>
    </w:p>
    <w:p w14:paraId="56D04C96" w14:textId="4CCB6D48" w:rsidR="0040154F" w:rsidRDefault="003435CC" w:rsidP="004F3ED8">
      <w:pPr>
        <w:pStyle w:val="Bullet"/>
        <w:rPr>
          <w:lang w:val="en-US"/>
        </w:rPr>
      </w:pPr>
      <w:r>
        <w:rPr>
          <w:lang w:val="en-US"/>
        </w:rPr>
        <w:t>reviewing proposals</w:t>
      </w:r>
    </w:p>
    <w:p w14:paraId="4401D98B" w14:textId="5328945B" w:rsidR="00C47726" w:rsidRPr="00C47726" w:rsidRDefault="00C47726" w:rsidP="004F3ED8">
      <w:pPr>
        <w:pStyle w:val="Bullet"/>
      </w:pPr>
      <w:r w:rsidRPr="00C47726">
        <w:rPr>
          <w:lang w:val="en-US"/>
        </w:rPr>
        <w:t>promoting best practice</w:t>
      </w:r>
      <w:r w:rsidR="00916FA5">
        <w:rPr>
          <w:lang w:val="en-US"/>
        </w:rPr>
        <w:t xml:space="preserve">. </w:t>
      </w:r>
    </w:p>
    <w:p w14:paraId="16037208" w14:textId="2A201315" w:rsidR="00C47726" w:rsidRPr="00C47726" w:rsidRDefault="0040154F" w:rsidP="00C47726">
      <w:r>
        <w:rPr>
          <w:rStyle w:val="Strong"/>
        </w:rPr>
        <w:t>T</w:t>
      </w:r>
      <w:r w:rsidR="00C47726" w:rsidRPr="00916FA5">
        <w:rPr>
          <w:rStyle w:val="Strong"/>
        </w:rPr>
        <w:t xml:space="preserve">he Minister for Small Business may </w:t>
      </w:r>
      <w:r>
        <w:rPr>
          <w:rStyle w:val="Strong"/>
        </w:rPr>
        <w:t xml:space="preserve">also </w:t>
      </w:r>
      <w:r w:rsidR="00C47726" w:rsidRPr="00916FA5">
        <w:rPr>
          <w:rStyle w:val="Strong"/>
        </w:rPr>
        <w:t xml:space="preserve">request </w:t>
      </w:r>
      <w:r w:rsidR="00576F4A">
        <w:rPr>
          <w:rStyle w:val="Strong"/>
        </w:rPr>
        <w:t>ABSFEO</w:t>
      </w:r>
      <w:r w:rsidR="00C47726" w:rsidRPr="00916FA5">
        <w:rPr>
          <w:rStyle w:val="Strong"/>
        </w:rPr>
        <w:t xml:space="preserve"> undertake certain advocacy activities to which </w:t>
      </w:r>
      <w:r w:rsidR="00576F4A">
        <w:rPr>
          <w:rStyle w:val="Strong"/>
        </w:rPr>
        <w:t>ASBFEO</w:t>
      </w:r>
      <w:r w:rsidR="00C47726" w:rsidRPr="00916FA5">
        <w:rPr>
          <w:rStyle w:val="Strong"/>
        </w:rPr>
        <w:t xml:space="preserve"> must respond.</w:t>
      </w:r>
      <w:r w:rsidR="00C47726" w:rsidRPr="00C47726">
        <w:rPr>
          <w:lang w:val="en-US"/>
        </w:rPr>
        <w:t xml:space="preserve"> These include advising the Minister on small </w:t>
      </w:r>
      <w:proofErr w:type="gramStart"/>
      <w:r w:rsidR="00C47726" w:rsidRPr="00C47726">
        <w:rPr>
          <w:lang w:val="en-US"/>
        </w:rPr>
        <w:t>business</w:t>
      </w:r>
      <w:r>
        <w:rPr>
          <w:lang w:val="en-US"/>
        </w:rPr>
        <w:t xml:space="preserve"> </w:t>
      </w:r>
      <w:r w:rsidR="00C47726" w:rsidRPr="00C47726">
        <w:rPr>
          <w:lang w:val="en-US"/>
        </w:rPr>
        <w:t>related</w:t>
      </w:r>
      <w:proofErr w:type="gramEnd"/>
      <w:r w:rsidR="00C47726" w:rsidRPr="00C47726">
        <w:rPr>
          <w:lang w:val="en-US"/>
        </w:rPr>
        <w:t xml:space="preserve"> matters</w:t>
      </w:r>
      <w:r w:rsidR="000D6404">
        <w:rPr>
          <w:lang w:val="en-US"/>
        </w:rPr>
        <w:t xml:space="preserve"> or</w:t>
      </w:r>
      <w:r w:rsidR="00C47726" w:rsidRPr="00C47726">
        <w:rPr>
          <w:lang w:val="en-US"/>
        </w:rPr>
        <w:t xml:space="preserve"> conducting an inquiry into a particular issue.</w:t>
      </w:r>
      <w:r w:rsidR="00065357">
        <w:rPr>
          <w:rFonts w:ascii="ZWAdobeF" w:hAnsi="ZWAdobeF" w:cs="ZWAdobeF"/>
          <w:color w:val="auto"/>
          <w:sz w:val="2"/>
          <w:szCs w:val="2"/>
          <w:lang w:val="en-US"/>
        </w:rPr>
        <w:t>6F</w:t>
      </w:r>
      <w:r w:rsidR="000C442F" w:rsidRPr="00037A05">
        <w:rPr>
          <w:rStyle w:val="FootnoteReference"/>
          <w:sz w:val="22"/>
          <w:szCs w:val="22"/>
          <w:vertAlign w:val="superscript"/>
          <w:lang w:val="en-US"/>
        </w:rPr>
        <w:footnoteReference w:id="8"/>
      </w:r>
    </w:p>
    <w:p w14:paraId="1D3A49CA" w14:textId="6BCA41B7" w:rsidR="00C47726" w:rsidRPr="00C47726" w:rsidRDefault="00C47726" w:rsidP="00C47726">
      <w:r w:rsidRPr="0094119E">
        <w:rPr>
          <w:rStyle w:val="Strong"/>
        </w:rPr>
        <w:t>ASBFEO</w:t>
      </w:r>
      <w:r w:rsidR="00916FA5" w:rsidRPr="0094119E">
        <w:rPr>
          <w:rStyle w:val="Strong"/>
        </w:rPr>
        <w:t>’</w:t>
      </w:r>
      <w:r w:rsidRPr="0094119E">
        <w:rPr>
          <w:rStyle w:val="Strong"/>
        </w:rPr>
        <w:t xml:space="preserve">s role is not to duplicate the work of other agencies. </w:t>
      </w:r>
      <w:r w:rsidRPr="00C47726">
        <w:rPr>
          <w:lang w:val="en-US"/>
        </w:rPr>
        <w:t xml:space="preserve">This is explained in the explanatory memorandum for the ASBFEO Act, </w:t>
      </w:r>
      <w:r w:rsidR="005D3345">
        <w:rPr>
          <w:lang w:val="en-US"/>
        </w:rPr>
        <w:t xml:space="preserve">which </w:t>
      </w:r>
      <w:r w:rsidRPr="00C47726">
        <w:rPr>
          <w:lang w:val="en-US"/>
        </w:rPr>
        <w:t>reinforce</w:t>
      </w:r>
      <w:r w:rsidR="005D3345">
        <w:rPr>
          <w:lang w:val="en-US"/>
        </w:rPr>
        <w:t>s</w:t>
      </w:r>
      <w:r w:rsidRPr="00C47726">
        <w:rPr>
          <w:lang w:val="en-US"/>
        </w:rPr>
        <w:t xml:space="preserve"> that the </w:t>
      </w:r>
      <w:r w:rsidR="005D3345">
        <w:rPr>
          <w:lang w:val="en-US"/>
        </w:rPr>
        <w:t>a</w:t>
      </w:r>
      <w:r w:rsidRPr="00C47726">
        <w:rPr>
          <w:lang w:val="en-US"/>
        </w:rPr>
        <w:t xml:space="preserve">dvocacy function, as well as the </w:t>
      </w:r>
      <w:r w:rsidRPr="00C47726">
        <w:rPr>
          <w:lang w:val="en-US"/>
        </w:rPr>
        <w:lastRenderedPageBreak/>
        <w:t xml:space="preserve">assistance function, are not to duplicate the work of other agencies and clarified that the broadest reading of </w:t>
      </w:r>
      <w:r w:rsidR="00916FA5">
        <w:rPr>
          <w:lang w:val="en-US"/>
        </w:rPr>
        <w:t>‘</w:t>
      </w:r>
      <w:r w:rsidRPr="00C47726">
        <w:rPr>
          <w:lang w:val="en-US"/>
        </w:rPr>
        <w:t>agency</w:t>
      </w:r>
      <w:r w:rsidR="00916FA5">
        <w:rPr>
          <w:lang w:val="en-US"/>
        </w:rPr>
        <w:t>’</w:t>
      </w:r>
      <w:r w:rsidRPr="00C47726">
        <w:rPr>
          <w:lang w:val="en-US"/>
        </w:rPr>
        <w:t xml:space="preserve"> should be applied</w:t>
      </w:r>
      <w:r w:rsidRPr="00486B3B">
        <w:rPr>
          <w:rStyle w:val="FootnoteReference"/>
        </w:rPr>
        <w:t>.</w:t>
      </w:r>
      <w:r w:rsidR="00065357">
        <w:rPr>
          <w:rFonts w:ascii="ZWAdobeF" w:hAnsi="ZWAdobeF" w:cs="ZWAdobeF"/>
          <w:color w:val="auto"/>
          <w:sz w:val="2"/>
          <w:szCs w:val="2"/>
        </w:rPr>
        <w:t>7F</w:t>
      </w:r>
      <w:r w:rsidR="004A465B" w:rsidRPr="00037A05">
        <w:rPr>
          <w:rStyle w:val="FootnoteReference"/>
          <w:sz w:val="22"/>
          <w:szCs w:val="22"/>
          <w:vertAlign w:val="superscript"/>
          <w:lang w:val="en-US"/>
        </w:rPr>
        <w:footnoteReference w:id="9"/>
      </w:r>
    </w:p>
    <w:p w14:paraId="602D9CA7" w14:textId="6C904301" w:rsidR="00C47726" w:rsidRPr="00C47726" w:rsidRDefault="00A930BF" w:rsidP="00C47726">
      <w:r>
        <w:rPr>
          <w:rStyle w:val="Emphasis"/>
        </w:rPr>
        <w:t>‘</w:t>
      </w:r>
      <w:r w:rsidR="00C47726" w:rsidRPr="0094119E">
        <w:rPr>
          <w:rStyle w:val="Emphasis"/>
        </w:rPr>
        <w:t xml:space="preserve">The term </w:t>
      </w:r>
      <w:r>
        <w:rPr>
          <w:rStyle w:val="Emphasis"/>
        </w:rPr>
        <w:t>“</w:t>
      </w:r>
      <w:r w:rsidR="00C47726" w:rsidRPr="0094119E">
        <w:rPr>
          <w:rStyle w:val="Emphasis"/>
        </w:rPr>
        <w:t>agency</w:t>
      </w:r>
      <w:r>
        <w:rPr>
          <w:rStyle w:val="Emphasis"/>
        </w:rPr>
        <w:t xml:space="preserve">” </w:t>
      </w:r>
      <w:r w:rsidR="00C47726" w:rsidRPr="0094119E">
        <w:rPr>
          <w:rStyle w:val="Emphasis"/>
        </w:rPr>
        <w:t>is very broad and includes a department of state or a local government body. It also includes any other agency, authority or body (whether incorporated or not) established for a public purpose by or under a law of the Commonwealth, a state or a territory</w:t>
      </w:r>
      <w:r w:rsidR="00C47726" w:rsidRPr="00C34515">
        <w:rPr>
          <w:rStyle w:val="Emphasis"/>
        </w:rPr>
        <w:t>.</w:t>
      </w:r>
      <w:r w:rsidR="003A0D5E">
        <w:rPr>
          <w:rStyle w:val="Emphasis"/>
        </w:rPr>
        <w:t>’</w:t>
      </w:r>
      <w:r w:rsidR="00065357">
        <w:rPr>
          <w:rStyle w:val="Emphasis"/>
          <w:rFonts w:ascii="ZWAdobeF" w:hAnsi="ZWAdobeF" w:cs="ZWAdobeF"/>
          <w:i w:val="0"/>
          <w:color w:val="auto"/>
          <w:sz w:val="2"/>
          <w:szCs w:val="2"/>
        </w:rPr>
        <w:t>8F</w:t>
      </w:r>
      <w:r w:rsidR="004F7FD7" w:rsidRPr="00037A05">
        <w:rPr>
          <w:rStyle w:val="FootnoteReference"/>
          <w:sz w:val="22"/>
          <w:szCs w:val="22"/>
          <w:vertAlign w:val="superscript"/>
          <w:lang w:val="en-US"/>
        </w:rPr>
        <w:footnoteReference w:id="10"/>
      </w:r>
    </w:p>
    <w:p w14:paraId="50DF9D71" w14:textId="64DFF4B3" w:rsidR="00C47726" w:rsidRPr="00C47726" w:rsidRDefault="00C47726" w:rsidP="00C47726">
      <w:r w:rsidRPr="0094119E">
        <w:rPr>
          <w:rStyle w:val="Strong"/>
        </w:rPr>
        <w:t>Several Commonwealth agencies are involved in activities impacting small businesses</w:t>
      </w:r>
      <w:r w:rsidRPr="00C47726">
        <w:rPr>
          <w:b/>
          <w:bCs/>
          <w:lang w:val="en-US"/>
        </w:rPr>
        <w:t>.</w:t>
      </w:r>
      <w:r w:rsidRPr="00C47726">
        <w:rPr>
          <w:lang w:val="en-US"/>
        </w:rPr>
        <w:t xml:space="preserve"> For example, Treasury and the Department of </w:t>
      </w:r>
      <w:r w:rsidRPr="00916FA5">
        <w:rPr>
          <w:rFonts w:eastAsia="Calibri"/>
        </w:rPr>
        <w:t xml:space="preserve">Industry </w:t>
      </w:r>
      <w:r w:rsidR="0014438D" w:rsidRPr="00916FA5">
        <w:rPr>
          <w:rFonts w:eastAsia="Calibri"/>
        </w:rPr>
        <w:t>Science and Resources</w:t>
      </w:r>
      <w:r w:rsidR="0014438D">
        <w:rPr>
          <w:rFonts w:eastAsia="Calibri"/>
        </w:rPr>
        <w:t xml:space="preserve"> </w:t>
      </w:r>
      <w:r w:rsidR="0014438D" w:rsidRPr="000019A1">
        <w:rPr>
          <w:rFonts w:eastAsia="Calibri"/>
        </w:rPr>
        <w:t>(DISR)</w:t>
      </w:r>
      <w:r w:rsidRPr="00C47726" w:rsidDel="0014438D">
        <w:rPr>
          <w:lang w:val="en-US"/>
        </w:rPr>
        <w:t xml:space="preserve"> </w:t>
      </w:r>
      <w:r w:rsidRPr="00C47726">
        <w:rPr>
          <w:lang w:val="en-US"/>
        </w:rPr>
        <w:t xml:space="preserve">focus on regulatory, policy and economic conditions impacting small businesses. These departments frame policy decisions through a broad lens that requires balancing the interests of stakeholders, including the </w:t>
      </w:r>
      <w:r w:rsidR="00B31A62">
        <w:rPr>
          <w:lang w:val="en-US"/>
        </w:rPr>
        <w:t>Australian G</w:t>
      </w:r>
      <w:r w:rsidRPr="00C47726">
        <w:rPr>
          <w:lang w:val="en-US"/>
        </w:rPr>
        <w:t>overnment</w:t>
      </w:r>
      <w:r w:rsidR="00916FA5">
        <w:rPr>
          <w:lang w:val="en-US"/>
        </w:rPr>
        <w:t>’</w:t>
      </w:r>
      <w:r w:rsidRPr="00C47726">
        <w:rPr>
          <w:lang w:val="en-US"/>
        </w:rPr>
        <w:t>s policy agenda</w:t>
      </w:r>
      <w:r w:rsidR="00916FA5">
        <w:rPr>
          <w:lang w:val="en-US"/>
        </w:rPr>
        <w:t>.</w:t>
      </w:r>
    </w:p>
    <w:p w14:paraId="2DA7CBAC" w14:textId="5C76111E" w:rsidR="00C47726" w:rsidRPr="00C47726" w:rsidRDefault="00C47726" w:rsidP="00C47726">
      <w:r w:rsidRPr="0094119E">
        <w:rPr>
          <w:rStyle w:val="Strong"/>
        </w:rPr>
        <w:t xml:space="preserve">In comparison, </w:t>
      </w:r>
      <w:r w:rsidR="00576F4A">
        <w:rPr>
          <w:rStyle w:val="Strong"/>
        </w:rPr>
        <w:t>ASBFEO</w:t>
      </w:r>
      <w:r w:rsidRPr="0094119E">
        <w:rPr>
          <w:rStyle w:val="Strong"/>
        </w:rPr>
        <w:t xml:space="preserve"> is expected to advocate only for small businesses and their interests.</w:t>
      </w:r>
      <w:r w:rsidRPr="00C47726">
        <w:rPr>
          <w:lang w:val="en-US"/>
        </w:rPr>
        <w:t xml:space="preserve"> The Ombudsman has a unique position with first</w:t>
      </w:r>
      <w:r w:rsidR="003A0D5E">
        <w:rPr>
          <w:lang w:val="en-US"/>
        </w:rPr>
        <w:noBreakHyphen/>
      </w:r>
      <w:r w:rsidRPr="00C47726">
        <w:rPr>
          <w:lang w:val="en-US"/>
        </w:rPr>
        <w:t xml:space="preserve">hand access to the assistance function activity and the resulting valuable insights into areas of policy or regulation that are not working as </w:t>
      </w:r>
      <w:r w:rsidR="005219FB" w:rsidRPr="00C47726">
        <w:rPr>
          <w:lang w:val="en-US"/>
        </w:rPr>
        <w:t>intended or</w:t>
      </w:r>
      <w:r w:rsidRPr="00C47726">
        <w:rPr>
          <w:lang w:val="en-US"/>
        </w:rPr>
        <w:t xml:space="preserve"> </w:t>
      </w:r>
      <w:r w:rsidR="004B1BC4">
        <w:rPr>
          <w:lang w:val="en-US"/>
        </w:rPr>
        <w:t xml:space="preserve">are </w:t>
      </w:r>
      <w:r w:rsidRPr="00C47726">
        <w:rPr>
          <w:lang w:val="en-US"/>
        </w:rPr>
        <w:t xml:space="preserve">feeding power imbalances. </w:t>
      </w:r>
      <w:r w:rsidR="00576F4A">
        <w:rPr>
          <w:lang w:val="en-US"/>
        </w:rPr>
        <w:t>ASBFEO</w:t>
      </w:r>
      <w:r w:rsidRPr="00C47726">
        <w:rPr>
          <w:lang w:val="en-US"/>
        </w:rPr>
        <w:t xml:space="preserve"> can share these insights with policymakers to </w:t>
      </w:r>
      <w:r w:rsidR="009961BE">
        <w:rPr>
          <w:lang w:val="en-US"/>
        </w:rPr>
        <w:t>contribut</w:t>
      </w:r>
      <w:r w:rsidR="00A930BF">
        <w:rPr>
          <w:lang w:val="en-US"/>
        </w:rPr>
        <w:t xml:space="preserve">e </w:t>
      </w:r>
      <w:r w:rsidR="009961BE">
        <w:rPr>
          <w:lang w:val="en-US"/>
        </w:rPr>
        <w:t xml:space="preserve">to the development of </w:t>
      </w:r>
      <w:r w:rsidRPr="00C47726">
        <w:rPr>
          <w:lang w:val="en-US"/>
        </w:rPr>
        <w:t>Commonwealth laws and regulations that are small business</w:t>
      </w:r>
      <w:r w:rsidR="00F92C06">
        <w:rPr>
          <w:lang w:val="en-US"/>
        </w:rPr>
        <w:t xml:space="preserve"> </w:t>
      </w:r>
      <w:r w:rsidRPr="00C47726">
        <w:rPr>
          <w:lang w:val="en-US"/>
        </w:rPr>
        <w:t>friendly.</w:t>
      </w:r>
      <w:r w:rsidR="00065357">
        <w:rPr>
          <w:rFonts w:ascii="ZWAdobeF" w:hAnsi="ZWAdobeF" w:cs="ZWAdobeF"/>
          <w:color w:val="auto"/>
          <w:sz w:val="2"/>
          <w:szCs w:val="2"/>
          <w:lang w:val="en-US"/>
        </w:rPr>
        <w:t>9F</w:t>
      </w:r>
      <w:r w:rsidR="00E115C8" w:rsidRPr="00037A05">
        <w:rPr>
          <w:rStyle w:val="FootnoteReference"/>
          <w:sz w:val="22"/>
          <w:szCs w:val="22"/>
          <w:vertAlign w:val="superscript"/>
        </w:rPr>
        <w:footnoteReference w:id="11"/>
      </w:r>
    </w:p>
    <w:p w14:paraId="60D557F6" w14:textId="730DA05B" w:rsidR="00C47726" w:rsidRPr="00C47726" w:rsidRDefault="00C47726" w:rsidP="00C47726">
      <w:r w:rsidRPr="00CB246F">
        <w:rPr>
          <w:rStyle w:val="Strong"/>
        </w:rPr>
        <w:t xml:space="preserve">ASBFEO has engaged in advocacy activities over the past </w:t>
      </w:r>
      <w:r w:rsidR="00737854">
        <w:rPr>
          <w:rStyle w:val="Strong"/>
        </w:rPr>
        <w:t>4</w:t>
      </w:r>
      <w:r w:rsidR="00737854" w:rsidRPr="00CB246F">
        <w:rPr>
          <w:rStyle w:val="Strong"/>
        </w:rPr>
        <w:t xml:space="preserve"> </w:t>
      </w:r>
      <w:r w:rsidRPr="00CB246F">
        <w:rPr>
          <w:rStyle w:val="Strong"/>
        </w:rPr>
        <w:t>years, across engagement activities and policy advocacy.</w:t>
      </w:r>
      <w:r w:rsidRPr="00C47726">
        <w:rPr>
          <w:lang w:val="en-US"/>
        </w:rPr>
        <w:t xml:space="preserve"> Engagement activities includ</w:t>
      </w:r>
      <w:r w:rsidR="00087AA3">
        <w:rPr>
          <w:lang w:val="en-US"/>
        </w:rPr>
        <w:t>e</w:t>
      </w:r>
      <w:r w:rsidRPr="00C47726">
        <w:rPr>
          <w:lang w:val="en-US"/>
        </w:rPr>
        <w:t xml:space="preserve"> forums</w:t>
      </w:r>
      <w:r w:rsidR="00CE0BFF">
        <w:rPr>
          <w:lang w:val="en-US"/>
        </w:rPr>
        <w:t>, meetings</w:t>
      </w:r>
      <w:r w:rsidR="00434367">
        <w:rPr>
          <w:lang w:val="en-US"/>
        </w:rPr>
        <w:t xml:space="preserve"> and outreac</w:t>
      </w:r>
      <w:r w:rsidR="00054DBE">
        <w:rPr>
          <w:lang w:val="en-US"/>
        </w:rPr>
        <w:t>h</w:t>
      </w:r>
      <w:r w:rsidR="00004D92">
        <w:rPr>
          <w:lang w:val="en-US"/>
        </w:rPr>
        <w:t>. W</w:t>
      </w:r>
      <w:r w:rsidR="00B41865">
        <w:rPr>
          <w:lang w:val="en-US"/>
        </w:rPr>
        <w:t>ith policy advocacy comprising of</w:t>
      </w:r>
      <w:r w:rsidRPr="00C47726">
        <w:rPr>
          <w:lang w:val="en-US"/>
        </w:rPr>
        <w:t xml:space="preserve"> research and inquiries initiated by the Ombudsman or requested by the Minister</w:t>
      </w:r>
      <w:r w:rsidR="008E06B3">
        <w:rPr>
          <w:lang w:val="en-US"/>
        </w:rPr>
        <w:t>;</w:t>
      </w:r>
      <w:r w:rsidRPr="00C47726">
        <w:rPr>
          <w:lang w:val="en-US"/>
        </w:rPr>
        <w:t xml:space="preserve"> submissions to other inquiries</w:t>
      </w:r>
      <w:r w:rsidR="008E06B3">
        <w:rPr>
          <w:lang w:val="en-US"/>
        </w:rPr>
        <w:t>;</w:t>
      </w:r>
      <w:r w:rsidRPr="00C47726">
        <w:rPr>
          <w:lang w:val="en-US"/>
        </w:rPr>
        <w:t xml:space="preserve"> and economic data analysis.</w:t>
      </w:r>
    </w:p>
    <w:p w14:paraId="739C7439" w14:textId="761F6387" w:rsidR="00C47726" w:rsidRPr="00C47726" w:rsidRDefault="00C47726" w:rsidP="005219FB">
      <w:pPr>
        <w:pStyle w:val="Heading2"/>
      </w:pPr>
      <w:bookmarkStart w:id="14" w:name="_Toc199940925"/>
      <w:r w:rsidRPr="00C47726">
        <w:t>ASBFEO</w:t>
      </w:r>
      <w:r w:rsidR="00916FA5">
        <w:t>’</w:t>
      </w:r>
      <w:r w:rsidRPr="00C47726">
        <w:t xml:space="preserve">s </w:t>
      </w:r>
      <w:r w:rsidR="00071624">
        <w:t>e</w:t>
      </w:r>
      <w:r w:rsidRPr="00C47726">
        <w:t>ngagement with stakeholders</w:t>
      </w:r>
      <w:bookmarkEnd w:id="14"/>
      <w:r w:rsidRPr="00C47726">
        <w:t>  </w:t>
      </w:r>
    </w:p>
    <w:p w14:paraId="54239236" w14:textId="445289EB" w:rsidR="00C47726" w:rsidRPr="00C47726" w:rsidRDefault="00C47726" w:rsidP="00C47726">
      <w:r w:rsidRPr="00CB246F">
        <w:rPr>
          <w:rStyle w:val="Strong"/>
        </w:rPr>
        <w:t>ASBFEO coordinates forums and meetings to build and strengthen relationships across business and government</w:t>
      </w:r>
      <w:r w:rsidR="004511CF">
        <w:rPr>
          <w:rStyle w:val="Strong"/>
        </w:rPr>
        <w:t xml:space="preserve"> (Appendix E)</w:t>
      </w:r>
      <w:r w:rsidRPr="00CB246F">
        <w:rPr>
          <w:rStyle w:val="Strong"/>
        </w:rPr>
        <w:t xml:space="preserve">. </w:t>
      </w:r>
      <w:r w:rsidRPr="00C47726">
        <w:rPr>
          <w:lang w:val="en-US"/>
        </w:rPr>
        <w:t xml:space="preserve">These activities </w:t>
      </w:r>
      <w:r w:rsidR="006D3E30">
        <w:rPr>
          <w:lang w:val="en-US"/>
        </w:rPr>
        <w:t>help</w:t>
      </w:r>
      <w:r w:rsidRPr="00C47726">
        <w:rPr>
          <w:lang w:val="en-US"/>
        </w:rPr>
        <w:t xml:space="preserve"> ASBFEO identify concerns of small business owners. ASBFEO</w:t>
      </w:r>
      <w:r w:rsidR="00916FA5">
        <w:rPr>
          <w:lang w:val="en-US"/>
        </w:rPr>
        <w:t>’</w:t>
      </w:r>
      <w:r w:rsidRPr="00C47726">
        <w:rPr>
          <w:lang w:val="en-US"/>
        </w:rPr>
        <w:t>s engagement activities include:</w:t>
      </w:r>
    </w:p>
    <w:p w14:paraId="73AD03D8" w14:textId="62B23047" w:rsidR="00C47726" w:rsidRPr="00C47726" w:rsidRDefault="00C47726" w:rsidP="00CB246F">
      <w:pPr>
        <w:pStyle w:val="Bullet"/>
      </w:pPr>
      <w:r w:rsidRPr="00C47726">
        <w:rPr>
          <w:lang w:val="en-US"/>
        </w:rPr>
        <w:t>The ASBFEO Policy Forum</w:t>
      </w:r>
      <w:r w:rsidR="00B05FCF">
        <w:rPr>
          <w:lang w:val="en-US"/>
        </w:rPr>
        <w:t xml:space="preserve">, which </w:t>
      </w:r>
      <w:r w:rsidRPr="00C47726">
        <w:rPr>
          <w:lang w:val="en-US"/>
        </w:rPr>
        <w:t>usually meets thrice yearly and incorporates approximately 50</w:t>
      </w:r>
      <w:r w:rsidR="00B81A09">
        <w:rPr>
          <w:lang w:val="en-US"/>
        </w:rPr>
        <w:t> </w:t>
      </w:r>
      <w:r w:rsidRPr="00C47726">
        <w:rPr>
          <w:lang w:val="en-US"/>
        </w:rPr>
        <w:t>industry and professional associations.</w:t>
      </w:r>
      <w:r w:rsidR="00065357">
        <w:rPr>
          <w:rFonts w:ascii="ZWAdobeF" w:hAnsi="ZWAdobeF" w:cs="ZWAdobeF"/>
          <w:color w:val="auto"/>
          <w:sz w:val="2"/>
          <w:szCs w:val="2"/>
          <w:lang w:val="en-US"/>
        </w:rPr>
        <w:t>10F</w:t>
      </w:r>
      <w:r w:rsidR="00FE6DB4" w:rsidRPr="00037A05">
        <w:rPr>
          <w:rStyle w:val="FootnoteReference"/>
          <w:sz w:val="22"/>
          <w:szCs w:val="22"/>
          <w:vertAlign w:val="superscript"/>
        </w:rPr>
        <w:footnoteReference w:id="12"/>
      </w:r>
    </w:p>
    <w:p w14:paraId="4F797AB1" w14:textId="154E4FA2" w:rsidR="00C47726" w:rsidRPr="00C47726" w:rsidRDefault="00C47726" w:rsidP="00CB246F">
      <w:pPr>
        <w:pStyle w:val="Bullet"/>
      </w:pPr>
      <w:r w:rsidRPr="00C47726">
        <w:rPr>
          <w:lang w:val="en-US"/>
        </w:rPr>
        <w:t xml:space="preserve">The </w:t>
      </w:r>
      <w:r w:rsidR="0016744D">
        <w:rPr>
          <w:lang w:val="en-US"/>
        </w:rPr>
        <w:t>FRAG</w:t>
      </w:r>
      <w:r w:rsidRPr="00C47726">
        <w:rPr>
          <w:lang w:val="en-US"/>
        </w:rPr>
        <w:t>, chaired by the Ombudsman, which meets quarterly and comprises Commonwealth</w:t>
      </w:r>
      <w:r w:rsidR="00916FA5">
        <w:rPr>
          <w:lang w:val="en-US"/>
        </w:rPr>
        <w:noBreakHyphen/>
      </w:r>
      <w:r w:rsidRPr="00C47726">
        <w:rPr>
          <w:lang w:val="en-US"/>
        </w:rPr>
        <w:t xml:space="preserve">level regulators, including the </w:t>
      </w:r>
      <w:r w:rsidR="00D07E82" w:rsidRPr="00D07E82">
        <w:rPr>
          <w:lang w:val="en-US"/>
        </w:rPr>
        <w:t xml:space="preserve">Australian Competition and Consumer Commission </w:t>
      </w:r>
      <w:r w:rsidR="00D07E82">
        <w:rPr>
          <w:lang w:val="en-US"/>
        </w:rPr>
        <w:t>(</w:t>
      </w:r>
      <w:r w:rsidRPr="00162991">
        <w:rPr>
          <w:lang w:val="en-US"/>
        </w:rPr>
        <w:t>ACCC</w:t>
      </w:r>
      <w:r w:rsidR="00D07E82">
        <w:rPr>
          <w:lang w:val="en-US"/>
        </w:rPr>
        <w:t>)</w:t>
      </w:r>
      <w:r w:rsidRPr="00C47726">
        <w:rPr>
          <w:lang w:val="en-US"/>
        </w:rPr>
        <w:t>, Australian Securities and Investments Commission</w:t>
      </w:r>
      <w:r w:rsidR="006D4D1A">
        <w:rPr>
          <w:lang w:val="en-US"/>
        </w:rPr>
        <w:t xml:space="preserve"> (</w:t>
      </w:r>
      <w:r w:rsidR="006D4D1A" w:rsidRPr="00162991">
        <w:rPr>
          <w:lang w:val="en-US"/>
        </w:rPr>
        <w:t>ASIC</w:t>
      </w:r>
      <w:r w:rsidR="006D4D1A">
        <w:rPr>
          <w:lang w:val="en-US"/>
        </w:rPr>
        <w:t>)</w:t>
      </w:r>
      <w:r w:rsidRPr="00C47726">
        <w:rPr>
          <w:lang w:val="en-US"/>
        </w:rPr>
        <w:t>, ATO, Australian Financial Complaints Authority</w:t>
      </w:r>
      <w:r w:rsidR="009E56D1">
        <w:rPr>
          <w:lang w:val="en-US"/>
        </w:rPr>
        <w:t xml:space="preserve"> (AFCA)</w:t>
      </w:r>
      <w:r w:rsidRPr="00C47726">
        <w:rPr>
          <w:lang w:val="en-US"/>
        </w:rPr>
        <w:t>, Australian Financial Security Authority</w:t>
      </w:r>
      <w:r w:rsidR="001B114E">
        <w:rPr>
          <w:lang w:val="en-US"/>
        </w:rPr>
        <w:t xml:space="preserve"> (</w:t>
      </w:r>
      <w:r w:rsidR="001B114E" w:rsidRPr="007A4D16">
        <w:rPr>
          <w:lang w:val="en-US"/>
        </w:rPr>
        <w:t>AF</w:t>
      </w:r>
      <w:r w:rsidR="009E56D1">
        <w:rPr>
          <w:lang w:val="en-US"/>
        </w:rPr>
        <w:t>S</w:t>
      </w:r>
      <w:r w:rsidR="001B114E" w:rsidRPr="007A4D16">
        <w:rPr>
          <w:lang w:val="en-US"/>
        </w:rPr>
        <w:t>A</w:t>
      </w:r>
      <w:r w:rsidR="001B114E">
        <w:rPr>
          <w:lang w:val="en-US"/>
        </w:rPr>
        <w:t>)</w:t>
      </w:r>
      <w:r w:rsidRPr="00C47726">
        <w:rPr>
          <w:lang w:val="en-US"/>
        </w:rPr>
        <w:t xml:space="preserve">, Fair Work Ombudsman </w:t>
      </w:r>
      <w:r w:rsidR="001B114E">
        <w:rPr>
          <w:lang w:val="en-US"/>
        </w:rPr>
        <w:t>(</w:t>
      </w:r>
      <w:r w:rsidR="001B114E" w:rsidRPr="00162991">
        <w:rPr>
          <w:lang w:val="en-US"/>
        </w:rPr>
        <w:t>FWO</w:t>
      </w:r>
      <w:r w:rsidR="001B114E">
        <w:rPr>
          <w:lang w:val="en-US"/>
        </w:rPr>
        <w:t>)</w:t>
      </w:r>
      <w:r w:rsidRPr="00C47726">
        <w:rPr>
          <w:lang w:val="en-US"/>
        </w:rPr>
        <w:t xml:space="preserve"> and Treasury.</w:t>
      </w:r>
      <w:r w:rsidRPr="00C47726">
        <w:t> </w:t>
      </w:r>
    </w:p>
    <w:p w14:paraId="0264B0A5" w14:textId="54D34D35" w:rsidR="00C47726" w:rsidRPr="00C47726" w:rsidRDefault="001A0E76" w:rsidP="00CB246F">
      <w:pPr>
        <w:pStyle w:val="Bullet"/>
      </w:pPr>
      <w:r>
        <w:rPr>
          <w:lang w:val="en-US"/>
        </w:rPr>
        <w:lastRenderedPageBreak/>
        <w:t>T</w:t>
      </w:r>
      <w:r w:rsidR="00C47726" w:rsidRPr="00C47726">
        <w:rPr>
          <w:lang w:val="en-US"/>
        </w:rPr>
        <w:t>he Small Business Stewardship Group, the Ombudsman co</w:t>
      </w:r>
      <w:r w:rsidR="00916FA5">
        <w:rPr>
          <w:lang w:val="en-US"/>
        </w:rPr>
        <w:noBreakHyphen/>
      </w:r>
      <w:r w:rsidR="00C47726" w:rsidRPr="00C47726">
        <w:rPr>
          <w:lang w:val="en-US"/>
        </w:rPr>
        <w:t>chairs with an ATO Deputy Commissioner, which provides input and feedback on the ATO</w:t>
      </w:r>
      <w:r w:rsidR="00916FA5">
        <w:rPr>
          <w:lang w:val="en-US"/>
        </w:rPr>
        <w:t>’</w:t>
      </w:r>
      <w:r w:rsidR="00C47726" w:rsidRPr="00C47726">
        <w:rPr>
          <w:lang w:val="en-US"/>
        </w:rPr>
        <w:t>s approach to small business</w:t>
      </w:r>
      <w:r w:rsidR="001B114E">
        <w:rPr>
          <w:lang w:val="en-US"/>
        </w:rPr>
        <w:t>.</w:t>
      </w:r>
      <w:r w:rsidR="003A0D5E">
        <w:rPr>
          <w:lang w:val="en-US"/>
        </w:rPr>
        <w:t xml:space="preserve"> </w:t>
      </w:r>
    </w:p>
    <w:p w14:paraId="40F69562" w14:textId="42B6D707" w:rsidR="000944B9" w:rsidRPr="000944B9" w:rsidRDefault="00C47726" w:rsidP="00CB246F">
      <w:pPr>
        <w:pStyle w:val="Bullet"/>
      </w:pPr>
      <w:r w:rsidRPr="00C47726">
        <w:rPr>
          <w:lang w:val="en-US"/>
        </w:rPr>
        <w:t>S</w:t>
      </w:r>
      <w:r w:rsidR="00F92C06">
        <w:rPr>
          <w:lang w:val="en-US"/>
        </w:rPr>
        <w:t>BC</w:t>
      </w:r>
      <w:r w:rsidRPr="00C47726">
        <w:rPr>
          <w:lang w:val="en-US"/>
        </w:rPr>
        <w:t>s</w:t>
      </w:r>
      <w:r w:rsidR="001A0E76">
        <w:rPr>
          <w:lang w:val="en-US"/>
        </w:rPr>
        <w:t>, which</w:t>
      </w:r>
      <w:r w:rsidRPr="00C47726">
        <w:rPr>
          <w:lang w:val="en-US"/>
        </w:rPr>
        <w:t xml:space="preserve"> meet quarterly to collaborate, share information, identify best practices and provide a united voice of influence for small businesses.</w:t>
      </w:r>
      <w:r w:rsidR="00065357">
        <w:rPr>
          <w:rFonts w:ascii="ZWAdobeF" w:hAnsi="ZWAdobeF" w:cs="ZWAdobeF"/>
          <w:color w:val="auto"/>
          <w:sz w:val="2"/>
          <w:szCs w:val="2"/>
          <w:lang w:val="en-US"/>
        </w:rPr>
        <w:t>11F</w:t>
      </w:r>
      <w:r w:rsidR="0041138E" w:rsidRPr="00037A05">
        <w:rPr>
          <w:rStyle w:val="FootnoteReference"/>
          <w:sz w:val="22"/>
          <w:szCs w:val="22"/>
          <w:vertAlign w:val="superscript"/>
          <w:lang w:val="en-US"/>
        </w:rPr>
        <w:footnoteReference w:id="13"/>
      </w:r>
    </w:p>
    <w:p w14:paraId="0DC4B955" w14:textId="2BEFAB3F" w:rsidR="00C47726" w:rsidRPr="00C47726" w:rsidRDefault="001A0E76" w:rsidP="00CB246F">
      <w:pPr>
        <w:pStyle w:val="Bullet"/>
      </w:pPr>
      <w:r>
        <w:rPr>
          <w:lang w:val="en-US"/>
        </w:rPr>
        <w:t xml:space="preserve">The </w:t>
      </w:r>
      <w:r w:rsidR="00C47726" w:rsidRPr="00C47726">
        <w:rPr>
          <w:lang w:val="en-US"/>
        </w:rPr>
        <w:t>National Small Business Media and Communication Network</w:t>
      </w:r>
      <w:r w:rsidR="00A9495C">
        <w:rPr>
          <w:lang w:val="en-US"/>
        </w:rPr>
        <w:t xml:space="preserve">, which is </w:t>
      </w:r>
      <w:r w:rsidR="00C47726" w:rsidRPr="00C47726">
        <w:rPr>
          <w:lang w:val="en-US"/>
        </w:rPr>
        <w:t xml:space="preserve">chaired by the Ombudsman, </w:t>
      </w:r>
      <w:r w:rsidR="00A9495C">
        <w:rPr>
          <w:lang w:val="en-US"/>
        </w:rPr>
        <w:t>and</w:t>
      </w:r>
      <w:r>
        <w:rPr>
          <w:lang w:val="en-US"/>
        </w:rPr>
        <w:t xml:space="preserve"> </w:t>
      </w:r>
      <w:r w:rsidR="00C47726" w:rsidRPr="00C47726">
        <w:rPr>
          <w:lang w:val="en-US"/>
        </w:rPr>
        <w:t>meets quarterly with representatives from regulators and state and territory departments.</w:t>
      </w:r>
      <w:r w:rsidR="00065357">
        <w:rPr>
          <w:rFonts w:ascii="ZWAdobeF" w:hAnsi="ZWAdobeF" w:cs="ZWAdobeF"/>
          <w:color w:val="auto"/>
          <w:sz w:val="2"/>
          <w:szCs w:val="2"/>
          <w:lang w:val="en-US"/>
        </w:rPr>
        <w:t>12F</w:t>
      </w:r>
      <w:r w:rsidR="00E8268D" w:rsidRPr="00037A05">
        <w:rPr>
          <w:rStyle w:val="FootnoteReference"/>
          <w:sz w:val="22"/>
          <w:szCs w:val="22"/>
          <w:vertAlign w:val="superscript"/>
          <w:lang w:val="en-US"/>
        </w:rPr>
        <w:footnoteReference w:id="14"/>
      </w:r>
      <w:r w:rsidR="00C47726" w:rsidRPr="00037A05">
        <w:rPr>
          <w:szCs w:val="22"/>
          <w:vertAlign w:val="superscript"/>
          <w:lang w:val="en-US"/>
        </w:rPr>
        <w:t xml:space="preserve"> </w:t>
      </w:r>
    </w:p>
    <w:p w14:paraId="4282C949" w14:textId="4A330E6F" w:rsidR="00645024" w:rsidRDefault="00C47726" w:rsidP="00C47726">
      <w:pPr>
        <w:rPr>
          <w:lang w:val="en-US"/>
        </w:rPr>
      </w:pPr>
      <w:r w:rsidRPr="003D4CA9">
        <w:rPr>
          <w:rStyle w:val="Strong"/>
        </w:rPr>
        <w:t>ASBFEO undertakes outreach events including expos, trade shows, field days and summits to help understand the issues facing small business.</w:t>
      </w:r>
      <w:r w:rsidR="00065357">
        <w:rPr>
          <w:rStyle w:val="Strong"/>
          <w:rFonts w:ascii="ZWAdobeF" w:hAnsi="ZWAdobeF" w:cs="ZWAdobeF"/>
          <w:b w:val="0"/>
          <w:color w:val="auto"/>
          <w:sz w:val="2"/>
          <w:szCs w:val="2"/>
        </w:rPr>
        <w:t>13F</w:t>
      </w:r>
      <w:r w:rsidR="00113B03" w:rsidRPr="00037A05">
        <w:rPr>
          <w:rStyle w:val="FootnoteReference"/>
          <w:sz w:val="22"/>
          <w:szCs w:val="22"/>
          <w:vertAlign w:val="superscript"/>
        </w:rPr>
        <w:footnoteReference w:id="15"/>
      </w:r>
      <w:r w:rsidRPr="00C47726">
        <w:rPr>
          <w:lang w:val="en-US"/>
        </w:rPr>
        <w:t xml:space="preserve"> ASBFEO report</w:t>
      </w:r>
      <w:r w:rsidR="00A9495C">
        <w:rPr>
          <w:lang w:val="en-US"/>
        </w:rPr>
        <w:t>ed that</w:t>
      </w:r>
      <w:r w:rsidRPr="00C47726">
        <w:rPr>
          <w:lang w:val="en-US"/>
        </w:rPr>
        <w:t xml:space="preserve"> the Ombudsman also visits with</w:t>
      </w:r>
      <w:r w:rsidR="00645024">
        <w:rPr>
          <w:lang w:val="en-US"/>
        </w:rPr>
        <w:t>:</w:t>
      </w:r>
    </w:p>
    <w:p w14:paraId="430A5748" w14:textId="67860EDE" w:rsidR="00645024" w:rsidRDefault="00C47726" w:rsidP="00162991">
      <w:pPr>
        <w:pStyle w:val="Bullet"/>
      </w:pPr>
      <w:r w:rsidRPr="00C47726">
        <w:t>migrant</w:t>
      </w:r>
      <w:r w:rsidR="003A0D5E">
        <w:noBreakHyphen/>
      </w:r>
      <w:r w:rsidRPr="00C47726">
        <w:t>owned businesses</w:t>
      </w:r>
    </w:p>
    <w:p w14:paraId="6E112B6F" w14:textId="16F34233" w:rsidR="00645024" w:rsidRDefault="00C47726" w:rsidP="00162991">
      <w:pPr>
        <w:pStyle w:val="Bullet"/>
        <w:rPr>
          <w:lang w:val="en-US"/>
        </w:rPr>
      </w:pPr>
      <w:r w:rsidRPr="00C47726">
        <w:t>stakeholders representing the interests of First Nations</w:t>
      </w:r>
      <w:r w:rsidR="00916FA5">
        <w:t>’</w:t>
      </w:r>
      <w:r w:rsidRPr="00C47726">
        <w:t xml:space="preserve"> businesses – such as </w:t>
      </w:r>
      <w:r w:rsidRPr="00C47726">
        <w:rPr>
          <w:lang w:val="en-US"/>
        </w:rPr>
        <w:t xml:space="preserve">Supply Nation, </w:t>
      </w:r>
      <w:r w:rsidR="00507ABD">
        <w:rPr>
          <w:lang w:val="en-US"/>
        </w:rPr>
        <w:t xml:space="preserve">the </w:t>
      </w:r>
      <w:r w:rsidRPr="00C47726">
        <w:rPr>
          <w:lang w:val="en-US"/>
        </w:rPr>
        <w:t xml:space="preserve">National Indigenous Australians Agency, and </w:t>
      </w:r>
    </w:p>
    <w:p w14:paraId="4D97DF01" w14:textId="3EBFD465" w:rsidR="00C47726" w:rsidRPr="00C47726" w:rsidRDefault="00C47726" w:rsidP="00162991">
      <w:pPr>
        <w:pStyle w:val="Bullet"/>
      </w:pPr>
      <w:r w:rsidRPr="00C47726">
        <w:rPr>
          <w:lang w:val="en-US"/>
        </w:rPr>
        <w:t>the Office of the Registrar of Indigenous Corporations</w:t>
      </w:r>
      <w:r w:rsidR="00A64519">
        <w:rPr>
          <w:lang w:val="en-US"/>
        </w:rPr>
        <w:t>.</w:t>
      </w:r>
      <w:r w:rsidR="00065357">
        <w:rPr>
          <w:rFonts w:ascii="ZWAdobeF" w:hAnsi="ZWAdobeF" w:cs="ZWAdobeF"/>
          <w:color w:val="auto"/>
          <w:sz w:val="2"/>
          <w:szCs w:val="2"/>
          <w:lang w:val="en-US"/>
        </w:rPr>
        <w:t>14F</w:t>
      </w:r>
      <w:r w:rsidR="008B38C1" w:rsidRPr="00037A05">
        <w:rPr>
          <w:rStyle w:val="FootnoteReference"/>
          <w:sz w:val="22"/>
          <w:szCs w:val="22"/>
          <w:vertAlign w:val="superscript"/>
          <w:lang w:val="en-US"/>
        </w:rPr>
        <w:footnoteReference w:id="16"/>
      </w:r>
    </w:p>
    <w:p w14:paraId="565312A3" w14:textId="1716A087" w:rsidR="00C47726" w:rsidRPr="00C47726" w:rsidRDefault="00C47726" w:rsidP="00AC40D5">
      <w:pPr>
        <w:pStyle w:val="Heading3"/>
      </w:pPr>
      <w:bookmarkStart w:id="15" w:name="_Toc199940926"/>
      <w:r w:rsidRPr="00C47726">
        <w:rPr>
          <w:lang w:val="en-US"/>
        </w:rPr>
        <w:t>Stakeholder views</w:t>
      </w:r>
      <w:bookmarkEnd w:id="15"/>
    </w:p>
    <w:p w14:paraId="4BFED8EC" w14:textId="0DD484A3" w:rsidR="00C47726" w:rsidRPr="00C47726" w:rsidRDefault="00C47726" w:rsidP="00C47726">
      <w:r w:rsidRPr="003D4CA9">
        <w:rPr>
          <w:rStyle w:val="Strong"/>
        </w:rPr>
        <w:t xml:space="preserve">Stakeholders highly valued the levels of engagement, meetings and events that ASBFEO holds with representatives from the small business community. </w:t>
      </w:r>
      <w:r w:rsidRPr="00C47726">
        <w:rPr>
          <w:lang w:val="en-US"/>
        </w:rPr>
        <w:t xml:space="preserve">The Ombudsman is highly regarded and respected by </w:t>
      </w:r>
      <w:r w:rsidR="00C20FB7" w:rsidRPr="00C47726">
        <w:rPr>
          <w:lang w:val="en-US"/>
        </w:rPr>
        <w:t>most</w:t>
      </w:r>
      <w:r w:rsidRPr="00C47726">
        <w:rPr>
          <w:lang w:val="en-US"/>
        </w:rPr>
        <w:t xml:space="preserve"> stakeholders. He is knowledgeable and able to advocate effectively in forums. In their submission to the Review, </w:t>
      </w:r>
      <w:r w:rsidR="00812CA7">
        <w:rPr>
          <w:rFonts w:eastAsia="Calibri"/>
        </w:rPr>
        <w:t>t</w:t>
      </w:r>
      <w:r w:rsidR="00F07F87" w:rsidRPr="00916FA5">
        <w:rPr>
          <w:rFonts w:eastAsia="Calibri"/>
        </w:rPr>
        <w:t>he Council of Small Business Organisations Australia</w:t>
      </w:r>
      <w:r w:rsidR="00F07F87">
        <w:rPr>
          <w:rFonts w:eastAsia="Calibri"/>
        </w:rPr>
        <w:t xml:space="preserve"> (</w:t>
      </w:r>
      <w:r w:rsidRPr="00162991">
        <w:rPr>
          <w:lang w:val="en-US"/>
        </w:rPr>
        <w:t>COSBOA</w:t>
      </w:r>
      <w:r w:rsidR="00F07F87">
        <w:rPr>
          <w:lang w:val="en-US"/>
        </w:rPr>
        <w:t>)</w:t>
      </w:r>
      <w:r w:rsidRPr="00C47726">
        <w:rPr>
          <w:lang w:val="en-US"/>
        </w:rPr>
        <w:t xml:space="preserve"> stated </w:t>
      </w:r>
      <w:r w:rsidR="00812CA7">
        <w:rPr>
          <w:lang w:val="en-US"/>
        </w:rPr>
        <w:t xml:space="preserve">that </w:t>
      </w:r>
      <w:r w:rsidRPr="00C47726">
        <w:rPr>
          <w:lang w:val="en-US"/>
        </w:rPr>
        <w:t>ASBFEO</w:t>
      </w:r>
      <w:r w:rsidR="009D3EFB">
        <w:t>:</w:t>
      </w:r>
    </w:p>
    <w:p w14:paraId="0AD4AA2F" w14:textId="0A5774DE" w:rsidR="00C47726" w:rsidRPr="00EA7328" w:rsidRDefault="003D4CA9" w:rsidP="00C47726">
      <w:pPr>
        <w:rPr>
          <w:rStyle w:val="Emphasis"/>
        </w:rPr>
      </w:pPr>
      <w:r w:rsidRPr="00EA7328">
        <w:rPr>
          <w:rStyle w:val="Emphasis"/>
        </w:rPr>
        <w:t>‘</w:t>
      </w:r>
      <w:r w:rsidR="00AA244C">
        <w:rPr>
          <w:rStyle w:val="Emphasis"/>
        </w:rPr>
        <w:t xml:space="preserve">… </w:t>
      </w:r>
      <w:r w:rsidR="00C47726" w:rsidRPr="00EA7328">
        <w:rPr>
          <w:rStyle w:val="Emphasis"/>
        </w:rPr>
        <w:t>undertakes significant efforts in engaging that same small business community to feedback its considered experience</w:t>
      </w:r>
      <w:r w:rsidR="006229F6" w:rsidRPr="00EA7328">
        <w:rPr>
          <w:rStyle w:val="Emphasis"/>
        </w:rPr>
        <w:t>.’</w:t>
      </w:r>
      <w:r w:rsidR="00065357">
        <w:rPr>
          <w:rStyle w:val="Emphasis"/>
          <w:rFonts w:ascii="ZWAdobeF" w:hAnsi="ZWAdobeF" w:cs="ZWAdobeF"/>
          <w:i w:val="0"/>
          <w:color w:val="auto"/>
          <w:sz w:val="2"/>
          <w:szCs w:val="2"/>
        </w:rPr>
        <w:t>15F</w:t>
      </w:r>
      <w:r w:rsidR="003A5079" w:rsidRPr="00037A05">
        <w:rPr>
          <w:rStyle w:val="FootnoteReference"/>
          <w:sz w:val="22"/>
          <w:szCs w:val="22"/>
          <w:vertAlign w:val="superscript"/>
        </w:rPr>
        <w:footnoteReference w:id="17"/>
      </w:r>
    </w:p>
    <w:p w14:paraId="1B917563" w14:textId="0DFF5C1B" w:rsidR="00C47726" w:rsidRPr="00C47726" w:rsidRDefault="00C47726" w:rsidP="00C47726">
      <w:r w:rsidRPr="00C47726">
        <w:rPr>
          <w:lang w:val="en-US"/>
        </w:rPr>
        <w:t xml:space="preserve">The generosity of the Ombudsman in making himself available for meetings and events was also called out by </w:t>
      </w:r>
      <w:proofErr w:type="gramStart"/>
      <w:r w:rsidRPr="00C47726">
        <w:rPr>
          <w:lang w:val="en-US"/>
        </w:rPr>
        <w:t>a number of</w:t>
      </w:r>
      <w:proofErr w:type="gramEnd"/>
      <w:r w:rsidRPr="00C47726">
        <w:rPr>
          <w:lang w:val="en-US"/>
        </w:rPr>
        <w:t xml:space="preserve"> stakeholders.</w:t>
      </w:r>
      <w:r w:rsidR="00065357">
        <w:rPr>
          <w:rFonts w:ascii="ZWAdobeF" w:hAnsi="ZWAdobeF" w:cs="ZWAdobeF"/>
          <w:color w:val="auto"/>
          <w:sz w:val="2"/>
          <w:szCs w:val="2"/>
          <w:lang w:val="en-US"/>
        </w:rPr>
        <w:t>16F</w:t>
      </w:r>
      <w:r w:rsidR="00D032A2" w:rsidRPr="00037A05">
        <w:rPr>
          <w:rStyle w:val="FootnoteReference"/>
          <w:sz w:val="22"/>
          <w:szCs w:val="22"/>
          <w:vertAlign w:val="superscript"/>
        </w:rPr>
        <w:footnoteReference w:id="18"/>
      </w:r>
      <w:r w:rsidRPr="00037A05">
        <w:rPr>
          <w:rStyle w:val="FootnoteReference"/>
          <w:sz w:val="22"/>
          <w:szCs w:val="22"/>
          <w:vertAlign w:val="superscript"/>
        </w:rPr>
        <w:t xml:space="preserve"> </w:t>
      </w:r>
    </w:p>
    <w:p w14:paraId="3651262A" w14:textId="743A92CC" w:rsidR="00C47726" w:rsidRPr="00C47726" w:rsidRDefault="00C47726" w:rsidP="00C47726">
      <w:r w:rsidRPr="00EA7328">
        <w:rPr>
          <w:rStyle w:val="Strong"/>
        </w:rPr>
        <w:t>Overwhelmingly, stakeholders commended ASBFEO</w:t>
      </w:r>
      <w:r w:rsidR="00916FA5" w:rsidRPr="00EA7328">
        <w:rPr>
          <w:rStyle w:val="Strong"/>
        </w:rPr>
        <w:t>’</w:t>
      </w:r>
      <w:r w:rsidRPr="00EA7328">
        <w:rPr>
          <w:rStyle w:val="Strong"/>
        </w:rPr>
        <w:t>s various outreach and engagement events.</w:t>
      </w:r>
      <w:r w:rsidRPr="00C47726">
        <w:rPr>
          <w:lang w:val="en-US"/>
        </w:rPr>
        <w:t xml:space="preserve"> They </w:t>
      </w:r>
      <w:proofErr w:type="spellStart"/>
      <w:r w:rsidRPr="00C47726">
        <w:rPr>
          <w:lang w:val="en-US"/>
        </w:rPr>
        <w:t>emphasised</w:t>
      </w:r>
      <w:proofErr w:type="spellEnd"/>
      <w:r w:rsidRPr="00C47726">
        <w:rPr>
          <w:lang w:val="en-US"/>
        </w:rPr>
        <w:t xml:space="preserve"> the importance of continuing a high level of engagement to ensure the views of the </w:t>
      </w:r>
      <w:r w:rsidRPr="00C47726">
        <w:rPr>
          <w:lang w:val="en-US"/>
        </w:rPr>
        <w:lastRenderedPageBreak/>
        <w:t>small business community inform ASBFEO</w:t>
      </w:r>
      <w:r w:rsidR="005D67F9">
        <w:rPr>
          <w:lang w:val="en-US"/>
        </w:rPr>
        <w:t>’</w:t>
      </w:r>
      <w:r w:rsidRPr="00C47726">
        <w:rPr>
          <w:lang w:val="en-US"/>
        </w:rPr>
        <w:t>s advocacy work.</w:t>
      </w:r>
      <w:r w:rsidR="00065357">
        <w:rPr>
          <w:rFonts w:ascii="ZWAdobeF" w:hAnsi="ZWAdobeF" w:cs="ZWAdobeF"/>
          <w:color w:val="auto"/>
          <w:sz w:val="2"/>
          <w:szCs w:val="2"/>
          <w:lang w:val="en-US"/>
        </w:rPr>
        <w:t>17F</w:t>
      </w:r>
      <w:r w:rsidR="00A10524" w:rsidRPr="00037A05">
        <w:rPr>
          <w:rStyle w:val="FootnoteReference"/>
          <w:sz w:val="22"/>
          <w:szCs w:val="22"/>
          <w:vertAlign w:val="superscript"/>
        </w:rPr>
        <w:footnoteReference w:id="19"/>
      </w:r>
      <w:r w:rsidRPr="00C47726">
        <w:rPr>
          <w:lang w:val="en-US"/>
        </w:rPr>
        <w:t xml:space="preserve"> </w:t>
      </w:r>
      <w:proofErr w:type="gramStart"/>
      <w:r w:rsidRPr="00C47726">
        <w:rPr>
          <w:lang w:val="en-US"/>
        </w:rPr>
        <w:t>A number of</w:t>
      </w:r>
      <w:proofErr w:type="gramEnd"/>
      <w:r w:rsidRPr="00C47726">
        <w:rPr>
          <w:lang w:val="en-US"/>
        </w:rPr>
        <w:t xml:space="preserve"> stakeholders recommended more frequent forums or expanding the number of participants invited to these meetings.</w:t>
      </w:r>
      <w:r w:rsidR="00065357">
        <w:rPr>
          <w:rFonts w:ascii="ZWAdobeF" w:hAnsi="ZWAdobeF" w:cs="ZWAdobeF"/>
          <w:color w:val="auto"/>
          <w:sz w:val="2"/>
          <w:szCs w:val="2"/>
          <w:lang w:val="en-US"/>
        </w:rPr>
        <w:t>18F</w:t>
      </w:r>
      <w:r w:rsidR="00286804" w:rsidRPr="00037A05">
        <w:rPr>
          <w:rStyle w:val="FootnoteReference"/>
          <w:sz w:val="22"/>
          <w:szCs w:val="22"/>
          <w:vertAlign w:val="superscript"/>
        </w:rPr>
        <w:footnoteReference w:id="20"/>
      </w:r>
      <w:r w:rsidRPr="00486B3B">
        <w:rPr>
          <w:rStyle w:val="FootnoteReference"/>
        </w:rPr>
        <w:t xml:space="preserve"> </w:t>
      </w:r>
      <w:r w:rsidR="00EA7328">
        <w:rPr>
          <w:rStyle w:val="Emphasis"/>
        </w:rPr>
        <w:t>‘</w:t>
      </w:r>
      <w:r w:rsidRPr="00904F7F">
        <w:rPr>
          <w:rStyle w:val="Emphasis"/>
        </w:rPr>
        <w:t>Shortening the information chain</w:t>
      </w:r>
      <w:r w:rsidR="00EA7328">
        <w:rPr>
          <w:rStyle w:val="Emphasis"/>
        </w:rPr>
        <w:t>’</w:t>
      </w:r>
      <w:r w:rsidRPr="00C47726">
        <w:rPr>
          <w:lang w:val="en-US"/>
        </w:rPr>
        <w:t xml:space="preserve"> is how one stakeholder described the benefits of the policy forum.</w:t>
      </w:r>
      <w:r w:rsidR="00065357">
        <w:rPr>
          <w:rFonts w:ascii="ZWAdobeF" w:hAnsi="ZWAdobeF" w:cs="ZWAdobeF"/>
          <w:color w:val="auto"/>
          <w:sz w:val="2"/>
          <w:szCs w:val="2"/>
          <w:lang w:val="en-US"/>
        </w:rPr>
        <w:t>19F</w:t>
      </w:r>
      <w:r w:rsidR="000C4C66" w:rsidRPr="00037A05">
        <w:rPr>
          <w:rStyle w:val="FootnoteReference"/>
          <w:sz w:val="22"/>
          <w:szCs w:val="22"/>
          <w:vertAlign w:val="superscript"/>
        </w:rPr>
        <w:footnoteReference w:id="21"/>
      </w:r>
      <w:r w:rsidRPr="00037A05">
        <w:rPr>
          <w:rStyle w:val="FootnoteReference"/>
          <w:sz w:val="22"/>
          <w:szCs w:val="22"/>
          <w:vertAlign w:val="superscript"/>
        </w:rPr>
        <w:t xml:space="preserve"> </w:t>
      </w:r>
    </w:p>
    <w:p w14:paraId="6231F2DF" w14:textId="4A28C6AC" w:rsidR="00C47726" w:rsidRPr="00C47726" w:rsidRDefault="00C47726" w:rsidP="00C47726">
      <w:r w:rsidRPr="00EA7328">
        <w:rPr>
          <w:rStyle w:val="Strong"/>
        </w:rPr>
        <w:t xml:space="preserve">Forums or open discussion style meetings were appreciated </w:t>
      </w:r>
      <w:proofErr w:type="gramStart"/>
      <w:r w:rsidRPr="00EA7328">
        <w:rPr>
          <w:rStyle w:val="Strong"/>
        </w:rPr>
        <w:t>as a way to</w:t>
      </w:r>
      <w:proofErr w:type="gramEnd"/>
      <w:r w:rsidRPr="00EA7328">
        <w:rPr>
          <w:rStyle w:val="Strong"/>
        </w:rPr>
        <w:t xml:space="preserve"> ensure issues are understood effectively via the sharing of information.</w:t>
      </w:r>
      <w:r w:rsidRPr="00C47726">
        <w:rPr>
          <w:lang w:val="en-US"/>
        </w:rPr>
        <w:t xml:space="preserve"> ASBFEO was commended for the</w:t>
      </w:r>
      <w:r w:rsidR="008A7DA1">
        <w:rPr>
          <w:lang w:val="en-US"/>
        </w:rPr>
        <w:t>ir</w:t>
      </w:r>
      <w:r w:rsidRPr="00C47726">
        <w:rPr>
          <w:lang w:val="en-US"/>
        </w:rPr>
        <w:t xml:space="preserve"> active participation and the forums </w:t>
      </w:r>
      <w:r w:rsidR="008A7DA1">
        <w:rPr>
          <w:lang w:val="en-US"/>
        </w:rPr>
        <w:t xml:space="preserve">are </w:t>
      </w:r>
      <w:r w:rsidRPr="00C47726">
        <w:rPr>
          <w:lang w:val="en-US"/>
        </w:rPr>
        <w:t xml:space="preserve">valued </w:t>
      </w:r>
      <w:proofErr w:type="gramStart"/>
      <w:r w:rsidRPr="00C47726">
        <w:rPr>
          <w:lang w:val="en-US"/>
        </w:rPr>
        <w:t>as a way to</w:t>
      </w:r>
      <w:proofErr w:type="gramEnd"/>
      <w:r w:rsidRPr="00C47726">
        <w:rPr>
          <w:lang w:val="en-US"/>
        </w:rPr>
        <w:t xml:space="preserve"> ensure issues are understood and addressed effectively via sharing of information</w:t>
      </w:r>
      <w:r w:rsidR="00B963B1">
        <w:rPr>
          <w:lang w:val="en-US"/>
        </w:rPr>
        <w:t>.</w:t>
      </w:r>
      <w:r w:rsidR="00065357">
        <w:rPr>
          <w:rFonts w:ascii="ZWAdobeF" w:hAnsi="ZWAdobeF" w:cs="ZWAdobeF"/>
          <w:color w:val="auto"/>
          <w:sz w:val="2"/>
          <w:szCs w:val="2"/>
          <w:lang w:val="en-US"/>
        </w:rPr>
        <w:t>20F</w:t>
      </w:r>
      <w:r w:rsidR="00085901" w:rsidRPr="00037A05">
        <w:rPr>
          <w:rStyle w:val="FootnoteReference"/>
          <w:sz w:val="22"/>
          <w:szCs w:val="22"/>
          <w:vertAlign w:val="superscript"/>
        </w:rPr>
        <w:footnoteReference w:id="22"/>
      </w:r>
      <w:r w:rsidR="00B963B1" w:rsidRPr="00037A05">
        <w:rPr>
          <w:rStyle w:val="FootnoteReference"/>
          <w:sz w:val="22"/>
          <w:szCs w:val="22"/>
          <w:vertAlign w:val="superscript"/>
        </w:rPr>
        <w:t xml:space="preserve"> </w:t>
      </w:r>
      <w:r w:rsidRPr="00C47726">
        <w:rPr>
          <w:lang w:val="en-US"/>
        </w:rPr>
        <w:t xml:space="preserve">The Small Business Debt Helpline </w:t>
      </w:r>
      <w:r w:rsidR="009D506D">
        <w:rPr>
          <w:lang w:val="en-US"/>
        </w:rPr>
        <w:t>(</w:t>
      </w:r>
      <w:r w:rsidR="009D506D" w:rsidRPr="003E08D4">
        <w:rPr>
          <w:lang w:val="en-US"/>
        </w:rPr>
        <w:t>SBDH</w:t>
      </w:r>
      <w:r w:rsidR="009D506D">
        <w:rPr>
          <w:lang w:val="en-US"/>
        </w:rPr>
        <w:t>)</w:t>
      </w:r>
      <w:r w:rsidRPr="00C47726">
        <w:rPr>
          <w:lang w:val="en-US"/>
        </w:rPr>
        <w:t xml:space="preserve"> </w:t>
      </w:r>
      <w:proofErr w:type="spellStart"/>
      <w:r w:rsidRPr="00C47726">
        <w:rPr>
          <w:lang w:val="en-US"/>
        </w:rPr>
        <w:t>summarised</w:t>
      </w:r>
      <w:proofErr w:type="spellEnd"/>
      <w:r w:rsidRPr="00C47726">
        <w:rPr>
          <w:lang w:val="en-US"/>
        </w:rPr>
        <w:t xml:space="preserve"> the forums as bringing</w:t>
      </w:r>
      <w:r w:rsidR="003852CE">
        <w:rPr>
          <w:lang w:val="en-US"/>
        </w:rPr>
        <w:t>:</w:t>
      </w:r>
    </w:p>
    <w:p w14:paraId="313F3825" w14:textId="26F3A1E9" w:rsidR="00C47726" w:rsidRPr="00C47726" w:rsidRDefault="00EA7328" w:rsidP="00C47726">
      <w:r w:rsidRPr="00B60FC0">
        <w:rPr>
          <w:rStyle w:val="Emphasis"/>
        </w:rPr>
        <w:t>‘</w:t>
      </w:r>
      <w:r w:rsidR="003852CE" w:rsidRPr="00B60FC0">
        <w:rPr>
          <w:rStyle w:val="Emphasis"/>
        </w:rPr>
        <w:t>.</w:t>
      </w:r>
      <w:r w:rsidR="00C47726" w:rsidRPr="00B60FC0">
        <w:rPr>
          <w:rStyle w:val="Emphasis"/>
        </w:rPr>
        <w:t>..</w:t>
      </w:r>
      <w:r w:rsidR="00C1013D">
        <w:rPr>
          <w:rStyle w:val="Emphasis"/>
        </w:rPr>
        <w:t xml:space="preserve"> </w:t>
      </w:r>
      <w:r w:rsidR="00C47726" w:rsidRPr="00B60FC0">
        <w:rPr>
          <w:rStyle w:val="Emphasis"/>
        </w:rPr>
        <w:t>a consolidated view from the broad population of small business (</w:t>
      </w:r>
      <w:r w:rsidR="00815605" w:rsidRPr="00B60FC0">
        <w:rPr>
          <w:rStyle w:val="Emphasis"/>
        </w:rPr>
        <w:t>for example</w:t>
      </w:r>
      <w:r w:rsidR="00C50E08" w:rsidRPr="00B60FC0">
        <w:rPr>
          <w:rStyle w:val="Emphasis"/>
        </w:rPr>
        <w:t>,</w:t>
      </w:r>
      <w:r w:rsidR="00C47726" w:rsidRPr="00B60FC0">
        <w:rPr>
          <w:rStyle w:val="Emphasis"/>
        </w:rPr>
        <w:t xml:space="preserve"> national, across industries, across scale, across viability) that is a unique and valuable insight</w:t>
      </w:r>
      <w:r w:rsidR="006E6647">
        <w:rPr>
          <w:rStyle w:val="Emphasis"/>
        </w:rPr>
        <w:t>.</w:t>
      </w:r>
      <w:r w:rsidR="003A0D5E">
        <w:rPr>
          <w:rStyle w:val="Emphasis"/>
        </w:rPr>
        <w:t>’</w:t>
      </w:r>
      <w:r w:rsidR="00065357">
        <w:rPr>
          <w:rStyle w:val="Emphasis"/>
          <w:rFonts w:ascii="ZWAdobeF" w:hAnsi="ZWAdobeF" w:cs="ZWAdobeF"/>
          <w:i w:val="0"/>
          <w:color w:val="auto"/>
          <w:sz w:val="2"/>
          <w:szCs w:val="2"/>
        </w:rPr>
        <w:t>21F</w:t>
      </w:r>
      <w:r w:rsidR="00025FC7" w:rsidRPr="00037A05">
        <w:rPr>
          <w:rStyle w:val="FootnoteReference"/>
          <w:sz w:val="22"/>
          <w:szCs w:val="22"/>
          <w:vertAlign w:val="superscript"/>
        </w:rPr>
        <w:footnoteReference w:id="23"/>
      </w:r>
    </w:p>
    <w:p w14:paraId="6159A2D4" w14:textId="64F6C371" w:rsidR="00C47726" w:rsidRPr="00C47726" w:rsidRDefault="001F3E13" w:rsidP="00C47726">
      <w:r>
        <w:rPr>
          <w:rStyle w:val="Strong"/>
        </w:rPr>
        <w:t>ASBFEO</w:t>
      </w:r>
      <w:r w:rsidR="00C47726" w:rsidRPr="002F7F55">
        <w:rPr>
          <w:rStyle w:val="Strong"/>
        </w:rPr>
        <w:t xml:space="preserve"> have done an admirable job in building a good dialogue with the more prominent stakeholders in the small business community</w:t>
      </w:r>
      <w:r w:rsidR="00446DB3">
        <w:rPr>
          <w:rStyle w:val="Strong"/>
        </w:rPr>
        <w:t xml:space="preserve"> but</w:t>
      </w:r>
      <w:r w:rsidR="00520B52">
        <w:rPr>
          <w:rStyle w:val="Strong"/>
        </w:rPr>
        <w:t xml:space="preserve"> </w:t>
      </w:r>
      <w:r w:rsidR="00174433">
        <w:rPr>
          <w:rStyle w:val="Strong"/>
        </w:rPr>
        <w:t>need</w:t>
      </w:r>
      <w:r w:rsidR="008818DC">
        <w:rPr>
          <w:rStyle w:val="Strong"/>
        </w:rPr>
        <w:t>s</w:t>
      </w:r>
      <w:r w:rsidR="00174433">
        <w:rPr>
          <w:rStyle w:val="Strong"/>
        </w:rPr>
        <w:t xml:space="preserve"> to con</w:t>
      </w:r>
      <w:r w:rsidR="008818DC">
        <w:rPr>
          <w:rStyle w:val="Strong"/>
        </w:rPr>
        <w:t xml:space="preserve">nect </w:t>
      </w:r>
      <w:r w:rsidR="00520B52">
        <w:rPr>
          <w:rStyle w:val="Strong"/>
        </w:rPr>
        <w:t xml:space="preserve">with </w:t>
      </w:r>
      <w:r w:rsidR="000F7D89">
        <w:rPr>
          <w:rStyle w:val="Strong"/>
        </w:rPr>
        <w:t xml:space="preserve">a greater range of </w:t>
      </w:r>
      <w:r w:rsidR="00520B52">
        <w:rPr>
          <w:rStyle w:val="Strong"/>
        </w:rPr>
        <w:t>stakeholders</w:t>
      </w:r>
      <w:r w:rsidR="00C47726" w:rsidRPr="002F7F55">
        <w:rPr>
          <w:rStyle w:val="Strong"/>
        </w:rPr>
        <w:t>.</w:t>
      </w:r>
      <w:r w:rsidR="00C47726" w:rsidRPr="00C47726">
        <w:rPr>
          <w:b/>
          <w:bCs/>
          <w:lang w:val="en-US"/>
        </w:rPr>
        <w:t xml:space="preserve"> </w:t>
      </w:r>
      <w:r w:rsidR="00C47726" w:rsidRPr="00C47726">
        <w:rPr>
          <w:lang w:val="en-US"/>
        </w:rPr>
        <w:t xml:space="preserve">Stakeholders who attend ASBFEO forums value participation and feedback, suggesting that the broader universe of industry associations and government agencies would like more opportunities to engage and provide input into the advocacy agenda. For example, the Business Chamber Queensland </w:t>
      </w:r>
      <w:proofErr w:type="spellStart"/>
      <w:r w:rsidR="00C47726" w:rsidRPr="00C47726">
        <w:rPr>
          <w:lang w:val="en-US"/>
        </w:rPr>
        <w:t>recognised</w:t>
      </w:r>
      <w:proofErr w:type="spellEnd"/>
      <w:r w:rsidR="00C47726" w:rsidRPr="00C47726">
        <w:rPr>
          <w:lang w:val="en-US"/>
        </w:rPr>
        <w:t xml:space="preserve"> ASBFEO</w:t>
      </w:r>
      <w:r w:rsidR="00916FA5">
        <w:rPr>
          <w:lang w:val="en-US"/>
        </w:rPr>
        <w:t>’</w:t>
      </w:r>
      <w:r w:rsidR="00C47726" w:rsidRPr="00C47726">
        <w:rPr>
          <w:lang w:val="en-US"/>
        </w:rPr>
        <w:t xml:space="preserve">s environmental, social and governance </w:t>
      </w:r>
      <w:r w:rsidR="00C47726" w:rsidRPr="002F7F55">
        <w:t>(</w:t>
      </w:r>
      <w:r w:rsidR="00C47726" w:rsidRPr="003E08D4">
        <w:rPr>
          <w:rStyle w:val="Strong"/>
          <w:b w:val="0"/>
        </w:rPr>
        <w:t>ESG</w:t>
      </w:r>
      <w:r w:rsidR="00C47726" w:rsidRPr="002F7F55">
        <w:t>)</w:t>
      </w:r>
      <w:r w:rsidR="00C47726" w:rsidRPr="00C47726">
        <w:rPr>
          <w:lang w:val="en-US"/>
        </w:rPr>
        <w:t xml:space="preserve"> symposium as valuable. However, the opportunity to share learnings and best practices from existing programs (such as the Business Chamber</w:t>
      </w:r>
      <w:r w:rsidR="00916FA5">
        <w:rPr>
          <w:lang w:val="en-US"/>
        </w:rPr>
        <w:t>’</w:t>
      </w:r>
      <w:r w:rsidR="00C47726" w:rsidRPr="00C47726">
        <w:rPr>
          <w:lang w:val="en-US"/>
        </w:rPr>
        <w:t>s sustainability program) could have added even more value</w:t>
      </w:r>
      <w:r w:rsidR="00916FA5">
        <w:rPr>
          <w:lang w:val="en-US"/>
        </w:rPr>
        <w:t xml:space="preserve">. </w:t>
      </w:r>
    </w:p>
    <w:p w14:paraId="6D8489BA" w14:textId="0C79C87E" w:rsidR="003927EB" w:rsidRDefault="00C47726" w:rsidP="00C47726">
      <w:pPr>
        <w:rPr>
          <w:lang w:val="en-US"/>
        </w:rPr>
      </w:pPr>
      <w:r w:rsidRPr="001C56A7">
        <w:rPr>
          <w:b/>
          <w:bCs/>
          <w:lang w:val="en-US"/>
        </w:rPr>
        <w:t>During consultation</w:t>
      </w:r>
      <w:r w:rsidR="007D086F" w:rsidRPr="001C56A7">
        <w:rPr>
          <w:b/>
          <w:bCs/>
          <w:lang w:val="en-US"/>
        </w:rPr>
        <w:t>, the Review met with</w:t>
      </w:r>
      <w:r w:rsidRPr="001C56A7">
        <w:rPr>
          <w:b/>
          <w:bCs/>
          <w:lang w:val="en-US"/>
        </w:rPr>
        <w:t xml:space="preserve"> a few </w:t>
      </w:r>
      <w:r w:rsidR="00F70F27" w:rsidRPr="001C56A7">
        <w:rPr>
          <w:b/>
          <w:bCs/>
          <w:lang w:val="en-US"/>
        </w:rPr>
        <w:t xml:space="preserve">government </w:t>
      </w:r>
      <w:r w:rsidRPr="001C56A7">
        <w:rPr>
          <w:b/>
          <w:bCs/>
          <w:lang w:val="en-US"/>
        </w:rPr>
        <w:t>departments whose primary role did not involve small businesses but on occasion dealt with small businesses issues</w:t>
      </w:r>
      <w:r w:rsidR="00990CB4" w:rsidRPr="001C56A7">
        <w:rPr>
          <w:b/>
          <w:bCs/>
          <w:lang w:val="en-US"/>
        </w:rPr>
        <w:t>.</w:t>
      </w:r>
      <w:r w:rsidR="00A9441B" w:rsidRPr="001C56A7">
        <w:rPr>
          <w:b/>
          <w:bCs/>
          <w:lang w:val="en-US"/>
        </w:rPr>
        <w:t xml:space="preserve"> </w:t>
      </w:r>
      <w:r w:rsidR="00A9441B" w:rsidRPr="0003201E">
        <w:rPr>
          <w:lang w:val="en-US"/>
        </w:rPr>
        <w:t xml:space="preserve">These </w:t>
      </w:r>
      <w:r w:rsidR="008443D7" w:rsidRPr="009C1B79">
        <w:rPr>
          <w:lang w:val="en-US"/>
        </w:rPr>
        <w:t>departments</w:t>
      </w:r>
      <w:r w:rsidRPr="00C47726">
        <w:rPr>
          <w:lang w:val="en-US"/>
        </w:rPr>
        <w:t xml:space="preserve"> observed that it could be helpful to have some additional engagement with ASBFEO. For example, the Department of Agriculture, Fisheries and Forestry</w:t>
      </w:r>
      <w:r w:rsidR="00A9495C">
        <w:rPr>
          <w:lang w:val="en-US"/>
        </w:rPr>
        <w:t>, which</w:t>
      </w:r>
      <w:r w:rsidRPr="00C47726">
        <w:rPr>
          <w:lang w:val="en-US"/>
        </w:rPr>
        <w:t xml:space="preserve"> has policy responsibility for the Dairy and Horticultural codes of conduct, suggested this could be beneficial</w:t>
      </w:r>
      <w:r w:rsidR="00DC7F3C">
        <w:rPr>
          <w:lang w:val="en-US"/>
        </w:rPr>
        <w:t>,</w:t>
      </w:r>
      <w:r w:rsidR="009120A3">
        <w:rPr>
          <w:lang w:val="en-US"/>
        </w:rPr>
        <w:t xml:space="preserve"> noting that ASBFEO </w:t>
      </w:r>
      <w:r w:rsidR="00A3232B">
        <w:rPr>
          <w:lang w:val="en-US"/>
        </w:rPr>
        <w:t xml:space="preserve">is appointed </w:t>
      </w:r>
      <w:r w:rsidR="00DC7F3C">
        <w:rPr>
          <w:lang w:val="en-US"/>
        </w:rPr>
        <w:t>as the</w:t>
      </w:r>
      <w:r w:rsidR="009120A3">
        <w:rPr>
          <w:lang w:val="en-US"/>
        </w:rPr>
        <w:t xml:space="preserve"> </w:t>
      </w:r>
      <w:r w:rsidR="006A238B">
        <w:rPr>
          <w:lang w:val="en-US"/>
        </w:rPr>
        <w:t>DRA</w:t>
      </w:r>
      <w:r w:rsidR="00DC7F3C">
        <w:rPr>
          <w:lang w:val="en-US"/>
        </w:rPr>
        <w:t xml:space="preserve"> </w:t>
      </w:r>
      <w:r w:rsidR="009120A3">
        <w:rPr>
          <w:lang w:val="en-US"/>
        </w:rPr>
        <w:t>under the</w:t>
      </w:r>
      <w:r w:rsidR="00A3232B">
        <w:rPr>
          <w:lang w:val="en-US"/>
        </w:rPr>
        <w:t>se codes</w:t>
      </w:r>
      <w:r w:rsidR="00916FA5">
        <w:rPr>
          <w:lang w:val="en-US"/>
        </w:rPr>
        <w:t xml:space="preserve">. </w:t>
      </w:r>
    </w:p>
    <w:p w14:paraId="50E8893D" w14:textId="0D87F9A1" w:rsidR="003927EB" w:rsidRPr="003927EB" w:rsidRDefault="00F10BC5" w:rsidP="003927EB">
      <w:pPr>
        <w:pStyle w:val="Heading3"/>
        <w:rPr>
          <w:lang w:val="en-US"/>
        </w:rPr>
      </w:pPr>
      <w:bookmarkStart w:id="16" w:name="_Toc199940927"/>
      <w:r>
        <w:rPr>
          <w:lang w:val="en-US"/>
        </w:rPr>
        <w:t>Analysis</w:t>
      </w:r>
      <w:bookmarkEnd w:id="16"/>
    </w:p>
    <w:p w14:paraId="640B8733" w14:textId="662A201B" w:rsidR="00C47726" w:rsidRPr="00C47726" w:rsidRDefault="00C47726" w:rsidP="00C47726">
      <w:r w:rsidRPr="002B461C">
        <w:rPr>
          <w:rStyle w:val="Strong"/>
        </w:rPr>
        <w:t xml:space="preserve">ASBFEO could foster stronger collaboration with the </w:t>
      </w:r>
      <w:r w:rsidR="009821D9" w:rsidRPr="002B461C">
        <w:rPr>
          <w:rStyle w:val="Strong"/>
        </w:rPr>
        <w:t xml:space="preserve">community of small business </w:t>
      </w:r>
      <w:r w:rsidRPr="002B461C">
        <w:rPr>
          <w:rStyle w:val="Strong"/>
        </w:rPr>
        <w:t>stakeholders</w:t>
      </w:r>
      <w:r w:rsidR="009821D9" w:rsidRPr="002B461C">
        <w:rPr>
          <w:rStyle w:val="Strong"/>
        </w:rPr>
        <w:t xml:space="preserve">. </w:t>
      </w:r>
      <w:r w:rsidR="009821D9">
        <w:rPr>
          <w:lang w:val="en-US"/>
        </w:rPr>
        <w:t>O</w:t>
      </w:r>
      <w:r w:rsidR="009821D9" w:rsidRPr="00C47726">
        <w:rPr>
          <w:lang w:val="en-US"/>
        </w:rPr>
        <w:t xml:space="preserve">ver 200 different </w:t>
      </w:r>
      <w:proofErr w:type="spellStart"/>
      <w:r w:rsidR="009821D9" w:rsidRPr="00C47726">
        <w:rPr>
          <w:lang w:val="en-US"/>
        </w:rPr>
        <w:t>organisations</w:t>
      </w:r>
      <w:proofErr w:type="spellEnd"/>
      <w:r w:rsidR="009821D9" w:rsidRPr="00C47726">
        <w:rPr>
          <w:lang w:val="en-US"/>
        </w:rPr>
        <w:t xml:space="preserve"> and industry associations represent the small business community</w:t>
      </w:r>
      <w:r w:rsidR="009821D9">
        <w:rPr>
          <w:lang w:val="en-US"/>
        </w:rPr>
        <w:t>.</w:t>
      </w:r>
      <w:r w:rsidR="00065357">
        <w:rPr>
          <w:rFonts w:ascii="ZWAdobeF" w:hAnsi="ZWAdobeF" w:cs="ZWAdobeF"/>
          <w:color w:val="auto"/>
          <w:sz w:val="2"/>
          <w:szCs w:val="2"/>
          <w:lang w:val="en-US"/>
        </w:rPr>
        <w:t>22F</w:t>
      </w:r>
      <w:r w:rsidR="003A729B" w:rsidRPr="00037A05">
        <w:rPr>
          <w:rStyle w:val="FootnoteReference"/>
          <w:sz w:val="22"/>
          <w:szCs w:val="22"/>
          <w:vertAlign w:val="superscript"/>
        </w:rPr>
        <w:footnoteReference w:id="24"/>
      </w:r>
      <w:r w:rsidR="009821D9" w:rsidRPr="00486B3B">
        <w:rPr>
          <w:rStyle w:val="FootnoteReference"/>
        </w:rPr>
        <w:t xml:space="preserve"> </w:t>
      </w:r>
      <w:r w:rsidR="009821D9" w:rsidRPr="00C47726">
        <w:rPr>
          <w:lang w:val="en-US"/>
        </w:rPr>
        <w:t xml:space="preserve">ASBFEO has a close relationship with </w:t>
      </w:r>
      <w:r w:rsidR="009821D9">
        <w:rPr>
          <w:lang w:val="en-US"/>
        </w:rPr>
        <w:t xml:space="preserve">some of </w:t>
      </w:r>
      <w:r w:rsidR="009821D9" w:rsidRPr="00C47726">
        <w:rPr>
          <w:lang w:val="en-US"/>
        </w:rPr>
        <w:t>the</w:t>
      </w:r>
      <w:r w:rsidR="009821D9">
        <w:rPr>
          <w:lang w:val="en-US"/>
        </w:rPr>
        <w:t xml:space="preserve">se </w:t>
      </w:r>
      <w:proofErr w:type="spellStart"/>
      <w:r w:rsidR="009821D9">
        <w:rPr>
          <w:lang w:val="en-US"/>
        </w:rPr>
        <w:t>organisations</w:t>
      </w:r>
      <w:proofErr w:type="spellEnd"/>
      <w:r w:rsidR="009821D9">
        <w:rPr>
          <w:lang w:val="en-US"/>
        </w:rPr>
        <w:t xml:space="preserve"> at its forums, but would benefit from engaging with all groups,</w:t>
      </w:r>
      <w:r w:rsidR="009821D9">
        <w:t xml:space="preserve"> </w:t>
      </w:r>
      <w:r w:rsidR="009821D9" w:rsidRPr="00C47726">
        <w:rPr>
          <w:lang w:val="en-US"/>
        </w:rPr>
        <w:t>including those representing small business</w:t>
      </w:r>
      <w:r w:rsidR="009821D9">
        <w:rPr>
          <w:lang w:val="en-US"/>
        </w:rPr>
        <w:t>es</w:t>
      </w:r>
      <w:r w:rsidR="009821D9" w:rsidRPr="00C47726">
        <w:rPr>
          <w:lang w:val="en-US"/>
        </w:rPr>
        <w:t xml:space="preserve"> run by women, First Nations people and members of multicultural communities. </w:t>
      </w:r>
    </w:p>
    <w:p w14:paraId="1EF6D53A" w14:textId="06AAA9F8" w:rsidR="00C47726" w:rsidRPr="00C47726" w:rsidRDefault="00C47726" w:rsidP="00C47726">
      <w:r w:rsidRPr="001D1EB8">
        <w:rPr>
          <w:rStyle w:val="Strong"/>
        </w:rPr>
        <w:t>ASBFEO could broaden its reach to small businesses using existing agencies, especially in regional Australia.</w:t>
      </w:r>
      <w:r w:rsidRPr="00C47726">
        <w:rPr>
          <w:lang w:val="en-US"/>
        </w:rPr>
        <w:t xml:space="preserve"> </w:t>
      </w:r>
      <w:proofErr w:type="spellStart"/>
      <w:r w:rsidRPr="00C47726">
        <w:rPr>
          <w:lang w:val="en-US"/>
        </w:rPr>
        <w:t>AusIndustry</w:t>
      </w:r>
      <w:proofErr w:type="spellEnd"/>
      <w:r w:rsidRPr="00C47726">
        <w:rPr>
          <w:lang w:val="en-US"/>
        </w:rPr>
        <w:t xml:space="preserve"> has a significant Business Outreach Network program within its Business </w:t>
      </w:r>
      <w:r w:rsidRPr="00C47726">
        <w:rPr>
          <w:lang w:val="en-US"/>
        </w:rPr>
        <w:lastRenderedPageBreak/>
        <w:t>Outreach and Engagement branch. The branch</w:t>
      </w:r>
      <w:r w:rsidR="00916FA5">
        <w:rPr>
          <w:lang w:val="en-US"/>
        </w:rPr>
        <w:t>’</w:t>
      </w:r>
      <w:r w:rsidRPr="00C47726">
        <w:rPr>
          <w:lang w:val="en-US"/>
        </w:rPr>
        <w:t xml:space="preserve">s </w:t>
      </w:r>
      <w:r w:rsidR="00C17273">
        <w:rPr>
          <w:lang w:val="en-US"/>
        </w:rPr>
        <w:t>r</w:t>
      </w:r>
      <w:r w:rsidRPr="00C47726">
        <w:rPr>
          <w:lang w:val="en-US"/>
        </w:rPr>
        <w:t xml:space="preserve">egional </w:t>
      </w:r>
      <w:r w:rsidR="00C17273">
        <w:rPr>
          <w:lang w:val="en-US"/>
        </w:rPr>
        <w:t>m</w:t>
      </w:r>
      <w:r w:rsidRPr="00C47726">
        <w:rPr>
          <w:lang w:val="en-US"/>
        </w:rPr>
        <w:t>anagers are based across Australia to connect businesses to government initiatives and to connect business insights to policymakers. The network includes representatives from small and medium</w:t>
      </w:r>
      <w:r w:rsidR="00916FA5">
        <w:rPr>
          <w:lang w:val="en-US"/>
        </w:rPr>
        <w:noBreakHyphen/>
      </w:r>
      <w:r w:rsidRPr="00C47726">
        <w:rPr>
          <w:lang w:val="en-US"/>
        </w:rPr>
        <w:t>sized enterprises</w:t>
      </w:r>
      <w:r w:rsidR="003F31A2">
        <w:rPr>
          <w:lang w:val="en-US"/>
        </w:rPr>
        <w:t>,</w:t>
      </w:r>
      <w:r w:rsidRPr="00C47726">
        <w:rPr>
          <w:lang w:val="en-US"/>
        </w:rPr>
        <w:t xml:space="preserve"> </w:t>
      </w:r>
      <w:r w:rsidR="000B6DB0">
        <w:rPr>
          <w:lang w:val="en-US"/>
        </w:rPr>
        <w:t xml:space="preserve">as well as </w:t>
      </w:r>
      <w:proofErr w:type="spellStart"/>
      <w:r w:rsidR="003F31A2">
        <w:rPr>
          <w:lang w:val="en-US"/>
        </w:rPr>
        <w:t>organisations</w:t>
      </w:r>
      <w:proofErr w:type="spellEnd"/>
      <w:r w:rsidR="003F31A2">
        <w:rPr>
          <w:lang w:val="en-US"/>
        </w:rPr>
        <w:t xml:space="preserve"> representing </w:t>
      </w:r>
      <w:r w:rsidRPr="00C47726">
        <w:rPr>
          <w:lang w:val="en-US"/>
        </w:rPr>
        <w:t>women, First Nations people and multicultural communities.</w:t>
      </w:r>
      <w:r w:rsidR="00065357">
        <w:rPr>
          <w:rFonts w:ascii="ZWAdobeF" w:hAnsi="ZWAdobeF" w:cs="ZWAdobeF"/>
          <w:color w:val="auto"/>
          <w:sz w:val="2"/>
          <w:szCs w:val="2"/>
          <w:lang w:val="en-US"/>
        </w:rPr>
        <w:t>23F</w:t>
      </w:r>
      <w:r w:rsidR="00311B9A" w:rsidRPr="00BB1A59">
        <w:rPr>
          <w:rStyle w:val="FootnoteReference"/>
          <w:sz w:val="22"/>
          <w:szCs w:val="22"/>
          <w:vertAlign w:val="superscript"/>
          <w:lang w:val="en-US"/>
        </w:rPr>
        <w:footnoteReference w:id="25"/>
      </w:r>
      <w:r w:rsidRPr="00BB1A59">
        <w:rPr>
          <w:szCs w:val="22"/>
          <w:vertAlign w:val="superscript"/>
          <w:lang w:val="en-US"/>
        </w:rPr>
        <w:t xml:space="preserve"> </w:t>
      </w:r>
      <w:r w:rsidRPr="00C47726">
        <w:rPr>
          <w:lang w:val="en-US"/>
        </w:rPr>
        <w:t>The Business Enterprise Centre</w:t>
      </w:r>
      <w:r w:rsidR="008D26DA">
        <w:rPr>
          <w:lang w:val="en-US"/>
        </w:rPr>
        <w:t>’</w:t>
      </w:r>
      <w:r w:rsidRPr="00C47726">
        <w:rPr>
          <w:lang w:val="en-US"/>
        </w:rPr>
        <w:t>s network of not</w:t>
      </w:r>
      <w:r w:rsidR="00916FA5">
        <w:rPr>
          <w:lang w:val="en-US"/>
        </w:rPr>
        <w:noBreakHyphen/>
      </w:r>
      <w:r w:rsidRPr="00C47726">
        <w:rPr>
          <w:lang w:val="en-US"/>
        </w:rPr>
        <w:t>for</w:t>
      </w:r>
      <w:r w:rsidR="00916FA5">
        <w:rPr>
          <w:lang w:val="en-US"/>
        </w:rPr>
        <w:noBreakHyphen/>
      </w:r>
      <w:r w:rsidRPr="00C47726">
        <w:rPr>
          <w:lang w:val="en-US"/>
        </w:rPr>
        <w:t>profit small business advisory businesses also connects with geographically diverse small businesses in regional, rural and remote areas</w:t>
      </w:r>
      <w:r w:rsidR="00881361">
        <w:rPr>
          <w:lang w:val="en-US"/>
        </w:rPr>
        <w:t>.</w:t>
      </w:r>
    </w:p>
    <w:p w14:paraId="7E5ECEAF" w14:textId="594646DA" w:rsidR="00C47726" w:rsidRPr="000F5F83" w:rsidRDefault="001D1EB8" w:rsidP="00C47726">
      <w:r w:rsidRPr="00B60FC0">
        <w:rPr>
          <w:rStyle w:val="Emphasis"/>
        </w:rPr>
        <w:t>‘</w:t>
      </w:r>
      <w:r w:rsidR="00881361" w:rsidRPr="00B60FC0">
        <w:rPr>
          <w:rStyle w:val="Emphasis"/>
        </w:rPr>
        <w:t>.</w:t>
      </w:r>
      <w:r w:rsidR="00C47726" w:rsidRPr="00B60FC0">
        <w:rPr>
          <w:rStyle w:val="Emphasis"/>
        </w:rPr>
        <w:t>..</w:t>
      </w:r>
      <w:r w:rsidR="00C1013D">
        <w:rPr>
          <w:rStyle w:val="Emphasis"/>
        </w:rPr>
        <w:t xml:space="preserve"> </w:t>
      </w:r>
      <w:r w:rsidR="00C47726" w:rsidRPr="00B60FC0">
        <w:rPr>
          <w:rStyle w:val="Emphasis"/>
        </w:rPr>
        <w:t xml:space="preserve">our network since 2007, has delivered services, mostly face to face, to </w:t>
      </w:r>
      <w:proofErr w:type="gramStart"/>
      <w:r w:rsidR="00C47726" w:rsidRPr="00B60FC0">
        <w:rPr>
          <w:rStyle w:val="Emphasis"/>
        </w:rPr>
        <w:t>in excess of</w:t>
      </w:r>
      <w:proofErr w:type="gramEnd"/>
      <w:r w:rsidR="00C47726" w:rsidRPr="00B60FC0">
        <w:rPr>
          <w:rStyle w:val="Emphasis"/>
        </w:rPr>
        <w:t xml:space="preserve"> 2</w:t>
      </w:r>
      <w:r w:rsidR="00746123">
        <w:rPr>
          <w:rStyle w:val="Emphasis"/>
        </w:rPr>
        <w:t xml:space="preserve"> </w:t>
      </w:r>
      <w:r w:rsidR="00C47726" w:rsidRPr="00B60FC0">
        <w:rPr>
          <w:rStyle w:val="Emphasis"/>
        </w:rPr>
        <w:t>million small businesses</w:t>
      </w:r>
      <w:r w:rsidR="004C3DC7">
        <w:rPr>
          <w:rStyle w:val="Emphasis"/>
        </w:rPr>
        <w:t>.</w:t>
      </w:r>
      <w:r w:rsidR="003A0D5E">
        <w:rPr>
          <w:rStyle w:val="Emphasis"/>
        </w:rPr>
        <w:t>’</w:t>
      </w:r>
      <w:r w:rsidR="00065357">
        <w:rPr>
          <w:rStyle w:val="Emphasis"/>
          <w:rFonts w:ascii="ZWAdobeF" w:hAnsi="ZWAdobeF" w:cs="ZWAdobeF"/>
          <w:i w:val="0"/>
          <w:color w:val="auto"/>
          <w:sz w:val="2"/>
          <w:szCs w:val="2"/>
        </w:rPr>
        <w:t>24F</w:t>
      </w:r>
      <w:r w:rsidR="00135CF6" w:rsidRPr="00BB1A59">
        <w:rPr>
          <w:rStyle w:val="FootnoteReference"/>
          <w:sz w:val="22"/>
          <w:szCs w:val="22"/>
          <w:vertAlign w:val="superscript"/>
          <w:lang w:val="en-US"/>
        </w:rPr>
        <w:footnoteReference w:id="26"/>
      </w:r>
    </w:p>
    <w:p w14:paraId="162C0DC2" w14:textId="75DD2A1C" w:rsidR="00C47726" w:rsidRPr="00C47726" w:rsidRDefault="00C47726" w:rsidP="00C47726">
      <w:r w:rsidRPr="00C47726">
        <w:rPr>
          <w:lang w:val="en-US"/>
        </w:rPr>
        <w:t>It may be effective for ASBFEO to consider leverag</w:t>
      </w:r>
      <w:r w:rsidR="003F31A2">
        <w:rPr>
          <w:lang w:val="en-US"/>
        </w:rPr>
        <w:t>ing</w:t>
      </w:r>
      <w:r w:rsidRPr="00C47726">
        <w:rPr>
          <w:lang w:val="en-US"/>
        </w:rPr>
        <w:t xml:space="preserve"> activities and networks of other </w:t>
      </w:r>
      <w:proofErr w:type="spellStart"/>
      <w:r w:rsidRPr="00C47726">
        <w:rPr>
          <w:lang w:val="en-US"/>
        </w:rPr>
        <w:t>organisations</w:t>
      </w:r>
      <w:proofErr w:type="spellEnd"/>
      <w:r w:rsidRPr="00C47726">
        <w:rPr>
          <w:lang w:val="en-US"/>
        </w:rPr>
        <w:t xml:space="preserve"> and bodies</w:t>
      </w:r>
      <w:r w:rsidR="001755B1">
        <w:rPr>
          <w:lang w:val="en-US"/>
        </w:rPr>
        <w:t xml:space="preserve"> </w:t>
      </w:r>
      <w:r w:rsidR="001755B1" w:rsidRPr="00C47726">
        <w:rPr>
          <w:lang w:val="en-US"/>
        </w:rPr>
        <w:t>to improve connections with these diverse groups</w:t>
      </w:r>
      <w:r w:rsidR="001755B1">
        <w:rPr>
          <w:lang w:val="en-US"/>
        </w:rPr>
        <w:t xml:space="preserve">. For example, </w:t>
      </w:r>
      <w:r w:rsidRPr="00C47726">
        <w:rPr>
          <w:lang w:val="en-US"/>
        </w:rPr>
        <w:t xml:space="preserve">the </w:t>
      </w:r>
      <w:proofErr w:type="spellStart"/>
      <w:r w:rsidRPr="00C47726">
        <w:rPr>
          <w:lang w:val="en-US"/>
        </w:rPr>
        <w:t>AusIndustry</w:t>
      </w:r>
      <w:proofErr w:type="spellEnd"/>
      <w:r w:rsidRPr="00C47726">
        <w:rPr>
          <w:lang w:val="en-US"/>
        </w:rPr>
        <w:t xml:space="preserve"> Business Outreach Network</w:t>
      </w:r>
      <w:r w:rsidR="001755B1">
        <w:rPr>
          <w:lang w:val="en-US"/>
        </w:rPr>
        <w:t xml:space="preserve"> and </w:t>
      </w:r>
      <w:r w:rsidRPr="00C47726">
        <w:rPr>
          <w:lang w:val="en-US"/>
        </w:rPr>
        <w:t>the</w:t>
      </w:r>
      <w:r w:rsidR="001755B1">
        <w:t xml:space="preserve"> </w:t>
      </w:r>
      <w:r w:rsidRPr="009F5768">
        <w:rPr>
          <w:rStyle w:val="Strong"/>
          <w:b w:val="0"/>
        </w:rPr>
        <w:t>Business Enterprise Centres</w:t>
      </w:r>
      <w:r w:rsidRPr="00C47726">
        <w:rPr>
          <w:lang w:val="en-US"/>
        </w:rPr>
        <w:t>.</w:t>
      </w:r>
    </w:p>
    <w:p w14:paraId="33187A75" w14:textId="78999F63" w:rsidR="00C47726" w:rsidRPr="00C47726" w:rsidRDefault="00C47726" w:rsidP="00C47726">
      <w:r w:rsidRPr="00283B3C">
        <w:rPr>
          <w:rStyle w:val="Strong"/>
        </w:rPr>
        <w:t>Stakeholders liked that ASBFEO worked directly with specific industry organisations</w:t>
      </w:r>
      <w:r w:rsidR="00A0518B">
        <w:rPr>
          <w:rStyle w:val="Strong"/>
        </w:rPr>
        <w:t>,</w:t>
      </w:r>
      <w:r w:rsidRPr="00283B3C">
        <w:rPr>
          <w:rStyle w:val="Strong"/>
        </w:rPr>
        <w:t xml:space="preserve"> but indicated ASBFEO could review how it manages advocacy on issues requiring a high degree of expertise.</w:t>
      </w:r>
      <w:r w:rsidRPr="00C47726">
        <w:rPr>
          <w:lang w:val="en-US"/>
        </w:rPr>
        <w:t xml:space="preserve"> The National Electrical and Communications Association (</w:t>
      </w:r>
      <w:r w:rsidRPr="00971283">
        <w:rPr>
          <w:rStyle w:val="Strong"/>
          <w:b w:val="0"/>
        </w:rPr>
        <w:t>NECA</w:t>
      </w:r>
      <w:r w:rsidRPr="00C47726">
        <w:rPr>
          <w:lang w:val="en-US"/>
        </w:rPr>
        <w:t>) commended the Ombudsman and team for engaging with the construction and electrotechnology sectors</w:t>
      </w:r>
      <w:r w:rsidR="00090904">
        <w:rPr>
          <w:lang w:val="en-US"/>
        </w:rPr>
        <w:t xml:space="preserve"> and its:</w:t>
      </w:r>
    </w:p>
    <w:p w14:paraId="4D1EB012" w14:textId="3684EB5A" w:rsidR="00C47726" w:rsidRPr="00115AB2" w:rsidRDefault="00283B3C" w:rsidP="00C47726">
      <w:pPr>
        <w:rPr>
          <w:rStyle w:val="Emphasis"/>
          <w:i w:val="0"/>
        </w:rPr>
      </w:pPr>
      <w:r w:rsidRPr="00BE0905">
        <w:rPr>
          <w:rStyle w:val="Emphasis"/>
        </w:rPr>
        <w:t>‘</w:t>
      </w:r>
      <w:r w:rsidR="00090904">
        <w:rPr>
          <w:rStyle w:val="Emphasis"/>
        </w:rPr>
        <w:t>…</w:t>
      </w:r>
      <w:r w:rsidR="002F0C14">
        <w:rPr>
          <w:rStyle w:val="Emphasis"/>
        </w:rPr>
        <w:t xml:space="preserve"> </w:t>
      </w:r>
      <w:r w:rsidR="00C47726" w:rsidRPr="00BE0905">
        <w:rPr>
          <w:rStyle w:val="Emphasis"/>
        </w:rPr>
        <w:t>commitment to addressing the issues faced by small business contractors and subcontractors in the construction and electrotechnology sectors</w:t>
      </w:r>
      <w:r w:rsidR="006229F6" w:rsidRPr="00BE0905">
        <w:rPr>
          <w:rStyle w:val="Emphasis"/>
        </w:rPr>
        <w:t>.’</w:t>
      </w:r>
      <w:r w:rsidR="00065357">
        <w:rPr>
          <w:rStyle w:val="Emphasis"/>
          <w:rFonts w:ascii="ZWAdobeF" w:hAnsi="ZWAdobeF" w:cs="ZWAdobeF"/>
          <w:i w:val="0"/>
          <w:color w:val="auto"/>
          <w:sz w:val="2"/>
          <w:szCs w:val="2"/>
        </w:rPr>
        <w:t>25F</w:t>
      </w:r>
      <w:r w:rsidR="00115AB2" w:rsidRPr="00E10889">
        <w:rPr>
          <w:rStyle w:val="FootnoteReference"/>
          <w:sz w:val="22"/>
          <w:szCs w:val="22"/>
          <w:vertAlign w:val="superscript"/>
        </w:rPr>
        <w:footnoteReference w:id="27"/>
      </w:r>
    </w:p>
    <w:p w14:paraId="2D558D03" w14:textId="447B0347" w:rsidR="00C47726" w:rsidRPr="00C47726" w:rsidRDefault="00C47726" w:rsidP="00C47726">
      <w:r w:rsidRPr="00C47726">
        <w:rPr>
          <w:lang w:val="en-US"/>
        </w:rPr>
        <w:t xml:space="preserve">Conversely, several stakeholders indicated that ASBFEO needs to engage </w:t>
      </w:r>
      <w:r w:rsidR="00F74AA7">
        <w:rPr>
          <w:lang w:val="en-US"/>
        </w:rPr>
        <w:t xml:space="preserve">more </w:t>
      </w:r>
      <w:r w:rsidR="00C64C37">
        <w:rPr>
          <w:lang w:val="en-US"/>
        </w:rPr>
        <w:t xml:space="preserve">effectively </w:t>
      </w:r>
      <w:r w:rsidRPr="00C47726">
        <w:rPr>
          <w:lang w:val="en-US"/>
        </w:rPr>
        <w:t>with industry associations and experts when dealing with industry</w:t>
      </w:r>
      <w:r w:rsidR="00916FA5">
        <w:rPr>
          <w:lang w:val="en-US"/>
        </w:rPr>
        <w:noBreakHyphen/>
      </w:r>
      <w:r w:rsidRPr="00C47726">
        <w:rPr>
          <w:lang w:val="en-US"/>
        </w:rPr>
        <w:t>specific policy issues that require a high degree of subject matter expertise.</w:t>
      </w:r>
      <w:r w:rsidR="00065357">
        <w:rPr>
          <w:rFonts w:ascii="ZWAdobeF" w:hAnsi="ZWAdobeF" w:cs="ZWAdobeF"/>
          <w:color w:val="auto"/>
          <w:sz w:val="2"/>
          <w:szCs w:val="2"/>
          <w:lang w:val="en-US"/>
        </w:rPr>
        <w:t>26F</w:t>
      </w:r>
      <w:r w:rsidR="00D1161A" w:rsidRPr="00BB1A59">
        <w:rPr>
          <w:rStyle w:val="FootnoteReference"/>
          <w:sz w:val="22"/>
          <w:szCs w:val="22"/>
          <w:vertAlign w:val="superscript"/>
          <w:lang w:val="en-US"/>
        </w:rPr>
        <w:footnoteReference w:id="28"/>
      </w:r>
      <w:r w:rsidRPr="00C47726">
        <w:rPr>
          <w:lang w:val="en-US"/>
        </w:rPr>
        <w:t xml:space="preserve"> This included considering developing expert panels.</w:t>
      </w:r>
      <w:r w:rsidR="00065357">
        <w:rPr>
          <w:rFonts w:ascii="ZWAdobeF" w:hAnsi="ZWAdobeF" w:cs="ZWAdobeF"/>
          <w:color w:val="auto"/>
          <w:sz w:val="2"/>
          <w:szCs w:val="2"/>
          <w:lang w:val="en-US"/>
        </w:rPr>
        <w:t>27F</w:t>
      </w:r>
      <w:r w:rsidR="002D4B83" w:rsidRPr="00BB1A59">
        <w:rPr>
          <w:rStyle w:val="FootnoteReference"/>
          <w:sz w:val="22"/>
          <w:szCs w:val="22"/>
          <w:vertAlign w:val="superscript"/>
          <w:lang w:val="en-US"/>
        </w:rPr>
        <w:footnoteReference w:id="29"/>
      </w:r>
      <w:r w:rsidR="006915CB">
        <w:rPr>
          <w:lang w:val="en-US"/>
        </w:rPr>
        <w:t xml:space="preserve"> </w:t>
      </w:r>
      <w:r w:rsidRPr="00C47726">
        <w:rPr>
          <w:lang w:val="en-US"/>
        </w:rPr>
        <w:t>This could be extended to include professionals such as accountants, legal practitioners and other advisers</w:t>
      </w:r>
      <w:r w:rsidR="00090904">
        <w:rPr>
          <w:lang w:val="en-US"/>
        </w:rPr>
        <w:t xml:space="preserve"> that</w:t>
      </w:r>
      <w:r w:rsidRPr="00C47726">
        <w:rPr>
          <w:lang w:val="en-US"/>
        </w:rPr>
        <w:t xml:space="preserve"> focus on advising the small business community. This may help to identify emerging trends and issues that may not be apparent to larger </w:t>
      </w:r>
      <w:proofErr w:type="spellStart"/>
      <w:r w:rsidRPr="00C47726">
        <w:rPr>
          <w:lang w:val="en-US"/>
        </w:rPr>
        <w:t>organisations</w:t>
      </w:r>
      <w:proofErr w:type="spellEnd"/>
      <w:r w:rsidRPr="00C47726">
        <w:rPr>
          <w:lang w:val="en-US"/>
        </w:rPr>
        <w:t xml:space="preserve"> and </w:t>
      </w:r>
      <w:r w:rsidR="00090904">
        <w:rPr>
          <w:lang w:val="en-US"/>
        </w:rPr>
        <w:t>g</w:t>
      </w:r>
      <w:r w:rsidRPr="00C47726">
        <w:rPr>
          <w:lang w:val="en-US"/>
        </w:rPr>
        <w:t>overnment bodies</w:t>
      </w:r>
      <w:r w:rsidR="006915CB">
        <w:rPr>
          <w:lang w:val="en-US"/>
        </w:rPr>
        <w:t>.</w:t>
      </w:r>
      <w:r w:rsidR="00065357">
        <w:rPr>
          <w:rFonts w:ascii="ZWAdobeF" w:hAnsi="ZWAdobeF" w:cs="ZWAdobeF"/>
          <w:color w:val="auto"/>
          <w:sz w:val="2"/>
          <w:szCs w:val="2"/>
          <w:lang w:val="en-US"/>
        </w:rPr>
        <w:t>28F</w:t>
      </w:r>
      <w:r w:rsidR="00554FB4" w:rsidRPr="00BB1A59">
        <w:rPr>
          <w:rStyle w:val="FootnoteReference"/>
          <w:sz w:val="22"/>
          <w:szCs w:val="22"/>
          <w:vertAlign w:val="superscript"/>
          <w:lang w:val="en-US"/>
        </w:rPr>
        <w:footnoteReference w:id="30"/>
      </w:r>
    </w:p>
    <w:p w14:paraId="67C6198C" w14:textId="77777777" w:rsidR="0084521E" w:rsidRDefault="0084521E">
      <w:pPr>
        <w:spacing w:before="0" w:after="160" w:line="259" w:lineRule="auto"/>
        <w:rPr>
          <w:rStyle w:val="Strong"/>
        </w:rPr>
      </w:pPr>
      <w:r>
        <w:rPr>
          <w:rStyle w:val="Strong"/>
        </w:rPr>
        <w:br w:type="page"/>
      </w:r>
    </w:p>
    <w:p w14:paraId="0F583DF5" w14:textId="4C797899" w:rsidR="00186EFE" w:rsidRPr="00C47726" w:rsidRDefault="00186EFE" w:rsidP="00186EFE">
      <w:r w:rsidRPr="00DF4CEF">
        <w:rPr>
          <w:rStyle w:val="Strong"/>
        </w:rPr>
        <w:lastRenderedPageBreak/>
        <w:t>ASBFEO has largely addressed the McGregor Review recommendation to foster stakeholder cooperation.</w:t>
      </w:r>
      <w:r w:rsidRPr="00C47726">
        <w:rPr>
          <w:b/>
          <w:bCs/>
          <w:lang w:val="en-US"/>
        </w:rPr>
        <w:t xml:space="preserve"> </w:t>
      </w:r>
      <w:r w:rsidRPr="00C47726">
        <w:rPr>
          <w:lang w:val="en-US"/>
        </w:rPr>
        <w:t xml:space="preserve">The feedback on forums and engagement on policy indicates ASBFEO has achieved a lot in addressing the McGregor Review recommendation </w:t>
      </w:r>
      <w:r>
        <w:rPr>
          <w:lang w:val="en-US"/>
        </w:rPr>
        <w:t>to</w:t>
      </w:r>
      <w:r w:rsidRPr="00C47726">
        <w:rPr>
          <w:lang w:val="en-US"/>
        </w:rPr>
        <w:t xml:space="preserve"> build advocacy impact by strengthening collaboration with stakeholders.</w:t>
      </w:r>
      <w:r w:rsidR="00065357">
        <w:rPr>
          <w:rFonts w:ascii="ZWAdobeF" w:hAnsi="ZWAdobeF" w:cs="ZWAdobeF"/>
          <w:color w:val="auto"/>
          <w:sz w:val="2"/>
          <w:szCs w:val="2"/>
          <w:lang w:val="en-US"/>
        </w:rPr>
        <w:t>29F</w:t>
      </w:r>
      <w:r w:rsidR="009A0583" w:rsidRPr="00BB1A59">
        <w:rPr>
          <w:rStyle w:val="FootnoteReference"/>
          <w:sz w:val="22"/>
          <w:szCs w:val="22"/>
          <w:vertAlign w:val="superscript"/>
          <w:lang w:val="en-US"/>
        </w:rPr>
        <w:footnoteReference w:id="31"/>
      </w:r>
      <w:r w:rsidRPr="00BB1A59">
        <w:rPr>
          <w:szCs w:val="22"/>
          <w:vertAlign w:val="superscript"/>
          <w:lang w:val="en-US"/>
        </w:rPr>
        <w:t xml:space="preserve"> </w:t>
      </w:r>
      <w:r w:rsidRPr="00C47726">
        <w:rPr>
          <w:lang w:val="en-US"/>
        </w:rPr>
        <w:t xml:space="preserve">As discussed </w:t>
      </w:r>
      <w:r w:rsidR="002525AB">
        <w:rPr>
          <w:lang w:val="en-US"/>
        </w:rPr>
        <w:t xml:space="preserve">earlier, </w:t>
      </w:r>
      <w:r w:rsidRPr="00C47726">
        <w:rPr>
          <w:lang w:val="en-US"/>
        </w:rPr>
        <w:t>there is still some work to do to broaden engagement.</w:t>
      </w:r>
    </w:p>
    <w:p w14:paraId="5D35A5C2" w14:textId="4BC0AF45" w:rsidR="00C47726" w:rsidRPr="00C47726" w:rsidRDefault="00C47726" w:rsidP="00E9180F">
      <w:pPr>
        <w:pStyle w:val="Heading3"/>
      </w:pPr>
      <w:bookmarkStart w:id="17" w:name="_Toc199940928"/>
      <w:r w:rsidRPr="00C47726">
        <w:rPr>
          <w:lang w:val="en-US"/>
        </w:rPr>
        <w:t>R</w:t>
      </w:r>
      <w:r w:rsidR="004A020F">
        <w:rPr>
          <w:lang w:val="en-US"/>
        </w:rPr>
        <w:t>ecommendation</w:t>
      </w:r>
      <w:bookmarkEnd w:id="17"/>
      <w:r w:rsidRPr="00C47726">
        <w:t> </w:t>
      </w:r>
    </w:p>
    <w:tbl>
      <w:tblPr>
        <w:tblStyle w:val="BoxStyle"/>
        <w:tblW w:w="5000" w:type="pct"/>
        <w:shd w:val="clear" w:color="auto" w:fill="F4F0EC"/>
        <w:tblLook w:val="0620" w:firstRow="1" w:lastRow="0" w:firstColumn="0" w:lastColumn="0" w:noHBand="1" w:noVBand="1"/>
      </w:tblPr>
      <w:tblGrid>
        <w:gridCol w:w="9070"/>
      </w:tblGrid>
      <w:tr w:rsidR="00D35AF5" w14:paraId="360F12F8" w14:textId="77777777" w:rsidTr="0063155D">
        <w:tc>
          <w:tcPr>
            <w:tcW w:w="5000" w:type="pct"/>
            <w:shd w:val="clear" w:color="auto" w:fill="F4F0EC"/>
            <w:hideMark/>
          </w:tcPr>
          <w:p w14:paraId="3325392C" w14:textId="226F0EDC" w:rsidR="00D35AF5" w:rsidRDefault="00D35AF5" w:rsidP="002C7D69">
            <w:pPr>
              <w:pStyle w:val="BoxText"/>
            </w:pPr>
            <w:r>
              <w:rPr>
                <w:rStyle w:val="Strong"/>
              </w:rPr>
              <w:t xml:space="preserve">Recommendation 1: </w:t>
            </w:r>
            <w:r w:rsidR="00B33FA5" w:rsidRPr="00334789">
              <w:rPr>
                <w:rStyle w:val="Strong"/>
                <w:b w:val="0"/>
              </w:rPr>
              <w:t>Australian Small Business and Family Enterprise Ombudsman (</w:t>
            </w:r>
            <w:r w:rsidRPr="00334789">
              <w:rPr>
                <w:rStyle w:val="Strong"/>
                <w:b w:val="0"/>
              </w:rPr>
              <w:t>ASBFEO</w:t>
            </w:r>
            <w:r w:rsidR="00B33FA5">
              <w:rPr>
                <w:rStyle w:val="Strong"/>
                <w:b w:val="0"/>
                <w:bCs w:val="0"/>
              </w:rPr>
              <w:t>)</w:t>
            </w:r>
            <w:r w:rsidRPr="00096146">
              <w:rPr>
                <w:rStyle w:val="Strong"/>
                <w:b w:val="0"/>
              </w:rPr>
              <w:t xml:space="preserve"> should consider a biannual forum with agencies that do not typically focus on small business matters but may benefit from an improved understanding of the issues small businesses encounter. The structure could be </w:t>
            </w:r>
            <w:proofErr w:type="gramStart"/>
            <w:r w:rsidRPr="00096146">
              <w:rPr>
                <w:rStyle w:val="Strong"/>
                <w:b w:val="0"/>
              </w:rPr>
              <w:t>similar</w:t>
            </w:r>
            <w:r>
              <w:rPr>
                <w:rStyle w:val="Strong"/>
                <w:b w:val="0"/>
              </w:rPr>
              <w:t xml:space="preserve"> </w:t>
            </w:r>
            <w:r w:rsidRPr="00096146">
              <w:rPr>
                <w:rStyle w:val="Strong"/>
                <w:b w:val="0"/>
              </w:rPr>
              <w:t>to</w:t>
            </w:r>
            <w:proofErr w:type="gramEnd"/>
            <w:r w:rsidRPr="00096146">
              <w:rPr>
                <w:rStyle w:val="Strong"/>
                <w:b w:val="0"/>
              </w:rPr>
              <w:t xml:space="preserve"> </w:t>
            </w:r>
            <w:r w:rsidR="00EE6742">
              <w:rPr>
                <w:rStyle w:val="Strong"/>
                <w:b w:val="0"/>
              </w:rPr>
              <w:t xml:space="preserve">the </w:t>
            </w:r>
            <w:r w:rsidRPr="009469F0">
              <w:rPr>
                <w:rFonts w:eastAsia="Calibri"/>
              </w:rPr>
              <w:t xml:space="preserve">Federal Regulatory Agency Group </w:t>
            </w:r>
            <w:r>
              <w:rPr>
                <w:rFonts w:eastAsia="Calibri"/>
              </w:rPr>
              <w:t>(</w:t>
            </w:r>
            <w:r w:rsidRPr="007D308E">
              <w:rPr>
                <w:rStyle w:val="Strong"/>
                <w:b w:val="0"/>
              </w:rPr>
              <w:t>FRAG</w:t>
            </w:r>
            <w:r>
              <w:rPr>
                <w:rStyle w:val="Strong"/>
                <w:b w:val="0"/>
              </w:rPr>
              <w:t>)</w:t>
            </w:r>
            <w:r w:rsidRPr="00096146">
              <w:rPr>
                <w:rStyle w:val="Strong"/>
                <w:b w:val="0"/>
              </w:rPr>
              <w:t xml:space="preserve"> forum and include agencies such as the Tax Practitioners Board and the Department of Agriculture, Fisheries and Forestry. </w:t>
            </w:r>
          </w:p>
        </w:tc>
      </w:tr>
    </w:tbl>
    <w:p w14:paraId="7C9AB00B" w14:textId="0015BE19" w:rsidR="00ED3128" w:rsidRPr="00C47726" w:rsidRDefault="00ED3128" w:rsidP="00ED3128">
      <w:pPr>
        <w:pStyle w:val="Heading2"/>
      </w:pPr>
      <w:bookmarkStart w:id="18" w:name="_Toc199940929"/>
      <w:r w:rsidRPr="21C5A44B">
        <w:rPr>
          <w:lang w:val="en-US"/>
        </w:rPr>
        <w:t>Inquiries and research</w:t>
      </w:r>
      <w:bookmarkEnd w:id="18"/>
      <w:r>
        <w:t> </w:t>
      </w:r>
    </w:p>
    <w:p w14:paraId="55609D8A" w14:textId="0ABF1AC3" w:rsidR="00ED3128" w:rsidRDefault="00ED3128" w:rsidP="00ED3128">
      <w:r w:rsidRPr="00A75A6C">
        <w:rPr>
          <w:rStyle w:val="Strong"/>
        </w:rPr>
        <w:t>Since 2021, ASBFEO has engaged with various government departments, regulators, parliamentary committees and other organisations in policy and regulatory reform.</w:t>
      </w:r>
      <w:r w:rsidRPr="00C47726">
        <w:rPr>
          <w:b/>
          <w:bCs/>
          <w:lang w:val="en-US"/>
        </w:rPr>
        <w:t xml:space="preserve"> </w:t>
      </w:r>
      <w:r w:rsidRPr="00C47726">
        <w:t xml:space="preserve">Over the past 4 years, ASBFEO has </w:t>
      </w:r>
      <w:r>
        <w:t>conducted</w:t>
      </w:r>
      <w:r w:rsidRPr="00C47726">
        <w:t xml:space="preserve"> an average of </w:t>
      </w:r>
      <w:r w:rsidR="00270032">
        <w:t>3</w:t>
      </w:r>
      <w:r w:rsidR="00270032" w:rsidRPr="00C47726">
        <w:t xml:space="preserve"> </w:t>
      </w:r>
      <w:r w:rsidRPr="00C47726">
        <w:t>self</w:t>
      </w:r>
      <w:r w:rsidR="003A0D5E">
        <w:noBreakHyphen/>
      </w:r>
      <w:r w:rsidRPr="00C47726">
        <w:t xml:space="preserve">initiated inquiries or research topics </w:t>
      </w:r>
      <w:r>
        <w:t xml:space="preserve">annually, as outlined in </w:t>
      </w:r>
      <w:r w:rsidRPr="00C47726">
        <w:t xml:space="preserve">Table </w:t>
      </w:r>
      <w:r w:rsidR="00514325">
        <w:t>3.1</w:t>
      </w:r>
      <w:r w:rsidRPr="00C47726">
        <w:t>.</w:t>
      </w:r>
      <w:r w:rsidRPr="00C47726">
        <w:rPr>
          <w:lang w:val="en-US"/>
        </w:rPr>
        <w:t xml:space="preserve"> Over the reporting period, A</w:t>
      </w:r>
      <w:r w:rsidR="00BA1B27">
        <w:rPr>
          <w:lang w:val="en-US"/>
        </w:rPr>
        <w:t>S</w:t>
      </w:r>
      <w:r w:rsidRPr="00C47726">
        <w:rPr>
          <w:lang w:val="en-US"/>
        </w:rPr>
        <w:t>BFEO has also advi</w:t>
      </w:r>
      <w:r>
        <w:rPr>
          <w:lang w:val="en-US"/>
        </w:rPr>
        <w:t>s</w:t>
      </w:r>
      <w:r w:rsidRPr="00C47726">
        <w:rPr>
          <w:lang w:val="en-US"/>
        </w:rPr>
        <w:t>e</w:t>
      </w:r>
      <w:r>
        <w:rPr>
          <w:lang w:val="en-US"/>
        </w:rPr>
        <w:t>d</w:t>
      </w:r>
      <w:r w:rsidRPr="00C47726">
        <w:rPr>
          <w:lang w:val="en-US"/>
        </w:rPr>
        <w:t xml:space="preserve"> the Minister and coordinated inquiries at the Minister</w:t>
      </w:r>
      <w:r>
        <w:rPr>
          <w:lang w:val="en-US"/>
        </w:rPr>
        <w:t>’s request.</w:t>
      </w:r>
    </w:p>
    <w:p w14:paraId="7688A799" w14:textId="2034289B" w:rsidR="00ED3128" w:rsidRPr="00C47726" w:rsidRDefault="00ED3128" w:rsidP="00ED3128">
      <w:pPr>
        <w:pStyle w:val="TableMainHeading"/>
      </w:pPr>
      <w:r w:rsidRPr="00141D1C">
        <w:t xml:space="preserve">Table </w:t>
      </w:r>
      <w:r w:rsidR="00514325" w:rsidRPr="00141D1C">
        <w:t>3</w:t>
      </w:r>
      <w:r w:rsidRPr="00141D1C">
        <w:t>.</w:t>
      </w:r>
      <w:r w:rsidR="00514325" w:rsidRPr="00141D1C">
        <w:t>1</w:t>
      </w:r>
      <w:r w:rsidRPr="00141D1C">
        <w:t>: Research and inquiries on the Ombudsman</w:t>
      </w:r>
      <w:r>
        <w:t>’</w:t>
      </w:r>
      <w:r w:rsidRPr="00141D1C">
        <w:t>s initiative under Division 2 of Part 3</w:t>
      </w:r>
      <w:r w:rsidRPr="00C47726">
        <w:t> </w:t>
      </w:r>
    </w:p>
    <w:tbl>
      <w:tblPr>
        <w:tblStyle w:val="TableGrid"/>
        <w:tblW w:w="5000" w:type="pct"/>
        <w:tblCellMar>
          <w:top w:w="17" w:type="dxa"/>
          <w:bottom w:w="17" w:type="dxa"/>
        </w:tblCellMar>
        <w:tblLook w:val="04A0" w:firstRow="1" w:lastRow="0" w:firstColumn="1" w:lastColumn="0" w:noHBand="0" w:noVBand="1"/>
      </w:tblPr>
      <w:tblGrid>
        <w:gridCol w:w="1134"/>
        <w:gridCol w:w="993"/>
        <w:gridCol w:w="6943"/>
      </w:tblGrid>
      <w:tr w:rsidR="00ED5197" w:rsidRPr="00C47726" w14:paraId="24D16E40" w14:textId="77777777" w:rsidTr="00B229A2">
        <w:trPr>
          <w:cnfStyle w:val="100000000000" w:firstRow="1" w:lastRow="0" w:firstColumn="0" w:lastColumn="0" w:oddVBand="0" w:evenVBand="0" w:oddHBand="0" w:evenHBand="0" w:firstRowFirstColumn="0" w:firstRowLastColumn="0" w:lastRowFirstColumn="0" w:lastRowLastColumn="0"/>
          <w:trHeight w:val="300"/>
        </w:trPr>
        <w:tc>
          <w:tcPr>
            <w:tcW w:w="1134" w:type="dxa"/>
            <w:hideMark/>
          </w:tcPr>
          <w:p w14:paraId="33FBF5A8" w14:textId="58BF3E65" w:rsidR="00ED5197" w:rsidRPr="00633BF2" w:rsidRDefault="00ED5197">
            <w:pPr>
              <w:pStyle w:val="TableColumnHeadingLeft"/>
            </w:pPr>
            <w:r w:rsidRPr="00633BF2">
              <w:t>Year</w:t>
            </w:r>
          </w:p>
        </w:tc>
        <w:tc>
          <w:tcPr>
            <w:tcW w:w="993" w:type="dxa"/>
            <w:hideMark/>
          </w:tcPr>
          <w:p w14:paraId="640C0A6A" w14:textId="30BFA1DC" w:rsidR="00ED5197" w:rsidRPr="00633BF2" w:rsidRDefault="00ED5197">
            <w:pPr>
              <w:pStyle w:val="TableColumnHeadingLeft"/>
            </w:pPr>
            <w:r w:rsidRPr="00633BF2">
              <w:t>Number</w:t>
            </w:r>
          </w:p>
        </w:tc>
        <w:tc>
          <w:tcPr>
            <w:tcW w:w="6943" w:type="dxa"/>
            <w:hideMark/>
          </w:tcPr>
          <w:p w14:paraId="3CF88349" w14:textId="76B93FFC" w:rsidR="00ED5197" w:rsidRPr="00633BF2" w:rsidRDefault="00ED5197">
            <w:pPr>
              <w:pStyle w:val="TableColumnHeadingLeft"/>
            </w:pPr>
            <w:r w:rsidRPr="00633BF2">
              <w:t>Self</w:t>
            </w:r>
            <w:r w:rsidRPr="00633BF2">
              <w:noBreakHyphen/>
            </w:r>
            <w:r w:rsidR="00B14A34">
              <w:t>i</w:t>
            </w:r>
            <w:r w:rsidRPr="00633BF2">
              <w:t xml:space="preserve">nitiated </w:t>
            </w:r>
            <w:r w:rsidR="00B14A34">
              <w:t>i</w:t>
            </w:r>
            <w:r w:rsidRPr="00633BF2">
              <w:t xml:space="preserve">nquiries and </w:t>
            </w:r>
            <w:r w:rsidR="00B14A34">
              <w:t>r</w:t>
            </w:r>
            <w:r w:rsidRPr="00633BF2">
              <w:t>esearch</w:t>
            </w:r>
          </w:p>
        </w:tc>
      </w:tr>
      <w:tr w:rsidR="00ED5197" w:rsidRPr="00C47726" w14:paraId="5B018246" w14:textId="77777777" w:rsidTr="00B229A2">
        <w:trPr>
          <w:cnfStyle w:val="000000100000" w:firstRow="0" w:lastRow="0" w:firstColumn="0" w:lastColumn="0" w:oddVBand="0" w:evenVBand="0" w:oddHBand="1" w:evenHBand="0" w:firstRowFirstColumn="0" w:firstRowLastColumn="0" w:lastRowFirstColumn="0" w:lastRowLastColumn="0"/>
          <w:trHeight w:val="305"/>
        </w:trPr>
        <w:tc>
          <w:tcPr>
            <w:tcW w:w="1134" w:type="dxa"/>
            <w:hideMark/>
          </w:tcPr>
          <w:p w14:paraId="117F41DA" w14:textId="6CA5FC1A" w:rsidR="00ED5197" w:rsidRPr="00C02410" w:rsidRDefault="00ED5197">
            <w:pPr>
              <w:pStyle w:val="TableTextLeft"/>
            </w:pPr>
            <w:r w:rsidRPr="00C02410">
              <w:t>2023</w:t>
            </w:r>
            <w:r w:rsidR="00BF5545">
              <w:t>–</w:t>
            </w:r>
            <w:r w:rsidRPr="00C02410">
              <w:t>24 </w:t>
            </w:r>
          </w:p>
        </w:tc>
        <w:tc>
          <w:tcPr>
            <w:tcW w:w="993" w:type="dxa"/>
            <w:hideMark/>
          </w:tcPr>
          <w:p w14:paraId="5A0E0F4D" w14:textId="77777777" w:rsidR="00ED5197" w:rsidRPr="00C02410" w:rsidRDefault="00ED5197">
            <w:pPr>
              <w:pStyle w:val="TableTextLeft"/>
            </w:pPr>
            <w:r w:rsidRPr="00C02410">
              <w:t>1 </w:t>
            </w:r>
          </w:p>
        </w:tc>
        <w:tc>
          <w:tcPr>
            <w:tcW w:w="6943" w:type="dxa"/>
            <w:hideMark/>
          </w:tcPr>
          <w:p w14:paraId="686DE545" w14:textId="36C55BB2" w:rsidR="00ED5197" w:rsidRPr="00C02410" w:rsidRDefault="00ED5197">
            <w:pPr>
              <w:pStyle w:val="TableTextLeft"/>
            </w:pPr>
            <w:r w:rsidRPr="00633BF2">
              <w:rPr>
                <w:rStyle w:val="Strong"/>
              </w:rPr>
              <w:t>Research:</w:t>
            </w:r>
            <w:r w:rsidRPr="00C02410">
              <w:rPr>
                <w:rStyle w:val="Strong"/>
                <w:b w:val="0"/>
                <w:bCs w:val="0"/>
              </w:rPr>
              <w:t xml:space="preserve"> </w:t>
            </w:r>
            <w:r w:rsidRPr="00C02410">
              <w:t>changes to Commonwealth Procurement Rules and the Buy Australian Plan</w:t>
            </w:r>
            <w:r w:rsidR="00BF5545">
              <w:t>.</w:t>
            </w:r>
          </w:p>
        </w:tc>
      </w:tr>
      <w:tr w:rsidR="00ED5197" w:rsidRPr="00C47726" w14:paraId="04B79C39" w14:textId="77777777" w:rsidTr="00B229A2">
        <w:trPr>
          <w:cnfStyle w:val="000000010000" w:firstRow="0" w:lastRow="0" w:firstColumn="0" w:lastColumn="0" w:oddVBand="0" w:evenVBand="0" w:oddHBand="0" w:evenHBand="1" w:firstRowFirstColumn="0" w:firstRowLastColumn="0" w:lastRowFirstColumn="0" w:lastRowLastColumn="0"/>
          <w:trHeight w:val="300"/>
        </w:trPr>
        <w:tc>
          <w:tcPr>
            <w:tcW w:w="1134" w:type="dxa"/>
            <w:hideMark/>
          </w:tcPr>
          <w:p w14:paraId="63EF9B15" w14:textId="4C5B8505" w:rsidR="00ED5197" w:rsidRPr="00C02410" w:rsidRDefault="00ED5197">
            <w:pPr>
              <w:pStyle w:val="TableTextLeft"/>
            </w:pPr>
            <w:r w:rsidRPr="00C02410">
              <w:t>2022</w:t>
            </w:r>
            <w:r w:rsidR="00BF5545">
              <w:t>–</w:t>
            </w:r>
            <w:r w:rsidRPr="00C02410">
              <w:t>23 </w:t>
            </w:r>
          </w:p>
        </w:tc>
        <w:tc>
          <w:tcPr>
            <w:tcW w:w="993" w:type="dxa"/>
            <w:hideMark/>
          </w:tcPr>
          <w:p w14:paraId="7A1D64CB" w14:textId="77777777" w:rsidR="00ED5197" w:rsidRPr="00C02410" w:rsidRDefault="00ED5197">
            <w:pPr>
              <w:pStyle w:val="TableTextLeft"/>
            </w:pPr>
            <w:r w:rsidRPr="00C02410">
              <w:t>4 </w:t>
            </w:r>
          </w:p>
        </w:tc>
        <w:tc>
          <w:tcPr>
            <w:tcW w:w="6943" w:type="dxa"/>
            <w:hideMark/>
          </w:tcPr>
          <w:p w14:paraId="54B0BCBA" w14:textId="727C282D" w:rsidR="00ED5197" w:rsidRPr="00C02410" w:rsidRDefault="00ED5197">
            <w:pPr>
              <w:pStyle w:val="TableTextLeft"/>
            </w:pPr>
            <w:r w:rsidRPr="00633BF2">
              <w:rPr>
                <w:rStyle w:val="Strong"/>
              </w:rPr>
              <w:t>Research:</w:t>
            </w:r>
            <w:r w:rsidRPr="00C02410">
              <w:rPr>
                <w:rStyle w:val="Strong"/>
                <w:b w:val="0"/>
                <w:bCs w:val="0"/>
              </w:rPr>
              <w:t xml:space="preserve"> </w:t>
            </w:r>
            <w:r w:rsidRPr="00C02410">
              <w:t>improving Australia’s corporate and personal insolvency laws </w:t>
            </w:r>
          </w:p>
          <w:p w14:paraId="1B450483" w14:textId="6E0AE3FC" w:rsidR="00ED5197" w:rsidRPr="00C02410" w:rsidRDefault="00C3631C">
            <w:pPr>
              <w:pStyle w:val="TableTextLeft"/>
            </w:pPr>
            <w:r>
              <w:t>L</w:t>
            </w:r>
            <w:r w:rsidR="00ED5197" w:rsidRPr="00C02410">
              <w:t>east cost routing for merchants</w:t>
            </w:r>
            <w:r w:rsidR="00BF5545">
              <w:t>.</w:t>
            </w:r>
          </w:p>
          <w:p w14:paraId="41CAE05E" w14:textId="32D92C37" w:rsidR="00ED5197" w:rsidRPr="00C02410" w:rsidRDefault="00C3631C">
            <w:pPr>
              <w:pStyle w:val="TableTextLeft"/>
            </w:pPr>
            <w:r>
              <w:t>U</w:t>
            </w:r>
            <w:r w:rsidR="00ED5197" w:rsidRPr="00C02410">
              <w:t>nfair business practices</w:t>
            </w:r>
            <w:r w:rsidR="00BF5545">
              <w:t>.</w:t>
            </w:r>
          </w:p>
          <w:p w14:paraId="1F0E5AA1" w14:textId="71AC9CDC" w:rsidR="00ED5197" w:rsidRPr="00C02410" w:rsidRDefault="001D426B">
            <w:pPr>
              <w:pStyle w:val="TableTextLeft"/>
            </w:pPr>
            <w:r>
              <w:t>ES</w:t>
            </w:r>
            <w:r w:rsidR="00A30033">
              <w:t>G</w:t>
            </w:r>
            <w:r w:rsidR="00ED5197" w:rsidRPr="00C02410">
              <w:t xml:space="preserve"> investing. </w:t>
            </w:r>
          </w:p>
        </w:tc>
      </w:tr>
      <w:tr w:rsidR="00ED5197" w:rsidRPr="00C47726" w14:paraId="76FDBB3D" w14:textId="77777777" w:rsidTr="00B229A2">
        <w:trPr>
          <w:cnfStyle w:val="000000100000" w:firstRow="0" w:lastRow="0" w:firstColumn="0" w:lastColumn="0" w:oddVBand="0" w:evenVBand="0" w:oddHBand="1" w:evenHBand="0" w:firstRowFirstColumn="0" w:firstRowLastColumn="0" w:lastRowFirstColumn="0" w:lastRowLastColumn="0"/>
          <w:trHeight w:val="300"/>
        </w:trPr>
        <w:tc>
          <w:tcPr>
            <w:tcW w:w="1134" w:type="dxa"/>
            <w:hideMark/>
          </w:tcPr>
          <w:p w14:paraId="12F0DFFF" w14:textId="50820296" w:rsidR="00ED5197" w:rsidRPr="00C02410" w:rsidRDefault="00ED5197">
            <w:pPr>
              <w:pStyle w:val="TableTextLeft"/>
            </w:pPr>
            <w:r w:rsidRPr="00C02410">
              <w:t>2021</w:t>
            </w:r>
            <w:r w:rsidR="00BF5545">
              <w:t>–</w:t>
            </w:r>
            <w:r w:rsidRPr="00C02410">
              <w:t>22 </w:t>
            </w:r>
          </w:p>
        </w:tc>
        <w:tc>
          <w:tcPr>
            <w:tcW w:w="993" w:type="dxa"/>
            <w:hideMark/>
          </w:tcPr>
          <w:p w14:paraId="3DCDF056" w14:textId="77777777" w:rsidR="00ED5197" w:rsidRPr="00C02410" w:rsidRDefault="00ED5197">
            <w:pPr>
              <w:pStyle w:val="TableTextLeft"/>
            </w:pPr>
            <w:r w:rsidRPr="00C02410">
              <w:t>3 </w:t>
            </w:r>
          </w:p>
        </w:tc>
        <w:tc>
          <w:tcPr>
            <w:tcW w:w="6943" w:type="dxa"/>
            <w:hideMark/>
          </w:tcPr>
          <w:p w14:paraId="2089DDA6" w14:textId="77777777" w:rsidR="00ED5197" w:rsidRPr="00C02410" w:rsidRDefault="00ED5197">
            <w:pPr>
              <w:pStyle w:val="TableTextLeft"/>
            </w:pPr>
            <w:r w:rsidRPr="00633BF2">
              <w:rPr>
                <w:rStyle w:val="Strong"/>
              </w:rPr>
              <w:t>Review:</w:t>
            </w:r>
            <w:r w:rsidRPr="00C02410">
              <w:rPr>
                <w:rStyle w:val="Strong"/>
                <w:b w:val="0"/>
                <w:bCs w:val="0"/>
              </w:rPr>
              <w:t xml:space="preserve"> </w:t>
            </w:r>
            <w:r w:rsidRPr="00C02410">
              <w:t>The Discretionary Mutual Fund that is proposed for small businesses in the amusement, leisure and recreation sector. </w:t>
            </w:r>
          </w:p>
          <w:p w14:paraId="6408EAF1" w14:textId="77777777" w:rsidR="00ED5197" w:rsidRPr="00C02410" w:rsidRDefault="00ED5197">
            <w:pPr>
              <w:pStyle w:val="TableTextLeft"/>
            </w:pPr>
            <w:r w:rsidRPr="006971BE">
              <w:rPr>
                <w:rStyle w:val="Strong"/>
              </w:rPr>
              <w:t>Research</w:t>
            </w:r>
            <w:r w:rsidRPr="00C02410">
              <w:rPr>
                <w:rStyle w:val="Strong"/>
                <w:b w:val="0"/>
                <w:bCs w:val="0"/>
              </w:rPr>
              <w:t xml:space="preserve">: </w:t>
            </w:r>
            <w:r w:rsidRPr="00C02410">
              <w:t>Research into the barriers faced by small businesses owned and led by women. </w:t>
            </w:r>
          </w:p>
          <w:p w14:paraId="4529FDE3" w14:textId="77777777" w:rsidR="00ED5197" w:rsidRPr="00C02410" w:rsidRDefault="00ED5197">
            <w:pPr>
              <w:pStyle w:val="TableTextLeft"/>
            </w:pPr>
            <w:r w:rsidRPr="00C02410">
              <w:t>Least cost routing for merchants. </w:t>
            </w:r>
          </w:p>
        </w:tc>
      </w:tr>
      <w:tr w:rsidR="00ED5197" w:rsidRPr="00C47726" w14:paraId="2FBA42AA" w14:textId="77777777" w:rsidTr="00B229A2">
        <w:trPr>
          <w:cnfStyle w:val="000000010000" w:firstRow="0" w:lastRow="0" w:firstColumn="0" w:lastColumn="0" w:oddVBand="0" w:evenVBand="0" w:oddHBand="0" w:evenHBand="1" w:firstRowFirstColumn="0" w:firstRowLastColumn="0" w:lastRowFirstColumn="0" w:lastRowLastColumn="0"/>
          <w:trHeight w:val="300"/>
        </w:trPr>
        <w:tc>
          <w:tcPr>
            <w:tcW w:w="1134" w:type="dxa"/>
            <w:hideMark/>
          </w:tcPr>
          <w:p w14:paraId="7F0501D3" w14:textId="26AA0EB5" w:rsidR="00ED5197" w:rsidRPr="00C02410" w:rsidRDefault="00ED5197">
            <w:pPr>
              <w:pStyle w:val="TableTextLeft"/>
            </w:pPr>
            <w:r w:rsidRPr="00C02410">
              <w:t>2020</w:t>
            </w:r>
            <w:r w:rsidR="00BF5545">
              <w:t>–</w:t>
            </w:r>
            <w:r w:rsidRPr="00C02410">
              <w:t>21 </w:t>
            </w:r>
          </w:p>
        </w:tc>
        <w:tc>
          <w:tcPr>
            <w:tcW w:w="993" w:type="dxa"/>
            <w:hideMark/>
          </w:tcPr>
          <w:p w14:paraId="7E2406CA" w14:textId="77777777" w:rsidR="00ED5197" w:rsidRPr="00C02410" w:rsidRDefault="00ED5197">
            <w:pPr>
              <w:pStyle w:val="TableTextLeft"/>
            </w:pPr>
            <w:r w:rsidRPr="00C02410">
              <w:t>4 </w:t>
            </w:r>
          </w:p>
        </w:tc>
        <w:tc>
          <w:tcPr>
            <w:tcW w:w="6943" w:type="dxa"/>
            <w:hideMark/>
          </w:tcPr>
          <w:p w14:paraId="47257F6C" w14:textId="77777777" w:rsidR="00ED5197" w:rsidRPr="00C02410" w:rsidRDefault="00ED5197">
            <w:pPr>
              <w:pStyle w:val="TableTextLeft"/>
            </w:pPr>
            <w:r w:rsidRPr="00633BF2">
              <w:rPr>
                <w:rStyle w:val="Strong"/>
              </w:rPr>
              <w:t>Inquiry:</w:t>
            </w:r>
            <w:r w:rsidRPr="00C02410">
              <w:rPr>
                <w:rStyle w:val="Strong"/>
                <w:b w:val="0"/>
                <w:bCs w:val="0"/>
              </w:rPr>
              <w:t xml:space="preserve"> </w:t>
            </w:r>
            <w:r w:rsidRPr="00C02410">
              <w:t xml:space="preserve">Affordability and availability of insurance. </w:t>
            </w:r>
          </w:p>
          <w:p w14:paraId="04963ECF" w14:textId="77777777" w:rsidR="00ED5197" w:rsidRPr="00C02410" w:rsidRDefault="00ED5197">
            <w:pPr>
              <w:pStyle w:val="TableTextLeft"/>
            </w:pPr>
            <w:r w:rsidRPr="006971BE">
              <w:rPr>
                <w:rStyle w:val="Strong"/>
              </w:rPr>
              <w:t>Research</w:t>
            </w:r>
            <w:r w:rsidRPr="00C02410">
              <w:rPr>
                <w:rStyle w:val="Strong"/>
                <w:b w:val="0"/>
                <w:bCs w:val="0"/>
              </w:rPr>
              <w:t xml:space="preserve">: </w:t>
            </w:r>
            <w:r w:rsidRPr="00C02410">
              <w:t xml:space="preserve">A review of the Personal Property Security Register. </w:t>
            </w:r>
          </w:p>
          <w:p w14:paraId="12F4463F" w14:textId="77777777" w:rsidR="00ED5197" w:rsidRPr="00C02410" w:rsidRDefault="00ED5197">
            <w:pPr>
              <w:pStyle w:val="TableTextLeft"/>
            </w:pPr>
            <w:r w:rsidRPr="00C02410">
              <w:t>A report on Small Business Access to Justice. </w:t>
            </w:r>
          </w:p>
          <w:p w14:paraId="40379775" w14:textId="7FCCF927" w:rsidR="00ED5197" w:rsidRPr="00C02410" w:rsidRDefault="00ED5197">
            <w:pPr>
              <w:pStyle w:val="TableTextLeft"/>
            </w:pPr>
            <w:r w:rsidRPr="00C02410">
              <w:t>Related to COVID</w:t>
            </w:r>
            <w:r w:rsidRPr="00C02410">
              <w:noBreakHyphen/>
              <w:t>19 Recovery Plan. </w:t>
            </w:r>
          </w:p>
        </w:tc>
      </w:tr>
    </w:tbl>
    <w:p w14:paraId="1CC7999E" w14:textId="7F97A037" w:rsidR="00AA45B3" w:rsidRDefault="008F4584" w:rsidP="000142E8">
      <w:pPr>
        <w:pStyle w:val="ChartorTablenoteandsource"/>
      </w:pPr>
      <w:r>
        <w:t>Source</w:t>
      </w:r>
      <w:r w:rsidR="00BF5545">
        <w:t>:</w:t>
      </w:r>
      <w:r>
        <w:t xml:space="preserve"> </w:t>
      </w:r>
      <w:r w:rsidR="00AD7C9A">
        <w:tab/>
      </w:r>
      <w:r w:rsidR="002D1077">
        <w:t xml:space="preserve">Treasury, </w:t>
      </w:r>
      <w:hyperlink r:id="rId33">
        <w:r w:rsidR="002D1077" w:rsidRPr="6C18A9D3">
          <w:rPr>
            <w:rStyle w:val="Hyperlink"/>
          </w:rPr>
          <w:t>Treasury Annual Report 2023</w:t>
        </w:r>
        <w:r w:rsidR="008A40DD" w:rsidRPr="6C18A9D3">
          <w:rPr>
            <w:rStyle w:val="Hyperlink"/>
          </w:rPr>
          <w:t>–</w:t>
        </w:r>
        <w:r w:rsidR="002D1077" w:rsidRPr="6C18A9D3">
          <w:rPr>
            <w:rStyle w:val="Hyperlink"/>
          </w:rPr>
          <w:t>24</w:t>
        </w:r>
      </w:hyperlink>
      <w:r w:rsidR="002D1077">
        <w:t xml:space="preserve"> pp 242</w:t>
      </w:r>
      <w:r w:rsidR="00666246" w:rsidRPr="00666246">
        <w:t>–</w:t>
      </w:r>
      <w:r w:rsidR="002D1077">
        <w:t xml:space="preserve">243; Treasury, </w:t>
      </w:r>
      <w:hyperlink r:id="rId34">
        <w:r w:rsidR="002D1077" w:rsidRPr="6C18A9D3">
          <w:rPr>
            <w:rStyle w:val="Hyperlink"/>
          </w:rPr>
          <w:t>Treasury Annual Report 2022</w:t>
        </w:r>
        <w:r w:rsidR="008A40DD" w:rsidRPr="6C18A9D3">
          <w:rPr>
            <w:rStyle w:val="Hyperlink"/>
          </w:rPr>
          <w:t>–</w:t>
        </w:r>
        <w:r w:rsidR="002D1077" w:rsidRPr="6C18A9D3">
          <w:rPr>
            <w:rStyle w:val="Hyperlink"/>
          </w:rPr>
          <w:t>23</w:t>
        </w:r>
      </w:hyperlink>
      <w:r w:rsidR="002D1077">
        <w:t xml:space="preserve"> pp 242</w:t>
      </w:r>
      <w:r w:rsidR="00666246" w:rsidRPr="00666246">
        <w:t>–</w:t>
      </w:r>
      <w:r w:rsidR="002D1077">
        <w:t xml:space="preserve">244; Treasury, </w:t>
      </w:r>
      <w:hyperlink r:id="rId35">
        <w:r w:rsidR="002D1077" w:rsidRPr="6C18A9D3">
          <w:rPr>
            <w:rStyle w:val="Hyperlink"/>
          </w:rPr>
          <w:t>Treasury Annual Report 2021</w:t>
        </w:r>
        <w:r w:rsidR="008A40DD" w:rsidRPr="6C18A9D3">
          <w:rPr>
            <w:rStyle w:val="Hyperlink"/>
          </w:rPr>
          <w:t>–</w:t>
        </w:r>
        <w:r w:rsidR="002D1077" w:rsidRPr="6C18A9D3">
          <w:rPr>
            <w:rStyle w:val="Hyperlink"/>
          </w:rPr>
          <w:t>22</w:t>
        </w:r>
      </w:hyperlink>
      <w:r w:rsidR="002D1077">
        <w:t xml:space="preserve"> pp 236</w:t>
      </w:r>
      <w:r w:rsidR="00666246" w:rsidRPr="00666246">
        <w:t>–</w:t>
      </w:r>
      <w:r w:rsidR="002D1077">
        <w:t xml:space="preserve">238; Treasury, </w:t>
      </w:r>
      <w:hyperlink r:id="rId36">
        <w:r w:rsidR="002D1077" w:rsidRPr="6C18A9D3">
          <w:rPr>
            <w:rStyle w:val="Hyperlink"/>
          </w:rPr>
          <w:t>Treasury Annual Report 2020</w:t>
        </w:r>
        <w:r w:rsidR="008A40DD" w:rsidRPr="6C18A9D3">
          <w:rPr>
            <w:rStyle w:val="Hyperlink"/>
          </w:rPr>
          <w:t>–</w:t>
        </w:r>
        <w:r w:rsidR="002D1077" w:rsidRPr="6C18A9D3">
          <w:rPr>
            <w:rStyle w:val="Hyperlink"/>
          </w:rPr>
          <w:t>21</w:t>
        </w:r>
      </w:hyperlink>
      <w:r w:rsidR="002D1077">
        <w:t xml:space="preserve"> pp 198</w:t>
      </w:r>
      <w:r w:rsidR="00666246" w:rsidRPr="00666246">
        <w:t>–</w:t>
      </w:r>
      <w:r w:rsidR="002D1077">
        <w:t>200.</w:t>
      </w:r>
    </w:p>
    <w:p w14:paraId="039D4038" w14:textId="6CC6E631" w:rsidR="008A40DD" w:rsidRDefault="00483E7A" w:rsidP="00483E7A">
      <w:pPr>
        <w:rPr>
          <w:lang w:val="en-US"/>
        </w:rPr>
      </w:pPr>
      <w:r w:rsidRPr="0017235B">
        <w:rPr>
          <w:rStyle w:val="Strong"/>
        </w:rPr>
        <w:lastRenderedPageBreak/>
        <w:t xml:space="preserve">ASBFEO contributes to other reviews such as the </w:t>
      </w:r>
      <w:r w:rsidR="004A59EC" w:rsidRPr="0017235B">
        <w:rPr>
          <w:rStyle w:val="Strong"/>
        </w:rPr>
        <w:t>Franchising Review</w:t>
      </w:r>
      <w:r w:rsidRPr="0017235B">
        <w:rPr>
          <w:rStyle w:val="Strong"/>
        </w:rPr>
        <w:t xml:space="preserve"> and has submitted </w:t>
      </w:r>
      <w:r w:rsidR="008A40DD" w:rsidRPr="0017235B">
        <w:rPr>
          <w:rStyle w:val="Strong"/>
        </w:rPr>
        <w:t>many</w:t>
      </w:r>
      <w:r w:rsidRPr="0017235B">
        <w:rPr>
          <w:rStyle w:val="Strong"/>
        </w:rPr>
        <w:t xml:space="preserve"> papers incorporating recommendations and views on policy and regulatory settings.</w:t>
      </w:r>
      <w:r w:rsidRPr="00C47726">
        <w:rPr>
          <w:lang w:val="en-US"/>
        </w:rPr>
        <w:t xml:space="preserve"> Over the review period this included</w:t>
      </w:r>
      <w:r w:rsidR="008A40DD">
        <w:rPr>
          <w:lang w:val="en-US"/>
        </w:rPr>
        <w:t>:</w:t>
      </w:r>
    </w:p>
    <w:p w14:paraId="09F8BB67" w14:textId="2579C6C3" w:rsidR="008A40DD" w:rsidRDefault="00483E7A" w:rsidP="00DF54E6">
      <w:pPr>
        <w:pStyle w:val="Bullet"/>
        <w:rPr>
          <w:lang w:val="en-US"/>
        </w:rPr>
      </w:pPr>
      <w:r w:rsidRPr="00C47726">
        <w:rPr>
          <w:lang w:val="en-US"/>
        </w:rPr>
        <w:t>providing input into policies supporting small business digital engagement and transformation</w:t>
      </w:r>
    </w:p>
    <w:p w14:paraId="0E05F48C" w14:textId="41AE21C4" w:rsidR="008A40DD" w:rsidRDefault="00483E7A" w:rsidP="00DF54E6">
      <w:pPr>
        <w:pStyle w:val="Bullet"/>
        <w:rPr>
          <w:lang w:val="en-US"/>
        </w:rPr>
      </w:pPr>
      <w:r w:rsidRPr="00C47726">
        <w:rPr>
          <w:lang w:val="en-US"/>
        </w:rPr>
        <w:t>develop</w:t>
      </w:r>
      <w:r w:rsidR="008A40DD">
        <w:rPr>
          <w:lang w:val="en-US"/>
        </w:rPr>
        <w:t xml:space="preserve">ing </w:t>
      </w:r>
      <w:r w:rsidRPr="00C47726">
        <w:rPr>
          <w:lang w:val="en-US"/>
        </w:rPr>
        <w:t>the automotive franchising industry’s Memorandum of Understanding on an industry</w:t>
      </w:r>
      <w:r w:rsidR="003A0D5E">
        <w:rPr>
          <w:lang w:val="en-US"/>
        </w:rPr>
        <w:noBreakHyphen/>
      </w:r>
      <w:r w:rsidRPr="00C47726">
        <w:rPr>
          <w:lang w:val="en-US"/>
        </w:rPr>
        <w:t>led voluntary arbitration pathway to dispute resolution</w:t>
      </w:r>
    </w:p>
    <w:p w14:paraId="40D4993A" w14:textId="23177DD9" w:rsidR="00483E7A" w:rsidRPr="00C47726" w:rsidRDefault="0028131D" w:rsidP="00DF54E6">
      <w:pPr>
        <w:pStyle w:val="Bullet"/>
      </w:pPr>
      <w:r>
        <w:rPr>
          <w:lang w:val="en-US"/>
        </w:rPr>
        <w:t>a r</w:t>
      </w:r>
      <w:r w:rsidR="00483E7A" w:rsidRPr="00C47726">
        <w:rPr>
          <w:lang w:val="en-US"/>
        </w:rPr>
        <w:t>eview of the Dairy Code of Conduct.</w:t>
      </w:r>
      <w:r w:rsidR="00483E7A" w:rsidRPr="00C47726">
        <w:t> </w:t>
      </w:r>
    </w:p>
    <w:p w14:paraId="37071306" w14:textId="660B2DDC" w:rsidR="00483E7A" w:rsidRPr="00C47726" w:rsidRDefault="00483E7A" w:rsidP="00483E7A">
      <w:pPr>
        <w:pStyle w:val="Heading3"/>
      </w:pPr>
      <w:bookmarkStart w:id="19" w:name="_Toc199940930"/>
      <w:r w:rsidRPr="21C5A44B">
        <w:rPr>
          <w:lang w:val="en-US"/>
        </w:rPr>
        <w:t xml:space="preserve">Submissions </w:t>
      </w:r>
      <w:r w:rsidR="008C190B">
        <w:rPr>
          <w:lang w:val="en-US"/>
        </w:rPr>
        <w:t>m</w:t>
      </w:r>
      <w:r w:rsidRPr="21C5A44B">
        <w:rPr>
          <w:lang w:val="en-US"/>
        </w:rPr>
        <w:t>ade</w:t>
      </w:r>
      <w:bookmarkEnd w:id="19"/>
      <w:r>
        <w:t> </w:t>
      </w:r>
    </w:p>
    <w:p w14:paraId="6886142A" w14:textId="0D17AF07" w:rsidR="006D4BD3" w:rsidRDefault="00483E7A" w:rsidP="00462207">
      <w:pPr>
        <w:rPr>
          <w:lang w:val="en-US"/>
        </w:rPr>
      </w:pPr>
      <w:r w:rsidRPr="00CE36ED">
        <w:rPr>
          <w:rStyle w:val="Strong"/>
        </w:rPr>
        <w:t xml:space="preserve">ASBFEO </w:t>
      </w:r>
      <w:r w:rsidR="00756F8A" w:rsidRPr="00CE36ED">
        <w:rPr>
          <w:rStyle w:val="Strong"/>
        </w:rPr>
        <w:t>made an average of</w:t>
      </w:r>
      <w:r w:rsidRPr="00CE36ED">
        <w:rPr>
          <w:rStyle w:val="Strong"/>
        </w:rPr>
        <w:t xml:space="preserve"> 82 submissions per </w:t>
      </w:r>
      <w:r w:rsidR="00AC242B" w:rsidRPr="00CE36ED">
        <w:rPr>
          <w:rStyle w:val="Strong"/>
        </w:rPr>
        <w:t xml:space="preserve">year </w:t>
      </w:r>
      <w:r w:rsidRPr="00CE36ED">
        <w:rPr>
          <w:rStyle w:val="Strong"/>
        </w:rPr>
        <w:t xml:space="preserve">over the </w:t>
      </w:r>
      <w:r w:rsidR="006D4BD3" w:rsidRPr="00CE36ED">
        <w:rPr>
          <w:rStyle w:val="Strong"/>
        </w:rPr>
        <w:t>4</w:t>
      </w:r>
      <w:r w:rsidR="003A0D5E">
        <w:rPr>
          <w:rStyle w:val="Strong"/>
        </w:rPr>
        <w:noBreakHyphen/>
      </w:r>
      <w:r w:rsidRPr="00CE36ED">
        <w:rPr>
          <w:rStyle w:val="Strong"/>
        </w:rPr>
        <w:t>year period</w:t>
      </w:r>
      <w:r w:rsidRPr="5D5073B1">
        <w:rPr>
          <w:b/>
          <w:bCs/>
          <w:lang w:val="en-US"/>
        </w:rPr>
        <w:t>.</w:t>
      </w:r>
      <w:r w:rsidRPr="5D5073B1">
        <w:rPr>
          <w:lang w:val="en-US"/>
        </w:rPr>
        <w:t xml:space="preserve"> While acknowledging that ASBFEO has reduced the number of submissions </w:t>
      </w:r>
      <w:r w:rsidR="00B94D74">
        <w:rPr>
          <w:lang w:val="en-US"/>
        </w:rPr>
        <w:t>it has</w:t>
      </w:r>
      <w:r w:rsidRPr="5D5073B1">
        <w:rPr>
          <w:lang w:val="en-US"/>
        </w:rPr>
        <w:t xml:space="preserve"> contributed to in the last year, even the most recent level of 40 submissions per </w:t>
      </w:r>
      <w:r w:rsidR="00FA700C">
        <w:rPr>
          <w:lang w:val="en-US"/>
        </w:rPr>
        <w:t>year</w:t>
      </w:r>
      <w:r w:rsidR="00FA700C" w:rsidRPr="5D5073B1">
        <w:rPr>
          <w:lang w:val="en-US"/>
        </w:rPr>
        <w:t xml:space="preserve"> </w:t>
      </w:r>
      <w:r w:rsidRPr="5D5073B1">
        <w:rPr>
          <w:lang w:val="en-US"/>
        </w:rPr>
        <w:t xml:space="preserve">is a high volume of work. </w:t>
      </w:r>
    </w:p>
    <w:p w14:paraId="0B282839" w14:textId="100A5E54" w:rsidR="00462207" w:rsidRPr="00F32339" w:rsidRDefault="00483E7A" w:rsidP="00462207">
      <w:r w:rsidRPr="00B274C3">
        <w:rPr>
          <w:b/>
          <w:bCs/>
        </w:rPr>
        <w:t>ASBFEO’s submissions covered an extensive range of policy areas</w:t>
      </w:r>
      <w:r w:rsidR="00937BF4" w:rsidRPr="00B274C3">
        <w:rPr>
          <w:b/>
          <w:bCs/>
        </w:rPr>
        <w:t>.</w:t>
      </w:r>
      <w:r w:rsidR="00937BF4">
        <w:t xml:space="preserve"> These include </w:t>
      </w:r>
      <w:r>
        <w:t>supermarket competition and the Food and Grocery Code</w:t>
      </w:r>
      <w:r w:rsidR="00EF4493">
        <w:t xml:space="preserve"> of Conduct</w:t>
      </w:r>
      <w:r>
        <w:t xml:space="preserve">, the cost and availability of insurance, and changes to workplace relations law. The breadth of policy areas involved requires ASBFEO to engage with many government departments, as shown in Table </w:t>
      </w:r>
      <w:r w:rsidR="00F50F46">
        <w:t>3.2</w:t>
      </w:r>
      <w:r>
        <w:t xml:space="preserve">. </w:t>
      </w:r>
    </w:p>
    <w:p w14:paraId="43D9B0C6" w14:textId="1C2A3821" w:rsidR="00CE36ED" w:rsidRPr="00F32339" w:rsidRDefault="00CE36ED" w:rsidP="008F54E3">
      <w:pPr>
        <w:pStyle w:val="TableMainHeading"/>
      </w:pPr>
      <w:r>
        <w:rPr>
          <w:lang w:val="en-US"/>
        </w:rPr>
        <w:t xml:space="preserve">Table 3.2: </w:t>
      </w:r>
      <w:r w:rsidRPr="00617DA9">
        <w:rPr>
          <w:lang w:val="en-US"/>
        </w:rPr>
        <w:t>Examples of departments, committees and entities ASBFEO made submissions to during 2023</w:t>
      </w:r>
      <w:r w:rsidR="008F54E3" w:rsidRPr="008F54E3">
        <w:t>–</w:t>
      </w:r>
      <w:r w:rsidR="0087600A">
        <w:t>20</w:t>
      </w:r>
      <w:r w:rsidRPr="00617DA9" w:rsidDel="00D21D82">
        <w:rPr>
          <w:lang w:val="en-US"/>
        </w:rPr>
        <w:t>24</w:t>
      </w:r>
    </w:p>
    <w:tbl>
      <w:tblPr>
        <w:tblStyle w:val="Style1"/>
        <w:tblW w:w="0" w:type="auto"/>
        <w:tblCellMar>
          <w:top w:w="34" w:type="dxa"/>
          <w:bottom w:w="34" w:type="dxa"/>
        </w:tblCellMar>
        <w:tblLook w:val="0480" w:firstRow="0" w:lastRow="0" w:firstColumn="1" w:lastColumn="0" w:noHBand="0" w:noVBand="1"/>
      </w:tblPr>
      <w:tblGrid>
        <w:gridCol w:w="9070"/>
      </w:tblGrid>
      <w:tr w:rsidR="00462207" w14:paraId="45B4CB46" w14:textId="77777777" w:rsidTr="00507E88">
        <w:tc>
          <w:tcPr>
            <w:tcW w:w="9070" w:type="dxa"/>
            <w:tcBorders>
              <w:top w:val="single" w:sz="4" w:space="0" w:color="auto"/>
            </w:tcBorders>
          </w:tcPr>
          <w:p w14:paraId="3CCDFECD" w14:textId="163A60F3" w:rsidR="00462207" w:rsidRPr="001F5ED5" w:rsidRDefault="00462207">
            <w:pPr>
              <w:pStyle w:val="TableTextLeft"/>
            </w:pPr>
            <w:r w:rsidRPr="001F5ED5">
              <w:rPr>
                <w:lang w:val="en-US"/>
              </w:rPr>
              <w:t>Attorney General’s Department</w:t>
            </w:r>
            <w:r w:rsidRPr="001F5ED5">
              <w:t> </w:t>
            </w:r>
          </w:p>
        </w:tc>
      </w:tr>
      <w:tr w:rsidR="00462207" w14:paraId="14597AB7" w14:textId="77777777" w:rsidTr="00507E88">
        <w:trPr>
          <w:cnfStyle w:val="000000010000" w:firstRow="0" w:lastRow="0" w:firstColumn="0" w:lastColumn="0" w:oddVBand="0" w:evenVBand="0" w:oddHBand="0" w:evenHBand="1" w:firstRowFirstColumn="0" w:firstRowLastColumn="0" w:lastRowFirstColumn="0" w:lastRowLastColumn="0"/>
        </w:trPr>
        <w:tc>
          <w:tcPr>
            <w:tcW w:w="9070" w:type="dxa"/>
          </w:tcPr>
          <w:p w14:paraId="43E71D3D" w14:textId="77777777" w:rsidR="00462207" w:rsidRPr="001F5ED5" w:rsidRDefault="00462207">
            <w:pPr>
              <w:pStyle w:val="TableTextLeft"/>
            </w:pPr>
            <w:r w:rsidRPr="001F5ED5">
              <w:rPr>
                <w:lang w:val="en-US"/>
              </w:rPr>
              <w:t>Australian Competition and Consumer Commission </w:t>
            </w:r>
            <w:r w:rsidRPr="001F5ED5">
              <w:t> </w:t>
            </w:r>
          </w:p>
        </w:tc>
      </w:tr>
      <w:tr w:rsidR="00462207" w14:paraId="7CAEB5CD" w14:textId="77777777" w:rsidTr="00507E88">
        <w:tc>
          <w:tcPr>
            <w:tcW w:w="9070" w:type="dxa"/>
          </w:tcPr>
          <w:p w14:paraId="47C571E2" w14:textId="77777777" w:rsidR="00462207" w:rsidRPr="001F5ED5" w:rsidRDefault="00462207">
            <w:pPr>
              <w:pStyle w:val="TableTextLeft"/>
            </w:pPr>
            <w:r w:rsidRPr="001F5ED5">
              <w:rPr>
                <w:lang w:val="en-US"/>
              </w:rPr>
              <w:t>Australian Securities and Investment Commission </w:t>
            </w:r>
            <w:r w:rsidRPr="001F5ED5">
              <w:t> </w:t>
            </w:r>
          </w:p>
        </w:tc>
      </w:tr>
      <w:tr w:rsidR="00462207" w14:paraId="63B28D2E" w14:textId="77777777" w:rsidTr="00507E88">
        <w:trPr>
          <w:cnfStyle w:val="000000010000" w:firstRow="0" w:lastRow="0" w:firstColumn="0" w:lastColumn="0" w:oddVBand="0" w:evenVBand="0" w:oddHBand="0" w:evenHBand="1" w:firstRowFirstColumn="0" w:firstRowLastColumn="0" w:lastRowFirstColumn="0" w:lastRowLastColumn="0"/>
        </w:trPr>
        <w:tc>
          <w:tcPr>
            <w:tcW w:w="9070" w:type="dxa"/>
          </w:tcPr>
          <w:p w14:paraId="55817D58" w14:textId="77777777" w:rsidR="00462207" w:rsidRPr="001F5ED5" w:rsidRDefault="00462207">
            <w:pPr>
              <w:pStyle w:val="TableTextLeft"/>
            </w:pPr>
            <w:r w:rsidRPr="001F5ED5">
              <w:rPr>
                <w:lang w:val="en-US"/>
              </w:rPr>
              <w:t>Department of Agriculture, Fisheries and Forestry </w:t>
            </w:r>
            <w:r w:rsidRPr="001F5ED5">
              <w:t> </w:t>
            </w:r>
          </w:p>
        </w:tc>
      </w:tr>
      <w:tr w:rsidR="00462207" w14:paraId="2FF61DEA" w14:textId="77777777" w:rsidTr="00507E88">
        <w:tc>
          <w:tcPr>
            <w:tcW w:w="9070" w:type="dxa"/>
          </w:tcPr>
          <w:p w14:paraId="53DF1359" w14:textId="77777777" w:rsidR="00462207" w:rsidRPr="001F5ED5" w:rsidRDefault="00462207">
            <w:pPr>
              <w:pStyle w:val="TableTextLeft"/>
            </w:pPr>
            <w:r w:rsidRPr="001F5ED5">
              <w:rPr>
                <w:lang w:val="en-US"/>
              </w:rPr>
              <w:t>Department of Finance </w:t>
            </w:r>
            <w:r w:rsidRPr="001F5ED5">
              <w:t> </w:t>
            </w:r>
          </w:p>
        </w:tc>
      </w:tr>
      <w:tr w:rsidR="00462207" w14:paraId="17BD7495" w14:textId="77777777" w:rsidTr="00507E88">
        <w:trPr>
          <w:cnfStyle w:val="000000010000" w:firstRow="0" w:lastRow="0" w:firstColumn="0" w:lastColumn="0" w:oddVBand="0" w:evenVBand="0" w:oddHBand="0" w:evenHBand="1" w:firstRowFirstColumn="0" w:firstRowLastColumn="0" w:lastRowFirstColumn="0" w:lastRowLastColumn="0"/>
        </w:trPr>
        <w:tc>
          <w:tcPr>
            <w:tcW w:w="9070" w:type="dxa"/>
          </w:tcPr>
          <w:p w14:paraId="0FE67905" w14:textId="77777777" w:rsidR="00462207" w:rsidRPr="001F5ED5" w:rsidRDefault="00462207">
            <w:pPr>
              <w:pStyle w:val="TableTextLeft"/>
            </w:pPr>
            <w:r w:rsidRPr="001F5ED5">
              <w:rPr>
                <w:lang w:val="en-US"/>
              </w:rPr>
              <w:t>Department of Home Affairs</w:t>
            </w:r>
            <w:r w:rsidRPr="001F5ED5">
              <w:t> </w:t>
            </w:r>
          </w:p>
        </w:tc>
      </w:tr>
      <w:tr w:rsidR="00462207" w14:paraId="3B9BA4D4" w14:textId="77777777" w:rsidTr="00507E88">
        <w:tc>
          <w:tcPr>
            <w:tcW w:w="9070" w:type="dxa"/>
          </w:tcPr>
          <w:p w14:paraId="5A2E41B5" w14:textId="77777777" w:rsidR="00462207" w:rsidRPr="001F5ED5" w:rsidRDefault="00462207">
            <w:pPr>
              <w:pStyle w:val="TableTextLeft"/>
            </w:pPr>
            <w:r w:rsidRPr="001F5ED5">
              <w:rPr>
                <w:lang w:val="en-US"/>
              </w:rPr>
              <w:t>Department of Industry, Science and Resources </w:t>
            </w:r>
            <w:r w:rsidRPr="001F5ED5">
              <w:t> </w:t>
            </w:r>
          </w:p>
        </w:tc>
      </w:tr>
      <w:tr w:rsidR="00462207" w14:paraId="2CD69972" w14:textId="77777777" w:rsidTr="00507E88">
        <w:trPr>
          <w:cnfStyle w:val="000000010000" w:firstRow="0" w:lastRow="0" w:firstColumn="0" w:lastColumn="0" w:oddVBand="0" w:evenVBand="0" w:oddHBand="0" w:evenHBand="1" w:firstRowFirstColumn="0" w:firstRowLastColumn="0" w:lastRowFirstColumn="0" w:lastRowLastColumn="0"/>
        </w:trPr>
        <w:tc>
          <w:tcPr>
            <w:tcW w:w="9070" w:type="dxa"/>
          </w:tcPr>
          <w:p w14:paraId="5D0F3E51" w14:textId="59511264" w:rsidR="00462207" w:rsidRPr="001F5ED5" w:rsidRDefault="00462207">
            <w:pPr>
              <w:pStyle w:val="TableTextLeft"/>
            </w:pPr>
            <w:r w:rsidRPr="001F5ED5">
              <w:rPr>
                <w:lang w:val="en-US"/>
              </w:rPr>
              <w:t>Department of Infrastructure, Transport, Regional Development, Communications and the Art</w:t>
            </w:r>
            <w:r w:rsidR="0040263C">
              <w:t>s</w:t>
            </w:r>
          </w:p>
        </w:tc>
      </w:tr>
      <w:tr w:rsidR="00462207" w14:paraId="2E5140E7" w14:textId="77777777" w:rsidTr="00507E88">
        <w:tc>
          <w:tcPr>
            <w:tcW w:w="9070" w:type="dxa"/>
          </w:tcPr>
          <w:p w14:paraId="3FC97318" w14:textId="77777777" w:rsidR="00462207" w:rsidRPr="001F5ED5" w:rsidRDefault="00462207">
            <w:pPr>
              <w:pStyle w:val="TableTextLeft"/>
            </w:pPr>
            <w:r w:rsidRPr="001F5ED5">
              <w:rPr>
                <w:lang w:val="en-US"/>
              </w:rPr>
              <w:t>Department of Prime Minister and Cabinet </w:t>
            </w:r>
            <w:r w:rsidRPr="001F5ED5">
              <w:t> </w:t>
            </w:r>
          </w:p>
        </w:tc>
      </w:tr>
      <w:tr w:rsidR="00462207" w14:paraId="1EBEDA70" w14:textId="77777777" w:rsidTr="00507E88">
        <w:trPr>
          <w:cnfStyle w:val="000000010000" w:firstRow="0" w:lastRow="0" w:firstColumn="0" w:lastColumn="0" w:oddVBand="0" w:evenVBand="0" w:oddHBand="0" w:evenHBand="1" w:firstRowFirstColumn="0" w:firstRowLastColumn="0" w:lastRowFirstColumn="0" w:lastRowLastColumn="0"/>
        </w:trPr>
        <w:tc>
          <w:tcPr>
            <w:tcW w:w="9070" w:type="dxa"/>
          </w:tcPr>
          <w:p w14:paraId="7E33A7F2" w14:textId="77777777" w:rsidR="00462207" w:rsidRPr="001F5ED5" w:rsidRDefault="00462207">
            <w:pPr>
              <w:pStyle w:val="TableTextLeft"/>
            </w:pPr>
            <w:r w:rsidRPr="001F5ED5">
              <w:rPr>
                <w:lang w:val="en-US"/>
              </w:rPr>
              <w:t>Department of the Treasury </w:t>
            </w:r>
            <w:r w:rsidRPr="001F5ED5">
              <w:t> </w:t>
            </w:r>
          </w:p>
        </w:tc>
      </w:tr>
      <w:tr w:rsidR="00462207" w14:paraId="09C2277B" w14:textId="77777777" w:rsidTr="00507E88">
        <w:tc>
          <w:tcPr>
            <w:tcW w:w="9070" w:type="dxa"/>
          </w:tcPr>
          <w:p w14:paraId="1ACEC757" w14:textId="77777777" w:rsidR="00462207" w:rsidRPr="001F5ED5" w:rsidRDefault="00462207">
            <w:pPr>
              <w:pStyle w:val="TableTextLeft"/>
            </w:pPr>
            <w:r w:rsidRPr="001F5ED5">
              <w:rPr>
                <w:lang w:val="en-US"/>
              </w:rPr>
              <w:t>Fair Work Commission </w:t>
            </w:r>
            <w:r w:rsidRPr="001F5ED5">
              <w:t> </w:t>
            </w:r>
          </w:p>
        </w:tc>
      </w:tr>
      <w:tr w:rsidR="00462207" w14:paraId="2D0EB68D" w14:textId="77777777" w:rsidTr="00507E88">
        <w:trPr>
          <w:cnfStyle w:val="000000010000" w:firstRow="0" w:lastRow="0" w:firstColumn="0" w:lastColumn="0" w:oddVBand="0" w:evenVBand="0" w:oddHBand="0" w:evenHBand="1" w:firstRowFirstColumn="0" w:firstRowLastColumn="0" w:lastRowFirstColumn="0" w:lastRowLastColumn="0"/>
        </w:trPr>
        <w:tc>
          <w:tcPr>
            <w:tcW w:w="9070" w:type="dxa"/>
          </w:tcPr>
          <w:p w14:paraId="7871491C" w14:textId="77777777" w:rsidR="00462207" w:rsidRPr="001F5ED5" w:rsidRDefault="00462207">
            <w:pPr>
              <w:pStyle w:val="TableTextLeft"/>
            </w:pPr>
            <w:r w:rsidRPr="001F5ED5">
              <w:rPr>
                <w:lang w:val="en-US"/>
              </w:rPr>
              <w:t>Insurance Council of Australia </w:t>
            </w:r>
            <w:r w:rsidRPr="001F5ED5">
              <w:t> </w:t>
            </w:r>
          </w:p>
        </w:tc>
      </w:tr>
      <w:tr w:rsidR="00462207" w14:paraId="075DDA75" w14:textId="77777777" w:rsidTr="00507E88">
        <w:tc>
          <w:tcPr>
            <w:tcW w:w="9070" w:type="dxa"/>
          </w:tcPr>
          <w:p w14:paraId="287E10F9" w14:textId="77777777" w:rsidR="00462207" w:rsidRPr="001F5ED5" w:rsidRDefault="00462207">
            <w:pPr>
              <w:pStyle w:val="TableTextLeft"/>
            </w:pPr>
            <w:r w:rsidRPr="001F5ED5">
              <w:rPr>
                <w:lang w:val="en-US"/>
              </w:rPr>
              <w:t>Jobs and Skills Australia </w:t>
            </w:r>
            <w:r w:rsidRPr="001F5ED5">
              <w:t> </w:t>
            </w:r>
          </w:p>
        </w:tc>
      </w:tr>
      <w:tr w:rsidR="00462207" w14:paraId="28366304" w14:textId="77777777" w:rsidTr="00507E88">
        <w:trPr>
          <w:cnfStyle w:val="000000010000" w:firstRow="0" w:lastRow="0" w:firstColumn="0" w:lastColumn="0" w:oddVBand="0" w:evenVBand="0" w:oddHBand="0" w:evenHBand="1" w:firstRowFirstColumn="0" w:firstRowLastColumn="0" w:lastRowFirstColumn="0" w:lastRowLastColumn="0"/>
        </w:trPr>
        <w:tc>
          <w:tcPr>
            <w:tcW w:w="9070" w:type="dxa"/>
          </w:tcPr>
          <w:p w14:paraId="36925E3F" w14:textId="77777777" w:rsidR="00462207" w:rsidRPr="001F5ED5" w:rsidRDefault="00462207">
            <w:pPr>
              <w:pStyle w:val="TableTextLeft"/>
            </w:pPr>
            <w:r w:rsidRPr="001F5ED5">
              <w:rPr>
                <w:lang w:val="en-US"/>
              </w:rPr>
              <w:t>National Emergency Management Agency </w:t>
            </w:r>
            <w:r w:rsidRPr="001F5ED5">
              <w:t> </w:t>
            </w:r>
          </w:p>
        </w:tc>
      </w:tr>
      <w:tr w:rsidR="00462207" w14:paraId="023CAEED" w14:textId="77777777" w:rsidTr="00507E88">
        <w:tc>
          <w:tcPr>
            <w:tcW w:w="9070" w:type="dxa"/>
          </w:tcPr>
          <w:p w14:paraId="498158E9" w14:textId="77777777" w:rsidR="00462207" w:rsidRPr="001F5ED5" w:rsidRDefault="00462207">
            <w:pPr>
              <w:pStyle w:val="TableTextLeft"/>
            </w:pPr>
            <w:r w:rsidRPr="001F5ED5">
              <w:rPr>
                <w:lang w:val="en-US"/>
              </w:rPr>
              <w:t>Parliamentary Committees </w:t>
            </w:r>
            <w:r w:rsidRPr="001F5ED5">
              <w:t> </w:t>
            </w:r>
          </w:p>
        </w:tc>
      </w:tr>
      <w:tr w:rsidR="00462207" w14:paraId="03673808" w14:textId="77777777" w:rsidTr="00507E88">
        <w:trPr>
          <w:cnfStyle w:val="000000010000" w:firstRow="0" w:lastRow="0" w:firstColumn="0" w:lastColumn="0" w:oddVBand="0" w:evenVBand="0" w:oddHBand="0" w:evenHBand="1" w:firstRowFirstColumn="0" w:firstRowLastColumn="0" w:lastRowFirstColumn="0" w:lastRowLastColumn="0"/>
        </w:trPr>
        <w:tc>
          <w:tcPr>
            <w:tcW w:w="9070" w:type="dxa"/>
            <w:tcBorders>
              <w:bottom w:val="single" w:sz="4" w:space="0" w:color="4D4D4D" w:themeColor="accent6"/>
            </w:tcBorders>
          </w:tcPr>
          <w:p w14:paraId="6D0F6A20" w14:textId="77777777" w:rsidR="00462207" w:rsidRPr="001F5ED5" w:rsidRDefault="00462207">
            <w:pPr>
              <w:pStyle w:val="TableTextLeft"/>
            </w:pPr>
            <w:r w:rsidRPr="001F5ED5">
              <w:rPr>
                <w:lang w:val="en-US"/>
              </w:rPr>
              <w:t>Productivity Commission </w:t>
            </w:r>
            <w:r w:rsidRPr="001F5ED5">
              <w:t> </w:t>
            </w:r>
          </w:p>
        </w:tc>
      </w:tr>
    </w:tbl>
    <w:p w14:paraId="27A32528" w14:textId="6E665C17" w:rsidR="00AC613D" w:rsidRPr="00AC613D" w:rsidRDefault="00AC613D" w:rsidP="00AC613D">
      <w:pPr>
        <w:pStyle w:val="ChartorTableNote"/>
      </w:pPr>
      <w:r w:rsidRPr="00AC613D">
        <w:t>Notes:</w:t>
      </w:r>
      <w:r w:rsidR="00507E88">
        <w:tab/>
      </w:r>
      <w:r w:rsidRPr="0041138E">
        <w:rPr>
          <w:rFonts w:cstheme="minorBidi"/>
        </w:rPr>
        <w:t xml:space="preserve">Treasury, </w:t>
      </w:r>
      <w:hyperlink r:id="rId37" w:history="1">
        <w:r w:rsidRPr="00DA0295">
          <w:rPr>
            <w:rStyle w:val="Hyperlink"/>
          </w:rPr>
          <w:t>Treasury Annual Report 2023</w:t>
        </w:r>
        <w:r w:rsidR="006D4BD3" w:rsidRPr="00DA0295">
          <w:rPr>
            <w:rStyle w:val="Hyperlink"/>
          </w:rPr>
          <w:t>–</w:t>
        </w:r>
        <w:r w:rsidRPr="00DA0295">
          <w:rPr>
            <w:rStyle w:val="Hyperlink"/>
          </w:rPr>
          <w:t>24</w:t>
        </w:r>
      </w:hyperlink>
      <w:r w:rsidR="00F12837">
        <w:rPr>
          <w:rFonts w:cstheme="minorBidi"/>
        </w:rPr>
        <w:t>,</w:t>
      </w:r>
      <w:r w:rsidRPr="0041138E">
        <w:rPr>
          <w:rFonts w:cstheme="minorBidi"/>
        </w:rPr>
        <w:t xml:space="preserve"> p</w:t>
      </w:r>
      <w:r>
        <w:rPr>
          <w:rFonts w:cstheme="minorBidi"/>
        </w:rPr>
        <w:t>p 242</w:t>
      </w:r>
      <w:r w:rsidR="003A0D5E">
        <w:rPr>
          <w:rFonts w:cstheme="minorBidi"/>
        </w:rPr>
        <w:noBreakHyphen/>
      </w:r>
      <w:r>
        <w:rPr>
          <w:rFonts w:cstheme="minorBidi"/>
        </w:rPr>
        <w:t>243</w:t>
      </w:r>
      <w:r w:rsidR="00D005A5">
        <w:rPr>
          <w:rFonts w:cstheme="minorBidi"/>
        </w:rPr>
        <w:t>.</w:t>
      </w:r>
    </w:p>
    <w:p w14:paraId="6DB1B006" w14:textId="7E268AAE" w:rsidR="00483E7A" w:rsidRPr="00C47726" w:rsidRDefault="00483E7A" w:rsidP="00483E7A">
      <w:pPr>
        <w:pStyle w:val="Heading3"/>
      </w:pPr>
      <w:bookmarkStart w:id="20" w:name="_Toc199940931"/>
      <w:r w:rsidRPr="21C5A44B">
        <w:rPr>
          <w:lang w:val="en-US"/>
        </w:rPr>
        <w:lastRenderedPageBreak/>
        <w:t>Stakeholder views</w:t>
      </w:r>
      <w:bookmarkEnd w:id="20"/>
      <w:r w:rsidRPr="21C5A44B">
        <w:rPr>
          <w:lang w:val="en-US"/>
        </w:rPr>
        <w:t> </w:t>
      </w:r>
      <w:r>
        <w:t> </w:t>
      </w:r>
    </w:p>
    <w:p w14:paraId="54BAD2EF" w14:textId="35E69B83" w:rsidR="00483E7A" w:rsidRPr="00C47726" w:rsidRDefault="00483E7A" w:rsidP="00483E7A">
      <w:r w:rsidRPr="00171D7D">
        <w:rPr>
          <w:rStyle w:val="Strong"/>
        </w:rPr>
        <w:t>Overwhelmingly, stakeholders viewed ASBFEO</w:t>
      </w:r>
      <w:r w:rsidR="00DB1AEB">
        <w:rPr>
          <w:rStyle w:val="Strong"/>
        </w:rPr>
        <w:t>’</w:t>
      </w:r>
      <w:r w:rsidR="00530811" w:rsidRPr="00171D7D">
        <w:rPr>
          <w:rStyle w:val="Strong"/>
        </w:rPr>
        <w:t>s</w:t>
      </w:r>
      <w:r w:rsidRPr="00171D7D">
        <w:rPr>
          <w:rStyle w:val="Strong"/>
        </w:rPr>
        <w:t xml:space="preserve"> input into policy matters as positive, balanced and beneficial to the small business community.</w:t>
      </w:r>
      <w:r w:rsidRPr="5D5073B1">
        <w:rPr>
          <w:lang w:val="en-US"/>
        </w:rPr>
        <w:t xml:space="preserve"> Stakeholders </w:t>
      </w:r>
      <w:proofErr w:type="spellStart"/>
      <w:r w:rsidRPr="5D5073B1">
        <w:rPr>
          <w:lang w:val="en-US"/>
        </w:rPr>
        <w:t>recognised</w:t>
      </w:r>
      <w:proofErr w:type="spellEnd"/>
      <w:r w:rsidRPr="5D5073B1">
        <w:rPr>
          <w:lang w:val="en-US"/>
        </w:rPr>
        <w:t xml:space="preserve"> the importance of ASBFEO and </w:t>
      </w:r>
      <w:r w:rsidR="00866789">
        <w:rPr>
          <w:lang w:val="en-US"/>
        </w:rPr>
        <w:t>its</w:t>
      </w:r>
      <w:r w:rsidR="00866789" w:rsidRPr="5D5073B1">
        <w:rPr>
          <w:lang w:val="en-US"/>
        </w:rPr>
        <w:t xml:space="preserve"> </w:t>
      </w:r>
      <w:r w:rsidRPr="5D5073B1">
        <w:rPr>
          <w:lang w:val="en-US"/>
        </w:rPr>
        <w:t>role as the conduit between government, industry associations and the broader small</w:t>
      </w:r>
      <w:r>
        <w:rPr>
          <w:lang w:val="en-US"/>
        </w:rPr>
        <w:t xml:space="preserve"> </w:t>
      </w:r>
      <w:r w:rsidRPr="5D5073B1">
        <w:rPr>
          <w:lang w:val="en-US"/>
        </w:rPr>
        <w:t>business sector</w:t>
      </w:r>
      <w:r w:rsidR="00866789">
        <w:rPr>
          <w:lang w:val="en-US"/>
        </w:rPr>
        <w:t xml:space="preserve">. </w:t>
      </w:r>
      <w:r w:rsidR="00BC06FF">
        <w:rPr>
          <w:lang w:val="en-US"/>
        </w:rPr>
        <w:t xml:space="preserve">Stakeholders noted that </w:t>
      </w:r>
      <w:r w:rsidR="009665CF">
        <w:rPr>
          <w:lang w:val="en-US"/>
        </w:rPr>
        <w:t xml:space="preserve">this </w:t>
      </w:r>
      <w:r w:rsidRPr="5D5073B1">
        <w:rPr>
          <w:lang w:val="en-US"/>
        </w:rPr>
        <w:t>allow</w:t>
      </w:r>
      <w:r w:rsidR="00924214">
        <w:rPr>
          <w:lang w:val="en-US"/>
        </w:rPr>
        <w:t>ed</w:t>
      </w:r>
      <w:r w:rsidRPr="5D5073B1">
        <w:rPr>
          <w:lang w:val="en-US"/>
        </w:rPr>
        <w:t xml:space="preserve"> </w:t>
      </w:r>
      <w:r w:rsidR="00924214">
        <w:rPr>
          <w:lang w:val="en-US"/>
        </w:rPr>
        <w:t>ASBFEO</w:t>
      </w:r>
      <w:r w:rsidR="00924214" w:rsidRPr="5D5073B1">
        <w:rPr>
          <w:lang w:val="en-US"/>
        </w:rPr>
        <w:t xml:space="preserve"> </w:t>
      </w:r>
      <w:r w:rsidRPr="5D5073B1">
        <w:rPr>
          <w:lang w:val="en-US"/>
        </w:rPr>
        <w:t xml:space="preserve">to advocate </w:t>
      </w:r>
      <w:r w:rsidR="002D4F4E">
        <w:rPr>
          <w:lang w:val="en-US"/>
        </w:rPr>
        <w:t>to government on</w:t>
      </w:r>
      <w:r w:rsidR="00924214" w:rsidRPr="5D5073B1">
        <w:rPr>
          <w:lang w:val="en-US"/>
        </w:rPr>
        <w:t xml:space="preserve"> </w:t>
      </w:r>
      <w:r w:rsidRPr="5D5073B1">
        <w:rPr>
          <w:lang w:val="en-US"/>
        </w:rPr>
        <w:t>issues of significant value to small business</w:t>
      </w:r>
      <w:r>
        <w:rPr>
          <w:lang w:val="en-US"/>
        </w:rPr>
        <w:t>es,</w:t>
      </w:r>
      <w:r w:rsidRPr="5D5073B1">
        <w:rPr>
          <w:lang w:val="en-US"/>
        </w:rPr>
        <w:t xml:space="preserve"> while also sitting within the </w:t>
      </w:r>
      <w:r w:rsidR="006D4BD3">
        <w:rPr>
          <w:szCs w:val="22"/>
          <w:lang w:val="en-US"/>
        </w:rPr>
        <w:t>g</w:t>
      </w:r>
      <w:r w:rsidRPr="006D4BD3">
        <w:rPr>
          <w:szCs w:val="22"/>
          <w:lang w:val="en-US"/>
        </w:rPr>
        <w:t>overnment</w:t>
      </w:r>
      <w:r w:rsidRPr="5D5073B1">
        <w:rPr>
          <w:lang w:val="en-US"/>
        </w:rPr>
        <w:t xml:space="preserve"> ecosystem.</w:t>
      </w:r>
      <w:r w:rsidR="00065357">
        <w:rPr>
          <w:rFonts w:ascii="ZWAdobeF" w:hAnsi="ZWAdobeF" w:cs="ZWAdobeF"/>
          <w:color w:val="auto"/>
          <w:sz w:val="2"/>
          <w:szCs w:val="2"/>
          <w:lang w:val="en-US"/>
        </w:rPr>
        <w:t>30F</w:t>
      </w:r>
      <w:r w:rsidR="007A5323" w:rsidRPr="00985401">
        <w:rPr>
          <w:rStyle w:val="FootnoteReference"/>
          <w:sz w:val="22"/>
          <w:szCs w:val="22"/>
          <w:vertAlign w:val="superscript"/>
          <w:lang w:val="en-US"/>
        </w:rPr>
        <w:footnoteReference w:id="32"/>
      </w:r>
      <w:r w:rsidRPr="00985401">
        <w:rPr>
          <w:szCs w:val="22"/>
          <w:vertAlign w:val="superscript"/>
          <w:lang w:val="en-US"/>
        </w:rPr>
        <w:t> </w:t>
      </w:r>
      <w:r w:rsidRPr="00985401">
        <w:rPr>
          <w:szCs w:val="22"/>
          <w:vertAlign w:val="superscript"/>
        </w:rPr>
        <w:t> </w:t>
      </w:r>
    </w:p>
    <w:p w14:paraId="1E3B054D" w14:textId="4E004FA2" w:rsidR="00483E7A" w:rsidRPr="00C47726" w:rsidRDefault="006D4BD3" w:rsidP="00483E7A">
      <w:r>
        <w:rPr>
          <w:rStyle w:val="Emphasis"/>
        </w:rPr>
        <w:t>‘</w:t>
      </w:r>
      <w:r w:rsidR="00483E7A" w:rsidRPr="00171D7D">
        <w:rPr>
          <w:rStyle w:val="Emphasis"/>
        </w:rPr>
        <w:t>The national advocacy function of ASBFEO continues to be of significant value to small businesses across Australia. The ASBFEO office has been very active in responding the government</w:t>
      </w:r>
      <w:r w:rsidR="00012528" w:rsidRPr="00171D7D">
        <w:rPr>
          <w:rStyle w:val="Emphasis"/>
        </w:rPr>
        <w:t xml:space="preserve"> [sic]</w:t>
      </w:r>
      <w:r w:rsidR="00483E7A" w:rsidRPr="00171D7D">
        <w:rPr>
          <w:rStyle w:val="Emphasis"/>
        </w:rPr>
        <w:t xml:space="preserve"> inquiries and reviews, which helps to elevate the voice of small business</w:t>
      </w:r>
      <w:r w:rsidRPr="00171D7D">
        <w:rPr>
          <w:rStyle w:val="Emphasis"/>
        </w:rPr>
        <w:t>.</w:t>
      </w:r>
      <w:r w:rsidR="003A0D5E">
        <w:rPr>
          <w:rStyle w:val="Emphasis"/>
        </w:rPr>
        <w:t>’</w:t>
      </w:r>
      <w:r w:rsidR="00065357">
        <w:rPr>
          <w:rStyle w:val="Emphasis"/>
          <w:rFonts w:ascii="ZWAdobeF" w:hAnsi="ZWAdobeF" w:cs="ZWAdobeF"/>
          <w:i w:val="0"/>
          <w:color w:val="auto"/>
          <w:sz w:val="2"/>
          <w:szCs w:val="2"/>
        </w:rPr>
        <w:t>31F</w:t>
      </w:r>
      <w:r w:rsidR="00CF3797" w:rsidRPr="00985401">
        <w:rPr>
          <w:rStyle w:val="FootnoteReference"/>
          <w:sz w:val="22"/>
          <w:szCs w:val="22"/>
          <w:vertAlign w:val="superscript"/>
        </w:rPr>
        <w:footnoteReference w:id="33"/>
      </w:r>
    </w:p>
    <w:p w14:paraId="594712B8" w14:textId="6A72683F" w:rsidR="00483E7A" w:rsidRPr="00C47726" w:rsidRDefault="00CC18DF" w:rsidP="00483E7A">
      <w:r>
        <w:rPr>
          <w:lang w:val="en-US"/>
        </w:rPr>
        <w:t>Stakeholders</w:t>
      </w:r>
      <w:r w:rsidRPr="5D5073B1">
        <w:rPr>
          <w:lang w:val="en-US"/>
        </w:rPr>
        <w:t xml:space="preserve"> </w:t>
      </w:r>
      <w:proofErr w:type="spellStart"/>
      <w:r w:rsidR="00483E7A" w:rsidRPr="5D5073B1">
        <w:rPr>
          <w:lang w:val="en-US"/>
        </w:rPr>
        <w:t>recognised</w:t>
      </w:r>
      <w:proofErr w:type="spellEnd"/>
      <w:r w:rsidR="00483E7A" w:rsidRPr="5D5073B1">
        <w:rPr>
          <w:lang w:val="en-US"/>
        </w:rPr>
        <w:t xml:space="preserve"> that ASBFEO used </w:t>
      </w:r>
      <w:r>
        <w:rPr>
          <w:lang w:val="en-US"/>
        </w:rPr>
        <w:t>its</w:t>
      </w:r>
      <w:r w:rsidRPr="5D5073B1">
        <w:rPr>
          <w:lang w:val="en-US"/>
        </w:rPr>
        <w:t xml:space="preserve"> </w:t>
      </w:r>
      <w:r w:rsidR="00483E7A" w:rsidRPr="5D5073B1">
        <w:rPr>
          <w:lang w:val="en-US"/>
        </w:rPr>
        <w:t xml:space="preserve">position within the Government to improve awareness of small business issues with key </w:t>
      </w:r>
      <w:r>
        <w:rPr>
          <w:lang w:val="en-US"/>
        </w:rPr>
        <w:t>m</w:t>
      </w:r>
      <w:r w:rsidR="00483E7A" w:rsidRPr="5D5073B1">
        <w:rPr>
          <w:lang w:val="en-US"/>
        </w:rPr>
        <w:t xml:space="preserve">inisters and </w:t>
      </w:r>
      <w:r>
        <w:rPr>
          <w:lang w:val="en-US"/>
        </w:rPr>
        <w:t>g</w:t>
      </w:r>
      <w:r w:rsidR="00483E7A" w:rsidRPr="5D5073B1">
        <w:rPr>
          <w:lang w:val="en-US"/>
        </w:rPr>
        <w:t>overnment departments.</w:t>
      </w:r>
      <w:r w:rsidR="00065357">
        <w:rPr>
          <w:rFonts w:ascii="ZWAdobeF" w:hAnsi="ZWAdobeF" w:cs="ZWAdobeF"/>
          <w:color w:val="auto"/>
          <w:sz w:val="2"/>
          <w:szCs w:val="2"/>
          <w:lang w:val="en-US"/>
        </w:rPr>
        <w:t>32F</w:t>
      </w:r>
      <w:r w:rsidR="00066A26" w:rsidRPr="00985401">
        <w:rPr>
          <w:rStyle w:val="FootnoteReference"/>
          <w:sz w:val="22"/>
          <w:szCs w:val="22"/>
          <w:vertAlign w:val="superscript"/>
          <w:lang w:val="en-US"/>
        </w:rPr>
        <w:footnoteReference w:id="34"/>
      </w:r>
      <w:r w:rsidR="00483E7A" w:rsidRPr="00985401">
        <w:rPr>
          <w:szCs w:val="22"/>
          <w:vertAlign w:val="superscript"/>
          <w:lang w:val="en-US"/>
        </w:rPr>
        <w:t> </w:t>
      </w:r>
    </w:p>
    <w:p w14:paraId="16A5FC15" w14:textId="4226C19F" w:rsidR="00483E7A" w:rsidRPr="00C47726" w:rsidRDefault="00483E7A" w:rsidP="00483E7A">
      <w:r w:rsidRPr="00C47726">
        <w:rPr>
          <w:lang w:val="en-US"/>
        </w:rPr>
        <w:t xml:space="preserve">Several stakeholders called out specific examples where ASBFEO’s </w:t>
      </w:r>
      <w:r w:rsidR="00CC18DF">
        <w:rPr>
          <w:lang w:val="en-US"/>
        </w:rPr>
        <w:t xml:space="preserve">advocacy </w:t>
      </w:r>
      <w:r w:rsidRPr="00C47726">
        <w:rPr>
          <w:lang w:val="en-US"/>
        </w:rPr>
        <w:t>work provided benefits through improved policy settings for their sector or members.</w:t>
      </w:r>
    </w:p>
    <w:p w14:paraId="78C45FEE" w14:textId="06A21956" w:rsidR="00483E7A" w:rsidRPr="00C47726" w:rsidRDefault="006D4BD3" w:rsidP="00483E7A">
      <w:r>
        <w:rPr>
          <w:rStyle w:val="Emphasis"/>
        </w:rPr>
        <w:t>‘</w:t>
      </w:r>
      <w:r w:rsidR="00483E7A" w:rsidRPr="00171D7D">
        <w:rPr>
          <w:rStyle w:val="Emphasis"/>
        </w:rPr>
        <w:t>The advocacy undertaken by ASBFEO does not just benefit individual R</w:t>
      </w:r>
      <w:r w:rsidR="009B2DE8" w:rsidRPr="00171D7D">
        <w:rPr>
          <w:rStyle w:val="Emphasis"/>
        </w:rPr>
        <w:t xml:space="preserve">egistered </w:t>
      </w:r>
      <w:r w:rsidR="00483E7A" w:rsidRPr="00171D7D">
        <w:rPr>
          <w:rStyle w:val="Emphasis"/>
        </w:rPr>
        <w:t>T</w:t>
      </w:r>
      <w:r w:rsidR="009B2DE8" w:rsidRPr="00171D7D">
        <w:rPr>
          <w:rStyle w:val="Emphasis"/>
        </w:rPr>
        <w:t xml:space="preserve">raining </w:t>
      </w:r>
      <w:r w:rsidR="00483E7A" w:rsidRPr="00171D7D">
        <w:rPr>
          <w:rStyle w:val="Emphasis"/>
        </w:rPr>
        <w:t>O</w:t>
      </w:r>
      <w:r w:rsidR="009B2DE8" w:rsidRPr="00171D7D">
        <w:rPr>
          <w:rStyle w:val="Emphasis"/>
        </w:rPr>
        <w:t>rganisation</w:t>
      </w:r>
      <w:r w:rsidR="00483E7A" w:rsidRPr="00171D7D">
        <w:rPr>
          <w:rStyle w:val="Emphasis"/>
        </w:rPr>
        <w:t>s, it creates systemic change that benefits the broader skills training and education sector</w:t>
      </w:r>
      <w:r w:rsidRPr="00171D7D">
        <w:rPr>
          <w:rStyle w:val="Emphasis"/>
        </w:rPr>
        <w:t>.</w:t>
      </w:r>
      <w:r w:rsidR="003A0D5E">
        <w:rPr>
          <w:rStyle w:val="Emphasis"/>
        </w:rPr>
        <w:t>’</w:t>
      </w:r>
      <w:r w:rsidR="00065357">
        <w:rPr>
          <w:rStyle w:val="Emphasis"/>
          <w:rFonts w:ascii="ZWAdobeF" w:hAnsi="ZWAdobeF" w:cs="ZWAdobeF"/>
          <w:i w:val="0"/>
          <w:color w:val="auto"/>
          <w:sz w:val="2"/>
          <w:szCs w:val="2"/>
        </w:rPr>
        <w:t>33F</w:t>
      </w:r>
      <w:r w:rsidR="001569DC" w:rsidRPr="00985401">
        <w:rPr>
          <w:rStyle w:val="FootnoteReference"/>
          <w:sz w:val="22"/>
          <w:szCs w:val="22"/>
          <w:vertAlign w:val="superscript"/>
          <w:lang w:val="en-US"/>
        </w:rPr>
        <w:footnoteReference w:id="35"/>
      </w:r>
    </w:p>
    <w:p w14:paraId="20A13768" w14:textId="6C487EE4" w:rsidR="00483E7A" w:rsidRDefault="00483E7A" w:rsidP="00483E7A">
      <w:pPr>
        <w:rPr>
          <w:lang w:val="en-US"/>
        </w:rPr>
      </w:pPr>
      <w:r w:rsidRPr="07743E67">
        <w:rPr>
          <w:lang w:val="en-US"/>
        </w:rPr>
        <w:t xml:space="preserve">Small business restructuring reforms were also mentioned, with </w:t>
      </w:r>
      <w:r w:rsidRPr="001B706D">
        <w:t xml:space="preserve">GM Advisory </w:t>
      </w:r>
      <w:r w:rsidR="00A65829">
        <w:t xml:space="preserve">(Australia) </w:t>
      </w:r>
      <w:r w:rsidR="00A65829" w:rsidRPr="001B706D">
        <w:t>Services</w:t>
      </w:r>
      <w:r w:rsidR="00A65829" w:rsidRPr="00A65829" w:rsidDel="00A65829">
        <w:rPr>
          <w:highlight w:val="yellow"/>
          <w:lang w:val="en-US"/>
        </w:rPr>
        <w:t xml:space="preserve"> </w:t>
      </w:r>
      <w:r w:rsidRPr="07743E67">
        <w:rPr>
          <w:lang w:val="en-US"/>
        </w:rPr>
        <w:t>praising ASBFEO’s work to help inform and improve the ATO’s approach to the treatment and decision</w:t>
      </w:r>
      <w:r w:rsidR="00CC18DF">
        <w:rPr>
          <w:lang w:val="en-US"/>
        </w:rPr>
        <w:t xml:space="preserve"> </w:t>
      </w:r>
      <w:r w:rsidRPr="07743E67">
        <w:rPr>
          <w:lang w:val="en-US"/>
        </w:rPr>
        <w:t>making around restructuring.</w:t>
      </w:r>
      <w:r w:rsidR="00065357">
        <w:rPr>
          <w:rFonts w:ascii="ZWAdobeF" w:hAnsi="ZWAdobeF" w:cs="ZWAdobeF"/>
          <w:color w:val="auto"/>
          <w:sz w:val="2"/>
          <w:szCs w:val="2"/>
          <w:lang w:val="en-US"/>
        </w:rPr>
        <w:t>34F</w:t>
      </w:r>
      <w:r w:rsidR="00481DA9" w:rsidRPr="00985401">
        <w:rPr>
          <w:rStyle w:val="FootnoteReference"/>
          <w:sz w:val="22"/>
          <w:szCs w:val="22"/>
          <w:vertAlign w:val="superscript"/>
          <w:lang w:val="en-US"/>
        </w:rPr>
        <w:footnoteReference w:id="36"/>
      </w:r>
    </w:p>
    <w:p w14:paraId="7F1E89F3" w14:textId="787C566A" w:rsidR="006B0946" w:rsidRPr="008234EC" w:rsidRDefault="006B0946" w:rsidP="006B0946">
      <w:pPr>
        <w:pStyle w:val="Heading3"/>
      </w:pPr>
      <w:bookmarkStart w:id="21" w:name="_Toc199940932"/>
      <w:r>
        <w:t>Analysis</w:t>
      </w:r>
      <w:bookmarkEnd w:id="21"/>
    </w:p>
    <w:p w14:paraId="519F231E" w14:textId="18496F8D" w:rsidR="006B0946" w:rsidRDefault="006B0946" w:rsidP="006B0946">
      <w:r w:rsidRPr="004C5CA9">
        <w:rPr>
          <w:rStyle w:val="Strong"/>
        </w:rPr>
        <w:t>The submissions ASBFEO contribute</w:t>
      </w:r>
      <w:r w:rsidR="00CC18DF" w:rsidRPr="004C5CA9">
        <w:rPr>
          <w:rStyle w:val="Strong"/>
        </w:rPr>
        <w:t>d</w:t>
      </w:r>
      <w:r w:rsidRPr="004C5CA9">
        <w:rPr>
          <w:rStyle w:val="Strong"/>
        </w:rPr>
        <w:t xml:space="preserve"> to should be prioritised as part of the advocacy agenda.</w:t>
      </w:r>
      <w:r w:rsidRPr="00C47726">
        <w:rPr>
          <w:lang w:val="en-US"/>
        </w:rPr>
        <w:t xml:space="preserve"> </w:t>
      </w:r>
      <w:r>
        <w:rPr>
          <w:lang w:val="en-US"/>
        </w:rPr>
        <w:t>All stakeholders highly valued ASBFEO’s role in submissions, inquiries and research</w:t>
      </w:r>
      <w:r w:rsidR="00CC18DF">
        <w:rPr>
          <w:lang w:val="en-US"/>
        </w:rPr>
        <w:t>,</w:t>
      </w:r>
      <w:r>
        <w:rPr>
          <w:lang w:val="en-US"/>
        </w:rPr>
        <w:t xml:space="preserve"> and </w:t>
      </w:r>
      <w:r w:rsidR="00CC18DF">
        <w:rPr>
          <w:lang w:val="en-US"/>
        </w:rPr>
        <w:t>respected t</w:t>
      </w:r>
      <w:r>
        <w:rPr>
          <w:lang w:val="en-US"/>
        </w:rPr>
        <w:t xml:space="preserve">he amount of work </w:t>
      </w:r>
      <w:r w:rsidR="00CC18DF">
        <w:rPr>
          <w:lang w:val="en-US"/>
        </w:rPr>
        <w:t xml:space="preserve">it </w:t>
      </w:r>
      <w:r>
        <w:rPr>
          <w:lang w:val="en-US"/>
        </w:rPr>
        <w:t>produce</w:t>
      </w:r>
      <w:r w:rsidR="00CC18DF">
        <w:rPr>
          <w:lang w:val="en-US"/>
        </w:rPr>
        <w:t>d</w:t>
      </w:r>
      <w:r>
        <w:rPr>
          <w:lang w:val="en-US"/>
        </w:rPr>
        <w:t xml:space="preserve"> for a small agency</w:t>
      </w:r>
      <w:r w:rsidRPr="00C74AC2">
        <w:rPr>
          <w:lang w:val="en-US"/>
        </w:rPr>
        <w:t xml:space="preserve">. </w:t>
      </w:r>
      <w:r w:rsidRPr="002D7F86">
        <w:rPr>
          <w:lang w:val="en-US"/>
        </w:rPr>
        <w:t xml:space="preserve">ASBFEO contributed to approximately </w:t>
      </w:r>
      <w:r w:rsidRPr="002D7F86">
        <w:rPr>
          <w:lang w:val="en-US"/>
        </w:rPr>
        <w:lastRenderedPageBreak/>
        <w:t>40</w:t>
      </w:r>
      <w:r w:rsidR="00100481">
        <w:rPr>
          <w:lang w:val="en-US"/>
        </w:rPr>
        <w:t> </w:t>
      </w:r>
      <w:r w:rsidRPr="002D7F86">
        <w:rPr>
          <w:lang w:val="en-US"/>
        </w:rPr>
        <w:t>submissions during the 2023</w:t>
      </w:r>
      <w:r w:rsidR="00CC18DF">
        <w:rPr>
          <w:lang w:val="en-US"/>
        </w:rPr>
        <w:t>–</w:t>
      </w:r>
      <w:r w:rsidR="0087600A">
        <w:rPr>
          <w:lang w:val="en-US"/>
        </w:rPr>
        <w:t>20</w:t>
      </w:r>
      <w:r w:rsidRPr="002D7F86">
        <w:rPr>
          <w:lang w:val="en-US"/>
        </w:rPr>
        <w:t xml:space="preserve">24 </w:t>
      </w:r>
      <w:r w:rsidR="00CC18DF">
        <w:rPr>
          <w:lang w:val="en-US"/>
        </w:rPr>
        <w:t xml:space="preserve">financial </w:t>
      </w:r>
      <w:r w:rsidRPr="002D7F86">
        <w:rPr>
          <w:lang w:val="en-US"/>
        </w:rPr>
        <w:t>year.</w:t>
      </w:r>
      <w:r w:rsidRPr="00C74AC2">
        <w:rPr>
          <w:lang w:val="en-US"/>
        </w:rPr>
        <w:t xml:space="preserve"> While acknowledging ASBFEO has reduced the number of submissions </w:t>
      </w:r>
      <w:r w:rsidR="00D45660">
        <w:rPr>
          <w:lang w:val="en-US"/>
        </w:rPr>
        <w:t>it has</w:t>
      </w:r>
      <w:r w:rsidRPr="00C74AC2">
        <w:rPr>
          <w:lang w:val="en-US"/>
        </w:rPr>
        <w:t xml:space="preserve"> contributed to, 40</w:t>
      </w:r>
      <w:r w:rsidRPr="00C47726">
        <w:rPr>
          <w:lang w:val="en-US"/>
        </w:rPr>
        <w:t xml:space="preserve"> </w:t>
      </w:r>
      <w:r>
        <w:rPr>
          <w:lang w:val="en-US"/>
        </w:rPr>
        <w:t>is still substantial</w:t>
      </w:r>
      <w:r w:rsidRPr="00C47726">
        <w:rPr>
          <w:lang w:val="en-US"/>
        </w:rPr>
        <w:t>. It is important to consider that submission</w:t>
      </w:r>
      <w:r>
        <w:rPr>
          <w:lang w:val="en-US"/>
        </w:rPr>
        <w:t>s</w:t>
      </w:r>
      <w:r w:rsidRPr="00C47726">
        <w:rPr>
          <w:lang w:val="en-US"/>
        </w:rPr>
        <w:t xml:space="preserve"> </w:t>
      </w:r>
      <w:r>
        <w:rPr>
          <w:lang w:val="en-US"/>
        </w:rPr>
        <w:t>are</w:t>
      </w:r>
      <w:r w:rsidRPr="00C47726">
        <w:rPr>
          <w:lang w:val="en-US"/>
        </w:rPr>
        <w:t xml:space="preserve"> only one part of advocating for policy outcomes. </w:t>
      </w:r>
      <w:r w:rsidR="003C79F1" w:rsidRPr="003C79F1">
        <w:t xml:space="preserve">In addition, supporting advocacy requires input and contributions from staff across ASBFEO. Managing the inevitable competition for resources will be assisted by a clearer agenda. </w:t>
      </w:r>
      <w:r w:rsidRPr="00C47726">
        <w:rPr>
          <w:lang w:val="en-US"/>
        </w:rPr>
        <w:t xml:space="preserve">Further, the </w:t>
      </w:r>
      <w:r w:rsidR="00CC18DF">
        <w:rPr>
          <w:lang w:val="en-US"/>
        </w:rPr>
        <w:t>D</w:t>
      </w:r>
      <w:r w:rsidRPr="00C47726">
        <w:rPr>
          <w:lang w:val="en-US"/>
        </w:rPr>
        <w:t xml:space="preserve">ata </w:t>
      </w:r>
      <w:r w:rsidR="001C34AB">
        <w:rPr>
          <w:lang w:val="en-US"/>
        </w:rPr>
        <w:t>t</w:t>
      </w:r>
      <w:r w:rsidRPr="00C47726">
        <w:rPr>
          <w:lang w:val="en-US"/>
        </w:rPr>
        <w:t>eam</w:t>
      </w:r>
      <w:r w:rsidR="003A0D5E">
        <w:rPr>
          <w:lang w:val="en-US"/>
        </w:rPr>
        <w:t>’</w:t>
      </w:r>
      <w:r w:rsidRPr="00C47726">
        <w:rPr>
          <w:lang w:val="en-US"/>
        </w:rPr>
        <w:t>s work is highly regarded, and as the reputation grows, so does the demand for the data from state and local governments, academia and small business owners.</w:t>
      </w:r>
      <w:r w:rsidRPr="00C47726">
        <w:t> </w:t>
      </w:r>
    </w:p>
    <w:p w14:paraId="32B3AF2F" w14:textId="637F5695" w:rsidR="00C47726" w:rsidRPr="00C47726" w:rsidRDefault="00C47726" w:rsidP="004A09DA">
      <w:pPr>
        <w:pStyle w:val="Heading2"/>
      </w:pPr>
      <w:bookmarkStart w:id="22" w:name="_Toc199940933"/>
      <w:r w:rsidRPr="00C47726">
        <w:t>ASBFEO</w:t>
      </w:r>
      <w:r w:rsidR="00916FA5">
        <w:t>’</w:t>
      </w:r>
      <w:r w:rsidRPr="00C47726">
        <w:t xml:space="preserve">s </w:t>
      </w:r>
      <w:r w:rsidR="008D3F58">
        <w:t>a</w:t>
      </w:r>
      <w:r w:rsidRPr="00C47726">
        <w:t xml:space="preserve">dvocacy </w:t>
      </w:r>
      <w:r w:rsidR="008D3F58">
        <w:t>p</w:t>
      </w:r>
      <w:r w:rsidR="006B0946">
        <w:t>riorities</w:t>
      </w:r>
      <w:bookmarkEnd w:id="22"/>
      <w:r w:rsidRPr="00C47726">
        <w:t> </w:t>
      </w:r>
    </w:p>
    <w:p w14:paraId="4F1B3D3C" w14:textId="09C6E3A9" w:rsidR="00E242C1" w:rsidRPr="00C47726" w:rsidRDefault="00C47726" w:rsidP="00E242C1">
      <w:r w:rsidRPr="00A8235B">
        <w:rPr>
          <w:rStyle w:val="Strong"/>
        </w:rPr>
        <w:t>In 2021–</w:t>
      </w:r>
      <w:r w:rsidR="0035278A">
        <w:rPr>
          <w:rStyle w:val="Strong"/>
        </w:rPr>
        <w:t>20</w:t>
      </w:r>
      <w:r w:rsidRPr="00A8235B">
        <w:rPr>
          <w:rStyle w:val="Strong"/>
        </w:rPr>
        <w:t>22, the Ombudsman instituted broad, multi</w:t>
      </w:r>
      <w:r w:rsidR="00916FA5" w:rsidRPr="00A8235B">
        <w:rPr>
          <w:rStyle w:val="Strong"/>
        </w:rPr>
        <w:noBreakHyphen/>
      </w:r>
      <w:r w:rsidRPr="00A8235B">
        <w:rPr>
          <w:rStyle w:val="Strong"/>
        </w:rPr>
        <w:t xml:space="preserve">year strategic pillars to guide the </w:t>
      </w:r>
      <w:r w:rsidR="00E6128E">
        <w:rPr>
          <w:rStyle w:val="Strong"/>
        </w:rPr>
        <w:t xml:space="preserve">work of the </w:t>
      </w:r>
      <w:r w:rsidR="007F315B" w:rsidRPr="00A8235B">
        <w:rPr>
          <w:rStyle w:val="Strong"/>
        </w:rPr>
        <w:t xml:space="preserve">Policy and </w:t>
      </w:r>
      <w:r w:rsidRPr="00A8235B">
        <w:rPr>
          <w:rStyle w:val="Strong"/>
        </w:rPr>
        <w:t>Advocacy team</w:t>
      </w:r>
      <w:r w:rsidR="007B2B52" w:rsidRPr="00A8235B">
        <w:rPr>
          <w:rStyle w:val="Strong"/>
        </w:rPr>
        <w:t xml:space="preserve"> (Advocacy team)</w:t>
      </w:r>
      <w:r w:rsidR="00916FA5" w:rsidRPr="00A8235B">
        <w:rPr>
          <w:rStyle w:val="Strong"/>
        </w:rPr>
        <w:t xml:space="preserve">. </w:t>
      </w:r>
      <w:r w:rsidR="00E242C1" w:rsidRPr="00817EC7">
        <w:rPr>
          <w:lang w:val="en-US"/>
        </w:rPr>
        <w:t>ASBFEO’s process for creating the 4</w:t>
      </w:r>
      <w:r w:rsidR="003A0D5E">
        <w:rPr>
          <w:lang w:val="en-US"/>
        </w:rPr>
        <w:noBreakHyphen/>
      </w:r>
      <w:r w:rsidR="00E242C1" w:rsidRPr="00817EC7">
        <w:rPr>
          <w:lang w:val="en-US"/>
        </w:rPr>
        <w:t>pillar advocacy agenda (Figure 3.1) involved gathering the views of a range of stakeholders.</w:t>
      </w:r>
      <w:r w:rsidR="00E242C1" w:rsidRPr="5D5073B1">
        <w:rPr>
          <w:lang w:val="en-US"/>
        </w:rPr>
        <w:t xml:space="preserve"> The ASBFEO Policy Forum, which hosts </w:t>
      </w:r>
      <w:r w:rsidR="00E242C1">
        <w:rPr>
          <w:lang w:val="en-US"/>
        </w:rPr>
        <w:t>approximately</w:t>
      </w:r>
      <w:r w:rsidR="00E242C1" w:rsidRPr="5D5073B1">
        <w:rPr>
          <w:lang w:val="en-US"/>
        </w:rPr>
        <w:t xml:space="preserve"> 50 different </w:t>
      </w:r>
      <w:proofErr w:type="spellStart"/>
      <w:r w:rsidR="00E242C1" w:rsidRPr="5D5073B1">
        <w:rPr>
          <w:lang w:val="en-US"/>
        </w:rPr>
        <w:t>organisations</w:t>
      </w:r>
      <w:proofErr w:type="spellEnd"/>
      <w:r w:rsidR="00E242C1" w:rsidRPr="5D5073B1">
        <w:rPr>
          <w:lang w:val="en-US"/>
        </w:rPr>
        <w:t xml:space="preserve">, was a central point for </w:t>
      </w:r>
      <w:r w:rsidR="00E242C1">
        <w:rPr>
          <w:lang w:val="en-US"/>
        </w:rPr>
        <w:t xml:space="preserve">identifying common issues and </w:t>
      </w:r>
      <w:r w:rsidR="00E242C1" w:rsidRPr="5D5073B1">
        <w:rPr>
          <w:lang w:val="en-US"/>
        </w:rPr>
        <w:t xml:space="preserve">working through the nuances of </w:t>
      </w:r>
      <w:r w:rsidR="00E242C1">
        <w:rPr>
          <w:lang w:val="en-US"/>
        </w:rPr>
        <w:t>positions</w:t>
      </w:r>
      <w:r w:rsidR="00E242C1" w:rsidRPr="5D5073B1">
        <w:rPr>
          <w:lang w:val="en-US"/>
        </w:rPr>
        <w:t xml:space="preserve">. To inform these discussions, ASBFEO </w:t>
      </w:r>
      <w:proofErr w:type="spellStart"/>
      <w:r w:rsidR="00E242C1">
        <w:rPr>
          <w:lang w:val="en-US"/>
        </w:rPr>
        <w:t>analysed</w:t>
      </w:r>
      <w:proofErr w:type="spellEnd"/>
      <w:r w:rsidR="00E242C1" w:rsidRPr="5D5073B1">
        <w:rPr>
          <w:lang w:val="en-US"/>
        </w:rPr>
        <w:t xml:space="preserve"> data and </w:t>
      </w:r>
      <w:r w:rsidR="00E242C1">
        <w:rPr>
          <w:lang w:val="en-US"/>
        </w:rPr>
        <w:t>r</w:t>
      </w:r>
      <w:r w:rsidR="00E242C1" w:rsidRPr="5D5073B1">
        <w:rPr>
          <w:lang w:val="en-US"/>
        </w:rPr>
        <w:t xml:space="preserve">ecent </w:t>
      </w:r>
      <w:r w:rsidR="00E242C1">
        <w:rPr>
          <w:lang w:val="en-US"/>
        </w:rPr>
        <w:t>consultation</w:t>
      </w:r>
      <w:r w:rsidR="00E242C1" w:rsidRPr="5D5073B1">
        <w:rPr>
          <w:lang w:val="en-US"/>
        </w:rPr>
        <w:t xml:space="preserve"> discussions </w:t>
      </w:r>
      <w:r w:rsidR="00E242C1">
        <w:rPr>
          <w:lang w:val="en-US"/>
        </w:rPr>
        <w:t xml:space="preserve">to identify </w:t>
      </w:r>
      <w:r w:rsidR="00E242C1" w:rsidRPr="5D5073B1">
        <w:rPr>
          <w:lang w:val="en-US"/>
        </w:rPr>
        <w:t xml:space="preserve">realistic opportunities for change. </w:t>
      </w:r>
    </w:p>
    <w:p w14:paraId="06A8D8DE" w14:textId="7F9AD36F" w:rsidR="00107494" w:rsidRPr="00A8235B" w:rsidRDefault="00107494" w:rsidP="009C51CC">
      <w:pPr>
        <w:pStyle w:val="ChartMainHeading"/>
        <w:rPr>
          <w:rStyle w:val="Strong"/>
          <w:bCs w:val="0"/>
        </w:rPr>
      </w:pPr>
      <w:r>
        <w:rPr>
          <w:lang w:val="en-US"/>
        </w:rPr>
        <w:t xml:space="preserve">Figure </w:t>
      </w:r>
      <w:r w:rsidR="00CF5728">
        <w:rPr>
          <w:lang w:val="en-US"/>
        </w:rPr>
        <w:t>3</w:t>
      </w:r>
      <w:r w:rsidRPr="00C47726">
        <w:rPr>
          <w:lang w:val="en-US"/>
        </w:rPr>
        <w:t>.</w:t>
      </w:r>
      <w:r>
        <w:rPr>
          <w:lang w:val="en-US"/>
        </w:rPr>
        <w:t>1</w:t>
      </w:r>
      <w:r w:rsidRPr="00C47726">
        <w:rPr>
          <w:lang w:val="en-US"/>
        </w:rPr>
        <w:t>:</w:t>
      </w:r>
      <w:r w:rsidR="00A8235B">
        <w:rPr>
          <w:lang w:val="en-US"/>
        </w:rPr>
        <w:t xml:space="preserve"> </w:t>
      </w:r>
      <w:r w:rsidR="00075767">
        <w:rPr>
          <w:lang w:val="en-US"/>
        </w:rPr>
        <w:t xml:space="preserve">ASBFEO’s </w:t>
      </w:r>
      <w:r w:rsidR="00A8235B">
        <w:rPr>
          <w:lang w:val="en-US"/>
        </w:rPr>
        <w:t>4</w:t>
      </w:r>
      <w:r w:rsidR="000D7D0D">
        <w:rPr>
          <w:lang w:val="en-US"/>
        </w:rPr>
        <w:t>-</w:t>
      </w:r>
      <w:r w:rsidR="00A8235B">
        <w:rPr>
          <w:lang w:val="en-US"/>
        </w:rPr>
        <w:t>pillar advocacy agenda</w:t>
      </w:r>
    </w:p>
    <w:p w14:paraId="64BB8C45" w14:textId="684D14AA" w:rsidR="00131E59" w:rsidRPr="00BE0905" w:rsidRDefault="00131E59" w:rsidP="00C47726">
      <w:pPr>
        <w:rPr>
          <w:rStyle w:val="Strong"/>
          <w:highlight w:val="yellow"/>
        </w:rPr>
      </w:pPr>
      <w:r>
        <w:rPr>
          <w:noProof/>
        </w:rPr>
        <w:drawing>
          <wp:inline distT="0" distB="0" distL="0" distR="0" wp14:anchorId="5CF23046" wp14:editId="3FDB0615">
            <wp:extent cx="5760000" cy="2067386"/>
            <wp:effectExtent l="0" t="0" r="0" b="9525"/>
            <wp:docPr id="509641784" name="Picture 1" descr="This infographic shows four pillars ASBFEO has identified as multi-year strategic pillars for the Advocacy function. Pillar 1 - Addressing sector impediments: Efforts to ease what is holding the sector back.&#10;Pillar 2 – Enhancing sector opportunities: Realising new opportunities. Pillar 3 – Supporting transformation and the sector’s future state: Assisting the transition and preparing small businesses for future adjustments. Pillar 4 – Shifting the dial for sector advantage: Improving the enterprise environ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41784" name="Picture 1" descr="This infographic shows four pillars ASBFEO has identified as multi-year strategic pillars for the Advocacy function. Pillar 1 - Addressing sector impediments: Efforts to ease what is holding the sector back.&#10;Pillar 2 – Enhancing sector opportunities: Realising new opportunities. Pillar 3 – Supporting transformation and the sector’s future state: Assisting the transition and preparing small businesses for future adjustments. Pillar 4 – Shifting the dial for sector advantage: Improving the enterprise environment.&#10;"/>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5760000" cy="2067386"/>
                    </a:xfrm>
                    <a:prstGeom prst="rect">
                      <a:avLst/>
                    </a:prstGeom>
                  </pic:spPr>
                </pic:pic>
              </a:graphicData>
            </a:graphic>
          </wp:inline>
        </w:drawing>
      </w:r>
    </w:p>
    <w:p w14:paraId="4525DF94" w14:textId="78649DBA" w:rsidR="00C47726" w:rsidRPr="00C47726" w:rsidRDefault="00616D7C" w:rsidP="009C51CC">
      <w:pPr>
        <w:pStyle w:val="ChartorTablenoteandsource"/>
      </w:pPr>
      <w:r>
        <w:rPr>
          <w:lang w:val="en-US"/>
        </w:rPr>
        <w:t>Figure</w:t>
      </w:r>
      <w:r w:rsidR="00376073">
        <w:rPr>
          <w:lang w:val="en-US"/>
        </w:rPr>
        <w:t xml:space="preserve"> 3.1 </w:t>
      </w:r>
      <w:r w:rsidR="00C47726" w:rsidRPr="00C47726">
        <w:rPr>
          <w:lang w:val="en-US"/>
        </w:rPr>
        <w:t>Source</w:t>
      </w:r>
      <w:r w:rsidR="009C51CC">
        <w:rPr>
          <w:lang w:val="en-US"/>
        </w:rPr>
        <w:t>:</w:t>
      </w:r>
      <w:r w:rsidR="009C51CC">
        <w:rPr>
          <w:lang w:val="en-US"/>
        </w:rPr>
        <w:tab/>
      </w:r>
      <w:r w:rsidR="00457821" w:rsidRPr="00E8268D">
        <w:rPr>
          <w:rFonts w:cstheme="minorHAnsi"/>
        </w:rPr>
        <w:t xml:space="preserve">ASBFEO, </w:t>
      </w:r>
      <w:r w:rsidR="00457821" w:rsidRPr="00E8268D">
        <w:t>Submission to the Independent Review of the ASBFEO</w:t>
      </w:r>
      <w:r w:rsidR="00457821" w:rsidRPr="00E8268D">
        <w:rPr>
          <w:rFonts w:cstheme="minorHAnsi"/>
        </w:rPr>
        <w:t>, January 2025, p</w:t>
      </w:r>
      <w:r w:rsidR="00457821">
        <w:rPr>
          <w:rFonts w:cstheme="minorHAnsi"/>
          <w:sz w:val="22"/>
          <w:szCs w:val="22"/>
        </w:rPr>
        <w:t xml:space="preserve"> </w:t>
      </w:r>
      <w:r w:rsidR="00457821" w:rsidRPr="00CD4FF1">
        <w:rPr>
          <w:rFonts w:cstheme="minorHAnsi"/>
        </w:rPr>
        <w:t>22</w:t>
      </w:r>
    </w:p>
    <w:p w14:paraId="4ABF940F" w14:textId="50CBEE0F" w:rsidR="00C47726" w:rsidRPr="00C47726" w:rsidRDefault="00C47726" w:rsidP="00C47726">
      <w:r w:rsidRPr="007A1245">
        <w:rPr>
          <w:rStyle w:val="Strong"/>
        </w:rPr>
        <w:t>ASBFEO reports that from 2022–</w:t>
      </w:r>
      <w:r w:rsidR="00C0067B">
        <w:rPr>
          <w:rStyle w:val="Strong"/>
        </w:rPr>
        <w:t>20</w:t>
      </w:r>
      <w:r w:rsidRPr="007A1245">
        <w:rPr>
          <w:rStyle w:val="Strong"/>
        </w:rPr>
        <w:t>23, the Advocacy team has further concentrated its efforts by identifying annual priority issues, which advance the longer</w:t>
      </w:r>
      <w:r w:rsidR="00916FA5" w:rsidRPr="007A1245">
        <w:rPr>
          <w:rStyle w:val="Strong"/>
        </w:rPr>
        <w:noBreakHyphen/>
      </w:r>
      <w:r w:rsidRPr="007A1245">
        <w:rPr>
          <w:rStyle w:val="Strong"/>
        </w:rPr>
        <w:t>term strategic objectives.</w:t>
      </w:r>
      <w:r w:rsidRPr="00C47726">
        <w:rPr>
          <w:lang w:val="en-US"/>
        </w:rPr>
        <w:t xml:space="preserve"> Areas of concern have been identified, selected and tested through consultation with the ASBFEO Policy Forum, other Commonwealth entities, state small business commissioners, other </w:t>
      </w:r>
      <w:proofErr w:type="spellStart"/>
      <w:r w:rsidRPr="00C47726">
        <w:rPr>
          <w:lang w:val="en-US"/>
        </w:rPr>
        <w:t>organisations</w:t>
      </w:r>
      <w:proofErr w:type="spellEnd"/>
      <w:r w:rsidRPr="00C47726">
        <w:rPr>
          <w:lang w:val="en-US"/>
        </w:rPr>
        <w:t xml:space="preserve"> that service or represent small and family businesses, and business owners themselves.</w:t>
      </w:r>
      <w:r w:rsidR="00065357">
        <w:rPr>
          <w:rFonts w:ascii="ZWAdobeF" w:hAnsi="ZWAdobeF" w:cs="ZWAdobeF"/>
          <w:color w:val="auto"/>
          <w:sz w:val="2"/>
          <w:szCs w:val="2"/>
          <w:lang w:val="en-US"/>
        </w:rPr>
        <w:t>35F</w:t>
      </w:r>
      <w:r w:rsidR="00430F56" w:rsidRPr="005B518F">
        <w:rPr>
          <w:rStyle w:val="FootnoteReference"/>
          <w:sz w:val="22"/>
          <w:szCs w:val="22"/>
          <w:vertAlign w:val="superscript"/>
          <w:lang w:val="en-US"/>
        </w:rPr>
        <w:footnoteReference w:id="37"/>
      </w:r>
      <w:r w:rsidRPr="005B518F">
        <w:rPr>
          <w:szCs w:val="22"/>
          <w:vertAlign w:val="superscript"/>
          <w:lang w:val="en-US"/>
        </w:rPr>
        <w:t xml:space="preserve"> </w:t>
      </w:r>
      <w:r w:rsidR="00314DDE" w:rsidRPr="5D5073B1">
        <w:rPr>
          <w:lang w:val="en-US"/>
        </w:rPr>
        <w:t xml:space="preserve">The pillars were presented back to the Policy Forum in </w:t>
      </w:r>
      <w:r w:rsidR="00314DDE" w:rsidRPr="00C47726">
        <w:rPr>
          <w:lang w:val="en-US"/>
        </w:rPr>
        <w:t>2024</w:t>
      </w:r>
      <w:r w:rsidR="00314DDE">
        <w:rPr>
          <w:lang w:val="en-US"/>
        </w:rPr>
        <w:t>.</w:t>
      </w:r>
    </w:p>
    <w:p w14:paraId="329FDEB7" w14:textId="2B1D263B" w:rsidR="00C47726" w:rsidRPr="00C47726" w:rsidRDefault="00C47726" w:rsidP="00130970">
      <w:pPr>
        <w:pStyle w:val="Heading3"/>
      </w:pPr>
      <w:bookmarkStart w:id="23" w:name="_Toc199940934"/>
      <w:r w:rsidRPr="00C47726">
        <w:rPr>
          <w:lang w:val="en-US"/>
        </w:rPr>
        <w:lastRenderedPageBreak/>
        <w:t>Stakeholder views</w:t>
      </w:r>
      <w:bookmarkEnd w:id="23"/>
    </w:p>
    <w:p w14:paraId="3A2FCF19" w14:textId="4432B297" w:rsidR="00C47726" w:rsidRPr="00C47726" w:rsidRDefault="00C47726" w:rsidP="00C47726">
      <w:r w:rsidRPr="007A1245">
        <w:rPr>
          <w:rStyle w:val="Strong"/>
        </w:rPr>
        <w:t>The vast majority of stakeholders believe ASBFEO has a strong understanding of the issues most important to small businesses</w:t>
      </w:r>
      <w:r w:rsidR="001F7542">
        <w:rPr>
          <w:lang w:val="en-US"/>
        </w:rPr>
        <w:t>.</w:t>
      </w:r>
      <w:r w:rsidR="00065357">
        <w:rPr>
          <w:rFonts w:ascii="ZWAdobeF" w:hAnsi="ZWAdobeF" w:cs="ZWAdobeF"/>
          <w:color w:val="auto"/>
          <w:sz w:val="2"/>
          <w:szCs w:val="2"/>
          <w:lang w:val="en-US"/>
        </w:rPr>
        <w:t>36F</w:t>
      </w:r>
      <w:r w:rsidR="00737EBE" w:rsidRPr="005B518F">
        <w:rPr>
          <w:rStyle w:val="FootnoteReference"/>
          <w:sz w:val="22"/>
          <w:szCs w:val="22"/>
          <w:vertAlign w:val="superscript"/>
          <w:lang w:val="en-US"/>
        </w:rPr>
        <w:footnoteReference w:id="38"/>
      </w:r>
      <w:r w:rsidR="001F7542">
        <w:rPr>
          <w:lang w:val="en-US"/>
        </w:rPr>
        <w:t xml:space="preserve"> </w:t>
      </w:r>
      <w:r w:rsidR="00A71F8E">
        <w:rPr>
          <w:lang w:val="en-US"/>
        </w:rPr>
        <w:t xml:space="preserve">However, </w:t>
      </w:r>
      <w:r w:rsidRPr="00C47726">
        <w:rPr>
          <w:lang w:val="en-US"/>
        </w:rPr>
        <w:t>Entrepreneurial &amp; Small Business Women Australia felt ASBFEO needed a more assertive advocacy position to protect small businesses.</w:t>
      </w:r>
      <w:r w:rsidR="00065357">
        <w:rPr>
          <w:rFonts w:ascii="ZWAdobeF" w:hAnsi="ZWAdobeF" w:cs="ZWAdobeF"/>
          <w:color w:val="auto"/>
          <w:sz w:val="2"/>
          <w:szCs w:val="2"/>
          <w:lang w:val="en-US"/>
        </w:rPr>
        <w:t>37F</w:t>
      </w:r>
      <w:r w:rsidR="00145433" w:rsidRPr="005B518F">
        <w:rPr>
          <w:rStyle w:val="FootnoteReference"/>
          <w:sz w:val="22"/>
          <w:szCs w:val="22"/>
          <w:vertAlign w:val="superscript"/>
          <w:lang w:val="en-US"/>
        </w:rPr>
        <w:footnoteReference w:id="39"/>
      </w:r>
      <w:r w:rsidRPr="005B518F">
        <w:rPr>
          <w:szCs w:val="22"/>
          <w:vertAlign w:val="superscript"/>
          <w:lang w:val="en-US"/>
        </w:rPr>
        <w:t xml:space="preserve"> </w:t>
      </w:r>
      <w:r w:rsidRPr="00C47726">
        <w:rPr>
          <w:lang w:val="en-US"/>
        </w:rPr>
        <w:t xml:space="preserve">In </w:t>
      </w:r>
      <w:r w:rsidR="00DF576F">
        <w:rPr>
          <w:lang w:val="en-US"/>
        </w:rPr>
        <w:t>a</w:t>
      </w:r>
      <w:r w:rsidR="00DF576F" w:rsidRPr="00C47726">
        <w:rPr>
          <w:lang w:val="en-US"/>
        </w:rPr>
        <w:t xml:space="preserve"> </w:t>
      </w:r>
      <w:r w:rsidRPr="00C47726">
        <w:rPr>
          <w:lang w:val="en-US"/>
        </w:rPr>
        <w:t>joint submission, CPA Australia and Chartered Accountants Australia and New Zealand</w:t>
      </w:r>
      <w:r w:rsidR="00194506">
        <w:rPr>
          <w:lang w:val="en-US"/>
        </w:rPr>
        <w:t xml:space="preserve"> </w:t>
      </w:r>
      <w:r w:rsidRPr="00C47726">
        <w:rPr>
          <w:lang w:val="en-US"/>
        </w:rPr>
        <w:t>acknowledged the challenges ASBFEO faces in developing an advocacy agenda, in that they must adapt to the large number of consultations conducted by the Government and parliament</w:t>
      </w:r>
      <w:r w:rsidR="00916FA5">
        <w:rPr>
          <w:lang w:val="en-US"/>
        </w:rPr>
        <w:t xml:space="preserve">. </w:t>
      </w:r>
    </w:p>
    <w:p w14:paraId="5728C9E6" w14:textId="46F613AD" w:rsidR="00C47726" w:rsidRPr="00C47726" w:rsidRDefault="00C47726" w:rsidP="00C47726">
      <w:r w:rsidRPr="007A1245">
        <w:rPr>
          <w:rStyle w:val="Strong"/>
        </w:rPr>
        <w:t>While stakeholders generally regarded ASBFEO as engaging well in developing a more strategic advocacy agenda, some recommended a more formal framework for advancing an agenda and priorities for policy advocacy.</w:t>
      </w:r>
      <w:r w:rsidRPr="00C47726">
        <w:rPr>
          <w:lang w:val="en-US"/>
        </w:rPr>
        <w:t xml:space="preserve"> The </w:t>
      </w:r>
      <w:r w:rsidR="004D41DD" w:rsidRPr="00916FA5">
        <w:rPr>
          <w:rFonts w:eastAsia="Calibri"/>
        </w:rPr>
        <w:t>Institute of Public Accountants</w:t>
      </w:r>
      <w:r w:rsidR="004D41DD" w:rsidRPr="00C47726">
        <w:rPr>
          <w:lang w:val="en-US"/>
        </w:rPr>
        <w:t xml:space="preserve"> </w:t>
      </w:r>
      <w:r w:rsidR="001F2604">
        <w:rPr>
          <w:lang w:val="en-US"/>
        </w:rPr>
        <w:t>(</w:t>
      </w:r>
      <w:r w:rsidRPr="00616D7C">
        <w:rPr>
          <w:lang w:val="en-US"/>
        </w:rPr>
        <w:t>IPA</w:t>
      </w:r>
      <w:r w:rsidR="001F2604">
        <w:rPr>
          <w:lang w:val="en-US"/>
        </w:rPr>
        <w:t xml:space="preserve">) </w:t>
      </w:r>
      <w:proofErr w:type="gramStart"/>
      <w:r w:rsidRPr="00C47726">
        <w:rPr>
          <w:lang w:val="en-US"/>
        </w:rPr>
        <w:t>made the observation</w:t>
      </w:r>
      <w:proofErr w:type="gramEnd"/>
      <w:r w:rsidRPr="00C47726">
        <w:rPr>
          <w:lang w:val="en-US"/>
        </w:rPr>
        <w:t xml:space="preserve"> in </w:t>
      </w:r>
      <w:r w:rsidR="00DF576F">
        <w:rPr>
          <w:lang w:val="en-US"/>
        </w:rPr>
        <w:t>its</w:t>
      </w:r>
      <w:r w:rsidR="00DF576F" w:rsidRPr="00C47726">
        <w:rPr>
          <w:lang w:val="en-US"/>
        </w:rPr>
        <w:t xml:space="preserve"> </w:t>
      </w:r>
      <w:r w:rsidRPr="00C47726">
        <w:rPr>
          <w:lang w:val="en-US"/>
        </w:rPr>
        <w:t>submission to the review that:</w:t>
      </w:r>
      <w:r w:rsidRPr="00C47726">
        <w:t> </w:t>
      </w:r>
    </w:p>
    <w:p w14:paraId="52D651E6" w14:textId="72759F16" w:rsidR="00C47726" w:rsidRPr="007A1245" w:rsidRDefault="007A1245" w:rsidP="00C47726">
      <w:pPr>
        <w:rPr>
          <w:rStyle w:val="Emphasis"/>
        </w:rPr>
      </w:pPr>
      <w:r w:rsidRPr="007A1245">
        <w:rPr>
          <w:rStyle w:val="Emphasis"/>
        </w:rPr>
        <w:t>‘</w:t>
      </w:r>
      <w:r w:rsidR="00DF576F">
        <w:rPr>
          <w:rStyle w:val="Emphasis"/>
        </w:rPr>
        <w:t xml:space="preserve">… </w:t>
      </w:r>
      <w:r w:rsidR="00C47726" w:rsidRPr="007A1245">
        <w:rPr>
          <w:rStyle w:val="Emphasis"/>
        </w:rPr>
        <w:t>a forward work program and over</w:t>
      </w:r>
      <w:r w:rsidR="00916FA5" w:rsidRPr="007A1245">
        <w:rPr>
          <w:rStyle w:val="Emphasis"/>
        </w:rPr>
        <w:noBreakHyphen/>
      </w:r>
      <w:r w:rsidR="00C47726" w:rsidRPr="007A1245">
        <w:rPr>
          <w:rStyle w:val="Emphasis"/>
        </w:rPr>
        <w:t>arching vision and strategy agenda would be useful and would allow stakeholders to contribute to the work of the ASBFEO.</w:t>
      </w:r>
      <w:r w:rsidR="003A0D5E">
        <w:rPr>
          <w:rStyle w:val="Emphasis"/>
        </w:rPr>
        <w:t>’</w:t>
      </w:r>
      <w:r w:rsidR="00065357">
        <w:rPr>
          <w:rStyle w:val="Emphasis"/>
          <w:rFonts w:ascii="ZWAdobeF" w:hAnsi="ZWAdobeF" w:cs="ZWAdobeF"/>
          <w:i w:val="0"/>
          <w:color w:val="auto"/>
          <w:sz w:val="2"/>
          <w:szCs w:val="2"/>
        </w:rPr>
        <w:t>38F</w:t>
      </w:r>
      <w:r w:rsidR="00D23752" w:rsidRPr="005B518F">
        <w:rPr>
          <w:rStyle w:val="FootnoteReference"/>
          <w:sz w:val="22"/>
          <w:szCs w:val="22"/>
          <w:vertAlign w:val="superscript"/>
        </w:rPr>
        <w:footnoteReference w:id="40"/>
      </w:r>
    </w:p>
    <w:p w14:paraId="0310BA20" w14:textId="0F1DBFDB" w:rsidR="00C47726" w:rsidRPr="00C47726" w:rsidRDefault="00A61E8B" w:rsidP="00C47726">
      <w:r>
        <w:rPr>
          <w:b/>
          <w:lang w:val="en-US"/>
        </w:rPr>
        <w:t xml:space="preserve">In consultation meetings, </w:t>
      </w:r>
      <w:r w:rsidR="00B77BA7">
        <w:rPr>
          <w:b/>
          <w:lang w:val="en-US"/>
        </w:rPr>
        <w:t>s</w:t>
      </w:r>
      <w:r w:rsidR="00C47726" w:rsidRPr="009618FF">
        <w:rPr>
          <w:b/>
          <w:lang w:val="en-US"/>
        </w:rPr>
        <w:t>ome stakeholders incorrectly referred to ASBFEO</w:t>
      </w:r>
      <w:r w:rsidR="00916FA5" w:rsidRPr="009618FF">
        <w:rPr>
          <w:b/>
          <w:lang w:val="en-US"/>
        </w:rPr>
        <w:t>’</w:t>
      </w:r>
      <w:r w:rsidR="00C47726" w:rsidRPr="009618FF">
        <w:rPr>
          <w:b/>
          <w:lang w:val="en-US"/>
        </w:rPr>
        <w:t>s August</w:t>
      </w:r>
      <w:r w:rsidR="007A1245" w:rsidRPr="009618FF">
        <w:rPr>
          <w:b/>
          <w:lang w:val="en-US"/>
        </w:rPr>
        <w:t> </w:t>
      </w:r>
      <w:r w:rsidR="00C47726" w:rsidRPr="009618FF">
        <w:rPr>
          <w:b/>
          <w:lang w:val="en-US"/>
        </w:rPr>
        <w:t xml:space="preserve">2024 report, </w:t>
      </w:r>
      <w:proofErr w:type="spellStart"/>
      <w:r w:rsidR="00C47726" w:rsidRPr="009618FF">
        <w:rPr>
          <w:b/>
          <w:lang w:val="en-US"/>
        </w:rPr>
        <w:t>Energising</w:t>
      </w:r>
      <w:proofErr w:type="spellEnd"/>
      <w:r w:rsidR="00C47726" w:rsidRPr="009618FF">
        <w:rPr>
          <w:b/>
          <w:lang w:val="en-US"/>
        </w:rPr>
        <w:t xml:space="preserve"> Enterprise: 14</w:t>
      </w:r>
      <w:r w:rsidR="007A1245" w:rsidRPr="009618FF">
        <w:rPr>
          <w:b/>
          <w:lang w:val="en-US"/>
        </w:rPr>
        <w:t> </w:t>
      </w:r>
      <w:r w:rsidR="00C47726" w:rsidRPr="009618FF">
        <w:rPr>
          <w:b/>
          <w:lang w:val="en-US"/>
        </w:rPr>
        <w:t>Steps to boost Australia</w:t>
      </w:r>
      <w:r w:rsidR="00916FA5" w:rsidRPr="009618FF">
        <w:rPr>
          <w:b/>
          <w:lang w:val="en-US"/>
        </w:rPr>
        <w:t>’</w:t>
      </w:r>
      <w:r w:rsidR="00C47726" w:rsidRPr="009618FF">
        <w:rPr>
          <w:b/>
          <w:lang w:val="en-US"/>
        </w:rPr>
        <w:t>s small and family businesses,</w:t>
      </w:r>
      <w:r w:rsidR="00C47726" w:rsidRPr="00E6128E">
        <w:rPr>
          <w:b/>
          <w:lang w:val="en-US"/>
        </w:rPr>
        <w:t xml:space="preserve"> as</w:t>
      </w:r>
      <w:r w:rsidR="00C47726" w:rsidRPr="009618FF">
        <w:rPr>
          <w:b/>
          <w:lang w:val="en-US"/>
        </w:rPr>
        <w:t xml:space="preserve"> the strategic agenda.</w:t>
      </w:r>
      <w:r w:rsidR="0082087C">
        <w:rPr>
          <w:lang w:val="en-US"/>
        </w:rPr>
        <w:t xml:space="preserve"> </w:t>
      </w:r>
      <w:r w:rsidR="00C47726" w:rsidRPr="00C47726">
        <w:rPr>
          <w:lang w:val="en-US"/>
        </w:rPr>
        <w:t xml:space="preserve">ASBFEO advised that the </w:t>
      </w:r>
      <w:proofErr w:type="spellStart"/>
      <w:r w:rsidR="00C47726" w:rsidRPr="00C47726">
        <w:rPr>
          <w:lang w:val="en-US"/>
        </w:rPr>
        <w:t>Energising</w:t>
      </w:r>
      <w:proofErr w:type="spellEnd"/>
      <w:r w:rsidR="00C47726" w:rsidRPr="00C47726">
        <w:rPr>
          <w:lang w:val="en-US"/>
        </w:rPr>
        <w:t xml:space="preserve"> Enterprise 14</w:t>
      </w:r>
      <w:r w:rsidR="00BE2B67">
        <w:rPr>
          <w:lang w:val="en-US"/>
        </w:rPr>
        <w:t> </w:t>
      </w:r>
      <w:r w:rsidR="00C47726" w:rsidRPr="00C47726">
        <w:rPr>
          <w:lang w:val="en-US"/>
        </w:rPr>
        <w:t>Steps to boost Australia</w:t>
      </w:r>
      <w:r w:rsidR="00916FA5">
        <w:rPr>
          <w:lang w:val="en-US"/>
        </w:rPr>
        <w:t>’</w:t>
      </w:r>
      <w:r w:rsidR="00C47726" w:rsidRPr="00C47726">
        <w:rPr>
          <w:lang w:val="en-US"/>
        </w:rPr>
        <w:t>s small and family businesses report was developed to complement the strategic goals, but it does not replace ASBFEO</w:t>
      </w:r>
      <w:r w:rsidR="00916FA5">
        <w:rPr>
          <w:lang w:val="en-US"/>
        </w:rPr>
        <w:t>’</w:t>
      </w:r>
      <w:r w:rsidR="00C47726" w:rsidRPr="00C47726">
        <w:rPr>
          <w:lang w:val="en-US"/>
        </w:rPr>
        <w:t xml:space="preserve">s </w:t>
      </w:r>
      <w:r w:rsidR="00DF576F">
        <w:rPr>
          <w:lang w:val="en-US"/>
        </w:rPr>
        <w:t>4</w:t>
      </w:r>
      <w:r w:rsidR="00916FA5">
        <w:rPr>
          <w:lang w:val="en-US"/>
        </w:rPr>
        <w:noBreakHyphen/>
      </w:r>
      <w:r w:rsidR="00C47726" w:rsidRPr="00C47726">
        <w:rPr>
          <w:lang w:val="en-US"/>
        </w:rPr>
        <w:t>pillar advocacy agenda. Another stakeholder raised concerns that without a targeted and impactful approach, the advocacy risks missing what matters for small businesses</w:t>
      </w:r>
      <w:r w:rsidR="0082087C">
        <w:rPr>
          <w:lang w:val="en-US"/>
        </w:rPr>
        <w:t>.</w:t>
      </w:r>
      <w:r w:rsidR="00065357">
        <w:rPr>
          <w:rFonts w:ascii="ZWAdobeF" w:hAnsi="ZWAdobeF" w:cs="ZWAdobeF"/>
          <w:color w:val="auto"/>
          <w:sz w:val="2"/>
          <w:szCs w:val="2"/>
          <w:lang w:val="en-US"/>
        </w:rPr>
        <w:t>39F</w:t>
      </w:r>
      <w:r w:rsidR="006037AE" w:rsidRPr="005B518F">
        <w:rPr>
          <w:rStyle w:val="FootnoteReference"/>
          <w:sz w:val="22"/>
          <w:szCs w:val="22"/>
          <w:vertAlign w:val="superscript"/>
          <w:lang w:val="en-US"/>
        </w:rPr>
        <w:footnoteReference w:id="41"/>
      </w:r>
    </w:p>
    <w:p w14:paraId="33C121BC" w14:textId="636CF065" w:rsidR="00C47726" w:rsidRPr="00C47726" w:rsidRDefault="00C47726" w:rsidP="00C47726">
      <w:r w:rsidRPr="00BE2B67">
        <w:rPr>
          <w:rStyle w:val="Strong"/>
        </w:rPr>
        <w:t xml:space="preserve">A breadth of issues </w:t>
      </w:r>
      <w:r w:rsidR="00A1344E" w:rsidRPr="00BE2B67">
        <w:rPr>
          <w:rStyle w:val="Strong"/>
        </w:rPr>
        <w:t>impacts</w:t>
      </w:r>
      <w:r w:rsidRPr="00BE2B67">
        <w:rPr>
          <w:rStyle w:val="Strong"/>
        </w:rPr>
        <w:t xml:space="preserve"> small businesses, reflecting the diverse interests and needs of the small business community.</w:t>
      </w:r>
      <w:r w:rsidRPr="00C47726">
        <w:rPr>
          <w:lang w:val="en-US"/>
        </w:rPr>
        <w:t xml:space="preserve"> During the consultation period for the Review, stakeholders were asked to identify the top </w:t>
      </w:r>
      <w:r w:rsidR="00DF576F">
        <w:rPr>
          <w:lang w:val="en-US"/>
        </w:rPr>
        <w:t>3</w:t>
      </w:r>
      <w:r w:rsidR="00DF576F" w:rsidRPr="00C47726">
        <w:rPr>
          <w:lang w:val="en-US"/>
        </w:rPr>
        <w:t xml:space="preserve"> </w:t>
      </w:r>
      <w:r w:rsidRPr="00C47726">
        <w:rPr>
          <w:lang w:val="en-US"/>
        </w:rPr>
        <w:t>issues that impact the small businesses they represent. While most stakeholders coalesced around similar top 3</w:t>
      </w:r>
      <w:r w:rsidR="00916FA5">
        <w:rPr>
          <w:lang w:val="en-US"/>
        </w:rPr>
        <w:noBreakHyphen/>
      </w:r>
      <w:r w:rsidRPr="00C47726">
        <w:rPr>
          <w:lang w:val="en-US"/>
        </w:rPr>
        <w:t xml:space="preserve">4 issues, namely, cost of doing business, access to </w:t>
      </w:r>
      <w:proofErr w:type="spellStart"/>
      <w:r w:rsidRPr="00C47726">
        <w:rPr>
          <w:lang w:val="en-US"/>
        </w:rPr>
        <w:t>labour</w:t>
      </w:r>
      <w:proofErr w:type="spellEnd"/>
      <w:r w:rsidRPr="00C47726">
        <w:rPr>
          <w:lang w:val="en-US"/>
        </w:rPr>
        <w:t xml:space="preserve"> and red</w:t>
      </w:r>
      <w:r w:rsidR="00916FA5">
        <w:rPr>
          <w:lang w:val="en-US"/>
        </w:rPr>
        <w:noBreakHyphen/>
      </w:r>
      <w:r w:rsidRPr="00C47726">
        <w:rPr>
          <w:lang w:val="en-US"/>
        </w:rPr>
        <w:t>tape reduction, over 30</w:t>
      </w:r>
      <w:r w:rsidR="007A1245">
        <w:rPr>
          <w:lang w:val="en-US"/>
        </w:rPr>
        <w:t> </w:t>
      </w:r>
      <w:r w:rsidRPr="00C47726">
        <w:rPr>
          <w:lang w:val="en-US"/>
        </w:rPr>
        <w:t>separate issues were identified by just 28</w:t>
      </w:r>
      <w:r w:rsidR="007A1245">
        <w:rPr>
          <w:lang w:val="en-US"/>
        </w:rPr>
        <w:t> </w:t>
      </w:r>
      <w:r w:rsidRPr="00C47726">
        <w:rPr>
          <w:lang w:val="en-US"/>
        </w:rPr>
        <w:t xml:space="preserve">stakeholder groups. Stakeholders also raised a wide range of unique issues. For example, the Canberra Business Chamber raised access to Commonwealth procurement, the </w:t>
      </w:r>
      <w:r w:rsidR="007D11C6">
        <w:rPr>
          <w:lang w:val="en-US"/>
        </w:rPr>
        <w:t>SBDH</w:t>
      </w:r>
      <w:r w:rsidRPr="00C47726">
        <w:rPr>
          <w:lang w:val="en-US"/>
        </w:rPr>
        <w:t xml:space="preserve"> raised ATO tax debt, the </w:t>
      </w:r>
      <w:r w:rsidR="00902284" w:rsidRPr="00C441FD">
        <w:rPr>
          <w:rFonts w:eastAsia="Calibri"/>
          <w:lang w:val="en-US"/>
        </w:rPr>
        <w:t xml:space="preserve">Western Australia </w:t>
      </w:r>
      <w:r w:rsidR="00C441FD" w:rsidRPr="00C441FD">
        <w:rPr>
          <w:rFonts w:eastAsia="Calibri"/>
          <w:lang w:val="en-US"/>
        </w:rPr>
        <w:t>Small Business Development Corporation</w:t>
      </w:r>
      <w:r w:rsidR="00C441FD" w:rsidRPr="00C441FD">
        <w:rPr>
          <w:lang w:val="en-US"/>
        </w:rPr>
        <w:t xml:space="preserve"> </w:t>
      </w:r>
      <w:r w:rsidR="00C441FD">
        <w:rPr>
          <w:rFonts w:eastAsia="Calibri"/>
          <w:lang w:val="en-US"/>
        </w:rPr>
        <w:t>(</w:t>
      </w:r>
      <w:r w:rsidRPr="00616D7C">
        <w:rPr>
          <w:lang w:val="en-US"/>
        </w:rPr>
        <w:t>SBDC</w:t>
      </w:r>
      <w:r w:rsidR="007D11C6" w:rsidRPr="00616D7C">
        <w:rPr>
          <w:lang w:val="en-US"/>
        </w:rPr>
        <w:t xml:space="preserve"> </w:t>
      </w:r>
      <w:r w:rsidR="00700EB8" w:rsidRPr="00616D7C">
        <w:rPr>
          <w:lang w:val="en-US"/>
        </w:rPr>
        <w:t>(WA)</w:t>
      </w:r>
      <w:r w:rsidR="005F3DF9">
        <w:rPr>
          <w:lang w:val="en-US"/>
        </w:rPr>
        <w:t>)</w:t>
      </w:r>
      <w:r w:rsidRPr="00C47726">
        <w:rPr>
          <w:lang w:val="en-US"/>
        </w:rPr>
        <w:t xml:space="preserve"> raised operating in a multispeed matrix economy, and Indigenous Business Australia raised prejudice against Indigenous business owners.</w:t>
      </w:r>
      <w:r w:rsidRPr="00C47726">
        <w:t> </w:t>
      </w:r>
    </w:p>
    <w:p w14:paraId="75343749" w14:textId="3562C438" w:rsidR="002B17FF" w:rsidRDefault="002B17FF" w:rsidP="002B17FF">
      <w:r w:rsidRPr="00BD7471">
        <w:rPr>
          <w:rStyle w:val="Strong"/>
        </w:rPr>
        <w:t>The</w:t>
      </w:r>
      <w:r w:rsidR="00C47726" w:rsidRPr="00BD7471">
        <w:rPr>
          <w:rStyle w:val="Strong"/>
        </w:rPr>
        <w:t xml:space="preserve"> top 3 issues were based on a small sample, </w:t>
      </w:r>
      <w:r w:rsidRPr="00BD7471">
        <w:rPr>
          <w:rStyle w:val="Strong"/>
        </w:rPr>
        <w:t xml:space="preserve">which </w:t>
      </w:r>
      <w:r w:rsidR="00C47726" w:rsidRPr="00BD7471">
        <w:rPr>
          <w:rStyle w:val="Strong"/>
        </w:rPr>
        <w:t xml:space="preserve">indicates the </w:t>
      </w:r>
      <w:r w:rsidRPr="00BD7471">
        <w:rPr>
          <w:rStyle w:val="Strong"/>
        </w:rPr>
        <w:t>variety</w:t>
      </w:r>
      <w:r w:rsidR="00C47726" w:rsidRPr="00BD7471">
        <w:rPr>
          <w:rStyle w:val="Strong"/>
        </w:rPr>
        <w:t xml:space="preserve"> of </w:t>
      </w:r>
      <w:r w:rsidRPr="00BD7471">
        <w:rPr>
          <w:rStyle w:val="Strong"/>
        </w:rPr>
        <w:t>topics</w:t>
      </w:r>
      <w:r w:rsidR="00C47726" w:rsidRPr="00BD7471">
        <w:rPr>
          <w:rStyle w:val="Strong"/>
        </w:rPr>
        <w:t xml:space="preserve"> to which ASBFEO</w:t>
      </w:r>
      <w:r w:rsidR="00916FA5">
        <w:rPr>
          <w:rStyle w:val="Strong"/>
        </w:rPr>
        <w:t>’</w:t>
      </w:r>
      <w:r w:rsidR="00C47726" w:rsidRPr="00BD7471">
        <w:rPr>
          <w:rStyle w:val="Strong"/>
        </w:rPr>
        <w:t xml:space="preserve">s stakeholders </w:t>
      </w:r>
      <w:r w:rsidRPr="00BD7471">
        <w:rPr>
          <w:rStyle w:val="Strong"/>
        </w:rPr>
        <w:t>might</w:t>
      </w:r>
      <w:r w:rsidR="00C47726" w:rsidRPr="00BD7471">
        <w:rPr>
          <w:rStyle w:val="Strong"/>
        </w:rPr>
        <w:t xml:space="preserve"> expect </w:t>
      </w:r>
      <w:r w:rsidRPr="00BD7471">
        <w:rPr>
          <w:rStyle w:val="Strong"/>
        </w:rPr>
        <w:t xml:space="preserve">it </w:t>
      </w:r>
      <w:r w:rsidR="00C47726" w:rsidRPr="00BD7471">
        <w:rPr>
          <w:rStyle w:val="Strong"/>
        </w:rPr>
        <w:t>to dedicate resources</w:t>
      </w:r>
      <w:r w:rsidR="00C47726" w:rsidRPr="00C47726">
        <w:rPr>
          <w:lang w:val="en-US"/>
        </w:rPr>
        <w:t xml:space="preserve">. These include advocating for various policy outcomes, undertaking research, and conducting data analysis. Currently, the </w:t>
      </w:r>
      <w:r w:rsidR="0049706E">
        <w:rPr>
          <w:lang w:val="en-US"/>
        </w:rPr>
        <w:t>4</w:t>
      </w:r>
      <w:r w:rsidR="0049706E" w:rsidRPr="00C47726">
        <w:rPr>
          <w:lang w:val="en-US"/>
        </w:rPr>
        <w:t xml:space="preserve"> </w:t>
      </w:r>
      <w:r w:rsidR="00C47726" w:rsidRPr="00C47726">
        <w:rPr>
          <w:lang w:val="en-US"/>
        </w:rPr>
        <w:t xml:space="preserve">pillars described as guiding the ASBFEO advocacy work are broad, making it unclear </w:t>
      </w:r>
      <w:r>
        <w:rPr>
          <w:lang w:val="en-US"/>
        </w:rPr>
        <w:t>which</w:t>
      </w:r>
      <w:r w:rsidRPr="00C47726">
        <w:rPr>
          <w:lang w:val="en-US"/>
        </w:rPr>
        <w:t xml:space="preserve"> issues </w:t>
      </w:r>
      <w:proofErr w:type="gramStart"/>
      <w:r w:rsidRPr="00C47726">
        <w:rPr>
          <w:lang w:val="en-US"/>
        </w:rPr>
        <w:t>ASBFEO</w:t>
      </w:r>
      <w:proofErr w:type="gramEnd"/>
      <w:r w:rsidRPr="00C47726">
        <w:rPr>
          <w:lang w:val="en-US"/>
        </w:rPr>
        <w:t xml:space="preserve"> or stakeholders would </w:t>
      </w:r>
      <w:r>
        <w:rPr>
          <w:lang w:val="en-US"/>
        </w:rPr>
        <w:t>consider</w:t>
      </w:r>
      <w:r w:rsidRPr="00C47726">
        <w:rPr>
          <w:lang w:val="en-US"/>
        </w:rPr>
        <w:t xml:space="preserve"> as outside this agenda.</w:t>
      </w:r>
    </w:p>
    <w:p w14:paraId="5E5CE66B" w14:textId="4979F0E0" w:rsidR="00C47726" w:rsidRPr="00C47726" w:rsidRDefault="00C47726" w:rsidP="00680997">
      <w:pPr>
        <w:pStyle w:val="Heading3"/>
      </w:pPr>
      <w:bookmarkStart w:id="24" w:name="_Toc199940935"/>
      <w:r w:rsidRPr="00C47726">
        <w:rPr>
          <w:lang w:val="en-US"/>
        </w:rPr>
        <w:lastRenderedPageBreak/>
        <w:t>Analysis</w:t>
      </w:r>
      <w:bookmarkEnd w:id="24"/>
    </w:p>
    <w:p w14:paraId="2D007B47" w14:textId="1FED808A" w:rsidR="00C47726" w:rsidRPr="00C47726" w:rsidRDefault="00C47726" w:rsidP="00C47726">
      <w:r w:rsidRPr="000C7EDC">
        <w:rPr>
          <w:rStyle w:val="Strong"/>
        </w:rPr>
        <w:t>ASBFEO has addressed the</w:t>
      </w:r>
      <w:r w:rsidR="004E6FC3">
        <w:rPr>
          <w:rStyle w:val="Strong"/>
        </w:rPr>
        <w:t xml:space="preserve"> </w:t>
      </w:r>
      <w:r w:rsidRPr="000C7EDC">
        <w:rPr>
          <w:rStyle w:val="Strong"/>
        </w:rPr>
        <w:t>McGregor Review recommendation to develop a strategic agenda to focus resources on high</w:t>
      </w:r>
      <w:r w:rsidR="00916FA5" w:rsidRPr="000C7EDC">
        <w:rPr>
          <w:rStyle w:val="Strong"/>
        </w:rPr>
        <w:noBreakHyphen/>
      </w:r>
      <w:r w:rsidRPr="000C7EDC">
        <w:rPr>
          <w:rStyle w:val="Strong"/>
        </w:rPr>
        <w:t>priority small business sector issues, however further work is required.</w:t>
      </w:r>
      <w:r w:rsidRPr="00C47726">
        <w:rPr>
          <w:lang w:val="en-US"/>
        </w:rPr>
        <w:t xml:space="preserve"> The recommendation suggested that the plan include a policy input agenda; a data and research sharing program; and initiatives to promote effective assistance handovers.</w:t>
      </w:r>
      <w:r w:rsidR="00065357">
        <w:rPr>
          <w:rFonts w:ascii="ZWAdobeF" w:hAnsi="ZWAdobeF" w:cs="ZWAdobeF"/>
          <w:color w:val="auto"/>
          <w:sz w:val="2"/>
          <w:szCs w:val="2"/>
          <w:lang w:val="en-US"/>
        </w:rPr>
        <w:t>40F</w:t>
      </w:r>
      <w:r w:rsidR="00CE4DF7" w:rsidRPr="00AD2727">
        <w:rPr>
          <w:rStyle w:val="FootnoteReference"/>
          <w:sz w:val="22"/>
          <w:szCs w:val="22"/>
          <w:vertAlign w:val="superscript"/>
          <w:lang w:val="en-US"/>
        </w:rPr>
        <w:footnoteReference w:id="42"/>
      </w:r>
      <w:r w:rsidRPr="00AD2727">
        <w:rPr>
          <w:szCs w:val="22"/>
          <w:vertAlign w:val="superscript"/>
          <w:lang w:val="en-US"/>
        </w:rPr>
        <w:t xml:space="preserve"> </w:t>
      </w:r>
      <w:r w:rsidR="00491C29">
        <w:rPr>
          <w:lang w:val="en-US"/>
        </w:rPr>
        <w:t>R</w:t>
      </w:r>
      <w:r w:rsidRPr="008D26DA">
        <w:rPr>
          <w:lang w:val="en-US"/>
        </w:rPr>
        <w:t xml:space="preserve">efer to </w:t>
      </w:r>
      <w:r w:rsidR="009D0596" w:rsidRPr="008D26DA">
        <w:rPr>
          <w:lang w:val="en-US"/>
        </w:rPr>
        <w:t xml:space="preserve">Appendix </w:t>
      </w:r>
      <w:r w:rsidR="00A85584">
        <w:rPr>
          <w:lang w:val="en-US"/>
        </w:rPr>
        <w:t xml:space="preserve">A </w:t>
      </w:r>
      <w:r w:rsidRPr="008D26DA">
        <w:rPr>
          <w:lang w:val="en-US"/>
        </w:rPr>
        <w:t>for recommendations from previous reviews.</w:t>
      </w:r>
      <w:r w:rsidRPr="00C47726">
        <w:rPr>
          <w:lang w:val="en-US"/>
        </w:rPr>
        <w:t xml:space="preserve"> ASBFEO undert</w:t>
      </w:r>
      <w:r w:rsidR="0049706E">
        <w:rPr>
          <w:lang w:val="en-US"/>
        </w:rPr>
        <w:t>ook</w:t>
      </w:r>
      <w:r w:rsidRPr="00C47726">
        <w:rPr>
          <w:lang w:val="en-US"/>
        </w:rPr>
        <w:t xml:space="preserve"> strategic planning in 2022, however as it includes 22</w:t>
      </w:r>
      <w:r w:rsidR="000C7EDC">
        <w:rPr>
          <w:lang w:val="en-US"/>
        </w:rPr>
        <w:t> </w:t>
      </w:r>
      <w:r w:rsidRPr="00C47726">
        <w:rPr>
          <w:lang w:val="en-US"/>
        </w:rPr>
        <w:t>areas of focus and over 100 goals or actions, it is too detailed and ASBFEO ha</w:t>
      </w:r>
      <w:r w:rsidR="008D3F58">
        <w:rPr>
          <w:lang w:val="en-US"/>
        </w:rPr>
        <w:t>s</w:t>
      </w:r>
      <w:r w:rsidRPr="00C47726">
        <w:rPr>
          <w:lang w:val="en-US"/>
        </w:rPr>
        <w:t xml:space="preserve"> acknowledged it is not achievable.</w:t>
      </w:r>
    </w:p>
    <w:p w14:paraId="0686158F" w14:textId="21E77A7C" w:rsidR="00C47726" w:rsidRPr="00C47726" w:rsidRDefault="00B04571" w:rsidP="00C47726">
      <w:r w:rsidRPr="00867855">
        <w:rPr>
          <w:rStyle w:val="Strong"/>
        </w:rPr>
        <w:t xml:space="preserve">The Review notes that following the initial discussion with ASBFEO on this issue, </w:t>
      </w:r>
      <w:r w:rsidR="0049706E" w:rsidRPr="00867855">
        <w:rPr>
          <w:rStyle w:val="Strong"/>
        </w:rPr>
        <w:t xml:space="preserve">it </w:t>
      </w:r>
      <w:r w:rsidRPr="00867855">
        <w:rPr>
          <w:rStyle w:val="Strong"/>
        </w:rPr>
        <w:t>developed a strategic framework agenda and an annual plan of priorities for 2025</w:t>
      </w:r>
      <w:r w:rsidR="005557DB" w:rsidRPr="00867855">
        <w:rPr>
          <w:rStyle w:val="Strong"/>
        </w:rPr>
        <w:t>.</w:t>
      </w:r>
      <w:r w:rsidR="00065357">
        <w:rPr>
          <w:rStyle w:val="Strong"/>
          <w:rFonts w:ascii="ZWAdobeF" w:hAnsi="ZWAdobeF" w:cs="ZWAdobeF"/>
          <w:b w:val="0"/>
          <w:color w:val="auto"/>
          <w:sz w:val="2"/>
          <w:szCs w:val="2"/>
        </w:rPr>
        <w:t>41F</w:t>
      </w:r>
      <w:r w:rsidR="0051091F" w:rsidRPr="00AD2727">
        <w:rPr>
          <w:rStyle w:val="FootnoteReference"/>
          <w:sz w:val="22"/>
          <w:szCs w:val="22"/>
          <w:vertAlign w:val="superscript"/>
          <w:lang w:val="en-US"/>
        </w:rPr>
        <w:footnoteReference w:id="43"/>
      </w:r>
      <w:r w:rsidR="00C47726" w:rsidRPr="00AD2727">
        <w:rPr>
          <w:szCs w:val="22"/>
          <w:vertAlign w:val="superscript"/>
          <w:lang w:val="en-US"/>
        </w:rPr>
        <w:t xml:space="preserve"> </w:t>
      </w:r>
      <w:r w:rsidR="00B32ECF" w:rsidRPr="00C47726">
        <w:rPr>
          <w:lang w:val="en-US"/>
        </w:rPr>
        <w:t xml:space="preserve">The Review </w:t>
      </w:r>
      <w:proofErr w:type="spellStart"/>
      <w:r w:rsidR="00B32ECF">
        <w:rPr>
          <w:lang w:val="en-US"/>
        </w:rPr>
        <w:t>recognises</w:t>
      </w:r>
      <w:proofErr w:type="spellEnd"/>
      <w:r w:rsidR="00B32ECF">
        <w:rPr>
          <w:lang w:val="en-US"/>
        </w:rPr>
        <w:t xml:space="preserve"> </w:t>
      </w:r>
      <w:r w:rsidR="00B32ECF" w:rsidRPr="00C47726">
        <w:rPr>
          <w:lang w:val="en-US"/>
        </w:rPr>
        <w:t>this work</w:t>
      </w:r>
      <w:r w:rsidR="00B32ECF">
        <w:rPr>
          <w:lang w:val="en-US"/>
        </w:rPr>
        <w:t xml:space="preserve"> and its importance</w:t>
      </w:r>
      <w:r w:rsidR="0049706E">
        <w:rPr>
          <w:lang w:val="en-US"/>
        </w:rPr>
        <w:t>. H</w:t>
      </w:r>
      <w:r w:rsidR="00B32ECF" w:rsidRPr="00C47726">
        <w:rPr>
          <w:lang w:val="en-US"/>
        </w:rPr>
        <w:t>owever</w:t>
      </w:r>
      <w:r w:rsidR="00B32ECF">
        <w:rPr>
          <w:lang w:val="en-US"/>
        </w:rPr>
        <w:t xml:space="preserve">, to implement the </w:t>
      </w:r>
      <w:r w:rsidR="00B32ECF" w:rsidRPr="00C47726">
        <w:rPr>
          <w:lang w:val="en-US"/>
        </w:rPr>
        <w:t>recommendations outlined</w:t>
      </w:r>
      <w:r w:rsidR="00B32ECF">
        <w:rPr>
          <w:lang w:val="en-US"/>
        </w:rPr>
        <w:t>, it is necessary t</w:t>
      </w:r>
      <w:r w:rsidR="00B32ECF" w:rsidRPr="00C47726">
        <w:rPr>
          <w:lang w:val="en-US"/>
        </w:rPr>
        <w:t xml:space="preserve">o ensure </w:t>
      </w:r>
      <w:r w:rsidR="00B32ECF">
        <w:rPr>
          <w:lang w:val="en-US"/>
        </w:rPr>
        <w:t xml:space="preserve">that the </w:t>
      </w:r>
      <w:r w:rsidR="00B32ECF" w:rsidRPr="00C47726">
        <w:rPr>
          <w:lang w:val="en-US"/>
        </w:rPr>
        <w:t xml:space="preserve">advocacy function does not </w:t>
      </w:r>
      <w:r w:rsidR="00B32ECF">
        <w:rPr>
          <w:lang w:val="en-US"/>
        </w:rPr>
        <w:t>impede</w:t>
      </w:r>
      <w:r w:rsidR="00B32ECF" w:rsidRPr="00C47726">
        <w:rPr>
          <w:lang w:val="en-US"/>
        </w:rPr>
        <w:t xml:space="preserve"> ASBFEO</w:t>
      </w:r>
      <w:r w:rsidR="00B32ECF">
        <w:rPr>
          <w:lang w:val="en-US"/>
        </w:rPr>
        <w:t>’</w:t>
      </w:r>
      <w:r w:rsidR="00B32ECF" w:rsidRPr="00C47726">
        <w:rPr>
          <w:lang w:val="en-US"/>
        </w:rPr>
        <w:t xml:space="preserve">s </w:t>
      </w:r>
      <w:r w:rsidR="00B32ECF">
        <w:rPr>
          <w:lang w:val="en-US"/>
        </w:rPr>
        <w:t>ability</w:t>
      </w:r>
      <w:r w:rsidR="00B32ECF" w:rsidRPr="00C47726">
        <w:rPr>
          <w:lang w:val="en-US"/>
        </w:rPr>
        <w:t xml:space="preserve"> to maintain an efficient and effective assistance function.</w:t>
      </w:r>
    </w:p>
    <w:p w14:paraId="03F48DCA" w14:textId="44F16287" w:rsidR="00471A96" w:rsidRPr="00C47726" w:rsidRDefault="00C13F29" w:rsidP="00471A96">
      <w:r w:rsidRPr="00867855">
        <w:rPr>
          <w:rStyle w:val="Strong"/>
        </w:rPr>
        <w:t>The Review</w:t>
      </w:r>
      <w:r w:rsidR="00471A96" w:rsidRPr="00867855">
        <w:rPr>
          <w:rStyle w:val="Strong"/>
        </w:rPr>
        <w:t xml:space="preserve"> recommend</w:t>
      </w:r>
      <w:r w:rsidRPr="00867855">
        <w:rPr>
          <w:rStyle w:val="Strong"/>
        </w:rPr>
        <w:t>s</w:t>
      </w:r>
      <w:r w:rsidR="00471A96" w:rsidRPr="00867855">
        <w:rPr>
          <w:rStyle w:val="Strong"/>
        </w:rPr>
        <w:t xml:space="preserve"> that ASBFEO adopt a more formal approach to developing a disciplined advocacy agenda.</w:t>
      </w:r>
      <w:r w:rsidR="00471A96" w:rsidRPr="00C47726">
        <w:rPr>
          <w:b/>
          <w:bCs/>
          <w:lang w:val="en-US"/>
        </w:rPr>
        <w:t xml:space="preserve"> </w:t>
      </w:r>
      <w:r w:rsidR="00471A96" w:rsidRPr="00C47726">
        <w:rPr>
          <w:lang w:val="en-US"/>
        </w:rPr>
        <w:t xml:space="preserve">ASBFEO </w:t>
      </w:r>
      <w:r w:rsidR="00CE5B6B" w:rsidRPr="00C47726">
        <w:rPr>
          <w:lang w:val="en-US"/>
        </w:rPr>
        <w:t>can</w:t>
      </w:r>
      <w:r w:rsidR="00CE5B6B">
        <w:rPr>
          <w:lang w:val="en-US"/>
        </w:rPr>
        <w:t>not</w:t>
      </w:r>
      <w:r w:rsidR="008C7E8E" w:rsidRPr="00C47726">
        <w:rPr>
          <w:lang w:val="en-US"/>
        </w:rPr>
        <w:t xml:space="preserve"> be</w:t>
      </w:r>
      <w:r w:rsidR="00471A96" w:rsidRPr="00C47726">
        <w:rPr>
          <w:lang w:val="en-US"/>
        </w:rPr>
        <w:t xml:space="preserve"> everything to all stakeholders. The reality of limited financial resources</w:t>
      </w:r>
      <w:r w:rsidR="00471A96">
        <w:rPr>
          <w:lang w:val="en-US"/>
        </w:rPr>
        <w:t xml:space="preserve"> and </w:t>
      </w:r>
      <w:r w:rsidR="00471A96" w:rsidRPr="00C47726">
        <w:rPr>
          <w:lang w:val="en-US"/>
        </w:rPr>
        <w:t>managing a sustainable workload for staff</w:t>
      </w:r>
      <w:r w:rsidR="00471A96">
        <w:rPr>
          <w:lang w:val="en-US"/>
        </w:rPr>
        <w:t xml:space="preserve"> means it is necessary to </w:t>
      </w:r>
      <w:r w:rsidR="00471A96" w:rsidRPr="00C47726">
        <w:rPr>
          <w:lang w:val="en-US"/>
        </w:rPr>
        <w:t>clearly articulat</w:t>
      </w:r>
      <w:r w:rsidR="00471A96">
        <w:rPr>
          <w:lang w:val="en-US"/>
        </w:rPr>
        <w:t xml:space="preserve">e their forward work plan </w:t>
      </w:r>
      <w:r w:rsidR="00471A96" w:rsidRPr="00C47726">
        <w:rPr>
          <w:lang w:val="en-US"/>
        </w:rPr>
        <w:t xml:space="preserve">to </w:t>
      </w:r>
      <w:r w:rsidR="00471A96">
        <w:rPr>
          <w:lang w:val="en-US"/>
        </w:rPr>
        <w:t>all stakeholders</w:t>
      </w:r>
      <w:r w:rsidR="00471A96" w:rsidRPr="00C47726">
        <w:rPr>
          <w:lang w:val="en-US"/>
        </w:rPr>
        <w:t>. A</w:t>
      </w:r>
      <w:r w:rsidR="00C36AF4">
        <w:rPr>
          <w:lang w:val="en-US"/>
        </w:rPr>
        <w:t>SBFEO needs a</w:t>
      </w:r>
      <w:r w:rsidR="00471A96" w:rsidRPr="00C47726">
        <w:rPr>
          <w:lang w:val="en-US"/>
        </w:rPr>
        <w:t xml:space="preserve"> </w:t>
      </w:r>
      <w:r w:rsidR="00471A96">
        <w:rPr>
          <w:lang w:val="en-US"/>
        </w:rPr>
        <w:t>structured</w:t>
      </w:r>
      <w:r w:rsidR="00471A96" w:rsidRPr="00C47726">
        <w:rPr>
          <w:lang w:val="en-US"/>
        </w:rPr>
        <w:t xml:space="preserve"> framework that: </w:t>
      </w:r>
      <w:r w:rsidR="00471A96" w:rsidRPr="00C47726">
        <w:t> </w:t>
      </w:r>
    </w:p>
    <w:p w14:paraId="5A121D60" w14:textId="30D750EA" w:rsidR="00ED3DC2" w:rsidRPr="00BF0D7E" w:rsidRDefault="00ED3DC2" w:rsidP="00BF0D7E">
      <w:pPr>
        <w:pStyle w:val="Bullet"/>
        <w:rPr>
          <w:lang w:val="en-US"/>
        </w:rPr>
      </w:pPr>
      <w:r>
        <w:rPr>
          <w:lang w:val="en-US"/>
        </w:rPr>
        <w:t>allows contributions from</w:t>
      </w:r>
      <w:r w:rsidRPr="00C47726">
        <w:rPr>
          <w:lang w:val="en-US"/>
        </w:rPr>
        <w:t xml:space="preserve"> stakeholders via working groups, subcommittee meetings or surveys</w:t>
      </w:r>
    </w:p>
    <w:p w14:paraId="03FDD00F" w14:textId="32254816" w:rsidR="00ED3DC2" w:rsidRPr="00BF0D7E" w:rsidRDefault="00ED3DC2" w:rsidP="00BF0D7E">
      <w:pPr>
        <w:pStyle w:val="Bullet"/>
        <w:rPr>
          <w:lang w:val="en-US"/>
        </w:rPr>
      </w:pPr>
      <w:r w:rsidRPr="00C47726">
        <w:rPr>
          <w:lang w:val="en-US"/>
        </w:rPr>
        <w:t>re</w:t>
      </w:r>
      <w:r w:rsidR="003A0D5E">
        <w:rPr>
          <w:lang w:val="en-US"/>
        </w:rPr>
        <w:noBreakHyphen/>
      </w:r>
      <w:r w:rsidRPr="00C47726">
        <w:rPr>
          <w:lang w:val="en-US"/>
        </w:rPr>
        <w:t>evaluat</w:t>
      </w:r>
      <w:r>
        <w:rPr>
          <w:lang w:val="en-US"/>
        </w:rPr>
        <w:t xml:space="preserve">es </w:t>
      </w:r>
      <w:r w:rsidRPr="00C47726">
        <w:rPr>
          <w:lang w:val="en-US"/>
        </w:rPr>
        <w:t xml:space="preserve">the </w:t>
      </w:r>
      <w:r w:rsidR="008D3F58">
        <w:rPr>
          <w:lang w:val="en-US"/>
        </w:rPr>
        <w:t>4</w:t>
      </w:r>
      <w:r w:rsidR="003A0D5E">
        <w:rPr>
          <w:lang w:val="en-US"/>
        </w:rPr>
        <w:noBreakHyphen/>
      </w:r>
      <w:r w:rsidRPr="00C47726">
        <w:rPr>
          <w:lang w:val="en-US"/>
        </w:rPr>
        <w:t xml:space="preserve">pillar process to </w:t>
      </w:r>
      <w:proofErr w:type="spellStart"/>
      <w:r w:rsidRPr="00C47726">
        <w:rPr>
          <w:lang w:val="en-US"/>
        </w:rPr>
        <w:t>prioritise</w:t>
      </w:r>
      <w:proofErr w:type="spellEnd"/>
      <w:r w:rsidRPr="00C47726">
        <w:rPr>
          <w:lang w:val="en-US"/>
        </w:rPr>
        <w:t xml:space="preserve"> issues</w:t>
      </w:r>
    </w:p>
    <w:p w14:paraId="3B237D4E" w14:textId="1BC3CC31" w:rsidR="00ED3DC2" w:rsidRPr="00BF0D7E" w:rsidRDefault="00ED3DC2" w:rsidP="00BF0D7E">
      <w:pPr>
        <w:pStyle w:val="Bullet"/>
        <w:rPr>
          <w:lang w:val="en-US"/>
        </w:rPr>
      </w:pPr>
      <w:r w:rsidRPr="00C47726">
        <w:rPr>
          <w:lang w:val="en-US"/>
        </w:rPr>
        <w:t>agree</w:t>
      </w:r>
      <w:r>
        <w:rPr>
          <w:lang w:val="en-US"/>
        </w:rPr>
        <w:t>s on</w:t>
      </w:r>
      <w:r w:rsidRPr="00C47726">
        <w:rPr>
          <w:lang w:val="en-US"/>
        </w:rPr>
        <w:t xml:space="preserve"> a small number of specific topics</w:t>
      </w:r>
      <w:r>
        <w:rPr>
          <w:lang w:val="en-US"/>
        </w:rPr>
        <w:t xml:space="preserve"> to advance</w:t>
      </w:r>
    </w:p>
    <w:p w14:paraId="5B8AF978" w14:textId="77777777" w:rsidR="00ED3DC2" w:rsidRPr="00BF0D7E" w:rsidRDefault="00ED3DC2" w:rsidP="00BF0D7E">
      <w:pPr>
        <w:pStyle w:val="Bullet"/>
        <w:rPr>
          <w:lang w:val="en-US"/>
        </w:rPr>
      </w:pPr>
      <w:r>
        <w:rPr>
          <w:lang w:val="en-US"/>
        </w:rPr>
        <w:t>maintains</w:t>
      </w:r>
      <w:r w:rsidRPr="00C47726">
        <w:rPr>
          <w:lang w:val="en-US"/>
        </w:rPr>
        <w:t xml:space="preserve"> flexibility to adapt to the changes in the external environment, including economic factors, and the priorities of the Government and parliament.</w:t>
      </w:r>
      <w:r w:rsidRPr="00BF0D7E">
        <w:rPr>
          <w:lang w:val="en-US"/>
        </w:rPr>
        <w:t> </w:t>
      </w:r>
    </w:p>
    <w:p w14:paraId="5BF7CA7D" w14:textId="3C8771C3" w:rsidR="00EA3510" w:rsidRDefault="00ED3DC2" w:rsidP="00EA3510">
      <w:pPr>
        <w:rPr>
          <w:lang w:val="en-US"/>
        </w:rPr>
      </w:pPr>
      <w:r w:rsidRPr="00867855">
        <w:rPr>
          <w:rStyle w:val="Strong"/>
        </w:rPr>
        <w:t>ASBFEO may benefit from considering other agencies</w:t>
      </w:r>
      <w:r>
        <w:rPr>
          <w:rStyle w:val="Strong"/>
        </w:rPr>
        <w:t>’</w:t>
      </w:r>
      <w:r w:rsidRPr="00867855">
        <w:rPr>
          <w:rStyle w:val="Strong"/>
        </w:rPr>
        <w:t xml:space="preserve"> frameworks.</w:t>
      </w:r>
      <w:r w:rsidR="004E52C2">
        <w:rPr>
          <w:b/>
          <w:bCs/>
        </w:rPr>
        <w:t xml:space="preserve"> </w:t>
      </w:r>
      <w:r w:rsidR="00EA3510">
        <w:rPr>
          <w:lang w:val="en-US"/>
        </w:rPr>
        <w:t>For example, t</w:t>
      </w:r>
      <w:r w:rsidR="00EA3510" w:rsidRPr="00284423">
        <w:rPr>
          <w:lang w:val="en-US"/>
        </w:rPr>
        <w:t xml:space="preserve">he </w:t>
      </w:r>
      <w:r w:rsidR="00867855">
        <w:rPr>
          <w:lang w:val="en-US"/>
        </w:rPr>
        <w:br/>
      </w:r>
      <w:r w:rsidR="00EA3510" w:rsidRPr="00A425E8">
        <w:rPr>
          <w:lang w:val="en-US"/>
        </w:rPr>
        <w:t>Inspector</w:t>
      </w:r>
      <w:r w:rsidR="003A0D5E">
        <w:rPr>
          <w:lang w:val="en-US"/>
        </w:rPr>
        <w:noBreakHyphen/>
      </w:r>
      <w:r w:rsidR="00A425E8" w:rsidRPr="00A425E8">
        <w:rPr>
          <w:lang w:val="en-US"/>
        </w:rPr>
        <w:t xml:space="preserve">General of Taxation and Taxation </w:t>
      </w:r>
      <w:proofErr w:type="gramStart"/>
      <w:r w:rsidR="00A425E8" w:rsidRPr="00A425E8">
        <w:rPr>
          <w:lang w:val="en-US"/>
        </w:rPr>
        <w:t>Ombudsman</w:t>
      </w:r>
      <w:r w:rsidR="003A0D5E">
        <w:rPr>
          <w:lang w:val="en-US"/>
        </w:rPr>
        <w:t>‘</w:t>
      </w:r>
      <w:proofErr w:type="gramEnd"/>
      <w:r w:rsidR="00EA3510" w:rsidRPr="00284423">
        <w:rPr>
          <w:lang w:val="en-US"/>
        </w:rPr>
        <w:t>s (</w:t>
      </w:r>
      <w:r w:rsidR="00EA3510" w:rsidRPr="007F786B">
        <w:rPr>
          <w:rStyle w:val="Strong"/>
          <w:b w:val="0"/>
          <w:bCs w:val="0"/>
        </w:rPr>
        <w:t>IGT</w:t>
      </w:r>
      <w:r w:rsidR="004E52C2" w:rsidRPr="007F786B">
        <w:rPr>
          <w:rStyle w:val="Strong"/>
          <w:b w:val="0"/>
          <w:bCs w:val="0"/>
        </w:rPr>
        <w:t>O</w:t>
      </w:r>
      <w:r w:rsidR="00EA3510" w:rsidRPr="00284423">
        <w:rPr>
          <w:lang w:val="en-US"/>
        </w:rPr>
        <w:t>) methodology</w:t>
      </w:r>
      <w:r w:rsidR="00EA3510">
        <w:rPr>
          <w:lang w:val="en-US"/>
        </w:rPr>
        <w:t xml:space="preserve"> </w:t>
      </w:r>
      <w:r w:rsidR="00EA3510" w:rsidRPr="00284423">
        <w:rPr>
          <w:lang w:val="en-US"/>
        </w:rPr>
        <w:t>includes horizon</w:t>
      </w:r>
      <w:r w:rsidR="003A0D5E">
        <w:rPr>
          <w:lang w:val="en-US"/>
        </w:rPr>
        <w:noBreakHyphen/>
      </w:r>
      <w:r w:rsidR="00EA3510" w:rsidRPr="00284423">
        <w:rPr>
          <w:lang w:val="en-US"/>
        </w:rPr>
        <w:t xml:space="preserve">scanning </w:t>
      </w:r>
      <w:r w:rsidR="005B4774">
        <w:rPr>
          <w:lang w:val="en-US"/>
        </w:rPr>
        <w:t>in 4</w:t>
      </w:r>
      <w:r w:rsidR="00867855">
        <w:rPr>
          <w:rFonts w:ascii="Calibri Light" w:hAnsi="Calibri Light"/>
          <w:color w:val="auto"/>
        </w:rPr>
        <w:t> </w:t>
      </w:r>
      <w:r w:rsidR="00EA3510">
        <w:rPr>
          <w:lang w:val="en-US"/>
        </w:rPr>
        <w:t>parts</w:t>
      </w:r>
      <w:r w:rsidR="001978F0">
        <w:rPr>
          <w:lang w:val="en-US"/>
        </w:rPr>
        <w:t xml:space="preserve"> – </w:t>
      </w:r>
      <w:r w:rsidR="005B4774">
        <w:rPr>
          <w:lang w:val="en-US"/>
        </w:rPr>
        <w:t>like</w:t>
      </w:r>
      <w:r w:rsidR="001978F0">
        <w:rPr>
          <w:lang w:val="en-US"/>
        </w:rPr>
        <w:t xml:space="preserve"> </w:t>
      </w:r>
      <w:r w:rsidR="00A2164A">
        <w:rPr>
          <w:lang w:val="en-US"/>
        </w:rPr>
        <w:t>F</w:t>
      </w:r>
      <w:r w:rsidR="008C12B4">
        <w:rPr>
          <w:lang w:val="en-US"/>
        </w:rPr>
        <w:t>igure</w:t>
      </w:r>
      <w:r w:rsidR="008C6735">
        <w:rPr>
          <w:lang w:val="en-US"/>
        </w:rPr>
        <w:t xml:space="preserve"> </w:t>
      </w:r>
      <w:r w:rsidR="008453C1">
        <w:rPr>
          <w:lang w:val="en-US"/>
        </w:rPr>
        <w:t>3.2</w:t>
      </w:r>
      <w:r w:rsidR="00EA3510">
        <w:rPr>
          <w:lang w:val="en-US"/>
        </w:rPr>
        <w:t>:</w:t>
      </w:r>
    </w:p>
    <w:p w14:paraId="4C1FF740" w14:textId="77777777" w:rsidR="00EA3510" w:rsidRPr="00A2164A" w:rsidRDefault="00EA3510" w:rsidP="00A8235B">
      <w:pPr>
        <w:pStyle w:val="Bullet"/>
        <w:rPr>
          <w:lang w:val="en-US"/>
        </w:rPr>
      </w:pPr>
      <w:r>
        <w:rPr>
          <w:lang w:val="en-US"/>
        </w:rPr>
        <w:t xml:space="preserve">disputes – trends and emerging issues </w:t>
      </w:r>
    </w:p>
    <w:p w14:paraId="015D23ED" w14:textId="57FFB75E" w:rsidR="00EA3510" w:rsidRPr="00A2164A" w:rsidRDefault="00EA3510" w:rsidP="00A8235B">
      <w:pPr>
        <w:pStyle w:val="Bullet"/>
        <w:rPr>
          <w:lang w:val="en-US"/>
        </w:rPr>
      </w:pPr>
      <w:r w:rsidRPr="006E335F">
        <w:rPr>
          <w:lang w:val="en-US"/>
        </w:rPr>
        <w:t xml:space="preserve">assessing the environment </w:t>
      </w:r>
      <w:r>
        <w:rPr>
          <w:lang w:val="en-US"/>
        </w:rPr>
        <w:t xml:space="preserve">– identifying the </w:t>
      </w:r>
      <w:r w:rsidRPr="006E335F">
        <w:rPr>
          <w:lang w:val="en-US"/>
        </w:rPr>
        <w:t>3</w:t>
      </w:r>
      <w:r w:rsidR="003A0D5E">
        <w:rPr>
          <w:lang w:val="en-US"/>
        </w:rPr>
        <w:noBreakHyphen/>
      </w:r>
      <w:r w:rsidRPr="006E335F">
        <w:rPr>
          <w:lang w:val="en-US"/>
        </w:rPr>
        <w:t xml:space="preserve">4 </w:t>
      </w:r>
      <w:r>
        <w:rPr>
          <w:lang w:val="en-US"/>
        </w:rPr>
        <w:t>problem</w:t>
      </w:r>
      <w:r w:rsidRPr="006E335F">
        <w:rPr>
          <w:lang w:val="en-US"/>
        </w:rPr>
        <w:t xml:space="preserve">s </w:t>
      </w:r>
      <w:r>
        <w:rPr>
          <w:lang w:val="en-US"/>
        </w:rPr>
        <w:t>affecting small businesses</w:t>
      </w:r>
    </w:p>
    <w:p w14:paraId="6D37EE1F" w14:textId="0CA25B7D" w:rsidR="00EA3510" w:rsidRPr="00A2164A" w:rsidRDefault="00EA3510" w:rsidP="00A8235B">
      <w:pPr>
        <w:pStyle w:val="Bullet"/>
        <w:rPr>
          <w:lang w:val="en-US"/>
        </w:rPr>
      </w:pPr>
      <w:r w:rsidRPr="006E335F">
        <w:rPr>
          <w:lang w:val="en-US"/>
        </w:rPr>
        <w:t>policy</w:t>
      </w:r>
      <w:r w:rsidR="005B4774">
        <w:rPr>
          <w:lang w:val="en-US"/>
        </w:rPr>
        <w:t xml:space="preserve"> – </w:t>
      </w:r>
      <w:r>
        <w:rPr>
          <w:lang w:val="en-US"/>
        </w:rPr>
        <w:t>focusing on the government priorities</w:t>
      </w:r>
    </w:p>
    <w:p w14:paraId="15B70FDB" w14:textId="77777777" w:rsidR="00EA3510" w:rsidRPr="00A2164A" w:rsidRDefault="00EA3510" w:rsidP="00A8235B">
      <w:pPr>
        <w:pStyle w:val="Bullet"/>
        <w:rPr>
          <w:lang w:val="en-US"/>
        </w:rPr>
      </w:pPr>
      <w:r>
        <w:rPr>
          <w:lang w:val="en-US"/>
        </w:rPr>
        <w:t xml:space="preserve">stakeholders – gathering stakeholder </w:t>
      </w:r>
      <w:r w:rsidRPr="006E335F">
        <w:rPr>
          <w:lang w:val="en-US"/>
        </w:rPr>
        <w:t>feedback</w:t>
      </w:r>
      <w:r>
        <w:rPr>
          <w:lang w:val="en-US"/>
        </w:rPr>
        <w:t>.</w:t>
      </w:r>
    </w:p>
    <w:p w14:paraId="62CA4BC0" w14:textId="7950709B" w:rsidR="00345184" w:rsidRPr="00AB724A" w:rsidRDefault="00345184" w:rsidP="00345184">
      <w:pPr>
        <w:pStyle w:val="TableMainHeading"/>
        <w:rPr>
          <w:rStyle w:val="Strong"/>
        </w:rPr>
      </w:pPr>
      <w:r>
        <w:rPr>
          <w:lang w:val="en-US"/>
        </w:rPr>
        <w:lastRenderedPageBreak/>
        <w:t>Figure 3</w:t>
      </w:r>
      <w:r w:rsidRPr="00C47726">
        <w:rPr>
          <w:lang w:val="en-US"/>
        </w:rPr>
        <w:t>.</w:t>
      </w:r>
      <w:r>
        <w:rPr>
          <w:lang w:val="en-US"/>
        </w:rPr>
        <w:t>2</w:t>
      </w:r>
      <w:r w:rsidRPr="00C47726">
        <w:rPr>
          <w:lang w:val="en-US"/>
        </w:rPr>
        <w:t xml:space="preserve">: </w:t>
      </w:r>
      <w:r w:rsidR="008659B6">
        <w:rPr>
          <w:lang w:val="en-US"/>
        </w:rPr>
        <w:t>Setting an annual agenda for advocacy work</w:t>
      </w:r>
    </w:p>
    <w:p w14:paraId="5A264D5A" w14:textId="22A45C67" w:rsidR="00C47726" w:rsidRDefault="008F5FC9" w:rsidP="00563DC9">
      <w:pPr>
        <w:jc w:val="center"/>
      </w:pPr>
      <w:r>
        <w:rPr>
          <w:noProof/>
        </w:rPr>
        <w:drawing>
          <wp:inline distT="0" distB="0" distL="0" distR="0" wp14:anchorId="4357EC23" wp14:editId="58568333">
            <wp:extent cx="4772025" cy="2455507"/>
            <wp:effectExtent l="0" t="0" r="0" b="2540"/>
            <wp:docPr id="585728497" name="Picture 2" descr="This infographic shows an example of an approach to a horizon scanning exercise that can be used to inform strategic planning. It shows four areas in a square:&#10;Disputes – trends and issues emerging in our disputes and requests for assistance.&#10;Environment – Social and economic factors affecting the community.&#10;Policy - Areas of priority and interest for Government and Parliament.&#10;Stakeholders – Feedback from our key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28497" name="Picture 2" descr="This infographic shows an example of an approach to a horizon scanning exercise that can be used to inform strategic planning. It shows four areas in a square:&#10;Disputes – trends and issues emerging in our disputes and requests for assistance.&#10;Environment – Social and economic factors affecting the community.&#10;Policy - Areas of priority and interest for Government and Parliament.&#10;Stakeholders – Feedback from our key stakeholders."/>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4782471" cy="2460882"/>
                    </a:xfrm>
                    <a:prstGeom prst="rect">
                      <a:avLst/>
                    </a:prstGeom>
                  </pic:spPr>
                </pic:pic>
              </a:graphicData>
            </a:graphic>
          </wp:inline>
        </w:drawing>
      </w:r>
    </w:p>
    <w:p w14:paraId="352F8284" w14:textId="6ADABC68" w:rsidR="00EF4493" w:rsidRPr="00C47726" w:rsidRDefault="007163F0" w:rsidP="003E70AD">
      <w:pPr>
        <w:pStyle w:val="ChartorTablenoteandsource"/>
      </w:pPr>
      <w:r>
        <w:t>Figure 3.2 s</w:t>
      </w:r>
      <w:r w:rsidR="00EF4493" w:rsidRPr="003E70AD">
        <w:t>ource:</w:t>
      </w:r>
      <w:r w:rsidR="00AD5430">
        <w:tab/>
      </w:r>
      <w:r w:rsidR="00555C0D" w:rsidRPr="003E70AD">
        <w:t xml:space="preserve">Adapted from </w:t>
      </w:r>
      <w:r w:rsidR="005115A7" w:rsidRPr="003E70AD">
        <w:t xml:space="preserve">IGTO, </w:t>
      </w:r>
      <w:r w:rsidR="00237D1E" w:rsidRPr="003E70AD">
        <w:t xml:space="preserve">Presentation to Board of Taxation, </w:t>
      </w:r>
      <w:r w:rsidR="00282382" w:rsidRPr="003E70AD">
        <w:t xml:space="preserve">[unpublished presentation] </w:t>
      </w:r>
      <w:r w:rsidR="00237D1E" w:rsidRPr="003E70AD">
        <w:t>2025</w:t>
      </w:r>
      <w:r w:rsidR="00666D65">
        <w:t>.</w:t>
      </w:r>
      <w:r w:rsidR="00237D1E" w:rsidRPr="003E70AD">
        <w:t xml:space="preserve"> </w:t>
      </w:r>
    </w:p>
    <w:p w14:paraId="5D76570B" w14:textId="001FB0A9" w:rsidR="00C47726" w:rsidRPr="00C47726" w:rsidRDefault="00C47726" w:rsidP="00C47726">
      <w:r w:rsidRPr="001B19C0">
        <w:rPr>
          <w:rStyle w:val="Strong"/>
        </w:rPr>
        <w:t xml:space="preserve">It may be </w:t>
      </w:r>
      <w:r w:rsidR="00287C27">
        <w:rPr>
          <w:rStyle w:val="Strong"/>
        </w:rPr>
        <w:t>advantageous</w:t>
      </w:r>
      <w:r w:rsidRPr="001B19C0">
        <w:rPr>
          <w:rStyle w:val="Strong"/>
        </w:rPr>
        <w:t xml:space="preserve"> for the</w:t>
      </w:r>
      <w:r w:rsidR="005B4774">
        <w:rPr>
          <w:rStyle w:val="Strong"/>
        </w:rPr>
        <w:t xml:space="preserve"> Australian</w:t>
      </w:r>
      <w:r w:rsidRPr="001B19C0">
        <w:rPr>
          <w:rStyle w:val="Strong"/>
        </w:rPr>
        <w:t xml:space="preserve"> </w:t>
      </w:r>
      <w:r w:rsidR="002A5E54">
        <w:rPr>
          <w:rStyle w:val="Strong"/>
        </w:rPr>
        <w:t xml:space="preserve">Government </w:t>
      </w:r>
      <w:r w:rsidRPr="001B19C0">
        <w:rPr>
          <w:rStyle w:val="Strong"/>
        </w:rPr>
        <w:t>to issue a Statement of Expectations to ASBFEO</w:t>
      </w:r>
      <w:r w:rsidR="00111720">
        <w:rPr>
          <w:b/>
          <w:bCs/>
          <w:lang w:val="en-US"/>
        </w:rPr>
        <w:t xml:space="preserve">. </w:t>
      </w:r>
      <w:r w:rsidR="00111720" w:rsidRPr="002D7F86">
        <w:rPr>
          <w:lang w:val="en-US"/>
        </w:rPr>
        <w:t>This would enhance clarity regarding government policies and objectives, aid</w:t>
      </w:r>
      <w:r w:rsidR="00111720" w:rsidRPr="0055406E">
        <w:rPr>
          <w:lang w:val="en-US"/>
        </w:rPr>
        <w:t xml:space="preserve"> </w:t>
      </w:r>
      <w:proofErr w:type="spellStart"/>
      <w:r w:rsidR="00111720" w:rsidRPr="0055406E">
        <w:rPr>
          <w:lang w:val="en-US"/>
        </w:rPr>
        <w:t>prioritisation</w:t>
      </w:r>
      <w:proofErr w:type="spellEnd"/>
      <w:r w:rsidR="00111720" w:rsidRPr="0055406E">
        <w:rPr>
          <w:lang w:val="en-US"/>
        </w:rPr>
        <w:t xml:space="preserve"> of </w:t>
      </w:r>
      <w:r w:rsidR="00111720">
        <w:rPr>
          <w:lang w:val="en-US"/>
        </w:rPr>
        <w:t>focus areas</w:t>
      </w:r>
      <w:r w:rsidR="005B4774">
        <w:rPr>
          <w:lang w:val="en-US"/>
        </w:rPr>
        <w:t>,</w:t>
      </w:r>
      <w:r w:rsidR="00111720" w:rsidRPr="0055406E">
        <w:rPr>
          <w:lang w:val="en-US"/>
        </w:rPr>
        <w:t xml:space="preserve"> and ens</w:t>
      </w:r>
      <w:r w:rsidR="00111720" w:rsidRPr="00C47726">
        <w:rPr>
          <w:lang w:val="en-US"/>
        </w:rPr>
        <w:t xml:space="preserve">ure </w:t>
      </w:r>
      <w:r w:rsidR="00111720">
        <w:rPr>
          <w:lang w:val="en-US"/>
        </w:rPr>
        <w:t>ASBFEO’s</w:t>
      </w:r>
      <w:r w:rsidR="00111720" w:rsidRPr="00C47726">
        <w:rPr>
          <w:lang w:val="en-US"/>
        </w:rPr>
        <w:t xml:space="preserve"> agenda </w:t>
      </w:r>
      <w:r w:rsidR="00111720">
        <w:rPr>
          <w:lang w:val="en-US"/>
        </w:rPr>
        <w:t>aligns with the strategic direction set by</w:t>
      </w:r>
      <w:r w:rsidR="00111720" w:rsidRPr="00C47726">
        <w:rPr>
          <w:lang w:val="en-US"/>
        </w:rPr>
        <w:t xml:space="preserve"> the </w:t>
      </w:r>
      <w:r w:rsidR="005B4774">
        <w:rPr>
          <w:lang w:val="en-US"/>
        </w:rPr>
        <w:t>Australian G</w:t>
      </w:r>
      <w:r w:rsidR="00111720" w:rsidRPr="00C47726">
        <w:rPr>
          <w:lang w:val="en-US"/>
        </w:rPr>
        <w:t>overnment.</w:t>
      </w:r>
    </w:p>
    <w:p w14:paraId="35596F71" w14:textId="7839C3B2" w:rsidR="0077475F" w:rsidRPr="00C47726" w:rsidRDefault="00D126C1" w:rsidP="00C47726">
      <w:r>
        <w:rPr>
          <w:b/>
          <w:bCs/>
          <w:lang w:val="en-US"/>
        </w:rPr>
        <w:t>I</w:t>
      </w:r>
      <w:r w:rsidRPr="00C47726">
        <w:rPr>
          <w:b/>
          <w:bCs/>
          <w:lang w:val="en-US"/>
        </w:rPr>
        <w:t xml:space="preserve">n developing a more focused advocacy agenda, ASBFEO need to consider the remits of other </w:t>
      </w:r>
      <w:r w:rsidR="005B4774">
        <w:rPr>
          <w:b/>
          <w:bCs/>
          <w:lang w:val="en-US"/>
        </w:rPr>
        <w:t>Australian G</w:t>
      </w:r>
      <w:r w:rsidRPr="00C47726">
        <w:rPr>
          <w:b/>
          <w:bCs/>
          <w:lang w:val="en-US"/>
        </w:rPr>
        <w:t xml:space="preserve">overnment departments with specific responsibilities in the small business </w:t>
      </w:r>
      <w:r>
        <w:rPr>
          <w:b/>
          <w:bCs/>
          <w:lang w:val="en-US"/>
        </w:rPr>
        <w:t>sector</w:t>
      </w:r>
      <w:r w:rsidRPr="00C47726">
        <w:rPr>
          <w:b/>
          <w:bCs/>
          <w:lang w:val="en-US"/>
        </w:rPr>
        <w:t xml:space="preserve">. </w:t>
      </w:r>
      <w:r w:rsidR="00C47726" w:rsidRPr="00C47726">
        <w:rPr>
          <w:lang w:val="en-US"/>
        </w:rPr>
        <w:t xml:space="preserve">These departments include Treasury and </w:t>
      </w:r>
      <w:r w:rsidR="003B4E6B">
        <w:rPr>
          <w:lang w:val="en-US"/>
        </w:rPr>
        <w:t>DISR</w:t>
      </w:r>
      <w:r w:rsidR="00834B91">
        <w:rPr>
          <w:lang w:val="en-US"/>
        </w:rPr>
        <w:t xml:space="preserve"> (</w:t>
      </w:r>
      <w:r w:rsidR="00DD5614">
        <w:rPr>
          <w:lang w:val="en-US"/>
        </w:rPr>
        <w:t>F</w:t>
      </w:r>
      <w:r w:rsidR="007A7360">
        <w:rPr>
          <w:lang w:val="en-US"/>
        </w:rPr>
        <w:t>igure</w:t>
      </w:r>
      <w:r w:rsidR="00834B91">
        <w:rPr>
          <w:lang w:val="en-US"/>
        </w:rPr>
        <w:t xml:space="preserve"> 3.3)</w:t>
      </w:r>
      <w:r w:rsidR="00A40F1F">
        <w:rPr>
          <w:lang w:val="en-US"/>
        </w:rPr>
        <w:t>.</w:t>
      </w:r>
      <w:r w:rsidR="00592B30">
        <w:rPr>
          <w:lang w:val="en-US"/>
        </w:rPr>
        <w:t xml:space="preserve"> </w:t>
      </w:r>
      <w:r w:rsidR="005B4774">
        <w:rPr>
          <w:lang w:val="en-US"/>
        </w:rPr>
        <w:t>This</w:t>
      </w:r>
      <w:r w:rsidR="00592B30">
        <w:rPr>
          <w:lang w:val="en-US"/>
        </w:rPr>
        <w:t xml:space="preserve"> will </w:t>
      </w:r>
      <w:r w:rsidR="005B4774">
        <w:rPr>
          <w:lang w:val="en-US"/>
        </w:rPr>
        <w:t>help delineate</w:t>
      </w:r>
      <w:r w:rsidR="00C47726" w:rsidRPr="00C47726">
        <w:rPr>
          <w:lang w:val="en-US"/>
        </w:rPr>
        <w:t xml:space="preserve"> roles and priorities</w:t>
      </w:r>
      <w:r w:rsidR="00D336EA">
        <w:rPr>
          <w:lang w:val="en-US"/>
        </w:rPr>
        <w:t xml:space="preserve"> and ensure ASBFEO </w:t>
      </w:r>
      <w:r w:rsidR="00C47726" w:rsidRPr="00C47726">
        <w:rPr>
          <w:lang w:val="en-US"/>
        </w:rPr>
        <w:t>continues</w:t>
      </w:r>
      <w:r w:rsidR="00106415">
        <w:rPr>
          <w:lang w:val="en-US"/>
        </w:rPr>
        <w:t xml:space="preserve"> to operate effectively</w:t>
      </w:r>
      <w:r w:rsidR="00916FA5">
        <w:rPr>
          <w:lang w:val="en-US"/>
        </w:rPr>
        <w:t xml:space="preserve">. </w:t>
      </w:r>
    </w:p>
    <w:p w14:paraId="59F6B551" w14:textId="3141E93F" w:rsidR="001A1A71" w:rsidRPr="00AB724A" w:rsidRDefault="001A1A71" w:rsidP="00676394">
      <w:pPr>
        <w:pStyle w:val="ChartMainHeading"/>
        <w:rPr>
          <w:rStyle w:val="Strong"/>
        </w:rPr>
      </w:pPr>
      <w:r>
        <w:rPr>
          <w:lang w:val="en-US"/>
        </w:rPr>
        <w:t>Figure 3</w:t>
      </w:r>
      <w:r w:rsidRPr="00C47726">
        <w:rPr>
          <w:lang w:val="en-US"/>
        </w:rPr>
        <w:t>.</w:t>
      </w:r>
      <w:r>
        <w:rPr>
          <w:lang w:val="en-US"/>
        </w:rPr>
        <w:t>3</w:t>
      </w:r>
      <w:r w:rsidRPr="00C47726">
        <w:rPr>
          <w:lang w:val="en-US"/>
        </w:rPr>
        <w:t xml:space="preserve">: </w:t>
      </w:r>
      <w:r w:rsidR="004417AB">
        <w:rPr>
          <w:lang w:val="en-US"/>
        </w:rPr>
        <w:t>Australian Government departments</w:t>
      </w:r>
      <w:r w:rsidR="00E242E7">
        <w:rPr>
          <w:lang w:val="en-US"/>
        </w:rPr>
        <w:t xml:space="preserve"> with responsibilities </w:t>
      </w:r>
      <w:r w:rsidR="00214533">
        <w:rPr>
          <w:lang w:val="en-US"/>
        </w:rPr>
        <w:t>in small business sector</w:t>
      </w:r>
    </w:p>
    <w:p w14:paraId="440520A6" w14:textId="18F37703" w:rsidR="00C47726" w:rsidRPr="00DD5614" w:rsidRDefault="00441A45" w:rsidP="00C47726">
      <w:r>
        <w:rPr>
          <w:noProof/>
        </w:rPr>
        <w:drawing>
          <wp:inline distT="0" distB="0" distL="0" distR="0" wp14:anchorId="34CCE5D9" wp14:editId="1B9B1894">
            <wp:extent cx="5448300" cy="1714500"/>
            <wp:effectExtent l="0" t="0" r="0" b="0"/>
            <wp:docPr id="297459894" name="Picture 3" descr="This infographic shows 3 key agencies and government departments that have a cross over the work of small business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59894" name="Picture 3" descr="This infographic shows 3 key agencies and government departments that have a cross over the work of small business policies."/>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5448300" cy="1714500"/>
                    </a:xfrm>
                    <a:prstGeom prst="rect">
                      <a:avLst/>
                    </a:prstGeom>
                  </pic:spPr>
                </pic:pic>
              </a:graphicData>
            </a:graphic>
          </wp:inline>
        </w:drawing>
      </w:r>
    </w:p>
    <w:p w14:paraId="0DA7731C" w14:textId="77777777" w:rsidR="00676394" w:rsidRDefault="00676394">
      <w:pPr>
        <w:spacing w:before="0" w:after="160" w:line="259" w:lineRule="auto"/>
        <w:rPr>
          <w:lang w:val="en-US"/>
        </w:rPr>
      </w:pPr>
      <w:r>
        <w:rPr>
          <w:lang w:val="en-US"/>
        </w:rPr>
        <w:br w:type="page"/>
      </w:r>
    </w:p>
    <w:p w14:paraId="13C2604A" w14:textId="25C6487B" w:rsidR="00C47726" w:rsidRPr="00C47726" w:rsidRDefault="00C47726" w:rsidP="00C47726">
      <w:r w:rsidRPr="00DE01CA">
        <w:rPr>
          <w:lang w:val="en-US"/>
        </w:rPr>
        <w:lastRenderedPageBreak/>
        <w:t xml:space="preserve">For example, </w:t>
      </w:r>
      <w:r w:rsidR="00F15557">
        <w:rPr>
          <w:lang w:val="en-US"/>
        </w:rPr>
        <w:t>p</w:t>
      </w:r>
      <w:r w:rsidRPr="00DE01CA">
        <w:rPr>
          <w:lang w:val="en-US"/>
        </w:rPr>
        <w:t>illar 2</w:t>
      </w:r>
      <w:r w:rsidR="00F15557">
        <w:rPr>
          <w:lang w:val="en-US"/>
        </w:rPr>
        <w:t xml:space="preserve"> of ASBFEO’s 4</w:t>
      </w:r>
      <w:r w:rsidR="003A0D5E">
        <w:rPr>
          <w:lang w:val="en-US"/>
        </w:rPr>
        <w:noBreakHyphen/>
      </w:r>
      <w:r w:rsidR="00F15557">
        <w:rPr>
          <w:lang w:val="en-US"/>
        </w:rPr>
        <w:t xml:space="preserve">pillar </w:t>
      </w:r>
      <w:r w:rsidR="00F15557" w:rsidRPr="00F15557">
        <w:rPr>
          <w:lang w:val="en-US"/>
        </w:rPr>
        <w:t>advocacy agenda</w:t>
      </w:r>
      <w:r w:rsidRPr="00DE01CA">
        <w:rPr>
          <w:i/>
          <w:iCs/>
          <w:lang w:val="en-US"/>
        </w:rPr>
        <w:t xml:space="preserve">, </w:t>
      </w:r>
      <w:proofErr w:type="gramStart"/>
      <w:r w:rsidRPr="00676394">
        <w:rPr>
          <w:rStyle w:val="Emphasis"/>
        </w:rPr>
        <w:t>Enhancing</w:t>
      </w:r>
      <w:proofErr w:type="gramEnd"/>
      <w:r w:rsidRPr="00676394">
        <w:rPr>
          <w:rStyle w:val="Emphasis"/>
        </w:rPr>
        <w:t xml:space="preserve"> sector opportunities: Realising new opportunities, and </w:t>
      </w:r>
      <w:r w:rsidR="00F15557" w:rsidRPr="00676394">
        <w:rPr>
          <w:rStyle w:val="Emphasis"/>
        </w:rPr>
        <w:t>p</w:t>
      </w:r>
      <w:r w:rsidRPr="00676394">
        <w:rPr>
          <w:rStyle w:val="Emphasis"/>
        </w:rPr>
        <w:t xml:space="preserve">illar 3, Supporting transformation and sector </w:t>
      </w:r>
      <w:r w:rsidR="00916FA5">
        <w:rPr>
          <w:rStyle w:val="Emphasis"/>
        </w:rPr>
        <w:t>‘</w:t>
      </w:r>
      <w:r w:rsidRPr="00676394">
        <w:rPr>
          <w:rStyle w:val="Emphasis"/>
        </w:rPr>
        <w:t>future state,</w:t>
      </w:r>
      <w:r w:rsidR="00916FA5">
        <w:rPr>
          <w:rStyle w:val="Emphasis"/>
        </w:rPr>
        <w:t>’</w:t>
      </w:r>
      <w:r w:rsidRPr="00676394">
        <w:rPr>
          <w:rStyle w:val="Emphasis"/>
        </w:rPr>
        <w:t xml:space="preserve"> assisting the transition and preparing small business for future adjustments</w:t>
      </w:r>
      <w:r w:rsidRPr="00DE01CA">
        <w:rPr>
          <w:i/>
          <w:iCs/>
          <w:lang w:val="en-US"/>
        </w:rPr>
        <w:t>,</w:t>
      </w:r>
      <w:r w:rsidRPr="00DE01CA">
        <w:rPr>
          <w:lang w:val="en-US"/>
        </w:rPr>
        <w:t xml:space="preserve"> may have </w:t>
      </w:r>
      <w:r w:rsidR="00FC49EA" w:rsidRPr="00DE01CA">
        <w:rPr>
          <w:lang w:val="en-US"/>
        </w:rPr>
        <w:t>a</w:t>
      </w:r>
      <w:r w:rsidRPr="00DE01CA">
        <w:rPr>
          <w:lang w:val="en-US"/>
        </w:rPr>
        <w:t xml:space="preserve"> large crossover with the work of the </w:t>
      </w:r>
      <w:proofErr w:type="spellStart"/>
      <w:r w:rsidRPr="00DE01CA">
        <w:rPr>
          <w:lang w:val="en-US"/>
        </w:rPr>
        <w:t>AusIndustry</w:t>
      </w:r>
      <w:proofErr w:type="spellEnd"/>
      <w:r w:rsidRPr="00DE01CA">
        <w:rPr>
          <w:lang w:val="en-US"/>
        </w:rPr>
        <w:t xml:space="preserve"> team and the Small Business Policy team within Treasury. Building relationships with these teams, including considering a community of practice type relationship, may help deliver improved outcomes for small business owners</w:t>
      </w:r>
      <w:r w:rsidR="00916FA5" w:rsidRPr="00DE01CA">
        <w:rPr>
          <w:lang w:val="en-US"/>
        </w:rPr>
        <w:t xml:space="preserve">. </w:t>
      </w:r>
    </w:p>
    <w:p w14:paraId="48E8F2D9" w14:textId="7880C9FD" w:rsidR="008D3F58" w:rsidRDefault="00C47726" w:rsidP="00C47726">
      <w:pPr>
        <w:rPr>
          <w:lang w:val="en-US"/>
        </w:rPr>
      </w:pPr>
      <w:r w:rsidRPr="009B1B23">
        <w:rPr>
          <w:rStyle w:val="Strong"/>
        </w:rPr>
        <w:t>Several stakeholders observed that it was difficult to assess the impact or effectiveness of ASBFEO</w:t>
      </w:r>
      <w:r w:rsidR="00916FA5" w:rsidRPr="009B1B23">
        <w:rPr>
          <w:rStyle w:val="Strong"/>
        </w:rPr>
        <w:t>’</w:t>
      </w:r>
      <w:r w:rsidRPr="009B1B23">
        <w:rPr>
          <w:rStyle w:val="Strong"/>
        </w:rPr>
        <w:t>s advocacy and that ASBFEO should explore ways to do this.</w:t>
      </w:r>
      <w:r w:rsidRPr="00C47726">
        <w:rPr>
          <w:lang w:val="en-US"/>
        </w:rPr>
        <w:t xml:space="preserve"> They noted that ASBFEO should have clarity on the </w:t>
      </w:r>
      <w:r w:rsidR="00F751F6">
        <w:rPr>
          <w:lang w:val="en-US"/>
        </w:rPr>
        <w:t>effects</w:t>
      </w:r>
      <w:r w:rsidRPr="00C47726">
        <w:rPr>
          <w:lang w:val="en-US"/>
        </w:rPr>
        <w:t xml:space="preserve"> of their work via government policy implementation, </w:t>
      </w:r>
      <w:r w:rsidR="00C00A76">
        <w:rPr>
          <w:lang w:val="en-US"/>
        </w:rPr>
        <w:t xml:space="preserve">and </w:t>
      </w:r>
      <w:r w:rsidRPr="00C47726">
        <w:rPr>
          <w:lang w:val="en-US"/>
        </w:rPr>
        <w:t>practical outcomes for small businesses.</w:t>
      </w:r>
      <w:r w:rsidR="00065357">
        <w:rPr>
          <w:rFonts w:ascii="ZWAdobeF" w:hAnsi="ZWAdobeF" w:cs="ZWAdobeF"/>
          <w:color w:val="auto"/>
          <w:sz w:val="2"/>
          <w:szCs w:val="2"/>
          <w:lang w:val="en-US"/>
        </w:rPr>
        <w:t>42F</w:t>
      </w:r>
      <w:r w:rsidR="000B176F" w:rsidRPr="000269AF">
        <w:rPr>
          <w:rStyle w:val="FootnoteReference"/>
          <w:sz w:val="22"/>
          <w:szCs w:val="22"/>
          <w:vertAlign w:val="superscript"/>
          <w:lang w:val="en-US"/>
        </w:rPr>
        <w:footnoteReference w:id="44"/>
      </w:r>
      <w:r w:rsidRPr="000269AF">
        <w:rPr>
          <w:szCs w:val="22"/>
          <w:vertAlign w:val="superscript"/>
          <w:lang w:val="en-US"/>
        </w:rPr>
        <w:t xml:space="preserve"> </w:t>
      </w:r>
      <w:r w:rsidRPr="00C47726">
        <w:rPr>
          <w:lang w:val="en-US"/>
        </w:rPr>
        <w:t>The McGregor Review – while stopping short of a formal recommendation</w:t>
      </w:r>
      <w:r w:rsidR="00916FA5">
        <w:rPr>
          <w:lang w:val="en-US"/>
        </w:rPr>
        <w:t xml:space="preserve"> – </w:t>
      </w:r>
      <w:r w:rsidRPr="00C47726">
        <w:rPr>
          <w:lang w:val="en-US"/>
        </w:rPr>
        <w:t>challenged ASBFEO to continue refining and developing its self</w:t>
      </w:r>
      <w:r w:rsidR="00916FA5">
        <w:rPr>
          <w:lang w:val="en-US"/>
        </w:rPr>
        <w:noBreakHyphen/>
      </w:r>
      <w:r w:rsidRPr="00C47726">
        <w:rPr>
          <w:lang w:val="en-US"/>
        </w:rPr>
        <w:t xml:space="preserve">assessment methodology </w:t>
      </w:r>
      <w:r w:rsidR="009B1B23" w:rsidRPr="009B1B23">
        <w:rPr>
          <w:rStyle w:val="Emphasis"/>
        </w:rPr>
        <w:t>‘</w:t>
      </w:r>
      <w:r w:rsidR="00D336EA">
        <w:rPr>
          <w:rStyle w:val="Emphasis"/>
        </w:rPr>
        <w:t xml:space="preserve">… </w:t>
      </w:r>
      <w:r w:rsidRPr="009B1B23">
        <w:rPr>
          <w:rStyle w:val="Emphasis"/>
        </w:rPr>
        <w:t>with well</w:t>
      </w:r>
      <w:r w:rsidR="00916FA5" w:rsidRPr="009B1B23">
        <w:rPr>
          <w:rStyle w:val="Emphasis"/>
        </w:rPr>
        <w:noBreakHyphen/>
      </w:r>
      <w:r w:rsidRPr="009B1B23">
        <w:rPr>
          <w:rStyle w:val="Emphasis"/>
        </w:rPr>
        <w:t xml:space="preserve">defined criteria for each </w:t>
      </w:r>
      <w:r w:rsidR="00D336EA">
        <w:rPr>
          <w:rStyle w:val="Emphasis"/>
        </w:rPr>
        <w:t>“</w:t>
      </w:r>
      <w:r w:rsidRPr="009B1B23">
        <w:rPr>
          <w:rStyle w:val="Emphasis"/>
        </w:rPr>
        <w:t>Outcome Status</w:t>
      </w:r>
      <w:r w:rsidR="00D336EA">
        <w:rPr>
          <w:rStyle w:val="Emphasis"/>
        </w:rPr>
        <w:t>”</w:t>
      </w:r>
      <w:r w:rsidRPr="009B1B23">
        <w:rPr>
          <w:rStyle w:val="Emphasis"/>
        </w:rPr>
        <w:t xml:space="preserve"> the continued use of empirical evidence to support it benchmarking initiatives and re</w:t>
      </w:r>
      <w:r w:rsidR="00916FA5" w:rsidRPr="009B1B23">
        <w:rPr>
          <w:rStyle w:val="Emphasis"/>
        </w:rPr>
        <w:noBreakHyphen/>
      </w:r>
      <w:r w:rsidRPr="009B1B23">
        <w:rPr>
          <w:rStyle w:val="Emphasis"/>
        </w:rPr>
        <w:t>affirm the effectiveness of its advocacy</w:t>
      </w:r>
      <w:r w:rsidR="009B1B23" w:rsidRPr="009B1B23">
        <w:rPr>
          <w:rStyle w:val="Emphasis"/>
        </w:rPr>
        <w:t>’</w:t>
      </w:r>
      <w:r w:rsidRPr="00C47726">
        <w:rPr>
          <w:lang w:val="en-US"/>
        </w:rPr>
        <w:t>.</w:t>
      </w:r>
      <w:r w:rsidR="00065357">
        <w:rPr>
          <w:rFonts w:ascii="ZWAdobeF" w:hAnsi="ZWAdobeF" w:cs="ZWAdobeF"/>
          <w:color w:val="auto"/>
          <w:sz w:val="2"/>
          <w:szCs w:val="2"/>
          <w:lang w:val="en-US"/>
        </w:rPr>
        <w:t>43F</w:t>
      </w:r>
      <w:r w:rsidR="00491CF8" w:rsidRPr="000269AF">
        <w:rPr>
          <w:rStyle w:val="FootnoteReference"/>
          <w:sz w:val="22"/>
          <w:szCs w:val="22"/>
          <w:vertAlign w:val="superscript"/>
          <w:lang w:val="en-US"/>
        </w:rPr>
        <w:footnoteReference w:id="45"/>
      </w:r>
      <w:r w:rsidRPr="00C47726">
        <w:rPr>
          <w:lang w:val="en-US"/>
        </w:rPr>
        <w:t xml:space="preserve"> </w:t>
      </w:r>
    </w:p>
    <w:p w14:paraId="78512AB5" w14:textId="1036FB2B" w:rsidR="001F52A3" w:rsidRPr="00C47726" w:rsidRDefault="000160A5" w:rsidP="00C47726">
      <w:r w:rsidRPr="00676394">
        <w:rPr>
          <w:rStyle w:val="Strong"/>
        </w:rPr>
        <w:t>ASBFEO has undertaken some work to measure the success of its advocacy outcomes.</w:t>
      </w:r>
      <w:r w:rsidRPr="00AA4DFA">
        <w:rPr>
          <w:b/>
          <w:lang w:val="en-US"/>
        </w:rPr>
        <w:t xml:space="preserve"> </w:t>
      </w:r>
      <w:r w:rsidRPr="5D5073B1">
        <w:rPr>
          <w:lang w:val="en-US"/>
        </w:rPr>
        <w:t xml:space="preserve">ASBFEO </w:t>
      </w:r>
      <w:r>
        <w:rPr>
          <w:lang w:val="en-US"/>
        </w:rPr>
        <w:t>has indicated that</w:t>
      </w:r>
      <w:r w:rsidRPr="5D5073B1">
        <w:rPr>
          <w:lang w:val="en-US"/>
        </w:rPr>
        <w:t xml:space="preserve"> measuring </w:t>
      </w:r>
      <w:r w:rsidR="00392C2E">
        <w:rPr>
          <w:lang w:val="en-US"/>
        </w:rPr>
        <w:t>its</w:t>
      </w:r>
      <w:r w:rsidR="00392C2E" w:rsidRPr="5D5073B1">
        <w:rPr>
          <w:lang w:val="en-US"/>
        </w:rPr>
        <w:t xml:space="preserve"> </w:t>
      </w:r>
      <w:r w:rsidRPr="5D5073B1">
        <w:rPr>
          <w:lang w:val="en-US"/>
        </w:rPr>
        <w:t>work</w:t>
      </w:r>
      <w:r>
        <w:rPr>
          <w:lang w:val="en-US"/>
        </w:rPr>
        <w:t xml:space="preserve"> poses challenges</w:t>
      </w:r>
      <w:r w:rsidRPr="5D5073B1">
        <w:rPr>
          <w:lang w:val="en-US"/>
        </w:rPr>
        <w:t>.</w:t>
      </w:r>
      <w:r>
        <w:rPr>
          <w:lang w:val="en-US"/>
        </w:rPr>
        <w:t xml:space="preserve"> This is</w:t>
      </w:r>
      <w:r w:rsidRPr="5D5073B1">
        <w:rPr>
          <w:lang w:val="en-US"/>
        </w:rPr>
        <w:t xml:space="preserve"> due to the high volume of recommendations </w:t>
      </w:r>
      <w:r w:rsidR="00AF42F0">
        <w:rPr>
          <w:lang w:val="en-US"/>
        </w:rPr>
        <w:t>it makes</w:t>
      </w:r>
      <w:r w:rsidRPr="5D5073B1">
        <w:rPr>
          <w:lang w:val="en-US"/>
        </w:rPr>
        <w:t xml:space="preserve">, </w:t>
      </w:r>
      <w:r>
        <w:rPr>
          <w:lang w:val="en-US"/>
        </w:rPr>
        <w:t xml:space="preserve">the partial uptake of some recommendations or only the </w:t>
      </w:r>
      <w:r w:rsidRPr="5D5073B1">
        <w:rPr>
          <w:lang w:val="en-US"/>
        </w:rPr>
        <w:t>intent of</w:t>
      </w:r>
      <w:r>
        <w:rPr>
          <w:lang w:val="en-US"/>
        </w:rPr>
        <w:t xml:space="preserve"> r</w:t>
      </w:r>
      <w:r w:rsidRPr="5D5073B1">
        <w:rPr>
          <w:lang w:val="en-US"/>
        </w:rPr>
        <w:t xml:space="preserve">ecommendations may be taken up, and the </w:t>
      </w:r>
      <w:r>
        <w:rPr>
          <w:lang w:val="en-US"/>
        </w:rPr>
        <w:t>limitations</w:t>
      </w:r>
      <w:r w:rsidRPr="5D5073B1">
        <w:rPr>
          <w:lang w:val="en-US"/>
        </w:rPr>
        <w:t xml:space="preserve"> on </w:t>
      </w:r>
      <w:r w:rsidR="00AF42F0">
        <w:rPr>
          <w:lang w:val="en-US"/>
        </w:rPr>
        <w:t>its</w:t>
      </w:r>
      <w:r w:rsidRPr="5D5073B1">
        <w:rPr>
          <w:lang w:val="en-US"/>
        </w:rPr>
        <w:t xml:space="preserve"> staffing resource.</w:t>
      </w:r>
      <w:r w:rsidR="001F52A3">
        <w:rPr>
          <w:lang w:val="en-US"/>
        </w:rPr>
        <w:t xml:space="preserve"> Although, </w:t>
      </w:r>
      <w:r w:rsidR="001F52A3" w:rsidRPr="5D5073B1">
        <w:rPr>
          <w:lang w:val="en-US"/>
        </w:rPr>
        <w:t>track</w:t>
      </w:r>
      <w:r w:rsidR="001F52A3">
        <w:rPr>
          <w:lang w:val="en-US"/>
        </w:rPr>
        <w:t>ing</w:t>
      </w:r>
      <w:r w:rsidR="001F52A3" w:rsidRPr="5D5073B1">
        <w:rPr>
          <w:lang w:val="en-US"/>
        </w:rPr>
        <w:t xml:space="preserve"> every recommendation</w:t>
      </w:r>
      <w:r w:rsidR="001F52A3">
        <w:rPr>
          <w:lang w:val="en-US"/>
        </w:rPr>
        <w:t xml:space="preserve"> would be challenging</w:t>
      </w:r>
      <w:r w:rsidR="001F52A3" w:rsidRPr="5D5073B1">
        <w:rPr>
          <w:lang w:val="en-US"/>
        </w:rPr>
        <w:t>,</w:t>
      </w:r>
      <w:r w:rsidR="001F52A3">
        <w:rPr>
          <w:lang w:val="en-US"/>
        </w:rPr>
        <w:t xml:space="preserve"> it would be beneficial to track</w:t>
      </w:r>
      <w:r w:rsidR="001F52A3" w:rsidRPr="5D5073B1">
        <w:rPr>
          <w:lang w:val="en-US"/>
        </w:rPr>
        <w:t xml:space="preserve"> a sample</w:t>
      </w:r>
      <w:r w:rsidR="001F52A3">
        <w:rPr>
          <w:lang w:val="en-US"/>
        </w:rPr>
        <w:t xml:space="preserve"> of recommendations or submissions </w:t>
      </w:r>
      <w:r w:rsidR="001F52A3" w:rsidRPr="5D5073B1">
        <w:rPr>
          <w:lang w:val="en-US"/>
        </w:rPr>
        <w:t xml:space="preserve">and </w:t>
      </w:r>
      <w:r w:rsidR="001F52A3">
        <w:rPr>
          <w:lang w:val="en-US"/>
        </w:rPr>
        <w:t>develop an</w:t>
      </w:r>
      <w:r w:rsidR="001F52A3" w:rsidRPr="5D5073B1">
        <w:rPr>
          <w:lang w:val="en-US"/>
        </w:rPr>
        <w:t xml:space="preserve"> </w:t>
      </w:r>
      <w:r w:rsidR="001F52A3">
        <w:rPr>
          <w:lang w:val="en-US"/>
        </w:rPr>
        <w:t xml:space="preserve">evaluation methodology for its </w:t>
      </w:r>
      <w:r w:rsidR="001F52A3" w:rsidRPr="5D5073B1">
        <w:rPr>
          <w:lang w:val="en-US"/>
        </w:rPr>
        <w:t>advocacy agenda</w:t>
      </w:r>
      <w:r w:rsidR="001F52A3">
        <w:rPr>
          <w:lang w:val="en-US"/>
        </w:rPr>
        <w:t>,</w:t>
      </w:r>
      <w:r w:rsidR="001F52A3" w:rsidRPr="5D5073B1">
        <w:rPr>
          <w:lang w:val="en-US"/>
        </w:rPr>
        <w:t xml:space="preserve"> </w:t>
      </w:r>
      <w:r w:rsidR="001F52A3">
        <w:rPr>
          <w:lang w:val="en-US"/>
        </w:rPr>
        <w:t>to monitor and demonstrate how their work contributes to regulatory reforms that benefit small businesses.</w:t>
      </w:r>
    </w:p>
    <w:p w14:paraId="265696F4" w14:textId="3BAA416F" w:rsidR="00C47726" w:rsidRPr="00C47726" w:rsidRDefault="00C47726" w:rsidP="00CD1AB2">
      <w:pPr>
        <w:pStyle w:val="Heading3"/>
      </w:pPr>
      <w:bookmarkStart w:id="25" w:name="_Toc199940936"/>
      <w:r w:rsidRPr="00C47726">
        <w:rPr>
          <w:lang w:val="en-US"/>
        </w:rPr>
        <w:t>R</w:t>
      </w:r>
      <w:r w:rsidR="00680997">
        <w:rPr>
          <w:lang w:val="en-US"/>
        </w:rPr>
        <w:t>ecommendation</w:t>
      </w:r>
      <w:bookmarkEnd w:id="25"/>
      <w:r w:rsidRPr="00C47726">
        <w:t> </w:t>
      </w:r>
    </w:p>
    <w:tbl>
      <w:tblPr>
        <w:tblStyle w:val="BoxStyle"/>
        <w:tblW w:w="5000" w:type="pct"/>
        <w:shd w:val="clear" w:color="auto" w:fill="F4F0EC"/>
        <w:tblLook w:val="0620" w:firstRow="1" w:lastRow="0" w:firstColumn="0" w:lastColumn="0" w:noHBand="1" w:noVBand="1"/>
      </w:tblPr>
      <w:tblGrid>
        <w:gridCol w:w="9070"/>
      </w:tblGrid>
      <w:tr w:rsidR="00787AAB" w14:paraId="494F41CC" w14:textId="77777777" w:rsidTr="004C4118">
        <w:tc>
          <w:tcPr>
            <w:tcW w:w="5000" w:type="pct"/>
            <w:shd w:val="clear" w:color="auto" w:fill="F4F0EC"/>
            <w:hideMark/>
          </w:tcPr>
          <w:p w14:paraId="60A33388" w14:textId="7D7FE0FF" w:rsidR="0009774C" w:rsidRPr="00096146" w:rsidRDefault="0009774C" w:rsidP="00676394">
            <w:pPr>
              <w:pStyle w:val="BoxText"/>
              <w:rPr>
                <w:bCs/>
              </w:rPr>
            </w:pPr>
            <w:r w:rsidRPr="00676394">
              <w:rPr>
                <w:rStyle w:val="Strong"/>
              </w:rPr>
              <w:t>Recommendation 2:</w:t>
            </w:r>
            <w:r>
              <w:rPr>
                <w:b/>
              </w:rPr>
              <w:t xml:space="preserve"> </w:t>
            </w:r>
            <w:r w:rsidRPr="00096146">
              <w:rPr>
                <w:bCs/>
              </w:rPr>
              <w:t xml:space="preserve">ASBFEO </w:t>
            </w:r>
            <w:r>
              <w:rPr>
                <w:bCs/>
              </w:rPr>
              <w:t xml:space="preserve">should </w:t>
            </w:r>
            <w:r w:rsidRPr="00096146">
              <w:rPr>
                <w:bCs/>
              </w:rPr>
              <w:t>review its agenda for the advocacy function to ensure it includes a clear prioritisation of the advocacy and data research program, including: </w:t>
            </w:r>
          </w:p>
          <w:p w14:paraId="6FFCDA5F" w14:textId="77777777" w:rsidR="0009774C" w:rsidRPr="00096146" w:rsidRDefault="0009774C" w:rsidP="00676394">
            <w:pPr>
              <w:pStyle w:val="Boxbullet"/>
              <w:rPr>
                <w:bCs/>
              </w:rPr>
            </w:pPr>
            <w:r>
              <w:rPr>
                <w:bCs/>
              </w:rPr>
              <w:t>a</w:t>
            </w:r>
            <w:r w:rsidRPr="00096146">
              <w:rPr>
                <w:bCs/>
              </w:rPr>
              <w:t xml:space="preserve"> mechanism to gather intelligence from a broader range of small business stakeholders, including stakeholders representing small businesses run by women, First Nations people, members of multicultural communities; based in regional and remote areas</w:t>
            </w:r>
          </w:p>
          <w:p w14:paraId="525252EA" w14:textId="046CAE67" w:rsidR="0009774C" w:rsidRPr="00096146" w:rsidRDefault="0009774C" w:rsidP="00676394">
            <w:pPr>
              <w:pStyle w:val="Boxbullet"/>
              <w:rPr>
                <w:bCs/>
              </w:rPr>
            </w:pPr>
            <w:r>
              <w:rPr>
                <w:bCs/>
              </w:rPr>
              <w:t>a</w:t>
            </w:r>
            <w:r w:rsidRPr="00096146">
              <w:rPr>
                <w:bCs/>
              </w:rPr>
              <w:t xml:space="preserve"> re</w:t>
            </w:r>
            <w:r w:rsidR="003A0D5E">
              <w:noBreakHyphen/>
            </w:r>
            <w:r w:rsidRPr="00096146">
              <w:rPr>
                <w:bCs/>
              </w:rPr>
              <w:t xml:space="preserve">evaluation of the </w:t>
            </w:r>
            <w:r>
              <w:rPr>
                <w:bCs/>
              </w:rPr>
              <w:t>4</w:t>
            </w:r>
            <w:r w:rsidR="003A0D5E">
              <w:noBreakHyphen/>
            </w:r>
            <w:r w:rsidRPr="00096146">
              <w:rPr>
                <w:bCs/>
              </w:rPr>
              <w:t xml:space="preserve">pillar process, </w:t>
            </w:r>
            <w:r>
              <w:rPr>
                <w:bCs/>
              </w:rPr>
              <w:t>and development of</w:t>
            </w:r>
            <w:r w:rsidRPr="00096146">
              <w:rPr>
                <w:bCs/>
              </w:rPr>
              <w:t xml:space="preserve"> a methodology to enable prioritisation of key issues </w:t>
            </w:r>
            <w:r>
              <w:rPr>
                <w:bCs/>
              </w:rPr>
              <w:t>to</w:t>
            </w:r>
            <w:r w:rsidRPr="00096146">
              <w:rPr>
                <w:bCs/>
              </w:rPr>
              <w:t xml:space="preserve"> be addressed in the forward work plan, while accommodating emerging issues</w:t>
            </w:r>
          </w:p>
          <w:p w14:paraId="4A4348F2" w14:textId="77777777" w:rsidR="00787AAB" w:rsidRDefault="00787AAB" w:rsidP="00676394">
            <w:pPr>
              <w:pStyle w:val="Boxbullet"/>
              <w:rPr>
                <w:b/>
              </w:rPr>
            </w:pPr>
            <w:r>
              <w:t>e</w:t>
            </w:r>
            <w:r w:rsidRPr="00096146">
              <w:t xml:space="preserve">valuating advocacy activities by developing success measures that can be recorded and tracked by the </w:t>
            </w:r>
            <w:r w:rsidRPr="00916FA5">
              <w:rPr>
                <w:rFonts w:eastAsia="Calibri"/>
              </w:rPr>
              <w:t xml:space="preserve">Economic and Data Analytics </w:t>
            </w:r>
            <w:r>
              <w:rPr>
                <w:rFonts w:eastAsia="Calibri"/>
              </w:rPr>
              <w:t>t</w:t>
            </w:r>
            <w:r w:rsidRPr="00916FA5">
              <w:rPr>
                <w:rFonts w:eastAsia="Calibri"/>
              </w:rPr>
              <w:t>eam</w:t>
            </w:r>
            <w:r w:rsidRPr="00410E2A">
              <w:rPr>
                <w:rStyle w:val="Strong"/>
                <w:b w:val="0"/>
              </w:rPr>
              <w:t xml:space="preserve"> </w:t>
            </w:r>
            <w:r>
              <w:rPr>
                <w:rStyle w:val="Strong"/>
                <w:b w:val="0"/>
              </w:rPr>
              <w:t>(</w:t>
            </w:r>
            <w:r w:rsidRPr="00334789">
              <w:rPr>
                <w:rStyle w:val="Strong"/>
                <w:b w:val="0"/>
              </w:rPr>
              <w:t>Data team</w:t>
            </w:r>
            <w:r>
              <w:rPr>
                <w:rStyle w:val="Strong"/>
                <w:b w:val="0"/>
              </w:rPr>
              <w:t>)</w:t>
            </w:r>
            <w:r w:rsidRPr="00096146">
              <w:t>.</w:t>
            </w:r>
            <w:r w:rsidRPr="00283611">
              <w:rPr>
                <w:rFonts w:ascii="Arial" w:hAnsi="Arial" w:cs="Arial"/>
                <w:b/>
              </w:rPr>
              <w:t> </w:t>
            </w:r>
            <w:r w:rsidRPr="00283611">
              <w:rPr>
                <w:rFonts w:ascii="Aptos" w:hAnsi="Aptos" w:cs="Aptos"/>
                <w:b/>
              </w:rPr>
              <w:t> </w:t>
            </w:r>
          </w:p>
          <w:p w14:paraId="51912BEF" w14:textId="30E0D516" w:rsidR="00787AAB" w:rsidRPr="00833D5F" w:rsidRDefault="00787AAB" w:rsidP="00676394">
            <w:pPr>
              <w:pStyle w:val="BoxText"/>
              <w:rPr>
                <w:b/>
              </w:rPr>
            </w:pPr>
            <w:r>
              <w:t>T</w:t>
            </w:r>
            <w:r w:rsidRPr="0039078D">
              <w:t>he</w:t>
            </w:r>
            <w:r>
              <w:t xml:space="preserve"> Australian Government may also wish to e</w:t>
            </w:r>
            <w:r w:rsidRPr="00096146">
              <w:t>xplor</w:t>
            </w:r>
            <w:r>
              <w:t xml:space="preserve">e </w:t>
            </w:r>
            <w:r w:rsidRPr="00096146">
              <w:t>the possibility of issuing a Statement of Expectations to ASBFEO.</w:t>
            </w:r>
            <w:r w:rsidR="0009774C" w:rsidRPr="00096146">
              <w:rPr>
                <w:bCs/>
              </w:rPr>
              <w:t xml:space="preserve"> </w:t>
            </w:r>
          </w:p>
        </w:tc>
      </w:tr>
    </w:tbl>
    <w:p w14:paraId="4D11674D" w14:textId="60FC612F" w:rsidR="00C47726" w:rsidRPr="00C47726" w:rsidRDefault="00C47726" w:rsidP="00CE6FBD">
      <w:pPr>
        <w:pStyle w:val="Heading2"/>
      </w:pPr>
      <w:bookmarkStart w:id="26" w:name="_Toc199940937"/>
      <w:r w:rsidRPr="00C47726">
        <w:lastRenderedPageBreak/>
        <w:t xml:space="preserve">Reviewing </w:t>
      </w:r>
      <w:r w:rsidR="008D3F58">
        <w:t>p</w:t>
      </w:r>
      <w:r w:rsidRPr="00C47726">
        <w:t>roposals</w:t>
      </w:r>
      <w:bookmarkEnd w:id="26"/>
      <w:r w:rsidRPr="00C47726">
        <w:t>  </w:t>
      </w:r>
    </w:p>
    <w:p w14:paraId="2FB4DBC7" w14:textId="3007548E" w:rsidR="00C47726" w:rsidRPr="00C47726" w:rsidRDefault="00C47726" w:rsidP="00C47726">
      <w:r w:rsidRPr="002775C4">
        <w:rPr>
          <w:rStyle w:val="Strong"/>
        </w:rPr>
        <w:t>The ASBFEO Act provides the Ombudsman with the authority to review legislative proposals that impact small businesses.</w:t>
      </w:r>
      <w:r w:rsidRPr="00C47726">
        <w:rPr>
          <w:lang w:val="en-US"/>
        </w:rPr>
        <w:t xml:space="preserve"> </w:t>
      </w:r>
      <w:r w:rsidRPr="00C47726">
        <w:t>Over the 4</w:t>
      </w:r>
      <w:r w:rsidR="002775C4">
        <w:t> </w:t>
      </w:r>
      <w:r w:rsidRPr="00C47726">
        <w:t>years from 2020</w:t>
      </w:r>
      <w:r w:rsidR="00A57963" w:rsidRPr="00A57963">
        <w:t>–</w:t>
      </w:r>
      <w:r w:rsidR="006267C3">
        <w:t>20</w:t>
      </w:r>
      <w:r w:rsidRPr="00C47726">
        <w:t>21 to 2023</w:t>
      </w:r>
      <w:r w:rsidR="00A57963" w:rsidRPr="00A57963">
        <w:t>–</w:t>
      </w:r>
      <w:r w:rsidR="006267C3">
        <w:t>20</w:t>
      </w:r>
      <w:r w:rsidRPr="00C47726">
        <w:t xml:space="preserve">24, ASBFEO responded to approximately </w:t>
      </w:r>
      <w:r w:rsidR="00190FA2">
        <w:t>5</w:t>
      </w:r>
      <w:r w:rsidR="00190FA2" w:rsidRPr="00C47726">
        <w:t xml:space="preserve"> </w:t>
      </w:r>
      <w:r w:rsidRPr="00C47726">
        <w:t xml:space="preserve">requests each year to review proposals, however this has reduced significantly in the last </w:t>
      </w:r>
      <w:r w:rsidR="00190FA2">
        <w:t>2</w:t>
      </w:r>
      <w:r w:rsidR="00190FA2" w:rsidRPr="00C47726">
        <w:t xml:space="preserve"> </w:t>
      </w:r>
      <w:r w:rsidRPr="00C47726">
        <w:t>years</w:t>
      </w:r>
      <w:r w:rsidR="00916FA5">
        <w:t>.</w:t>
      </w:r>
      <w:r w:rsidR="00065357">
        <w:rPr>
          <w:rFonts w:ascii="ZWAdobeF" w:hAnsi="ZWAdobeF" w:cs="ZWAdobeF"/>
          <w:color w:val="auto"/>
          <w:sz w:val="2"/>
          <w:szCs w:val="2"/>
        </w:rPr>
        <w:t>44F</w:t>
      </w:r>
      <w:r w:rsidR="007617A3" w:rsidRPr="00985001">
        <w:rPr>
          <w:rStyle w:val="FootnoteReference"/>
          <w:sz w:val="22"/>
          <w:szCs w:val="22"/>
          <w:vertAlign w:val="superscript"/>
        </w:rPr>
        <w:footnoteReference w:id="46"/>
      </w:r>
      <w:r w:rsidR="00916FA5" w:rsidRPr="00985001">
        <w:rPr>
          <w:szCs w:val="22"/>
          <w:vertAlign w:val="superscript"/>
        </w:rPr>
        <w:t xml:space="preserve"> </w:t>
      </w:r>
    </w:p>
    <w:p w14:paraId="48601CDC" w14:textId="2B9C9F94" w:rsidR="00C47726" w:rsidRPr="00C47726" w:rsidRDefault="00C47726" w:rsidP="00C47726">
      <w:r w:rsidRPr="00676394">
        <w:rPr>
          <w:rStyle w:val="Strong"/>
        </w:rPr>
        <w:t xml:space="preserve">The </w:t>
      </w:r>
      <w:hyperlink r:id="rId44" w:tgtFrame="_blank" w:history="1">
        <w:r w:rsidRPr="00676394">
          <w:rPr>
            <w:rStyle w:val="Strong"/>
          </w:rPr>
          <w:t>Office of Impact Analysis (OIA</w:t>
        </w:r>
      </w:hyperlink>
      <w:r w:rsidRPr="00676394">
        <w:rPr>
          <w:rStyle w:val="Strong"/>
        </w:rPr>
        <w:t xml:space="preserve">) ensures </w:t>
      </w:r>
      <w:r w:rsidR="002D5AA7" w:rsidRPr="00676394">
        <w:rPr>
          <w:rStyle w:val="Strong"/>
        </w:rPr>
        <w:t xml:space="preserve">Australian </w:t>
      </w:r>
      <w:r w:rsidRPr="00676394">
        <w:rPr>
          <w:rStyle w:val="Strong"/>
        </w:rPr>
        <w:t>Government policy and decisions are supported by the best possible evidence and analysis.</w:t>
      </w:r>
      <w:r w:rsidRPr="00C47726">
        <w:rPr>
          <w:lang w:val="en-US"/>
        </w:rPr>
        <w:t xml:space="preserve"> The OIA is required to work with departments and agencies to produce detailed, evidence</w:t>
      </w:r>
      <w:r w:rsidR="00916FA5">
        <w:rPr>
          <w:lang w:val="en-US"/>
        </w:rPr>
        <w:noBreakHyphen/>
      </w:r>
      <w:r w:rsidRPr="00C47726">
        <w:rPr>
          <w:lang w:val="en-US"/>
        </w:rPr>
        <w:t xml:space="preserve">based assessments of complex policy issues. </w:t>
      </w:r>
      <w:r w:rsidRPr="00C47726">
        <w:t xml:space="preserve">The OIA also provides resources and training to the </w:t>
      </w:r>
      <w:r w:rsidR="00270162" w:rsidRPr="00916FA5">
        <w:rPr>
          <w:rFonts w:eastAsia="Calibri"/>
        </w:rPr>
        <w:t>Australian Public Service </w:t>
      </w:r>
      <w:r w:rsidR="00270162">
        <w:t>(</w:t>
      </w:r>
      <w:r w:rsidRPr="00623DF8">
        <w:rPr>
          <w:bCs/>
        </w:rPr>
        <w:t>APS</w:t>
      </w:r>
      <w:r w:rsidR="00270162">
        <w:t>)</w:t>
      </w:r>
      <w:r w:rsidRPr="00C47726">
        <w:t xml:space="preserve"> on impact analysis</w:t>
      </w:r>
      <w:r w:rsidR="00916FA5">
        <w:t xml:space="preserve">. </w:t>
      </w:r>
    </w:p>
    <w:p w14:paraId="2A400D46" w14:textId="311D8590" w:rsidR="00C47726" w:rsidRPr="00C47726" w:rsidRDefault="00C47726" w:rsidP="008D17DC">
      <w:pPr>
        <w:pStyle w:val="Heading3"/>
      </w:pPr>
      <w:bookmarkStart w:id="27" w:name="_Toc199940938"/>
      <w:r w:rsidRPr="00C47726">
        <w:rPr>
          <w:lang w:val="en-US"/>
        </w:rPr>
        <w:t>Stakeholder views</w:t>
      </w:r>
      <w:bookmarkEnd w:id="27"/>
      <w:r w:rsidRPr="00C47726">
        <w:t> </w:t>
      </w:r>
    </w:p>
    <w:p w14:paraId="7649F8BD" w14:textId="47261E66" w:rsidR="00C47726" w:rsidRPr="00C47726" w:rsidRDefault="00986086" w:rsidP="00C47726">
      <w:r w:rsidRPr="00676394">
        <w:rPr>
          <w:rStyle w:val="Strong"/>
        </w:rPr>
        <w:t xml:space="preserve">Some stakeholders, indicated a preference for ASBFEO to </w:t>
      </w:r>
      <w:r w:rsidR="00867CD3" w:rsidRPr="00676394">
        <w:rPr>
          <w:rStyle w:val="Strong"/>
        </w:rPr>
        <w:t xml:space="preserve">take </w:t>
      </w:r>
      <w:r w:rsidRPr="00676394">
        <w:rPr>
          <w:rStyle w:val="Strong"/>
        </w:rPr>
        <w:t xml:space="preserve">a more prominent role in advising the </w:t>
      </w:r>
      <w:r w:rsidR="00A22D0C" w:rsidRPr="00676394">
        <w:rPr>
          <w:rStyle w:val="Strong"/>
        </w:rPr>
        <w:t xml:space="preserve">Australian </w:t>
      </w:r>
      <w:r w:rsidRPr="00676394">
        <w:rPr>
          <w:rStyle w:val="Strong"/>
        </w:rPr>
        <w:t>Government on the impacts of all new regulations on small businesses.</w:t>
      </w:r>
      <w:r w:rsidR="00065357">
        <w:rPr>
          <w:rStyle w:val="Strong"/>
          <w:rFonts w:ascii="ZWAdobeF" w:hAnsi="ZWAdobeF" w:cs="ZWAdobeF"/>
          <w:b w:val="0"/>
          <w:color w:val="auto"/>
          <w:sz w:val="2"/>
          <w:szCs w:val="2"/>
        </w:rPr>
        <w:t>45F</w:t>
      </w:r>
      <w:r w:rsidR="00E77F5A" w:rsidRPr="00985001">
        <w:rPr>
          <w:rStyle w:val="FootnoteReference"/>
          <w:sz w:val="22"/>
          <w:szCs w:val="22"/>
          <w:vertAlign w:val="superscript"/>
          <w:lang w:val="en-US"/>
        </w:rPr>
        <w:footnoteReference w:id="47"/>
      </w:r>
      <w:r w:rsidR="00C47726" w:rsidRPr="00985001">
        <w:rPr>
          <w:szCs w:val="22"/>
          <w:vertAlign w:val="superscript"/>
          <w:lang w:val="en-US"/>
        </w:rPr>
        <w:t xml:space="preserve"> </w:t>
      </w:r>
      <w:r w:rsidR="00137474" w:rsidRPr="07743E67">
        <w:rPr>
          <w:lang w:val="en-US"/>
        </w:rPr>
        <w:t xml:space="preserve">ASBFEO </w:t>
      </w:r>
      <w:r w:rsidR="00137474">
        <w:rPr>
          <w:lang w:val="en-US"/>
        </w:rPr>
        <w:t>also</w:t>
      </w:r>
      <w:r w:rsidR="00137474" w:rsidRPr="07743E67">
        <w:rPr>
          <w:lang w:val="en-US"/>
        </w:rPr>
        <w:t xml:space="preserve"> made representations as part of this </w:t>
      </w:r>
      <w:r w:rsidR="00A22D0C">
        <w:rPr>
          <w:lang w:val="en-US"/>
        </w:rPr>
        <w:t>R</w:t>
      </w:r>
      <w:r w:rsidR="00137474" w:rsidRPr="07743E67">
        <w:rPr>
          <w:lang w:val="en-US"/>
        </w:rPr>
        <w:t xml:space="preserve">eview that </w:t>
      </w:r>
      <w:r w:rsidR="00A22D0C">
        <w:rPr>
          <w:lang w:val="en-US"/>
        </w:rPr>
        <w:t>it</w:t>
      </w:r>
      <w:r w:rsidR="00A22D0C" w:rsidRPr="07743E67">
        <w:rPr>
          <w:lang w:val="en-US"/>
        </w:rPr>
        <w:t xml:space="preserve"> </w:t>
      </w:r>
      <w:r w:rsidR="00137474" w:rsidRPr="07743E67">
        <w:rPr>
          <w:lang w:val="en-US"/>
        </w:rPr>
        <w:t xml:space="preserve">should be embedded within the regulatory impact analysis process and be involved in the early development of new </w:t>
      </w:r>
      <w:r w:rsidR="00867CD3">
        <w:rPr>
          <w:lang w:val="en-US"/>
        </w:rPr>
        <w:t>p</w:t>
      </w:r>
      <w:r w:rsidR="00137474" w:rsidRPr="07743E67">
        <w:rPr>
          <w:lang w:val="en-US"/>
        </w:rPr>
        <w:t xml:space="preserve">olicy </w:t>
      </w:r>
      <w:r w:rsidR="00867CD3">
        <w:rPr>
          <w:lang w:val="en-US"/>
        </w:rPr>
        <w:t>p</w:t>
      </w:r>
      <w:r w:rsidR="00137474" w:rsidRPr="07743E67">
        <w:rPr>
          <w:lang w:val="en-US"/>
        </w:rPr>
        <w:t>roposal</w:t>
      </w:r>
      <w:r w:rsidR="00867CD3">
        <w:rPr>
          <w:lang w:val="en-US"/>
        </w:rPr>
        <w:t>s</w:t>
      </w:r>
      <w:r w:rsidR="00137474" w:rsidRPr="07743E67">
        <w:rPr>
          <w:lang w:val="en-US"/>
        </w:rPr>
        <w:t xml:space="preserve"> and </w:t>
      </w:r>
      <w:r w:rsidR="00D86334">
        <w:rPr>
          <w:lang w:val="en-US"/>
        </w:rPr>
        <w:t>c</w:t>
      </w:r>
      <w:r w:rsidR="00137474" w:rsidRPr="07743E67">
        <w:rPr>
          <w:lang w:val="en-US"/>
        </w:rPr>
        <w:t>abinet coordination processes.</w:t>
      </w:r>
      <w:r w:rsidR="00065357">
        <w:rPr>
          <w:rFonts w:ascii="ZWAdobeF" w:hAnsi="ZWAdobeF" w:cs="ZWAdobeF"/>
          <w:color w:val="auto"/>
          <w:sz w:val="2"/>
          <w:szCs w:val="2"/>
          <w:lang w:val="en-US"/>
        </w:rPr>
        <w:t>46F</w:t>
      </w:r>
      <w:r w:rsidR="00A402D2" w:rsidRPr="00985001">
        <w:rPr>
          <w:rStyle w:val="FootnoteReference"/>
          <w:sz w:val="22"/>
          <w:szCs w:val="22"/>
          <w:vertAlign w:val="superscript"/>
          <w:lang w:val="en-US"/>
        </w:rPr>
        <w:footnoteReference w:id="48"/>
      </w:r>
    </w:p>
    <w:p w14:paraId="0ED8615A" w14:textId="403BCA42" w:rsidR="00C47726" w:rsidRPr="00C47726" w:rsidRDefault="00C47726" w:rsidP="00C47726">
      <w:r w:rsidRPr="00C47726">
        <w:rPr>
          <w:lang w:val="en-US"/>
        </w:rPr>
        <w:t xml:space="preserve">Small Business Matters recommended that ASBFEO should be engaged to ensure the views and challenges facing small businesses are more consistently reflected in policy design. </w:t>
      </w:r>
      <w:r w:rsidR="008D3F58">
        <w:rPr>
          <w:lang w:val="en-US"/>
        </w:rPr>
        <w:t>It</w:t>
      </w:r>
      <w:r w:rsidR="008D3F58" w:rsidRPr="00C47726">
        <w:rPr>
          <w:lang w:val="en-US"/>
        </w:rPr>
        <w:t xml:space="preserve"> </w:t>
      </w:r>
      <w:r w:rsidRPr="00C47726">
        <w:rPr>
          <w:lang w:val="en-US"/>
        </w:rPr>
        <w:t>suggested that ASBFEO should be adequately funded to train bureaucrats involved in small business policy development</w:t>
      </w:r>
      <w:r w:rsidR="00102574">
        <w:rPr>
          <w:lang w:val="en-US"/>
        </w:rPr>
        <w:t xml:space="preserve">. It also suggested </w:t>
      </w:r>
      <w:r w:rsidRPr="00C47726">
        <w:rPr>
          <w:lang w:val="en-US"/>
        </w:rPr>
        <w:t>ASBFEO develop</w:t>
      </w:r>
      <w:r w:rsidR="00102574">
        <w:rPr>
          <w:lang w:val="en-US"/>
        </w:rPr>
        <w:t>s</w:t>
      </w:r>
      <w:r w:rsidRPr="00C47726">
        <w:rPr>
          <w:lang w:val="en-US"/>
        </w:rPr>
        <w:t xml:space="preserve"> and lead</w:t>
      </w:r>
      <w:r w:rsidR="00102574">
        <w:rPr>
          <w:lang w:val="en-US"/>
        </w:rPr>
        <w:t>s</w:t>
      </w:r>
      <w:r w:rsidRPr="00C47726">
        <w:rPr>
          <w:lang w:val="en-US"/>
        </w:rPr>
        <w:t xml:space="preserve"> a team of internal small business advis</w:t>
      </w:r>
      <w:r w:rsidR="00AB4422">
        <w:rPr>
          <w:lang w:val="en-US"/>
        </w:rPr>
        <w:t>e</w:t>
      </w:r>
      <w:r w:rsidRPr="00C47726">
        <w:rPr>
          <w:lang w:val="en-US"/>
        </w:rPr>
        <w:t>rs within all major departments to represent small business needs.</w:t>
      </w:r>
      <w:r w:rsidRPr="00C47726">
        <w:t> </w:t>
      </w:r>
    </w:p>
    <w:p w14:paraId="1E1B6262" w14:textId="77777777" w:rsidR="00C47726" w:rsidRPr="00C47726" w:rsidRDefault="00C47726" w:rsidP="008D17DC">
      <w:pPr>
        <w:pStyle w:val="Heading3"/>
      </w:pPr>
      <w:bookmarkStart w:id="28" w:name="_Toc199940939"/>
      <w:r w:rsidRPr="00C47726">
        <w:rPr>
          <w:lang w:val="en-US"/>
        </w:rPr>
        <w:t>Analysis</w:t>
      </w:r>
      <w:bookmarkEnd w:id="28"/>
      <w:r w:rsidRPr="00C47726">
        <w:t> </w:t>
      </w:r>
    </w:p>
    <w:p w14:paraId="012F302B" w14:textId="7EBB34AA" w:rsidR="00C47726" w:rsidRPr="00C47726" w:rsidRDefault="00C47726" w:rsidP="00C47726">
      <w:r w:rsidRPr="00676394">
        <w:rPr>
          <w:rStyle w:val="Strong"/>
        </w:rPr>
        <w:t xml:space="preserve">The McCluskey Review suggested that agencies developing a proposal that may impact small businesses should be encouraged to contact the ASBFEO as part of the impact analysis process. </w:t>
      </w:r>
      <w:r w:rsidRPr="00C47726">
        <w:rPr>
          <w:lang w:val="en-US"/>
        </w:rPr>
        <w:t xml:space="preserve">The McCluskey Review also suggested that the ASBFEO could work with agencies to evaluate policies that significantly impact small businesses and make recommendations for their improvement. These activities formed part of one of the McCluskey Review recommendations. </w:t>
      </w:r>
    </w:p>
    <w:p w14:paraId="0A57A044" w14:textId="0775BFE4" w:rsidR="00C47726" w:rsidRPr="000C0C70" w:rsidRDefault="002F3F7E" w:rsidP="00C47726">
      <w:pPr>
        <w:rPr>
          <w:rStyle w:val="Emphasis"/>
        </w:rPr>
      </w:pPr>
      <w:r>
        <w:rPr>
          <w:rStyle w:val="Emphasis"/>
        </w:rPr>
        <w:t>‘</w:t>
      </w:r>
      <w:r w:rsidR="00C47726" w:rsidRPr="000C0C70">
        <w:rPr>
          <w:rStyle w:val="Emphasis"/>
        </w:rPr>
        <w:t>ASBFEO should bolster its input into policy and legislation that affects small businesses and family enterprises, including through training, secondments, consultation and evaluation</w:t>
      </w:r>
      <w:r w:rsidR="006229F6">
        <w:rPr>
          <w:rStyle w:val="Emphasis"/>
        </w:rPr>
        <w:t>.’</w:t>
      </w:r>
      <w:r w:rsidR="00065357">
        <w:rPr>
          <w:rStyle w:val="Emphasis"/>
          <w:rFonts w:ascii="ZWAdobeF" w:hAnsi="ZWAdobeF" w:cs="ZWAdobeF"/>
          <w:i w:val="0"/>
          <w:color w:val="auto"/>
          <w:sz w:val="2"/>
          <w:szCs w:val="2"/>
        </w:rPr>
        <w:t>47F</w:t>
      </w:r>
      <w:r w:rsidR="00FE35A9" w:rsidRPr="00336DAA">
        <w:rPr>
          <w:rStyle w:val="FootnoteReference"/>
          <w:i/>
          <w:iCs/>
          <w:sz w:val="22"/>
          <w:szCs w:val="22"/>
          <w:vertAlign w:val="superscript"/>
        </w:rPr>
        <w:footnoteReference w:id="49"/>
      </w:r>
      <w:r w:rsidR="00C47726" w:rsidRPr="00336DAA">
        <w:rPr>
          <w:rStyle w:val="Emphasis"/>
          <w:szCs w:val="22"/>
          <w:vertAlign w:val="superscript"/>
        </w:rPr>
        <w:t xml:space="preserve"> </w:t>
      </w:r>
    </w:p>
    <w:p w14:paraId="36D2E331" w14:textId="5F777691" w:rsidR="00FB126F" w:rsidRDefault="00E162ED" w:rsidP="00C47726">
      <w:pPr>
        <w:rPr>
          <w:b/>
          <w:bCs/>
          <w:lang w:val="en-US"/>
        </w:rPr>
      </w:pPr>
      <w:r w:rsidRPr="003E733F">
        <w:rPr>
          <w:rStyle w:val="Strong"/>
        </w:rPr>
        <w:lastRenderedPageBreak/>
        <w:t>Th</w:t>
      </w:r>
      <w:r w:rsidR="00ED49F6" w:rsidRPr="003E733F">
        <w:rPr>
          <w:rStyle w:val="Strong"/>
        </w:rPr>
        <w:t>e</w:t>
      </w:r>
      <w:r w:rsidRPr="003E733F">
        <w:rPr>
          <w:rStyle w:val="Strong"/>
        </w:rPr>
        <w:t xml:space="preserve"> Review </w:t>
      </w:r>
      <w:r w:rsidR="00ED49F6" w:rsidRPr="003E733F">
        <w:rPr>
          <w:rStyle w:val="Strong"/>
        </w:rPr>
        <w:t>team</w:t>
      </w:r>
      <w:r w:rsidRPr="003E733F">
        <w:rPr>
          <w:rStyle w:val="Strong"/>
        </w:rPr>
        <w:t xml:space="preserve"> understands the </w:t>
      </w:r>
      <w:r w:rsidR="00FC7955" w:rsidRPr="003E733F">
        <w:rPr>
          <w:rStyle w:val="Strong"/>
        </w:rPr>
        <w:t>OIA</w:t>
      </w:r>
      <w:r w:rsidRPr="003E733F">
        <w:rPr>
          <w:rStyle w:val="Strong"/>
        </w:rPr>
        <w:t xml:space="preserve"> is responsible for evaluating the impact analysis conducted by </w:t>
      </w:r>
      <w:r w:rsidR="00E333D8" w:rsidRPr="003E733F">
        <w:rPr>
          <w:rStyle w:val="Strong"/>
        </w:rPr>
        <w:t xml:space="preserve">Australian Government </w:t>
      </w:r>
      <w:r w:rsidRPr="003E733F">
        <w:rPr>
          <w:rStyle w:val="Strong"/>
        </w:rPr>
        <w:t xml:space="preserve">departments. </w:t>
      </w:r>
      <w:r>
        <w:t xml:space="preserve">There is a concern that involving ASBFEO in this process might not align with the ASBFEO Act, which aims to avoid duplicating efforts. While some policies might be developed without understanding the impact on small businesses, leading to unintended consequences and increased costs, requiring ASBFEO to review all proposals may not necessarily prevent this issue. It still depends on the initial identification of potential impacts by the agency developing the </w:t>
      </w:r>
      <w:r w:rsidR="00CE5B6B">
        <w:t>proposal.</w:t>
      </w:r>
      <w:r w:rsidR="00CE5B6B" w:rsidRPr="002D7F86">
        <w:rPr>
          <w:b/>
          <w:bCs/>
          <w:lang w:val="en-US"/>
        </w:rPr>
        <w:t xml:space="preserve"> </w:t>
      </w:r>
    </w:p>
    <w:p w14:paraId="07B3893B" w14:textId="022110B9" w:rsidR="0021022C" w:rsidRDefault="00CE5B6B" w:rsidP="00C47726">
      <w:pPr>
        <w:rPr>
          <w:lang w:val="en-US"/>
        </w:rPr>
      </w:pPr>
      <w:r w:rsidRPr="003E733F">
        <w:rPr>
          <w:rStyle w:val="Strong"/>
        </w:rPr>
        <w:t>Developing</w:t>
      </w:r>
      <w:r w:rsidR="00697403" w:rsidRPr="003E733F">
        <w:rPr>
          <w:rStyle w:val="Strong"/>
        </w:rPr>
        <w:t xml:space="preserve"> a practical guide on the impact of regulation on small businesses could support agencies when developing new policies.</w:t>
      </w:r>
      <w:r w:rsidR="00697403" w:rsidRPr="002D7F86">
        <w:rPr>
          <w:b/>
          <w:bCs/>
          <w:lang w:val="en-US"/>
        </w:rPr>
        <w:t xml:space="preserve"> </w:t>
      </w:r>
      <w:r w:rsidR="00B86A63" w:rsidRPr="00B86A63">
        <w:rPr>
          <w:lang w:val="en-US"/>
        </w:rPr>
        <w:t xml:space="preserve">This may </w:t>
      </w:r>
      <w:r w:rsidR="00095987">
        <w:rPr>
          <w:lang w:val="en-US"/>
        </w:rPr>
        <w:t>help</w:t>
      </w:r>
      <w:r w:rsidR="00095987" w:rsidRPr="00B224AA">
        <w:rPr>
          <w:lang w:val="en-US"/>
        </w:rPr>
        <w:t xml:space="preserve"> agencies developing new proposals to better understand and </w:t>
      </w:r>
      <w:proofErr w:type="spellStart"/>
      <w:r w:rsidR="00095987" w:rsidRPr="00B224AA">
        <w:rPr>
          <w:lang w:val="en-US"/>
        </w:rPr>
        <w:t>analyse</w:t>
      </w:r>
      <w:proofErr w:type="spellEnd"/>
      <w:r w:rsidR="00095987" w:rsidRPr="00B224AA">
        <w:rPr>
          <w:lang w:val="en-US"/>
        </w:rPr>
        <w:t xml:space="preserve"> the </w:t>
      </w:r>
      <w:r w:rsidR="00095987">
        <w:rPr>
          <w:lang w:val="en-US"/>
        </w:rPr>
        <w:t>effe</w:t>
      </w:r>
      <w:r w:rsidR="00095987" w:rsidRPr="00B224AA">
        <w:rPr>
          <w:lang w:val="en-US"/>
        </w:rPr>
        <w:t>cts of a proposal or regulatory change on a small business</w:t>
      </w:r>
      <w:r w:rsidR="0021022C">
        <w:rPr>
          <w:lang w:val="en-US"/>
        </w:rPr>
        <w:t>.</w:t>
      </w:r>
    </w:p>
    <w:p w14:paraId="18AD0112" w14:textId="77777777" w:rsidR="009D06E1" w:rsidRPr="00946B4F" w:rsidRDefault="009D06E1" w:rsidP="009D06E1">
      <w:pPr>
        <w:pStyle w:val="Heading3"/>
        <w:rPr>
          <w:lang w:val="en-US"/>
        </w:rPr>
      </w:pPr>
      <w:bookmarkStart w:id="30" w:name="_Toc199940940"/>
      <w:r>
        <w:rPr>
          <w:lang w:val="en-US"/>
        </w:rPr>
        <w:t>Observation</w:t>
      </w:r>
      <w:bookmarkEnd w:id="30"/>
    </w:p>
    <w:tbl>
      <w:tblPr>
        <w:tblStyle w:val="BoxStyle"/>
        <w:tblW w:w="5000" w:type="pct"/>
        <w:shd w:val="clear" w:color="auto" w:fill="F4F0EC"/>
        <w:tblLook w:val="0620" w:firstRow="1" w:lastRow="0" w:firstColumn="0" w:lastColumn="0" w:noHBand="1" w:noVBand="1"/>
      </w:tblPr>
      <w:tblGrid>
        <w:gridCol w:w="9070"/>
      </w:tblGrid>
      <w:tr w:rsidR="003F12D5" w14:paraId="498106E7" w14:textId="77777777" w:rsidTr="006C6345">
        <w:tc>
          <w:tcPr>
            <w:tcW w:w="5000" w:type="pct"/>
            <w:shd w:val="clear" w:color="auto" w:fill="F4F0EC"/>
            <w:hideMark/>
          </w:tcPr>
          <w:p w14:paraId="748C680F" w14:textId="3D89BB1A" w:rsidR="003F12D5" w:rsidRPr="00833D5F" w:rsidRDefault="003F12D5" w:rsidP="003E733F">
            <w:pPr>
              <w:pStyle w:val="BoxText"/>
              <w:rPr>
                <w:b/>
                <w:bCs/>
              </w:rPr>
            </w:pPr>
            <w:r w:rsidRPr="003F12D5">
              <w:rPr>
                <w:rStyle w:val="Strong"/>
              </w:rPr>
              <w:t>Observation 1:</w:t>
            </w:r>
            <w:r w:rsidRPr="00946B4F">
              <w:rPr>
                <w:lang w:val="en-US"/>
              </w:rPr>
              <w:t xml:space="preserve"> </w:t>
            </w:r>
            <w:r w:rsidRPr="00B86A63">
              <w:rPr>
                <w:lang w:val="en-US"/>
              </w:rPr>
              <w:t xml:space="preserve">ASBFEO </w:t>
            </w:r>
            <w:r>
              <w:rPr>
                <w:lang w:val="en-US"/>
              </w:rPr>
              <w:t xml:space="preserve">– </w:t>
            </w:r>
            <w:r w:rsidRPr="00B86A63">
              <w:rPr>
                <w:lang w:val="en-US"/>
              </w:rPr>
              <w:t xml:space="preserve">in conjunction with the </w:t>
            </w:r>
            <w:r w:rsidR="00AC6420" w:rsidRPr="00B86A63">
              <w:rPr>
                <w:bCs/>
                <w:lang w:val="en-US"/>
              </w:rPr>
              <w:t>O</w:t>
            </w:r>
            <w:r w:rsidR="00AC6420">
              <w:rPr>
                <w:bCs/>
                <w:lang w:val="en-US"/>
              </w:rPr>
              <w:t xml:space="preserve">ffice of </w:t>
            </w:r>
            <w:r w:rsidR="00AC6420" w:rsidRPr="00B86A63">
              <w:rPr>
                <w:bCs/>
                <w:lang w:val="en-US"/>
              </w:rPr>
              <w:t>I</w:t>
            </w:r>
            <w:r w:rsidR="00AC6420">
              <w:rPr>
                <w:bCs/>
                <w:lang w:val="en-US"/>
              </w:rPr>
              <w:t xml:space="preserve">mpact </w:t>
            </w:r>
            <w:r w:rsidR="00AC6420" w:rsidRPr="00B86A63">
              <w:rPr>
                <w:bCs/>
                <w:lang w:val="en-US"/>
              </w:rPr>
              <w:t>A</w:t>
            </w:r>
            <w:r w:rsidR="00AC6420">
              <w:rPr>
                <w:bCs/>
                <w:lang w:val="en-US"/>
              </w:rPr>
              <w:t>nalysis</w:t>
            </w:r>
            <w:r w:rsidRPr="00B86A63">
              <w:rPr>
                <w:lang w:val="en-US"/>
              </w:rPr>
              <w:t xml:space="preserve"> and Treasury </w:t>
            </w:r>
            <w:r>
              <w:rPr>
                <w:lang w:val="en-US"/>
              </w:rPr>
              <w:t xml:space="preserve">– </w:t>
            </w:r>
            <w:r w:rsidRPr="00B86A63">
              <w:rPr>
                <w:lang w:val="en-US"/>
              </w:rPr>
              <w:t>may wish to consider if the development and publication of a practical guide on small business impact analysis would be an efficient way to improve the consistency of analysis.</w:t>
            </w:r>
          </w:p>
        </w:tc>
      </w:tr>
    </w:tbl>
    <w:p w14:paraId="18912C77" w14:textId="075B1D15" w:rsidR="00C47726" w:rsidRPr="00C47726" w:rsidRDefault="00C47726" w:rsidP="00513311">
      <w:pPr>
        <w:pStyle w:val="Heading2"/>
      </w:pPr>
      <w:bookmarkStart w:id="31" w:name="_Toc199940941"/>
      <w:r w:rsidRPr="00C47726">
        <w:rPr>
          <w:lang w:val="en-US"/>
        </w:rPr>
        <w:t xml:space="preserve">ASBFEO Data </w:t>
      </w:r>
      <w:r w:rsidR="00443299">
        <w:rPr>
          <w:lang w:val="en-US"/>
        </w:rPr>
        <w:t>t</w:t>
      </w:r>
      <w:r w:rsidRPr="00C47726">
        <w:rPr>
          <w:lang w:val="en-US"/>
        </w:rPr>
        <w:t>eam</w:t>
      </w:r>
      <w:bookmarkEnd w:id="31"/>
      <w:r w:rsidRPr="00C47726">
        <w:t> </w:t>
      </w:r>
    </w:p>
    <w:p w14:paraId="1463999D" w14:textId="72877425" w:rsidR="00C47726" w:rsidRPr="00C47726" w:rsidRDefault="00C47726" w:rsidP="00C47726">
      <w:r w:rsidRPr="003E733F">
        <w:rPr>
          <w:rStyle w:val="Strong"/>
        </w:rPr>
        <w:t xml:space="preserve">The </w:t>
      </w:r>
      <w:r w:rsidR="000979FB" w:rsidRPr="003E733F">
        <w:rPr>
          <w:rStyle w:val="Strong"/>
        </w:rPr>
        <w:t>D</w:t>
      </w:r>
      <w:r w:rsidRPr="003E733F">
        <w:rPr>
          <w:rStyle w:val="Strong"/>
        </w:rPr>
        <w:t xml:space="preserve">ata </w:t>
      </w:r>
      <w:r w:rsidR="00443299" w:rsidRPr="003E733F">
        <w:rPr>
          <w:rStyle w:val="Strong"/>
        </w:rPr>
        <w:t>t</w:t>
      </w:r>
      <w:r w:rsidRPr="003E733F">
        <w:rPr>
          <w:rStyle w:val="Strong"/>
        </w:rPr>
        <w:t>eam</w:t>
      </w:r>
      <w:r w:rsidR="00916FA5">
        <w:rPr>
          <w:rStyle w:val="Strong"/>
        </w:rPr>
        <w:t>’</w:t>
      </w:r>
      <w:r w:rsidRPr="003E733F">
        <w:rPr>
          <w:rStyle w:val="Strong"/>
        </w:rPr>
        <w:t>s work supports several activities within the advocacy space</w:t>
      </w:r>
      <w:r w:rsidR="0045542E" w:rsidRPr="003E733F">
        <w:rPr>
          <w:rStyle w:val="Strong"/>
        </w:rPr>
        <w:t>.</w:t>
      </w:r>
      <w:r w:rsidR="0045542E">
        <w:rPr>
          <w:lang w:val="en-US"/>
        </w:rPr>
        <w:t xml:space="preserve"> These</w:t>
      </w:r>
      <w:r w:rsidRPr="00C47726">
        <w:rPr>
          <w:lang w:val="en-US"/>
        </w:rPr>
        <w:t xml:space="preserve"> includ</w:t>
      </w:r>
      <w:r w:rsidR="0045542E">
        <w:rPr>
          <w:lang w:val="en-US"/>
        </w:rPr>
        <w:t>e</w:t>
      </w:r>
      <w:r w:rsidR="00423403">
        <w:rPr>
          <w:lang w:val="en-US"/>
        </w:rPr>
        <w:t xml:space="preserve"> </w:t>
      </w:r>
      <w:r w:rsidRPr="00C47726">
        <w:rPr>
          <w:lang w:val="en-US"/>
        </w:rPr>
        <w:t>the Data Portal housed on the ASBFEO website, the ASBFEO</w:t>
      </w:r>
      <w:r w:rsidR="00916FA5">
        <w:rPr>
          <w:lang w:val="en-US"/>
        </w:rPr>
        <w:t>’</w:t>
      </w:r>
      <w:r w:rsidRPr="00C47726">
        <w:rPr>
          <w:lang w:val="en-US"/>
        </w:rPr>
        <w:t>s Small Business Matters report</w:t>
      </w:r>
      <w:r w:rsidR="00423403">
        <w:rPr>
          <w:lang w:val="en-US"/>
        </w:rPr>
        <w:t>,</w:t>
      </w:r>
      <w:r w:rsidRPr="00C47726">
        <w:rPr>
          <w:lang w:val="en-US"/>
        </w:rPr>
        <w:t xml:space="preserve"> and the ASBFEO</w:t>
      </w:r>
      <w:r w:rsidR="00916FA5">
        <w:rPr>
          <w:lang w:val="en-US"/>
        </w:rPr>
        <w:t>’</w:t>
      </w:r>
      <w:r w:rsidRPr="00C47726">
        <w:rPr>
          <w:lang w:val="en-US"/>
        </w:rPr>
        <w:t>s Small Business Pulse</w:t>
      </w:r>
      <w:r w:rsidR="00916FA5">
        <w:rPr>
          <w:lang w:val="en-US"/>
        </w:rPr>
        <w:t>.</w:t>
      </w:r>
    </w:p>
    <w:p w14:paraId="4C08E158" w14:textId="2A8D9E2C" w:rsidR="00C47726" w:rsidRPr="00C47726" w:rsidRDefault="00C47726" w:rsidP="000C0C70">
      <w:pPr>
        <w:pStyle w:val="Bullet"/>
      </w:pPr>
      <w:r w:rsidRPr="00C47726">
        <w:rPr>
          <w:lang w:val="en-US"/>
        </w:rPr>
        <w:t xml:space="preserve">The Small Business Data Portal </w:t>
      </w:r>
      <w:r w:rsidR="00316FAF">
        <w:rPr>
          <w:lang w:val="en-US"/>
        </w:rPr>
        <w:t xml:space="preserve">holds </w:t>
      </w:r>
      <w:r w:rsidRPr="00C47726">
        <w:rPr>
          <w:lang w:val="en-US"/>
        </w:rPr>
        <w:t>statistics for small businesses regarding their contribution to Australia</w:t>
      </w:r>
      <w:r w:rsidR="003F3DF1">
        <w:rPr>
          <w:lang w:val="en-US"/>
        </w:rPr>
        <w:t>’s</w:t>
      </w:r>
      <w:r w:rsidRPr="00C47726">
        <w:rPr>
          <w:lang w:val="en-US"/>
        </w:rPr>
        <w:t xml:space="preserve"> economy. </w:t>
      </w:r>
      <w:r w:rsidR="003F3DF1">
        <w:rPr>
          <w:lang w:val="en-US"/>
        </w:rPr>
        <w:t>Statistics</w:t>
      </w:r>
      <w:r w:rsidR="003F3DF1" w:rsidRPr="00C47726">
        <w:rPr>
          <w:lang w:val="en-US"/>
        </w:rPr>
        <w:t xml:space="preserve"> </w:t>
      </w:r>
      <w:r w:rsidRPr="00C47726">
        <w:rPr>
          <w:lang w:val="en-US"/>
        </w:rPr>
        <w:t>includes contribution to employment and gross domestic product, as well as other commonly sought data points created by drawing on data from the Australian Bureau of Statistics (</w:t>
      </w:r>
      <w:r w:rsidRPr="00867081">
        <w:rPr>
          <w:rStyle w:val="Strong"/>
          <w:b w:val="0"/>
        </w:rPr>
        <w:t>ABS</w:t>
      </w:r>
      <w:r w:rsidRPr="00C47726">
        <w:rPr>
          <w:lang w:val="en-US"/>
        </w:rPr>
        <w:t>) and the National Centre for Vocational Education Research and supported by calculations by ASBFEO</w:t>
      </w:r>
      <w:r w:rsidR="00916FA5">
        <w:rPr>
          <w:lang w:val="en-US"/>
        </w:rPr>
        <w:t>.</w:t>
      </w:r>
    </w:p>
    <w:p w14:paraId="0BB9C77C" w14:textId="2B5B3C87" w:rsidR="00C47726" w:rsidRPr="00C47726" w:rsidRDefault="00C47726" w:rsidP="000C0C70">
      <w:pPr>
        <w:pStyle w:val="Bullet"/>
      </w:pPr>
      <w:r w:rsidRPr="00C47726">
        <w:rPr>
          <w:lang w:val="en-US"/>
        </w:rPr>
        <w:t>ASBFEO</w:t>
      </w:r>
      <w:r w:rsidR="00916FA5">
        <w:rPr>
          <w:lang w:val="en-US"/>
        </w:rPr>
        <w:t>’</w:t>
      </w:r>
      <w:r w:rsidRPr="00C47726">
        <w:rPr>
          <w:lang w:val="en-US"/>
        </w:rPr>
        <w:t>s Small Business Matters report presents the type of data points on the portal in an easy</w:t>
      </w:r>
      <w:r w:rsidR="003A0D5E">
        <w:rPr>
          <w:lang w:val="en-US"/>
        </w:rPr>
        <w:noBreakHyphen/>
      </w:r>
      <w:r w:rsidRPr="00C47726">
        <w:rPr>
          <w:lang w:val="en-US"/>
        </w:rPr>
        <w:t>to</w:t>
      </w:r>
      <w:r w:rsidR="003A0D5E">
        <w:rPr>
          <w:lang w:val="en-US"/>
        </w:rPr>
        <w:noBreakHyphen/>
      </w:r>
      <w:r w:rsidRPr="00C47726">
        <w:rPr>
          <w:lang w:val="en-US"/>
        </w:rPr>
        <w:t>read consolidated format with graphs</w:t>
      </w:r>
      <w:r w:rsidR="00916FA5">
        <w:rPr>
          <w:lang w:val="en-US"/>
        </w:rPr>
        <w:t>.</w:t>
      </w:r>
    </w:p>
    <w:p w14:paraId="7126A3B4" w14:textId="23DC55D8" w:rsidR="00C47726" w:rsidRPr="00C47726" w:rsidRDefault="00C47726" w:rsidP="000C0C70">
      <w:pPr>
        <w:pStyle w:val="Bullet"/>
      </w:pPr>
      <w:r w:rsidRPr="00C47726">
        <w:rPr>
          <w:lang w:val="en-US"/>
        </w:rPr>
        <w:t>ASBFEO Small Business Pulse reports the quarterly change in an index designed by ASBFEO to provide early insights into small business sentiment</w:t>
      </w:r>
      <w:r w:rsidR="00916FA5">
        <w:rPr>
          <w:lang w:val="en-US"/>
        </w:rPr>
        <w:t>.</w:t>
      </w:r>
    </w:p>
    <w:p w14:paraId="7263316A" w14:textId="235D8D02" w:rsidR="00C47726" w:rsidRPr="00C47726" w:rsidRDefault="0089324C" w:rsidP="00C47726">
      <w:r w:rsidRPr="00FB21EE">
        <w:rPr>
          <w:rStyle w:val="Strong"/>
        </w:rPr>
        <w:t xml:space="preserve">The </w:t>
      </w:r>
      <w:r w:rsidR="000014D0" w:rsidRPr="00FB21EE">
        <w:rPr>
          <w:rStyle w:val="Strong"/>
        </w:rPr>
        <w:t>D</w:t>
      </w:r>
      <w:r w:rsidRPr="00FB21EE">
        <w:rPr>
          <w:rStyle w:val="Strong"/>
        </w:rPr>
        <w:t xml:space="preserve">ata </w:t>
      </w:r>
      <w:r w:rsidR="000D594E" w:rsidRPr="00FB21EE">
        <w:rPr>
          <w:rStyle w:val="Strong"/>
        </w:rPr>
        <w:t>t</w:t>
      </w:r>
      <w:r w:rsidRPr="00FB21EE">
        <w:rPr>
          <w:rStyle w:val="Strong"/>
        </w:rPr>
        <w:t xml:space="preserve">eam uses diverse sources, including ABS, </w:t>
      </w:r>
      <w:r w:rsidR="008046F9" w:rsidRPr="00FB21EE">
        <w:rPr>
          <w:rStyle w:val="Strong"/>
        </w:rPr>
        <w:t>Organisation for Economic Co</w:t>
      </w:r>
      <w:r w:rsidR="003A0D5E">
        <w:rPr>
          <w:rStyle w:val="Strong"/>
        </w:rPr>
        <w:noBreakHyphen/>
      </w:r>
      <w:r w:rsidR="008046F9" w:rsidRPr="00FB21EE">
        <w:rPr>
          <w:rStyle w:val="Strong"/>
        </w:rPr>
        <w:t>operation and Development</w:t>
      </w:r>
      <w:r w:rsidRPr="00FB21EE">
        <w:rPr>
          <w:rStyle w:val="Strong"/>
        </w:rPr>
        <w:t>, surveys, and published data, down to the microdata level.</w:t>
      </w:r>
      <w:r w:rsidRPr="002D7F86">
        <w:t xml:space="preserve"> The Small Business Pulse u</w:t>
      </w:r>
      <w:r>
        <w:t>s</w:t>
      </w:r>
      <w:r w:rsidRPr="002D7F86">
        <w:t>es insights from the business.gov.au call centre, corporate and personal insolvency data, and open</w:t>
      </w:r>
      <w:r w:rsidR="003A0D5E">
        <w:noBreakHyphen/>
      </w:r>
      <w:r w:rsidRPr="002D7F86">
        <w:t>source data.</w:t>
      </w:r>
    </w:p>
    <w:p w14:paraId="570A38D4" w14:textId="6948644C" w:rsidR="00C47726" w:rsidRPr="00C47726" w:rsidRDefault="00A67B06" w:rsidP="00C47726">
      <w:r w:rsidRPr="00FB21EE">
        <w:rPr>
          <w:rStyle w:val="Strong"/>
        </w:rPr>
        <w:t xml:space="preserve">The </w:t>
      </w:r>
      <w:r w:rsidR="000D594E" w:rsidRPr="00FB21EE">
        <w:rPr>
          <w:rStyle w:val="Strong"/>
        </w:rPr>
        <w:t xml:space="preserve">Data </w:t>
      </w:r>
      <w:r w:rsidRPr="00FB21EE">
        <w:rPr>
          <w:rStyle w:val="Strong"/>
        </w:rPr>
        <w:t xml:space="preserve">team also handles numerous data requests from academia, local government, industry associations, </w:t>
      </w:r>
      <w:r w:rsidR="00F84718" w:rsidRPr="00FB21EE">
        <w:rPr>
          <w:rStyle w:val="Strong"/>
        </w:rPr>
        <w:t>n</w:t>
      </w:r>
      <w:r w:rsidR="00FE42E4" w:rsidRPr="00FB21EE">
        <w:rPr>
          <w:rStyle w:val="Strong"/>
        </w:rPr>
        <w:t>on</w:t>
      </w:r>
      <w:r w:rsidR="003A0D5E">
        <w:rPr>
          <w:rStyle w:val="Strong"/>
        </w:rPr>
        <w:noBreakHyphen/>
      </w:r>
      <w:r w:rsidR="00F84718" w:rsidRPr="00FB21EE">
        <w:rPr>
          <w:rStyle w:val="Strong"/>
        </w:rPr>
        <w:t>g</w:t>
      </w:r>
      <w:r w:rsidR="00FE42E4" w:rsidRPr="00FB21EE">
        <w:rPr>
          <w:rStyle w:val="Strong"/>
        </w:rPr>
        <w:t xml:space="preserve">overnmental </w:t>
      </w:r>
      <w:r w:rsidR="00CE5B6B" w:rsidRPr="00FB21EE">
        <w:rPr>
          <w:rStyle w:val="Strong"/>
        </w:rPr>
        <w:t>organisations,</w:t>
      </w:r>
      <w:r w:rsidRPr="00FB21EE">
        <w:rPr>
          <w:rStyle w:val="Strong"/>
        </w:rPr>
        <w:t xml:space="preserve"> and small business owners.</w:t>
      </w:r>
      <w:r w:rsidR="000D7243">
        <w:t xml:space="preserve"> </w:t>
      </w:r>
      <w:r w:rsidR="00250DA7">
        <w:rPr>
          <w:lang w:val="en-US"/>
        </w:rPr>
        <w:t xml:space="preserve">The </w:t>
      </w:r>
      <w:r w:rsidR="00110A95">
        <w:rPr>
          <w:lang w:val="en-US"/>
        </w:rPr>
        <w:t>D</w:t>
      </w:r>
      <w:r w:rsidR="00C47726" w:rsidRPr="00C47726">
        <w:rPr>
          <w:lang w:val="en-US"/>
        </w:rPr>
        <w:t xml:space="preserve">ata </w:t>
      </w:r>
      <w:r w:rsidR="000D594E">
        <w:rPr>
          <w:lang w:val="en-US"/>
        </w:rPr>
        <w:t>t</w:t>
      </w:r>
      <w:r w:rsidR="00C47726" w:rsidRPr="00C47726">
        <w:rPr>
          <w:lang w:val="en-US"/>
        </w:rPr>
        <w:t xml:space="preserve">eam </w:t>
      </w:r>
      <w:r w:rsidR="007D7FC3">
        <w:rPr>
          <w:lang w:val="en-US"/>
        </w:rPr>
        <w:t>has produced</w:t>
      </w:r>
      <w:r w:rsidR="00C47726" w:rsidRPr="00C47726">
        <w:rPr>
          <w:lang w:val="en-US"/>
        </w:rPr>
        <w:t>:</w:t>
      </w:r>
      <w:r w:rsidR="00C47726" w:rsidRPr="00C47726">
        <w:t> </w:t>
      </w:r>
    </w:p>
    <w:p w14:paraId="2A9F3A6A" w14:textId="3091F712" w:rsidR="00D5461A" w:rsidRPr="00C47726" w:rsidRDefault="00D5461A" w:rsidP="00D5461A">
      <w:pPr>
        <w:pStyle w:val="Bullet"/>
      </w:pPr>
      <w:r>
        <w:rPr>
          <w:lang w:val="en-US"/>
        </w:rPr>
        <w:lastRenderedPageBreak/>
        <w:t>a</w:t>
      </w:r>
      <w:r w:rsidRPr="00C47726">
        <w:rPr>
          <w:lang w:val="en-US"/>
        </w:rPr>
        <w:t xml:space="preserve">nalysis of culturally and linguistically diverse </w:t>
      </w:r>
      <w:r w:rsidR="00F9711D">
        <w:rPr>
          <w:lang w:val="en-US"/>
        </w:rPr>
        <w:t>(CALD)</w:t>
      </w:r>
      <w:r w:rsidRPr="00C47726">
        <w:rPr>
          <w:lang w:val="en-US"/>
        </w:rPr>
        <w:t xml:space="preserve"> entrepreneurs for the </w:t>
      </w:r>
      <w:r w:rsidR="00EE4A4B">
        <w:rPr>
          <w:lang w:val="en-US"/>
        </w:rPr>
        <w:t>Queensland</w:t>
      </w:r>
      <w:r w:rsidR="00EE4A4B" w:rsidRPr="00C47726">
        <w:rPr>
          <w:lang w:val="en-US"/>
        </w:rPr>
        <w:t xml:space="preserve"> </w:t>
      </w:r>
      <w:r w:rsidRPr="00C47726">
        <w:rPr>
          <w:lang w:val="en-US"/>
        </w:rPr>
        <w:t>Government, local councils and Small Business Communications and Media Network</w:t>
      </w:r>
      <w:r>
        <w:rPr>
          <w:lang w:val="en-US"/>
        </w:rPr>
        <w:t xml:space="preserve"> members</w:t>
      </w:r>
      <w:r w:rsidRPr="00C47726">
        <w:rPr>
          <w:lang w:val="en-US"/>
        </w:rPr>
        <w:t>.</w:t>
      </w:r>
      <w:r w:rsidR="003A0D5E">
        <w:rPr>
          <w:lang w:val="en-US"/>
        </w:rPr>
        <w:t xml:space="preserve"> </w:t>
      </w:r>
    </w:p>
    <w:p w14:paraId="48A46E26" w14:textId="31EEB03F" w:rsidR="00C47726" w:rsidRPr="00C47726" w:rsidRDefault="00D5461A" w:rsidP="0076798A">
      <w:pPr>
        <w:pStyle w:val="Bullet"/>
      </w:pPr>
      <w:r>
        <w:rPr>
          <w:lang w:val="en-US"/>
        </w:rPr>
        <w:t>a</w:t>
      </w:r>
      <w:r w:rsidR="00C47726" w:rsidRPr="00C47726">
        <w:rPr>
          <w:lang w:val="en-US"/>
        </w:rPr>
        <w:t>nalysis of business dynamism and industry for advice from the Office of Industry, Innovation and Science to the Industry Innovation and Science Board</w:t>
      </w:r>
      <w:r w:rsidR="00916FA5">
        <w:rPr>
          <w:lang w:val="en-US"/>
        </w:rPr>
        <w:t xml:space="preserve">. </w:t>
      </w:r>
    </w:p>
    <w:p w14:paraId="672270A2" w14:textId="5770F4C9" w:rsidR="00C47726" w:rsidRPr="00C47726" w:rsidRDefault="00D5461A" w:rsidP="0076798A">
      <w:pPr>
        <w:pStyle w:val="Bullet"/>
      </w:pPr>
      <w:r>
        <w:rPr>
          <w:lang w:val="en-US"/>
        </w:rPr>
        <w:t>d</w:t>
      </w:r>
      <w:r w:rsidR="00C47726" w:rsidRPr="00C47726">
        <w:rPr>
          <w:lang w:val="en-US"/>
        </w:rPr>
        <w:t xml:space="preserve">emographics of small business owners including youth entrepreneurship for </w:t>
      </w:r>
      <w:r w:rsidR="00E91EEC">
        <w:rPr>
          <w:lang w:val="en-US"/>
        </w:rPr>
        <w:t xml:space="preserve">the </w:t>
      </w:r>
      <w:r w:rsidR="00E91EEC" w:rsidRPr="00C47726">
        <w:rPr>
          <w:lang w:val="en-US"/>
        </w:rPr>
        <w:t>University of Melbourne</w:t>
      </w:r>
      <w:r w:rsidR="00C72676">
        <w:rPr>
          <w:lang w:val="en-US"/>
        </w:rPr>
        <w:t>;</w:t>
      </w:r>
      <w:r w:rsidR="00E91EEC" w:rsidRPr="00C47726">
        <w:rPr>
          <w:lang w:val="en-US"/>
        </w:rPr>
        <w:t xml:space="preserve"> veteran</w:t>
      </w:r>
      <w:r w:rsidR="003A0D5E">
        <w:rPr>
          <w:lang w:val="en-US"/>
        </w:rPr>
        <w:noBreakHyphen/>
      </w:r>
      <w:r w:rsidR="00E91EEC" w:rsidRPr="00C47726">
        <w:rPr>
          <w:lang w:val="en-US"/>
        </w:rPr>
        <w:t>owned and run businesses for the Department of Veteran’s Affairs</w:t>
      </w:r>
      <w:r w:rsidR="00C72676">
        <w:rPr>
          <w:lang w:val="en-US"/>
        </w:rPr>
        <w:t>;</w:t>
      </w:r>
      <w:r w:rsidR="00E91EEC" w:rsidRPr="00C47726">
        <w:rPr>
          <w:lang w:val="en-US"/>
        </w:rPr>
        <w:t xml:space="preserve"> broader trends for </w:t>
      </w:r>
      <w:r w:rsidR="00E6727E">
        <w:rPr>
          <w:lang w:val="en-US"/>
        </w:rPr>
        <w:t>ASIC</w:t>
      </w:r>
      <w:r w:rsidR="00C72676">
        <w:rPr>
          <w:lang w:val="en-US"/>
        </w:rPr>
        <w:t>;</w:t>
      </w:r>
      <w:r w:rsidR="00E91EEC" w:rsidRPr="00C47726">
        <w:rPr>
          <w:lang w:val="en-US"/>
        </w:rPr>
        <w:t xml:space="preserve"> state</w:t>
      </w:r>
      <w:r w:rsidR="003A0D5E">
        <w:rPr>
          <w:lang w:val="en-US"/>
        </w:rPr>
        <w:noBreakHyphen/>
      </w:r>
      <w:r w:rsidR="00E91EEC" w:rsidRPr="00C47726">
        <w:rPr>
          <w:lang w:val="en-US"/>
        </w:rPr>
        <w:t>specific information for S</w:t>
      </w:r>
      <w:r w:rsidR="00E91EEC">
        <w:rPr>
          <w:lang w:val="en-US"/>
        </w:rPr>
        <w:t>BC’</w:t>
      </w:r>
      <w:r w:rsidR="00E91EEC" w:rsidRPr="00C47726">
        <w:rPr>
          <w:lang w:val="en-US"/>
        </w:rPr>
        <w:t>s and local councils</w:t>
      </w:r>
      <w:r w:rsidR="00C72676">
        <w:rPr>
          <w:lang w:val="en-US"/>
        </w:rPr>
        <w:t>;</w:t>
      </w:r>
      <w:r w:rsidR="00E91EEC" w:rsidRPr="00C47726">
        <w:rPr>
          <w:lang w:val="en-US"/>
        </w:rPr>
        <w:t xml:space="preserve"> and high</w:t>
      </w:r>
      <w:r w:rsidR="003A0D5E">
        <w:rPr>
          <w:lang w:val="en-US"/>
        </w:rPr>
        <w:noBreakHyphen/>
      </w:r>
      <w:r w:rsidR="00E91EEC" w:rsidRPr="00C47726">
        <w:rPr>
          <w:lang w:val="en-US"/>
        </w:rPr>
        <w:t>level national trends to researchers in South</w:t>
      </w:r>
      <w:r w:rsidR="00E91EEC">
        <w:rPr>
          <w:lang w:val="en-US"/>
        </w:rPr>
        <w:t>e</w:t>
      </w:r>
      <w:r w:rsidR="00E91EEC" w:rsidRPr="00C47726">
        <w:rPr>
          <w:lang w:val="en-US"/>
        </w:rPr>
        <w:t xml:space="preserve">ast Asia and the </w:t>
      </w:r>
      <w:r w:rsidR="006673BD" w:rsidRPr="006673BD">
        <w:rPr>
          <w:lang w:val="en-US"/>
        </w:rPr>
        <w:t xml:space="preserve">United States </w:t>
      </w:r>
      <w:r w:rsidR="00133441">
        <w:rPr>
          <w:lang w:val="en-US"/>
        </w:rPr>
        <w:t>(</w:t>
      </w:r>
      <w:r w:rsidR="00133441" w:rsidRPr="00C33D12">
        <w:rPr>
          <w:bCs/>
          <w:lang w:val="en-US"/>
        </w:rPr>
        <w:t>US</w:t>
      </w:r>
      <w:r w:rsidR="00261BD9">
        <w:rPr>
          <w:lang w:val="en-US"/>
        </w:rPr>
        <w:t>)</w:t>
      </w:r>
      <w:r w:rsidR="00E91EEC" w:rsidRPr="00C47726">
        <w:rPr>
          <w:lang w:val="en-US"/>
        </w:rPr>
        <w:t>.</w:t>
      </w:r>
      <w:r w:rsidR="003A0D5E">
        <w:rPr>
          <w:lang w:val="en-US"/>
        </w:rPr>
        <w:t xml:space="preserve"> </w:t>
      </w:r>
    </w:p>
    <w:p w14:paraId="2F47E5F9" w14:textId="306C05EC" w:rsidR="00C47726" w:rsidRPr="00FB21EE" w:rsidRDefault="00250DA7" w:rsidP="00C47726">
      <w:pPr>
        <w:rPr>
          <w:rStyle w:val="Strong"/>
        </w:rPr>
      </w:pPr>
      <w:r w:rsidRPr="00FB21EE">
        <w:rPr>
          <w:rStyle w:val="Strong"/>
        </w:rPr>
        <w:t xml:space="preserve">The </w:t>
      </w:r>
      <w:r w:rsidR="001C2819" w:rsidRPr="00FB21EE">
        <w:rPr>
          <w:rStyle w:val="Strong"/>
        </w:rPr>
        <w:t>D</w:t>
      </w:r>
      <w:r w:rsidR="00C47726" w:rsidRPr="00FB21EE">
        <w:rPr>
          <w:rStyle w:val="Strong"/>
        </w:rPr>
        <w:t xml:space="preserve">ata </w:t>
      </w:r>
      <w:r w:rsidR="005C768E" w:rsidRPr="00FB21EE">
        <w:rPr>
          <w:rStyle w:val="Strong"/>
        </w:rPr>
        <w:t>t</w:t>
      </w:r>
      <w:r w:rsidR="00C47726" w:rsidRPr="00FB21EE">
        <w:rPr>
          <w:rStyle w:val="Strong"/>
        </w:rPr>
        <w:t xml:space="preserve">eam </w:t>
      </w:r>
      <w:r w:rsidR="007D7FC3" w:rsidRPr="00FB21EE">
        <w:rPr>
          <w:rStyle w:val="Strong"/>
        </w:rPr>
        <w:t xml:space="preserve">has </w:t>
      </w:r>
      <w:r w:rsidR="00C47726" w:rsidRPr="00FB21EE">
        <w:rPr>
          <w:rStyle w:val="Strong"/>
        </w:rPr>
        <w:t xml:space="preserve">also used </w:t>
      </w:r>
      <w:r w:rsidR="007D7FC3" w:rsidRPr="00FB21EE">
        <w:rPr>
          <w:rStyle w:val="Strong"/>
        </w:rPr>
        <w:t xml:space="preserve">its </w:t>
      </w:r>
      <w:r w:rsidR="00C47726" w:rsidRPr="00FB21EE">
        <w:rPr>
          <w:rStyle w:val="Strong"/>
        </w:rPr>
        <w:t>expertise to aggregate microdata into custom data requests to support the following research work</w:t>
      </w:r>
      <w:r w:rsidR="00642096" w:rsidRPr="00FB21EE">
        <w:rPr>
          <w:rStyle w:val="Strong"/>
        </w:rPr>
        <w:t>:</w:t>
      </w:r>
    </w:p>
    <w:p w14:paraId="744E433E" w14:textId="75E3887B" w:rsidR="00C47726" w:rsidRPr="00C47726" w:rsidRDefault="00454E1D" w:rsidP="0076798A">
      <w:pPr>
        <w:pStyle w:val="Bullet"/>
      </w:pPr>
      <w:r>
        <w:rPr>
          <w:lang w:val="en-US"/>
        </w:rPr>
        <w:t>f</w:t>
      </w:r>
      <w:r w:rsidR="00C47726" w:rsidRPr="00C47726">
        <w:rPr>
          <w:lang w:val="en-US"/>
        </w:rPr>
        <w:t>emale entrepreneurs</w:t>
      </w:r>
      <w:r w:rsidR="003118B2">
        <w:rPr>
          <w:lang w:val="en-US"/>
        </w:rPr>
        <w:t xml:space="preserve"> </w:t>
      </w:r>
      <w:r>
        <w:rPr>
          <w:lang w:val="en-US"/>
        </w:rPr>
        <w:t xml:space="preserve">– </w:t>
      </w:r>
      <w:r w:rsidR="00C47726" w:rsidRPr="00C47726">
        <w:rPr>
          <w:lang w:val="en-US"/>
        </w:rPr>
        <w:t xml:space="preserve">provided to stakeholders including </w:t>
      </w:r>
      <w:r>
        <w:rPr>
          <w:lang w:val="en-US"/>
        </w:rPr>
        <w:t>the Queensland</w:t>
      </w:r>
      <w:r w:rsidRPr="00C47726">
        <w:rPr>
          <w:lang w:val="en-US"/>
        </w:rPr>
        <w:t xml:space="preserve"> </w:t>
      </w:r>
      <w:r>
        <w:rPr>
          <w:lang w:val="en-US"/>
        </w:rPr>
        <w:t>G</w:t>
      </w:r>
      <w:r w:rsidR="00C47726" w:rsidRPr="00C47726">
        <w:rPr>
          <w:lang w:val="en-US"/>
        </w:rPr>
        <w:t>overnment</w:t>
      </w:r>
      <w:r w:rsidR="003118B2">
        <w:rPr>
          <w:lang w:val="en-US"/>
        </w:rPr>
        <w:t>;</w:t>
      </w:r>
      <w:r>
        <w:rPr>
          <w:lang w:val="en-US"/>
        </w:rPr>
        <w:t xml:space="preserve"> </w:t>
      </w:r>
      <w:r w:rsidR="00C47726" w:rsidRPr="00C47726">
        <w:rPr>
          <w:lang w:val="en-US"/>
        </w:rPr>
        <w:t>local governments</w:t>
      </w:r>
      <w:r w:rsidR="003118B2">
        <w:rPr>
          <w:lang w:val="en-US"/>
        </w:rPr>
        <w:t xml:space="preserve">; </w:t>
      </w:r>
      <w:r w:rsidR="00C47726" w:rsidRPr="00C47726">
        <w:rPr>
          <w:lang w:val="en-US"/>
        </w:rPr>
        <w:t xml:space="preserve">federal government agencies such as </w:t>
      </w:r>
      <w:r w:rsidR="00FF67DE">
        <w:rPr>
          <w:lang w:val="en-US"/>
        </w:rPr>
        <w:t>DISR</w:t>
      </w:r>
      <w:r w:rsidR="003118B2">
        <w:rPr>
          <w:lang w:val="en-US"/>
        </w:rPr>
        <w:t xml:space="preserve"> and </w:t>
      </w:r>
      <w:r w:rsidR="00C47726" w:rsidRPr="00C47726">
        <w:rPr>
          <w:lang w:val="en-US"/>
        </w:rPr>
        <w:t>Treasury</w:t>
      </w:r>
      <w:r w:rsidR="003118B2">
        <w:rPr>
          <w:lang w:val="en-US"/>
        </w:rPr>
        <w:t>;</w:t>
      </w:r>
      <w:r w:rsidR="00C47726" w:rsidRPr="00C47726">
        <w:rPr>
          <w:lang w:val="en-US"/>
        </w:rPr>
        <w:t xml:space="preserve"> members of the Small Business Communications and Media Network</w:t>
      </w:r>
      <w:r w:rsidR="003118B2">
        <w:rPr>
          <w:lang w:val="en-US"/>
        </w:rPr>
        <w:t>; and</w:t>
      </w:r>
      <w:r w:rsidR="00C47726" w:rsidRPr="00C47726">
        <w:rPr>
          <w:lang w:val="en-US"/>
        </w:rPr>
        <w:t xml:space="preserve"> not</w:t>
      </w:r>
      <w:r w:rsidR="003A0D5E">
        <w:rPr>
          <w:lang w:val="en-US"/>
        </w:rPr>
        <w:noBreakHyphen/>
      </w:r>
      <w:r w:rsidR="00C47726" w:rsidRPr="00C47726">
        <w:rPr>
          <w:lang w:val="en-US"/>
        </w:rPr>
        <w:t>for</w:t>
      </w:r>
      <w:r w:rsidR="003A0D5E">
        <w:rPr>
          <w:lang w:val="en-US"/>
        </w:rPr>
        <w:noBreakHyphen/>
      </w:r>
      <w:r w:rsidR="00C47726" w:rsidRPr="00C47726">
        <w:rPr>
          <w:lang w:val="en-US"/>
        </w:rPr>
        <w:t xml:space="preserve">profit </w:t>
      </w:r>
      <w:proofErr w:type="spellStart"/>
      <w:r w:rsidR="00C47726" w:rsidRPr="00C47726">
        <w:rPr>
          <w:lang w:val="en-US"/>
        </w:rPr>
        <w:t>organisations</w:t>
      </w:r>
      <w:proofErr w:type="spellEnd"/>
      <w:r w:rsidR="00C47726" w:rsidRPr="00C47726">
        <w:rPr>
          <w:lang w:val="en-US"/>
        </w:rPr>
        <w:t xml:space="preserve"> such as Good Shepherd and Global Sisters</w:t>
      </w:r>
      <w:r w:rsidR="00916FA5">
        <w:rPr>
          <w:lang w:val="en-US"/>
        </w:rPr>
        <w:t>.</w:t>
      </w:r>
    </w:p>
    <w:p w14:paraId="7FFEB2F0" w14:textId="3C57D34D" w:rsidR="00C47726" w:rsidRPr="00C47726" w:rsidRDefault="003118B2" w:rsidP="0076798A">
      <w:pPr>
        <w:pStyle w:val="Bullet"/>
      </w:pPr>
      <w:r>
        <w:rPr>
          <w:lang w:val="en-US"/>
        </w:rPr>
        <w:t>t</w:t>
      </w:r>
      <w:r w:rsidR="00C47726" w:rsidRPr="00C47726">
        <w:rPr>
          <w:lang w:val="en-US"/>
        </w:rPr>
        <w:t>rends in small and micro businesses performance and employment</w:t>
      </w:r>
      <w:r>
        <w:rPr>
          <w:lang w:val="en-US"/>
        </w:rPr>
        <w:t xml:space="preserve"> – provided to </w:t>
      </w:r>
      <w:r w:rsidR="00C47726" w:rsidRPr="00C47726">
        <w:rPr>
          <w:lang w:val="en-US"/>
        </w:rPr>
        <w:t xml:space="preserve">academics </w:t>
      </w:r>
      <w:r>
        <w:rPr>
          <w:lang w:val="en-US"/>
        </w:rPr>
        <w:t>at</w:t>
      </w:r>
      <w:r w:rsidRPr="00C47726">
        <w:rPr>
          <w:lang w:val="en-US"/>
        </w:rPr>
        <w:t xml:space="preserve"> </w:t>
      </w:r>
      <w:r w:rsidR="00C47726" w:rsidRPr="00C47726">
        <w:rPr>
          <w:lang w:val="en-US"/>
        </w:rPr>
        <w:t xml:space="preserve">the University of South Australia, University of Newcastle, Queensland University of Technology, </w:t>
      </w:r>
      <w:r w:rsidR="00313BD5" w:rsidRPr="00313BD5">
        <w:t>Australian Capital Territory</w:t>
      </w:r>
      <w:r w:rsidR="00313BD5" w:rsidRPr="00313BD5">
        <w:rPr>
          <w:lang w:val="en-US"/>
        </w:rPr>
        <w:t xml:space="preserve"> </w:t>
      </w:r>
      <w:r w:rsidR="00085875">
        <w:rPr>
          <w:lang w:val="en-US"/>
        </w:rPr>
        <w:t xml:space="preserve">(ACT) </w:t>
      </w:r>
      <w:r w:rsidR="00080FFD">
        <w:rPr>
          <w:lang w:val="en-US"/>
        </w:rPr>
        <w:t>Government</w:t>
      </w:r>
      <w:r>
        <w:rPr>
          <w:lang w:val="en-US"/>
        </w:rPr>
        <w:t>, the Queensland</w:t>
      </w:r>
      <w:r w:rsidRPr="00C47726">
        <w:rPr>
          <w:lang w:val="en-US"/>
        </w:rPr>
        <w:t xml:space="preserve"> </w:t>
      </w:r>
      <w:r>
        <w:rPr>
          <w:lang w:val="en-US"/>
        </w:rPr>
        <w:t>G</w:t>
      </w:r>
      <w:r w:rsidR="00C47726" w:rsidRPr="00C47726">
        <w:rPr>
          <w:lang w:val="en-US"/>
        </w:rPr>
        <w:t>overnment</w:t>
      </w:r>
      <w:r>
        <w:rPr>
          <w:lang w:val="en-US"/>
        </w:rPr>
        <w:t>; and</w:t>
      </w:r>
      <w:r w:rsidR="00C47726" w:rsidRPr="00C47726">
        <w:rPr>
          <w:lang w:val="en-US"/>
        </w:rPr>
        <w:t xml:space="preserve"> businesses and their advocates</w:t>
      </w:r>
      <w:r w:rsidR="00916FA5">
        <w:rPr>
          <w:lang w:val="en-US"/>
        </w:rPr>
        <w:t>.</w:t>
      </w:r>
      <w:r w:rsidR="00065357">
        <w:rPr>
          <w:rFonts w:ascii="ZWAdobeF" w:hAnsi="ZWAdobeF" w:cs="ZWAdobeF"/>
          <w:color w:val="auto"/>
          <w:sz w:val="2"/>
          <w:szCs w:val="2"/>
          <w:lang w:val="en-US"/>
        </w:rPr>
        <w:t>48F</w:t>
      </w:r>
      <w:r w:rsidR="00687C82" w:rsidRPr="00080FFD">
        <w:rPr>
          <w:rStyle w:val="FootnoteReference"/>
          <w:sz w:val="22"/>
          <w:szCs w:val="22"/>
          <w:vertAlign w:val="superscript"/>
          <w:lang w:val="en-US"/>
        </w:rPr>
        <w:footnoteReference w:id="50"/>
      </w:r>
    </w:p>
    <w:p w14:paraId="6923A80E" w14:textId="77777777" w:rsidR="00C47726" w:rsidRPr="00C47726" w:rsidRDefault="00C47726" w:rsidP="009E179B">
      <w:pPr>
        <w:pStyle w:val="Heading3"/>
      </w:pPr>
      <w:bookmarkStart w:id="32" w:name="_Toc199940942"/>
      <w:r w:rsidRPr="00C47726">
        <w:rPr>
          <w:lang w:val="en-US"/>
        </w:rPr>
        <w:t>Stakeholder views</w:t>
      </w:r>
      <w:bookmarkEnd w:id="32"/>
      <w:r w:rsidRPr="00C47726">
        <w:t> </w:t>
      </w:r>
    </w:p>
    <w:p w14:paraId="17F31F7E" w14:textId="7266D44F" w:rsidR="00C47726" w:rsidRPr="00C47726" w:rsidRDefault="00C47726" w:rsidP="00C47726">
      <w:r w:rsidRPr="00C81DAA">
        <w:rPr>
          <w:b/>
          <w:bCs/>
          <w:lang w:val="en-US"/>
        </w:rPr>
        <w:t>S</w:t>
      </w:r>
      <w:proofErr w:type="spellStart"/>
      <w:r w:rsidRPr="0076798A">
        <w:rPr>
          <w:rStyle w:val="Strong"/>
        </w:rPr>
        <w:t>takeholders</w:t>
      </w:r>
      <w:proofErr w:type="spellEnd"/>
      <w:r w:rsidRPr="0076798A">
        <w:rPr>
          <w:rStyle w:val="Strong"/>
        </w:rPr>
        <w:t xml:space="preserve"> highly regarded ASBFEO</w:t>
      </w:r>
      <w:r w:rsidR="00916FA5" w:rsidRPr="0076798A">
        <w:rPr>
          <w:rStyle w:val="Strong"/>
        </w:rPr>
        <w:t>’</w:t>
      </w:r>
      <w:r w:rsidRPr="0076798A">
        <w:rPr>
          <w:rStyle w:val="Strong"/>
        </w:rPr>
        <w:t>s research and data function</w:t>
      </w:r>
      <w:r w:rsidR="008174D8">
        <w:rPr>
          <w:rStyle w:val="Strong"/>
        </w:rPr>
        <w:t>.</w:t>
      </w:r>
      <w:r w:rsidRPr="0076798A">
        <w:rPr>
          <w:rStyle w:val="Strong"/>
        </w:rPr>
        <w:t xml:space="preserve"> </w:t>
      </w:r>
      <w:r w:rsidR="008174D8" w:rsidRPr="002D7F86">
        <w:rPr>
          <w:lang w:val="en-US"/>
        </w:rPr>
        <w:t xml:space="preserve">Almost all stakeholders voluntarily offered praise and commendations for </w:t>
      </w:r>
      <w:r w:rsidR="00BC6B19">
        <w:rPr>
          <w:lang w:val="en-US"/>
        </w:rPr>
        <w:t xml:space="preserve">the </w:t>
      </w:r>
      <w:r w:rsidR="003118B2">
        <w:rPr>
          <w:lang w:val="en-US"/>
        </w:rPr>
        <w:t>D</w:t>
      </w:r>
      <w:r w:rsidR="008174D8" w:rsidRPr="002D7F86">
        <w:rPr>
          <w:lang w:val="en-US"/>
        </w:rPr>
        <w:t>ata</w:t>
      </w:r>
      <w:r w:rsidR="008174D8" w:rsidRPr="00C81DAA">
        <w:rPr>
          <w:b/>
          <w:bCs/>
          <w:lang w:val="en-US"/>
        </w:rPr>
        <w:t xml:space="preserve"> </w:t>
      </w:r>
      <w:r w:rsidR="00C5489C">
        <w:rPr>
          <w:lang w:val="en-US"/>
        </w:rPr>
        <w:t>t</w:t>
      </w:r>
      <w:r w:rsidR="008174D8" w:rsidRPr="002D7F86">
        <w:rPr>
          <w:lang w:val="en-US"/>
        </w:rPr>
        <w:t>eam in their submissions to th</w:t>
      </w:r>
      <w:r w:rsidR="00C5489C">
        <w:rPr>
          <w:lang w:val="en-US"/>
        </w:rPr>
        <w:t>is</w:t>
      </w:r>
      <w:r w:rsidR="008174D8" w:rsidRPr="002D7F86">
        <w:rPr>
          <w:lang w:val="en-US"/>
        </w:rPr>
        <w:t xml:space="preserve"> </w:t>
      </w:r>
      <w:r w:rsidR="00C5489C">
        <w:rPr>
          <w:lang w:val="en-US"/>
        </w:rPr>
        <w:t>R</w:t>
      </w:r>
      <w:r w:rsidR="008174D8" w:rsidRPr="002D7F86">
        <w:rPr>
          <w:lang w:val="en-US"/>
        </w:rPr>
        <w:t>eview and in stakeholder meetings.</w:t>
      </w:r>
      <w:r w:rsidR="008174D8" w:rsidRPr="00D910E8">
        <w:rPr>
          <w:lang w:val="en-US"/>
        </w:rPr>
        <w:t xml:space="preserve"> They singled out the </w:t>
      </w:r>
      <w:r w:rsidR="00C5489C">
        <w:rPr>
          <w:lang w:val="en-US"/>
        </w:rPr>
        <w:t xml:space="preserve">Data </w:t>
      </w:r>
      <w:r w:rsidR="008174D8" w:rsidRPr="00D910E8">
        <w:rPr>
          <w:lang w:val="en-US"/>
        </w:rPr>
        <w:t>team</w:t>
      </w:r>
      <w:r w:rsidR="003A0D5E">
        <w:rPr>
          <w:lang w:val="en-US"/>
        </w:rPr>
        <w:t>’</w:t>
      </w:r>
      <w:r w:rsidR="008174D8" w:rsidRPr="00D910E8">
        <w:rPr>
          <w:lang w:val="en-US"/>
        </w:rPr>
        <w:t>s accessibility and</w:t>
      </w:r>
      <w:r w:rsidR="008174D8" w:rsidRPr="00C47726">
        <w:rPr>
          <w:lang w:val="en-US"/>
        </w:rPr>
        <w:t xml:space="preserve"> willingness to help, </w:t>
      </w:r>
      <w:r w:rsidR="008174D8">
        <w:rPr>
          <w:lang w:val="en-US"/>
        </w:rPr>
        <w:t>particularly</w:t>
      </w:r>
      <w:r w:rsidR="008174D8" w:rsidRPr="00C47726">
        <w:rPr>
          <w:lang w:val="en-US"/>
        </w:rPr>
        <w:t xml:space="preserve"> the </w:t>
      </w:r>
      <w:r w:rsidR="00CB47B5">
        <w:rPr>
          <w:lang w:val="en-US"/>
        </w:rPr>
        <w:t xml:space="preserve">Director </w:t>
      </w:r>
      <w:r w:rsidR="008174D8" w:rsidRPr="00C47726">
        <w:rPr>
          <w:lang w:val="en-US"/>
        </w:rPr>
        <w:t>of the</w:t>
      </w:r>
      <w:r w:rsidR="00CB47B5">
        <w:rPr>
          <w:lang w:val="en-US"/>
        </w:rPr>
        <w:t xml:space="preserve"> </w:t>
      </w:r>
      <w:r w:rsidR="003703D9">
        <w:rPr>
          <w:rFonts w:eastAsia="Calibri"/>
        </w:rPr>
        <w:t>Data team</w:t>
      </w:r>
      <w:r w:rsidR="008174D8" w:rsidRPr="00C47726">
        <w:rPr>
          <w:lang w:val="en-US"/>
        </w:rPr>
        <w:t>.</w:t>
      </w:r>
      <w:r w:rsidR="003A0D5E">
        <w:rPr>
          <w:lang w:val="en-US"/>
        </w:rPr>
        <w:t xml:space="preserve"> </w:t>
      </w:r>
    </w:p>
    <w:p w14:paraId="650BE8A8" w14:textId="024B9018" w:rsidR="00C47726" w:rsidRPr="00C47726" w:rsidRDefault="001605BB" w:rsidP="00C47726">
      <w:r w:rsidRPr="001F7AD1">
        <w:rPr>
          <w:rStyle w:val="Strong"/>
        </w:rPr>
        <w:t>Many associations and government agencies have used ASBFEO</w:t>
      </w:r>
      <w:r>
        <w:rPr>
          <w:rStyle w:val="Strong"/>
        </w:rPr>
        <w:t>’</w:t>
      </w:r>
      <w:r w:rsidRPr="001F7AD1">
        <w:rPr>
          <w:rStyle w:val="Strong"/>
        </w:rPr>
        <w:t>s data to develop small business policies and inform consultations.</w:t>
      </w:r>
      <w:r w:rsidRPr="007B162C">
        <w:t xml:space="preserve"> Th</w:t>
      </w:r>
      <w:r>
        <w:t>ese</w:t>
      </w:r>
      <w:r w:rsidRPr="007B162C">
        <w:t xml:space="preserve"> included the Victorian Department of Treasury and </w:t>
      </w:r>
      <w:r>
        <w:t xml:space="preserve">the </w:t>
      </w:r>
      <w:r w:rsidRPr="007B162C">
        <w:t xml:space="preserve">South Australian Office for Small and Family Business. The </w:t>
      </w:r>
      <w:r w:rsidR="00AA1FD6" w:rsidRPr="00AA1FD6">
        <w:t>Reserve Bank of Australia</w:t>
      </w:r>
      <w:r w:rsidR="003A0D5E">
        <w:t>’</w:t>
      </w:r>
      <w:r w:rsidRPr="007B162C">
        <w:t xml:space="preserve">s October 2024 publication </w:t>
      </w:r>
      <w:r w:rsidRPr="001F7AD1">
        <w:rPr>
          <w:rStyle w:val="Emphasis"/>
        </w:rPr>
        <w:t xml:space="preserve">Small Business Economic and Financial Conditions </w:t>
      </w:r>
      <w:r w:rsidRPr="007B162C">
        <w:t>referenced the ASBFEO Pulse index, noting it remains below the long</w:t>
      </w:r>
      <w:r w:rsidR="003A0D5E">
        <w:noBreakHyphen/>
      </w:r>
      <w:r w:rsidRPr="007B162C">
        <w:t xml:space="preserve">term </w:t>
      </w:r>
      <w:r w:rsidR="00C47726" w:rsidRPr="00C47726">
        <w:rPr>
          <w:lang w:val="en-US"/>
        </w:rPr>
        <w:t>average.</w:t>
      </w:r>
      <w:r w:rsidR="00065357">
        <w:rPr>
          <w:rFonts w:ascii="ZWAdobeF" w:hAnsi="ZWAdobeF" w:cs="ZWAdobeF"/>
          <w:color w:val="auto"/>
          <w:sz w:val="2"/>
          <w:szCs w:val="2"/>
          <w:lang w:val="en-US"/>
        </w:rPr>
        <w:t>49F</w:t>
      </w:r>
      <w:r w:rsidR="00AF27F9" w:rsidRPr="00F0293B">
        <w:rPr>
          <w:rStyle w:val="FootnoteReference"/>
          <w:sz w:val="22"/>
          <w:szCs w:val="24"/>
          <w:vertAlign w:val="superscript"/>
          <w:lang w:val="en-US"/>
        </w:rPr>
        <w:footnoteReference w:id="51"/>
      </w:r>
    </w:p>
    <w:p w14:paraId="356F7C87" w14:textId="77777777" w:rsidR="001F7AD1" w:rsidRDefault="001F7AD1">
      <w:pPr>
        <w:spacing w:before="0" w:after="160" w:line="259" w:lineRule="auto"/>
        <w:rPr>
          <w:b/>
          <w:lang w:val="en-US"/>
        </w:rPr>
      </w:pPr>
      <w:r>
        <w:rPr>
          <w:b/>
          <w:lang w:val="en-US"/>
        </w:rPr>
        <w:br w:type="page"/>
      </w:r>
    </w:p>
    <w:p w14:paraId="58C52D2E" w14:textId="2042CF1E" w:rsidR="00C47726" w:rsidRPr="00814836" w:rsidRDefault="00C47726" w:rsidP="00C47726">
      <w:pPr>
        <w:rPr>
          <w:b/>
        </w:rPr>
      </w:pPr>
      <w:r w:rsidRPr="00814836">
        <w:rPr>
          <w:rStyle w:val="Strong"/>
        </w:rPr>
        <w:lastRenderedPageBreak/>
        <w:t>Stakeholders find the Small Business Matters report and Small Business data portal helpful in providing access to key data points in one place.</w:t>
      </w:r>
      <w:r w:rsidR="00065357">
        <w:rPr>
          <w:rStyle w:val="Strong"/>
          <w:rFonts w:ascii="ZWAdobeF" w:hAnsi="ZWAdobeF" w:cs="ZWAdobeF"/>
          <w:b w:val="0"/>
          <w:color w:val="auto"/>
          <w:sz w:val="2"/>
          <w:szCs w:val="2"/>
        </w:rPr>
        <w:t>50F</w:t>
      </w:r>
      <w:r w:rsidR="00847281" w:rsidRPr="00F0293B">
        <w:rPr>
          <w:rStyle w:val="FootnoteReference"/>
          <w:bCs/>
          <w:sz w:val="22"/>
          <w:szCs w:val="22"/>
          <w:vertAlign w:val="superscript"/>
          <w:lang w:val="en-US"/>
        </w:rPr>
        <w:footnoteReference w:id="52"/>
      </w:r>
      <w:r w:rsidR="00814836">
        <w:rPr>
          <w:b/>
        </w:rPr>
        <w:t xml:space="preserve"> </w:t>
      </w:r>
      <w:r w:rsidR="00B420A2">
        <w:rPr>
          <w:lang w:val="en-US"/>
        </w:rPr>
        <w:t xml:space="preserve">Several stakeholders also </w:t>
      </w:r>
      <w:proofErr w:type="spellStart"/>
      <w:r w:rsidR="00B420A2">
        <w:rPr>
          <w:lang w:val="en-US"/>
        </w:rPr>
        <w:t>recognised</w:t>
      </w:r>
      <w:proofErr w:type="spellEnd"/>
      <w:r w:rsidR="00B420A2">
        <w:rPr>
          <w:lang w:val="en-US"/>
        </w:rPr>
        <w:t xml:space="preserve"> The Small Business Pulse index</w:t>
      </w:r>
      <w:r w:rsidR="00B420A2" w:rsidRPr="07743E67">
        <w:rPr>
          <w:lang w:val="en-US"/>
        </w:rPr>
        <w:t xml:space="preserve"> as a positive addition.</w:t>
      </w:r>
      <w:r w:rsidR="00065357">
        <w:rPr>
          <w:rFonts w:ascii="ZWAdobeF" w:hAnsi="ZWAdobeF" w:cs="ZWAdobeF"/>
          <w:color w:val="auto"/>
          <w:sz w:val="2"/>
          <w:szCs w:val="2"/>
          <w:lang w:val="en-US"/>
        </w:rPr>
        <w:t>51F</w:t>
      </w:r>
      <w:r w:rsidR="007713B5" w:rsidRPr="00F0293B">
        <w:rPr>
          <w:rStyle w:val="FootnoteReference"/>
          <w:sz w:val="22"/>
          <w:szCs w:val="22"/>
          <w:vertAlign w:val="superscript"/>
          <w:lang w:val="en-US"/>
        </w:rPr>
        <w:footnoteReference w:id="53"/>
      </w:r>
      <w:r w:rsidRPr="00C47726">
        <w:rPr>
          <w:lang w:val="en-US"/>
        </w:rPr>
        <w:t xml:space="preserve"> The </w:t>
      </w:r>
      <w:proofErr w:type="spellStart"/>
      <w:r w:rsidRPr="00C47726">
        <w:rPr>
          <w:lang w:val="en-US"/>
        </w:rPr>
        <w:t>organi</w:t>
      </w:r>
      <w:r w:rsidR="003F4675">
        <w:rPr>
          <w:lang w:val="en-US"/>
        </w:rPr>
        <w:t>s</w:t>
      </w:r>
      <w:r w:rsidRPr="00C47726">
        <w:rPr>
          <w:lang w:val="en-US"/>
        </w:rPr>
        <w:t>ation</w:t>
      </w:r>
      <w:proofErr w:type="spellEnd"/>
      <w:r w:rsidRPr="00C47726">
        <w:rPr>
          <w:lang w:val="en-US"/>
        </w:rPr>
        <w:t xml:space="preserve"> Small Business Matters identified that the </w:t>
      </w:r>
      <w:r w:rsidR="0076798A">
        <w:rPr>
          <w:rStyle w:val="Emphasis"/>
        </w:rPr>
        <w:t>‘</w:t>
      </w:r>
      <w:r w:rsidR="00620A5C" w:rsidRPr="00814836">
        <w:rPr>
          <w:rStyle w:val="Emphasis"/>
        </w:rPr>
        <w:t xml:space="preserve">… </w:t>
      </w:r>
      <w:r w:rsidRPr="00814836">
        <w:rPr>
          <w:rStyle w:val="Emphasis"/>
        </w:rPr>
        <w:t>index is very innovative and needed</w:t>
      </w:r>
      <w:r w:rsidR="0076798A">
        <w:rPr>
          <w:rStyle w:val="Emphasis"/>
        </w:rPr>
        <w:t>’</w:t>
      </w:r>
      <w:r w:rsidRPr="00C47726">
        <w:rPr>
          <w:lang w:val="en-US"/>
        </w:rPr>
        <w:t xml:space="preserve"> because commonly used indexes such as the </w:t>
      </w:r>
      <w:r w:rsidR="00E0035B" w:rsidRPr="00E0035B">
        <w:rPr>
          <w:lang w:val="en-US"/>
        </w:rPr>
        <w:t>National Australia Bank</w:t>
      </w:r>
      <w:r w:rsidRPr="00C47726">
        <w:rPr>
          <w:lang w:val="en-US"/>
        </w:rPr>
        <w:t xml:space="preserve"> Business survey do</w:t>
      </w:r>
      <w:r w:rsidR="002B0B85">
        <w:rPr>
          <w:lang w:val="en-US"/>
        </w:rPr>
        <w:t xml:space="preserve"> not</w:t>
      </w:r>
      <w:r w:rsidRPr="00C47726">
        <w:rPr>
          <w:lang w:val="en-US"/>
        </w:rPr>
        <w:t xml:space="preserve"> have a specific focus on small businesses</w:t>
      </w:r>
      <w:r w:rsidR="00916FA5">
        <w:rPr>
          <w:lang w:val="en-US"/>
        </w:rPr>
        <w:t>.</w:t>
      </w:r>
    </w:p>
    <w:p w14:paraId="1F631142" w14:textId="230EA8F9" w:rsidR="00C47726" w:rsidRPr="00C47726" w:rsidRDefault="00C47726" w:rsidP="00C47726">
      <w:r w:rsidRPr="00814836">
        <w:rPr>
          <w:rStyle w:val="Strong"/>
        </w:rPr>
        <w:t xml:space="preserve">Stakeholders were keen for the Data </w:t>
      </w:r>
      <w:r w:rsidR="00443299" w:rsidRPr="00814836">
        <w:rPr>
          <w:rStyle w:val="Strong"/>
        </w:rPr>
        <w:t>t</w:t>
      </w:r>
      <w:r w:rsidRPr="00814836">
        <w:rPr>
          <w:rStyle w:val="Strong"/>
        </w:rPr>
        <w:t xml:space="preserve">eam to </w:t>
      </w:r>
      <w:r w:rsidR="005B6B4F" w:rsidRPr="00814836">
        <w:rPr>
          <w:rStyle w:val="Strong"/>
        </w:rPr>
        <w:t>do more and</w:t>
      </w:r>
      <w:r w:rsidRPr="00814836">
        <w:rPr>
          <w:rStyle w:val="Strong"/>
        </w:rPr>
        <w:t xml:space="preserve"> help with broader data challenges</w:t>
      </w:r>
      <w:r w:rsidRPr="00D175F9">
        <w:rPr>
          <w:rStyle w:val="Strong"/>
        </w:rPr>
        <w:t>.</w:t>
      </w:r>
      <w:r w:rsidRPr="00C47726">
        <w:rPr>
          <w:lang w:val="en-US"/>
        </w:rPr>
        <w:t xml:space="preserve"> For example, Small Business Matters suggested expanding the Pulse index with specific funding.</w:t>
      </w:r>
      <w:r w:rsidR="00065357">
        <w:rPr>
          <w:rFonts w:ascii="ZWAdobeF" w:hAnsi="ZWAdobeF" w:cs="ZWAdobeF"/>
          <w:color w:val="auto"/>
          <w:sz w:val="2"/>
          <w:szCs w:val="2"/>
          <w:lang w:val="en-US"/>
        </w:rPr>
        <w:t>52F</w:t>
      </w:r>
      <w:r w:rsidR="008B339F" w:rsidRPr="00F0293B">
        <w:rPr>
          <w:rStyle w:val="FootnoteReference"/>
          <w:sz w:val="22"/>
          <w:szCs w:val="24"/>
          <w:vertAlign w:val="superscript"/>
          <w:lang w:val="en-US"/>
        </w:rPr>
        <w:footnoteReference w:id="54"/>
      </w:r>
      <w:r w:rsidRPr="00C47726">
        <w:rPr>
          <w:lang w:val="en-US"/>
        </w:rPr>
        <w:t xml:space="preserve"> The Family Business Association (</w:t>
      </w:r>
      <w:r w:rsidRPr="00842337">
        <w:rPr>
          <w:rStyle w:val="Strong"/>
          <w:b w:val="0"/>
        </w:rPr>
        <w:t>FBA</w:t>
      </w:r>
      <w:r w:rsidRPr="00C47726">
        <w:rPr>
          <w:lang w:val="en-US"/>
        </w:rPr>
        <w:t xml:space="preserve">) was keen for the Data </w:t>
      </w:r>
      <w:r w:rsidR="00972C29">
        <w:rPr>
          <w:lang w:val="en-US"/>
        </w:rPr>
        <w:t>t</w:t>
      </w:r>
      <w:r w:rsidRPr="00C47726">
        <w:rPr>
          <w:lang w:val="en-US"/>
        </w:rPr>
        <w:t xml:space="preserve">eam to undertake more work in collecting and </w:t>
      </w:r>
      <w:proofErr w:type="spellStart"/>
      <w:r w:rsidRPr="00C47726">
        <w:rPr>
          <w:lang w:val="en-US"/>
        </w:rPr>
        <w:t>analy</w:t>
      </w:r>
      <w:r w:rsidR="00E530E6">
        <w:rPr>
          <w:lang w:val="en-US"/>
        </w:rPr>
        <w:t>s</w:t>
      </w:r>
      <w:r w:rsidRPr="00C47726">
        <w:rPr>
          <w:lang w:val="en-US"/>
        </w:rPr>
        <w:t>ing</w:t>
      </w:r>
      <w:proofErr w:type="spellEnd"/>
      <w:r w:rsidRPr="00C47726">
        <w:rPr>
          <w:lang w:val="en-US"/>
        </w:rPr>
        <w:t xml:space="preserve"> data around the number of family businesses in Australia.</w:t>
      </w:r>
      <w:r w:rsidR="00065357">
        <w:rPr>
          <w:rFonts w:ascii="ZWAdobeF" w:hAnsi="ZWAdobeF" w:cs="ZWAdobeF"/>
          <w:color w:val="auto"/>
          <w:sz w:val="2"/>
          <w:szCs w:val="2"/>
          <w:lang w:val="en-US"/>
        </w:rPr>
        <w:t>53F</w:t>
      </w:r>
      <w:r w:rsidR="00B517D9" w:rsidRPr="00F0293B">
        <w:rPr>
          <w:rStyle w:val="FootnoteReference"/>
          <w:sz w:val="22"/>
          <w:szCs w:val="22"/>
          <w:vertAlign w:val="superscript"/>
          <w:lang w:val="en-US"/>
        </w:rPr>
        <w:footnoteReference w:id="55"/>
      </w:r>
      <w:r w:rsidRPr="00F0293B">
        <w:rPr>
          <w:szCs w:val="22"/>
          <w:vertAlign w:val="superscript"/>
          <w:lang w:val="en-US"/>
        </w:rPr>
        <w:t xml:space="preserve"> </w:t>
      </w:r>
    </w:p>
    <w:p w14:paraId="3699D8C2" w14:textId="77777777" w:rsidR="00C47726" w:rsidRPr="00C47726" w:rsidRDefault="00C47726" w:rsidP="00E725E5">
      <w:pPr>
        <w:pStyle w:val="Heading3"/>
      </w:pPr>
      <w:bookmarkStart w:id="33" w:name="_Toc199940943"/>
      <w:r w:rsidRPr="00C47726">
        <w:rPr>
          <w:lang w:val="en-US"/>
        </w:rPr>
        <w:t>Analysis</w:t>
      </w:r>
      <w:bookmarkEnd w:id="33"/>
      <w:r w:rsidRPr="00C47726">
        <w:t> </w:t>
      </w:r>
    </w:p>
    <w:p w14:paraId="5F69DC93" w14:textId="7AAABB0A" w:rsidR="00A93D97" w:rsidRPr="002D7F86" w:rsidRDefault="00A93D97" w:rsidP="00A93D97">
      <w:r w:rsidRPr="00D175F9">
        <w:rPr>
          <w:rStyle w:val="Strong"/>
        </w:rPr>
        <w:t xml:space="preserve">Stakeholder feedback highlights the demand for the Data </w:t>
      </w:r>
      <w:r w:rsidR="00972C29" w:rsidRPr="00D175F9">
        <w:rPr>
          <w:rStyle w:val="Strong"/>
        </w:rPr>
        <w:t>t</w:t>
      </w:r>
      <w:r w:rsidRPr="00D175F9">
        <w:rPr>
          <w:rStyle w:val="Strong"/>
        </w:rPr>
        <w:t>eam from various s</w:t>
      </w:r>
      <w:r w:rsidR="00927159" w:rsidRPr="00D175F9">
        <w:rPr>
          <w:rStyle w:val="Strong"/>
        </w:rPr>
        <w:t>takeholder</w:t>
      </w:r>
      <w:r w:rsidRPr="00D175F9">
        <w:rPr>
          <w:rStyle w:val="Strong"/>
        </w:rPr>
        <w:t>s, putting pressure on ASBFEO</w:t>
      </w:r>
      <w:r w:rsidR="003A0D5E">
        <w:rPr>
          <w:rStyle w:val="Strong"/>
        </w:rPr>
        <w:t>’</w:t>
      </w:r>
      <w:r w:rsidRPr="00D175F9">
        <w:rPr>
          <w:rStyle w:val="Strong"/>
        </w:rPr>
        <w:t>s limited resources and risking quality.</w:t>
      </w:r>
      <w:r w:rsidRPr="002D7F86">
        <w:t xml:space="preserve"> Collaboration with Treasury and </w:t>
      </w:r>
      <w:proofErr w:type="spellStart"/>
      <w:r w:rsidRPr="002D7F86">
        <w:t>AusIndustry</w:t>
      </w:r>
      <w:proofErr w:type="spellEnd"/>
      <w:r w:rsidRPr="002D7F86">
        <w:t xml:space="preserve"> </w:t>
      </w:r>
      <w:r>
        <w:t xml:space="preserve">data </w:t>
      </w:r>
      <w:r w:rsidRPr="002D7F86">
        <w:t>teams may enhance resource pooling and inform prioriti</w:t>
      </w:r>
      <w:r>
        <w:t>s</w:t>
      </w:r>
      <w:r w:rsidRPr="002D7F86">
        <w:t xml:space="preserve">ation, </w:t>
      </w:r>
      <w:r>
        <w:t xml:space="preserve">which could </w:t>
      </w:r>
      <w:r w:rsidRPr="002D7F86">
        <w:t>improv</w:t>
      </w:r>
      <w:r>
        <w:t xml:space="preserve">e </w:t>
      </w:r>
      <w:r w:rsidRPr="002D7F86">
        <w:t xml:space="preserve">efficiencies. </w:t>
      </w:r>
      <w:proofErr w:type="spellStart"/>
      <w:r w:rsidRPr="002D7F86">
        <w:t>AusIndustry</w:t>
      </w:r>
      <w:r w:rsidR="003A0D5E">
        <w:t>’</w:t>
      </w:r>
      <w:r w:rsidRPr="002D7F86">
        <w:t>s</w:t>
      </w:r>
      <w:proofErr w:type="spellEnd"/>
      <w:r w:rsidRPr="002D7F86">
        <w:t xml:space="preserve"> Business Outreach and Engagement branch gathers insights on challenges and opportunities faced by Australian businesses</w:t>
      </w:r>
      <w:r>
        <w:t>.</w:t>
      </w:r>
      <w:r w:rsidR="00065357">
        <w:rPr>
          <w:rFonts w:ascii="ZWAdobeF" w:hAnsi="ZWAdobeF" w:cs="ZWAdobeF"/>
          <w:color w:val="auto"/>
          <w:sz w:val="2"/>
          <w:szCs w:val="2"/>
        </w:rPr>
        <w:t>54F</w:t>
      </w:r>
      <w:r w:rsidR="00037CB8" w:rsidRPr="00E64B58">
        <w:rPr>
          <w:rStyle w:val="FootnoteReference"/>
          <w:sz w:val="22"/>
          <w:szCs w:val="22"/>
          <w:vertAlign w:val="superscript"/>
        </w:rPr>
        <w:footnoteReference w:id="56"/>
      </w:r>
      <w:r>
        <w:t xml:space="preserve"> At the same time,</w:t>
      </w:r>
      <w:r w:rsidRPr="002D7F86">
        <w:t xml:space="preserve"> Treasury</w:t>
      </w:r>
      <w:r w:rsidR="003A0D5E">
        <w:t>’</w:t>
      </w:r>
      <w:r w:rsidRPr="002D7F86">
        <w:t>s Small Business Policy Division conducts data</w:t>
      </w:r>
      <w:r w:rsidR="003A0D5E">
        <w:noBreakHyphen/>
      </w:r>
      <w:r w:rsidRPr="002D7F86">
        <w:t>focused activities to inform policy and measure outcomes.</w:t>
      </w:r>
      <w:r w:rsidR="00065357">
        <w:rPr>
          <w:rFonts w:ascii="ZWAdobeF" w:hAnsi="ZWAdobeF" w:cs="ZWAdobeF"/>
          <w:color w:val="auto"/>
          <w:sz w:val="2"/>
          <w:szCs w:val="2"/>
        </w:rPr>
        <w:t>55F</w:t>
      </w:r>
      <w:r w:rsidR="002446A0" w:rsidRPr="00E64B58">
        <w:rPr>
          <w:rStyle w:val="FootnoteReference"/>
          <w:sz w:val="22"/>
          <w:szCs w:val="24"/>
          <w:vertAlign w:val="superscript"/>
        </w:rPr>
        <w:footnoteReference w:id="57"/>
      </w:r>
    </w:p>
    <w:p w14:paraId="7B3FD268" w14:textId="59BD6FA9" w:rsidR="00A93D97" w:rsidRPr="002A2DC1" w:rsidRDefault="00A93D97" w:rsidP="00A93D97">
      <w:r w:rsidRPr="00D175F9">
        <w:rPr>
          <w:rStyle w:val="Strong"/>
        </w:rPr>
        <w:t>The McGregor Review recommendation to expand ASBFEO</w:t>
      </w:r>
      <w:r w:rsidR="003A0D5E">
        <w:rPr>
          <w:rStyle w:val="Strong"/>
        </w:rPr>
        <w:t>’</w:t>
      </w:r>
      <w:r w:rsidRPr="00D175F9">
        <w:rPr>
          <w:rStyle w:val="Strong"/>
        </w:rPr>
        <w:t>s data capabilities for advocacy has been implemented.</w:t>
      </w:r>
      <w:r w:rsidR="00065357">
        <w:rPr>
          <w:rStyle w:val="Strong"/>
          <w:rFonts w:ascii="ZWAdobeF" w:hAnsi="ZWAdobeF" w:cs="ZWAdobeF"/>
          <w:b w:val="0"/>
          <w:color w:val="auto"/>
          <w:sz w:val="2"/>
          <w:szCs w:val="2"/>
        </w:rPr>
        <w:t>56F</w:t>
      </w:r>
      <w:r w:rsidR="00AE4E0A" w:rsidRPr="00E64B58">
        <w:rPr>
          <w:rStyle w:val="FootnoteReference"/>
          <w:b/>
          <w:sz w:val="22"/>
          <w:szCs w:val="24"/>
          <w:vertAlign w:val="superscript"/>
        </w:rPr>
        <w:footnoteReference w:id="58"/>
      </w:r>
      <w:r w:rsidRPr="002D7F86">
        <w:t xml:space="preserve"> It also advised developing a data and research sharing program </w:t>
      </w:r>
      <w:r>
        <w:t>to set and prioritise</w:t>
      </w:r>
      <w:r w:rsidRPr="002D7F86">
        <w:t xml:space="preserve"> a broader strategic agenda. The Review notes that ASBFEO</w:t>
      </w:r>
      <w:r w:rsidR="003A0D5E">
        <w:t>’</w:t>
      </w:r>
      <w:r w:rsidRPr="002D7F86">
        <w:t>s limited resources make it challenging to handle the growing</w:t>
      </w:r>
      <w:r w:rsidR="00F133FF">
        <w:t xml:space="preserve"> </w:t>
      </w:r>
      <w:r w:rsidR="00C34270">
        <w:t>list of</w:t>
      </w:r>
      <w:r w:rsidRPr="002D7F86">
        <w:t xml:space="preserve"> requests </w:t>
      </w:r>
      <w:r>
        <w:t>from</w:t>
      </w:r>
      <w:r w:rsidR="00825567">
        <w:t xml:space="preserve"> stakeholder</w:t>
      </w:r>
      <w:r w:rsidR="00F92999">
        <w:t>s</w:t>
      </w:r>
      <w:r w:rsidR="00825567">
        <w:t xml:space="preserve"> </w:t>
      </w:r>
      <w:r w:rsidR="00D4353B">
        <w:t>to</w:t>
      </w:r>
      <w:r w:rsidR="00576D2C">
        <w:t xml:space="preserve"> t</w:t>
      </w:r>
      <w:r w:rsidRPr="002D7F86">
        <w:t xml:space="preserve">he </w:t>
      </w:r>
      <w:r w:rsidR="002A27F4">
        <w:t>D</w:t>
      </w:r>
      <w:r w:rsidRPr="002D7F86">
        <w:t>ata team</w:t>
      </w:r>
      <w:r w:rsidR="0033512D">
        <w:t>,</w:t>
      </w:r>
      <w:r w:rsidRPr="002D7F86">
        <w:t xml:space="preserve"> while ensuring fair and impartial resource allocation.</w:t>
      </w:r>
    </w:p>
    <w:p w14:paraId="7514D80A" w14:textId="489BB6FC" w:rsidR="00C47726" w:rsidRPr="00C47726" w:rsidRDefault="00A93D97" w:rsidP="00C47726">
      <w:r w:rsidRPr="00D175F9">
        <w:rPr>
          <w:rStyle w:val="Strong"/>
        </w:rPr>
        <w:t xml:space="preserve">This Review recommends that </w:t>
      </w:r>
      <w:r w:rsidR="00972C29" w:rsidRPr="00D175F9">
        <w:rPr>
          <w:rStyle w:val="Strong"/>
        </w:rPr>
        <w:t>ASBFEO</w:t>
      </w:r>
      <w:r w:rsidR="00972C29">
        <w:rPr>
          <w:rStyle w:val="Strong"/>
        </w:rPr>
        <w:t>’</w:t>
      </w:r>
      <w:r w:rsidR="00972C29" w:rsidRPr="00D175F9">
        <w:rPr>
          <w:rStyle w:val="Strong"/>
        </w:rPr>
        <w:t>s D</w:t>
      </w:r>
      <w:r w:rsidRPr="00D175F9">
        <w:rPr>
          <w:rStyle w:val="Strong"/>
        </w:rPr>
        <w:t>ata team concentrate on supporting ASBFEO</w:t>
      </w:r>
      <w:r>
        <w:rPr>
          <w:rStyle w:val="Strong"/>
        </w:rPr>
        <w:t>’</w:t>
      </w:r>
      <w:r w:rsidRPr="00D175F9">
        <w:rPr>
          <w:rStyle w:val="Strong"/>
        </w:rPr>
        <w:t>s core functions of advocacy and assistance.</w:t>
      </w:r>
      <w:r w:rsidRPr="002D7F86">
        <w:t xml:space="preserve"> Initially, addressing </w:t>
      </w:r>
      <w:r>
        <w:t>the gaps</w:t>
      </w:r>
      <w:r w:rsidRPr="002D7F86">
        <w:t xml:space="preserve"> in tracking and reporting assistance activities (</w:t>
      </w:r>
      <w:r w:rsidR="003545F9">
        <w:t>C</w:t>
      </w:r>
      <w:r w:rsidRPr="002D7F86">
        <w:t>hapter</w:t>
      </w:r>
      <w:r>
        <w:t xml:space="preserve"> 4</w:t>
      </w:r>
      <w:r w:rsidRPr="002D7F86">
        <w:t>) will likely u</w:t>
      </w:r>
      <w:r>
        <w:t>s</w:t>
      </w:r>
      <w:r w:rsidRPr="002D7F86">
        <w:t xml:space="preserve">e part of the </w:t>
      </w:r>
      <w:r w:rsidR="00C85A91">
        <w:t>D</w:t>
      </w:r>
      <w:r w:rsidRPr="002D7F86">
        <w:t xml:space="preserve">ata </w:t>
      </w:r>
      <w:r w:rsidR="003545F9">
        <w:t>t</w:t>
      </w:r>
      <w:r w:rsidRPr="002D7F86">
        <w:t xml:space="preserve">eam’s capacity. Consequently, </w:t>
      </w:r>
      <w:r>
        <w:t xml:space="preserve">as the remaining capacity may be </w:t>
      </w:r>
      <w:r w:rsidRPr="002D7F86">
        <w:t>reduced</w:t>
      </w:r>
      <w:r>
        <w:t>,</w:t>
      </w:r>
      <w:r w:rsidRPr="002D7F86">
        <w:t xml:space="preserve"> it is crucial to </w:t>
      </w:r>
      <w:r>
        <w:t>ensure the</w:t>
      </w:r>
      <w:r w:rsidRPr="002D7F86">
        <w:t xml:space="preserve"> advocacy priorities</w:t>
      </w:r>
      <w:r>
        <w:t xml:space="preserve"> are set to a number that realistically reflects</w:t>
      </w:r>
      <w:r w:rsidRPr="002D7F86">
        <w:t xml:space="preserve"> ASBFEO’s organi</w:t>
      </w:r>
      <w:r>
        <w:t>s</w:t>
      </w:r>
      <w:r w:rsidRPr="002D7F86">
        <w:t>ational resources</w:t>
      </w:r>
      <w:r>
        <w:t>. T</w:t>
      </w:r>
      <w:r w:rsidRPr="002D7F86">
        <w:t xml:space="preserve">he </w:t>
      </w:r>
      <w:r w:rsidR="00DE53C1">
        <w:t>D</w:t>
      </w:r>
      <w:r w:rsidRPr="002D7F86">
        <w:t xml:space="preserve">ata team </w:t>
      </w:r>
      <w:r>
        <w:t xml:space="preserve">must </w:t>
      </w:r>
      <w:r w:rsidRPr="002D7F86">
        <w:t>understand</w:t>
      </w:r>
      <w:r>
        <w:t xml:space="preserve"> </w:t>
      </w:r>
      <w:r w:rsidRPr="002D7F86">
        <w:t>and support these priorities</w:t>
      </w:r>
      <w:r>
        <w:t>, and this will</w:t>
      </w:r>
      <w:r w:rsidRPr="002D7F86">
        <w:t xml:space="preserve"> guide decisions regarding other projects. For a period, the ability to undertake new projects may be restricted.</w:t>
      </w:r>
    </w:p>
    <w:p w14:paraId="3BB0E16F" w14:textId="26CDBEA1" w:rsidR="00C47726" w:rsidRPr="00C47726" w:rsidRDefault="00C47726" w:rsidP="005557D0">
      <w:pPr>
        <w:pStyle w:val="Heading3"/>
        <w:rPr>
          <w:lang w:val="en-US"/>
        </w:rPr>
      </w:pPr>
      <w:bookmarkStart w:id="34" w:name="_Toc199940944"/>
      <w:r w:rsidRPr="00C47726">
        <w:rPr>
          <w:lang w:val="en-US"/>
        </w:rPr>
        <w:lastRenderedPageBreak/>
        <w:t>R</w:t>
      </w:r>
      <w:r w:rsidR="00AE7A14">
        <w:rPr>
          <w:lang w:val="en-US"/>
        </w:rPr>
        <w:t>ecommendation</w:t>
      </w:r>
      <w:bookmarkEnd w:id="34"/>
    </w:p>
    <w:tbl>
      <w:tblPr>
        <w:tblStyle w:val="BoxStyle"/>
        <w:tblW w:w="5000" w:type="pct"/>
        <w:shd w:val="clear" w:color="auto" w:fill="F4F0EC"/>
        <w:tblLook w:val="0620" w:firstRow="1" w:lastRow="0" w:firstColumn="0" w:lastColumn="0" w:noHBand="1" w:noVBand="1"/>
      </w:tblPr>
      <w:tblGrid>
        <w:gridCol w:w="9070"/>
      </w:tblGrid>
      <w:tr w:rsidR="005C79C8" w14:paraId="7E92C1CD" w14:textId="77777777" w:rsidTr="004C4118">
        <w:tc>
          <w:tcPr>
            <w:tcW w:w="5000" w:type="pct"/>
            <w:shd w:val="clear" w:color="auto" w:fill="F4F0EC"/>
            <w:hideMark/>
          </w:tcPr>
          <w:p w14:paraId="25CE8360" w14:textId="41FF300B" w:rsidR="005C79C8" w:rsidRPr="00833D5F" w:rsidRDefault="005C79C8" w:rsidP="00861F8B">
            <w:pPr>
              <w:pStyle w:val="BoxText"/>
            </w:pPr>
            <w:r>
              <w:rPr>
                <w:rStyle w:val="Strong"/>
              </w:rPr>
              <w:t xml:space="preserve">Recommendation 3: </w:t>
            </w:r>
            <w:r>
              <w:rPr>
                <w:rStyle w:val="Strong"/>
                <w:b w:val="0"/>
              </w:rPr>
              <w:t>ASBFEO should re</w:t>
            </w:r>
            <w:r w:rsidRPr="00410E2A">
              <w:rPr>
                <w:rStyle w:val="Strong"/>
                <w:b w:val="0"/>
              </w:rPr>
              <w:t xml:space="preserve">focus </w:t>
            </w:r>
            <w:r>
              <w:rPr>
                <w:rStyle w:val="Strong"/>
                <w:b w:val="0"/>
              </w:rPr>
              <w:t>the efforts of its Data team</w:t>
            </w:r>
            <w:r w:rsidDel="00486A2E">
              <w:rPr>
                <w:rStyle w:val="Strong"/>
                <w:b w:val="0"/>
              </w:rPr>
              <w:t xml:space="preserve"> </w:t>
            </w:r>
            <w:r w:rsidR="00373D0E">
              <w:rPr>
                <w:rStyle w:val="Strong"/>
                <w:b w:val="0"/>
              </w:rPr>
              <w:t>t</w:t>
            </w:r>
            <w:r w:rsidR="00373D0E" w:rsidRPr="00363F00">
              <w:t xml:space="preserve">o </w:t>
            </w:r>
            <w:r w:rsidRPr="00410E2A">
              <w:rPr>
                <w:rStyle w:val="Strong"/>
                <w:b w:val="0"/>
              </w:rPr>
              <w:t xml:space="preserve">support ASBFEO’s core functions – advocacy and assistance </w:t>
            </w:r>
            <w:r>
              <w:rPr>
                <w:rStyle w:val="Strong"/>
                <w:b w:val="0"/>
              </w:rPr>
              <w:t xml:space="preserve">– </w:t>
            </w:r>
            <w:r w:rsidRPr="00410E2A">
              <w:rPr>
                <w:rStyle w:val="Strong"/>
                <w:b w:val="0"/>
              </w:rPr>
              <w:t>and align with the overall organisational and advocacy priorities (refer to previous recommendation)</w:t>
            </w:r>
            <w:r>
              <w:rPr>
                <w:rStyle w:val="Strong"/>
                <w:b w:val="0"/>
              </w:rPr>
              <w:t>.</w:t>
            </w:r>
          </w:p>
        </w:tc>
      </w:tr>
    </w:tbl>
    <w:p w14:paraId="377C2C76" w14:textId="782C1929" w:rsidR="009B5A1F" w:rsidRDefault="00444413" w:rsidP="00444413">
      <w:r w:rsidRPr="00861F8B">
        <w:rPr>
          <w:rStyle w:val="Strong"/>
        </w:rPr>
        <w:t xml:space="preserve">The </w:t>
      </w:r>
      <w:r w:rsidR="002E288C" w:rsidRPr="00861F8B">
        <w:rPr>
          <w:rStyle w:val="Strong"/>
        </w:rPr>
        <w:t>D</w:t>
      </w:r>
      <w:r w:rsidRPr="00861F8B">
        <w:rPr>
          <w:rStyle w:val="Strong"/>
        </w:rPr>
        <w:t xml:space="preserve">ata </w:t>
      </w:r>
      <w:r w:rsidR="003545F9" w:rsidRPr="00861F8B">
        <w:rPr>
          <w:rStyle w:val="Strong"/>
        </w:rPr>
        <w:t>t</w:t>
      </w:r>
      <w:r w:rsidRPr="00861F8B">
        <w:rPr>
          <w:rStyle w:val="Strong"/>
        </w:rPr>
        <w:t xml:space="preserve">eam has done an excellent job in developing protocols and a governance framework to manage </w:t>
      </w:r>
      <w:r w:rsidR="003545F9" w:rsidRPr="00861F8B">
        <w:rPr>
          <w:rStyle w:val="Strong"/>
        </w:rPr>
        <w:t xml:space="preserve">its </w:t>
      </w:r>
      <w:r w:rsidRPr="00861F8B">
        <w:rPr>
          <w:rStyle w:val="Strong"/>
        </w:rPr>
        <w:t xml:space="preserve">work and associated risks. </w:t>
      </w:r>
      <w:r w:rsidRPr="00C47726">
        <w:rPr>
          <w:lang w:val="en-US"/>
        </w:rPr>
        <w:t xml:space="preserve">It would be beneficial for the </w:t>
      </w:r>
      <w:r w:rsidR="002E288C">
        <w:rPr>
          <w:lang w:val="en-US"/>
        </w:rPr>
        <w:t>D</w:t>
      </w:r>
      <w:r w:rsidRPr="00C47726">
        <w:rPr>
          <w:lang w:val="en-US"/>
        </w:rPr>
        <w:t xml:space="preserve">ata </w:t>
      </w:r>
      <w:r w:rsidR="003545F9">
        <w:rPr>
          <w:lang w:val="en-US"/>
        </w:rPr>
        <w:t>t</w:t>
      </w:r>
      <w:r w:rsidRPr="00C47726">
        <w:rPr>
          <w:lang w:val="en-US"/>
        </w:rPr>
        <w:t xml:space="preserve">eam to review and strengthen the governance frameworks to </w:t>
      </w:r>
      <w:r>
        <w:rPr>
          <w:lang w:val="en-US"/>
        </w:rPr>
        <w:t>maintain the quality and integrity of their work</w:t>
      </w:r>
      <w:r w:rsidRPr="00C47726">
        <w:rPr>
          <w:lang w:val="en-US"/>
        </w:rPr>
        <w:t xml:space="preserve"> and that a broad audience can use </w:t>
      </w:r>
      <w:r w:rsidR="003545F9">
        <w:rPr>
          <w:lang w:val="en-US"/>
        </w:rPr>
        <w:t>its</w:t>
      </w:r>
      <w:r w:rsidR="003545F9" w:rsidRPr="00C47726">
        <w:rPr>
          <w:lang w:val="en-US"/>
        </w:rPr>
        <w:t xml:space="preserve"> </w:t>
      </w:r>
      <w:r w:rsidRPr="00C47726">
        <w:rPr>
          <w:lang w:val="en-US"/>
        </w:rPr>
        <w:t>work accurately.</w:t>
      </w:r>
    </w:p>
    <w:p w14:paraId="0DBED5E5" w14:textId="1DE3181D" w:rsidR="00444413" w:rsidRDefault="00444413" w:rsidP="00444413">
      <w:r w:rsidRPr="006737BF">
        <w:rPr>
          <w:b/>
          <w:bCs/>
          <w:lang w:val="en-US"/>
        </w:rPr>
        <w:t>For instance, Treasury’s Small Business Policy area has reported difficulty replicating or testing the data analysis undertaken by ASBFEO.</w:t>
      </w:r>
      <w:r w:rsidRPr="00C47726">
        <w:rPr>
          <w:lang w:val="en-US"/>
        </w:rPr>
        <w:t xml:space="preserve"> </w:t>
      </w:r>
      <w:r>
        <w:rPr>
          <w:lang w:val="en-US"/>
        </w:rPr>
        <w:t>Although this</w:t>
      </w:r>
      <w:r w:rsidRPr="00C47726">
        <w:rPr>
          <w:lang w:val="en-US"/>
        </w:rPr>
        <w:t xml:space="preserve"> does not necessarily mean that A</w:t>
      </w:r>
      <w:r>
        <w:rPr>
          <w:lang w:val="en-US"/>
        </w:rPr>
        <w:t>S</w:t>
      </w:r>
      <w:r w:rsidRPr="00C47726">
        <w:rPr>
          <w:lang w:val="en-US"/>
        </w:rPr>
        <w:t xml:space="preserve">BFEO’s analysis is inaccurate, it </w:t>
      </w:r>
      <w:r w:rsidR="00D61910" w:rsidRPr="00C47726">
        <w:rPr>
          <w:lang w:val="en-US"/>
        </w:rPr>
        <w:t>ca</w:t>
      </w:r>
      <w:r w:rsidR="00D61910">
        <w:rPr>
          <w:lang w:val="en-US"/>
        </w:rPr>
        <w:t>nnot</w:t>
      </w:r>
      <w:r w:rsidRPr="00C47726">
        <w:rPr>
          <w:lang w:val="en-US"/>
        </w:rPr>
        <w:t xml:space="preserve"> be confirmed. As a result, the opportunities for ASBFEO’s data insights to be used across a range of departments, documents, and advocacy discussions may not achieve its full potential. Providing more meaningful and specific referencing, introducing protocols around documenting data provenance, data lineage</w:t>
      </w:r>
      <w:r>
        <w:rPr>
          <w:lang w:val="en-US"/>
        </w:rPr>
        <w:t>,</w:t>
      </w:r>
      <w:r w:rsidRPr="00C47726">
        <w:rPr>
          <w:lang w:val="en-US"/>
        </w:rPr>
        <w:t xml:space="preserve"> and enhanced transparency of methodology are likely to help.</w:t>
      </w:r>
      <w:r w:rsidR="003A0D5E">
        <w:rPr>
          <w:lang w:val="en-US"/>
        </w:rPr>
        <w:t xml:space="preserve"> </w:t>
      </w:r>
    </w:p>
    <w:p w14:paraId="3874457F" w14:textId="63E5E5B7" w:rsidR="009B5A1F" w:rsidRDefault="009B5A1F" w:rsidP="00444413">
      <w:pPr>
        <w:rPr>
          <w:lang w:val="en-US"/>
        </w:rPr>
      </w:pPr>
      <w:r w:rsidRPr="00861F8B">
        <w:rPr>
          <w:rStyle w:val="Strong"/>
        </w:rPr>
        <w:t>In particular, the Small Business Pulse would benefit from including a published methodology that an established expert has tested.</w:t>
      </w:r>
      <w:r w:rsidRPr="00C47726">
        <w:rPr>
          <w:lang w:val="en-US"/>
        </w:rPr>
        <w:t xml:space="preserve"> This would ensure </w:t>
      </w:r>
      <w:r>
        <w:rPr>
          <w:lang w:val="en-US"/>
        </w:rPr>
        <w:t xml:space="preserve">the </w:t>
      </w:r>
      <w:r w:rsidRPr="00C47726">
        <w:rPr>
          <w:lang w:val="en-US"/>
        </w:rPr>
        <w:t>longevity of the index and increase buy</w:t>
      </w:r>
      <w:r w:rsidR="003A0D5E">
        <w:rPr>
          <w:lang w:val="en-US"/>
        </w:rPr>
        <w:noBreakHyphen/>
      </w:r>
      <w:r w:rsidRPr="00C47726">
        <w:rPr>
          <w:lang w:val="en-US"/>
        </w:rPr>
        <w:t xml:space="preserve">in across </w:t>
      </w:r>
      <w:r w:rsidR="003545F9">
        <w:rPr>
          <w:lang w:val="en-US"/>
        </w:rPr>
        <w:t>g</w:t>
      </w:r>
      <w:r w:rsidRPr="00C47726">
        <w:rPr>
          <w:lang w:val="en-US"/>
        </w:rPr>
        <w:t xml:space="preserve">overnment. The </w:t>
      </w:r>
      <w:r w:rsidR="002D0258">
        <w:rPr>
          <w:lang w:val="en-US"/>
        </w:rPr>
        <w:t>Australian Bureau of Statistics (</w:t>
      </w:r>
      <w:r w:rsidRPr="00C47726">
        <w:rPr>
          <w:lang w:val="en-US"/>
        </w:rPr>
        <w:t>ABS</w:t>
      </w:r>
      <w:r w:rsidR="002D0258">
        <w:rPr>
          <w:lang w:val="en-US"/>
        </w:rPr>
        <w:t>)</w:t>
      </w:r>
      <w:r w:rsidRPr="00C47726">
        <w:rPr>
          <w:lang w:val="en-US"/>
        </w:rPr>
        <w:t xml:space="preserve"> has advised </w:t>
      </w:r>
      <w:r>
        <w:rPr>
          <w:lang w:val="en-US"/>
        </w:rPr>
        <w:t xml:space="preserve">that </w:t>
      </w:r>
      <w:r w:rsidRPr="00C47726">
        <w:rPr>
          <w:lang w:val="en-US"/>
        </w:rPr>
        <w:t>their Chief Methodologist can be engaged to review these types of ind</w:t>
      </w:r>
      <w:r>
        <w:rPr>
          <w:lang w:val="en-US"/>
        </w:rPr>
        <w:t>ic</w:t>
      </w:r>
      <w:r w:rsidRPr="00C47726">
        <w:rPr>
          <w:lang w:val="en-US"/>
        </w:rPr>
        <w:t>es.</w:t>
      </w:r>
    </w:p>
    <w:p w14:paraId="161B4FCF" w14:textId="63FE2D90" w:rsidR="004D274B" w:rsidRDefault="004D274B" w:rsidP="00833D5F">
      <w:pPr>
        <w:pStyle w:val="Heading3"/>
      </w:pPr>
      <w:bookmarkStart w:id="35" w:name="_Toc199940945"/>
      <w:r w:rsidRPr="00946B4F">
        <w:rPr>
          <w:lang w:val="en-US"/>
        </w:rPr>
        <w:t>Recommendation</w:t>
      </w:r>
      <w:bookmarkEnd w:id="35"/>
      <w:r w:rsidRPr="00946B4F">
        <w:t> </w:t>
      </w:r>
    </w:p>
    <w:tbl>
      <w:tblPr>
        <w:tblStyle w:val="BoxStyle"/>
        <w:tblW w:w="5000" w:type="pct"/>
        <w:shd w:val="clear" w:color="auto" w:fill="F4F0EC"/>
        <w:tblLook w:val="0620" w:firstRow="1" w:lastRow="0" w:firstColumn="0" w:lastColumn="0" w:noHBand="1" w:noVBand="1"/>
      </w:tblPr>
      <w:tblGrid>
        <w:gridCol w:w="9070"/>
      </w:tblGrid>
      <w:tr w:rsidR="00901C44" w14:paraId="5475976E" w14:textId="77777777" w:rsidTr="004C4118">
        <w:tc>
          <w:tcPr>
            <w:tcW w:w="5000" w:type="pct"/>
            <w:shd w:val="clear" w:color="auto" w:fill="F4F0EC"/>
            <w:hideMark/>
          </w:tcPr>
          <w:p w14:paraId="25F8CA4C" w14:textId="02730D61" w:rsidR="00901C44" w:rsidRPr="00833D5F" w:rsidRDefault="00901C44" w:rsidP="00861F8B">
            <w:pPr>
              <w:pStyle w:val="BoxText"/>
              <w:rPr>
                <w:b/>
                <w:bCs/>
              </w:rPr>
            </w:pPr>
            <w:r>
              <w:rPr>
                <w:rStyle w:val="Strong"/>
              </w:rPr>
              <w:t xml:space="preserve">Recommendation 4: </w:t>
            </w:r>
            <w:r w:rsidRPr="00410E2A">
              <w:rPr>
                <w:lang w:val="en-US"/>
              </w:rPr>
              <w:t xml:space="preserve">ASBFEO </w:t>
            </w:r>
            <w:r>
              <w:rPr>
                <w:lang w:val="en-US"/>
              </w:rPr>
              <w:t>sh</w:t>
            </w:r>
            <w:r w:rsidRPr="00410E2A">
              <w:rPr>
                <w:lang w:val="en-US"/>
              </w:rPr>
              <w:t xml:space="preserve">ould </w:t>
            </w:r>
            <w:r>
              <w:rPr>
                <w:lang w:val="en-US"/>
              </w:rPr>
              <w:t>request</w:t>
            </w:r>
            <w:r w:rsidRPr="00410E2A">
              <w:rPr>
                <w:lang w:val="en-US"/>
              </w:rPr>
              <w:t xml:space="preserve"> the </w:t>
            </w:r>
            <w:r>
              <w:rPr>
                <w:lang w:val="en-US"/>
              </w:rPr>
              <w:t>Australian Bureau of Statistics (</w:t>
            </w:r>
            <w:r w:rsidRPr="007F6CFB">
              <w:rPr>
                <w:lang w:val="en-US"/>
              </w:rPr>
              <w:t>ABS</w:t>
            </w:r>
            <w:r>
              <w:rPr>
                <w:lang w:val="en-US"/>
              </w:rPr>
              <w:t>)</w:t>
            </w:r>
            <w:r w:rsidRPr="00410E2A">
              <w:rPr>
                <w:lang w:val="en-US"/>
              </w:rPr>
              <w:t xml:space="preserve"> Methodology team</w:t>
            </w:r>
            <w:r w:rsidDel="006C58D2">
              <w:rPr>
                <w:lang w:val="en-US"/>
              </w:rPr>
              <w:t xml:space="preserve"> </w:t>
            </w:r>
            <w:r w:rsidRPr="00410E2A">
              <w:rPr>
                <w:lang w:val="en-US"/>
              </w:rPr>
              <w:t xml:space="preserve">formally review the Small Business Pulse Index to ensure it follows an approved methodology. </w:t>
            </w:r>
          </w:p>
        </w:tc>
      </w:tr>
    </w:tbl>
    <w:p w14:paraId="0DCF1875" w14:textId="77777777" w:rsidR="001D18F1" w:rsidRDefault="001D18F1" w:rsidP="001D18F1"/>
    <w:p w14:paraId="57873D6C" w14:textId="77777777" w:rsidR="003C1274" w:rsidRPr="003074FE" w:rsidRDefault="003C1274" w:rsidP="003074FE">
      <w:pPr>
        <w:pStyle w:val="SingleParagraph"/>
      </w:pPr>
    </w:p>
    <w:p w14:paraId="76C76A54" w14:textId="77777777" w:rsidR="003C1274" w:rsidRPr="003074FE" w:rsidRDefault="003C1274" w:rsidP="003074FE">
      <w:pPr>
        <w:pStyle w:val="SingleParagraph"/>
      </w:pPr>
    </w:p>
    <w:p w14:paraId="05476E00" w14:textId="77777777" w:rsidR="0076798A" w:rsidRDefault="0076798A" w:rsidP="0076798A">
      <w:pPr>
        <w:sectPr w:rsidR="0076798A" w:rsidSect="00BC6471">
          <w:type w:val="oddPage"/>
          <w:pgSz w:w="11906" w:h="16838" w:code="9"/>
          <w:pgMar w:top="1843" w:right="1418" w:bottom="1418" w:left="1418" w:header="709" w:footer="709" w:gutter="0"/>
          <w:cols w:space="708"/>
          <w:docGrid w:linePitch="360"/>
        </w:sectPr>
      </w:pPr>
    </w:p>
    <w:p w14:paraId="24977FAE" w14:textId="382ACE9E" w:rsidR="001D18F1" w:rsidRDefault="001D18F1" w:rsidP="001D18F1">
      <w:pPr>
        <w:pStyle w:val="Heading1"/>
      </w:pPr>
      <w:bookmarkStart w:id="36" w:name="_Toc199940946"/>
      <w:r>
        <w:lastRenderedPageBreak/>
        <w:t>Chapter 4</w:t>
      </w:r>
      <w:r w:rsidR="00E31CFE">
        <w:t xml:space="preserve">: </w:t>
      </w:r>
      <w:proofErr w:type="gramStart"/>
      <w:r w:rsidR="00D4517C">
        <w:t xml:space="preserve">Providing </w:t>
      </w:r>
      <w:r w:rsidR="003545F9">
        <w:t>a</w:t>
      </w:r>
      <w:r w:rsidR="00D4517C">
        <w:t>ssistance to</w:t>
      </w:r>
      <w:proofErr w:type="gramEnd"/>
      <w:r w:rsidR="00D4517C">
        <w:t xml:space="preserve"> </w:t>
      </w:r>
      <w:r w:rsidR="003545F9">
        <w:t>s</w:t>
      </w:r>
      <w:r w:rsidR="00D4517C">
        <w:t xml:space="preserve">mall and </w:t>
      </w:r>
      <w:r w:rsidR="003545F9">
        <w:t>f</w:t>
      </w:r>
      <w:r w:rsidR="00D4517C">
        <w:t xml:space="preserve">amily </w:t>
      </w:r>
      <w:r w:rsidR="003545F9">
        <w:t>b</w:t>
      </w:r>
      <w:r w:rsidR="00D4517C">
        <w:t>usinesses</w:t>
      </w:r>
      <w:bookmarkEnd w:id="36"/>
    </w:p>
    <w:p w14:paraId="01128DD5" w14:textId="424455DE" w:rsidR="007336EC" w:rsidRPr="007336EC" w:rsidRDefault="007336EC" w:rsidP="007336EC">
      <w:pPr>
        <w:pStyle w:val="Heading2"/>
        <w:rPr>
          <w:rFonts w:eastAsiaTheme="minorHAnsi"/>
        </w:rPr>
      </w:pPr>
      <w:bookmarkStart w:id="37" w:name="_Toc199940947"/>
      <w:r>
        <w:t>Summary</w:t>
      </w:r>
      <w:bookmarkEnd w:id="37"/>
    </w:p>
    <w:tbl>
      <w:tblPr>
        <w:tblStyle w:val="BoxStyle"/>
        <w:tblW w:w="5000" w:type="pct"/>
        <w:shd w:val="clear" w:color="auto" w:fill="F4F0EC"/>
        <w:tblLook w:val="0620" w:firstRow="1" w:lastRow="0" w:firstColumn="0" w:lastColumn="0" w:noHBand="1" w:noVBand="1"/>
      </w:tblPr>
      <w:tblGrid>
        <w:gridCol w:w="9070"/>
      </w:tblGrid>
      <w:tr w:rsidR="00974BC2" w14:paraId="7F5E6827" w14:textId="77777777" w:rsidTr="004C4118">
        <w:tc>
          <w:tcPr>
            <w:tcW w:w="5000" w:type="pct"/>
            <w:shd w:val="clear" w:color="auto" w:fill="F4F0EC"/>
            <w:hideMark/>
          </w:tcPr>
          <w:p w14:paraId="57DD7597" w14:textId="2FB8EE36" w:rsidR="00356FEC" w:rsidRPr="00356FEC" w:rsidRDefault="001F3E2F" w:rsidP="00861F8B">
            <w:pPr>
              <w:pStyle w:val="BoxText"/>
            </w:pPr>
            <w:r w:rsidRPr="001B7C7E">
              <w:rPr>
                <w:rFonts w:eastAsiaTheme="minorHAnsi"/>
              </w:rPr>
              <w:t>ASBFEO’s assistance function is vital for small businesses needing low</w:t>
            </w:r>
            <w:r w:rsidR="003A0D5E">
              <w:rPr>
                <w:rFonts w:eastAsiaTheme="minorHAnsi"/>
              </w:rPr>
              <w:noBreakHyphen/>
            </w:r>
            <w:r w:rsidRPr="001B7C7E">
              <w:rPr>
                <w:rFonts w:eastAsiaTheme="minorHAnsi"/>
              </w:rPr>
              <w:t xml:space="preserve">cost dispute resolution. </w:t>
            </w:r>
            <w:r w:rsidRPr="00CB5388">
              <w:t xml:space="preserve">ASBFEO has advanced its assistance function over the past </w:t>
            </w:r>
            <w:r w:rsidR="004F4281">
              <w:t>10</w:t>
            </w:r>
            <w:r w:rsidR="004F4281" w:rsidRPr="00CB5388">
              <w:t xml:space="preserve"> </w:t>
            </w:r>
            <w:r w:rsidRPr="00CB5388">
              <w:t xml:space="preserve">years. </w:t>
            </w:r>
            <w:r w:rsidR="00C70DDF">
              <w:t>The Contact Centre is working</w:t>
            </w:r>
            <w:r w:rsidR="005C747C">
              <w:t xml:space="preserve"> effectively by</w:t>
            </w:r>
            <w:r w:rsidR="00C70DDF">
              <w:t xml:space="preserve"> responding to </w:t>
            </w:r>
            <w:proofErr w:type="gramStart"/>
            <w:r w:rsidR="00C70DDF">
              <w:t>the majority of</w:t>
            </w:r>
            <w:proofErr w:type="gramEnd"/>
            <w:r w:rsidR="00C70DDF">
              <w:t xml:space="preserve"> assistance request</w:t>
            </w:r>
            <w:r w:rsidR="00260D8C">
              <w:t>s</w:t>
            </w:r>
            <w:r w:rsidR="00C70DDF">
              <w:t>, h</w:t>
            </w:r>
            <w:r w:rsidR="00C70DDF" w:rsidRPr="00CB5388">
              <w:t>owever</w:t>
            </w:r>
            <w:r w:rsidR="00C70DDF">
              <w:t xml:space="preserve"> ASBFEO’s</w:t>
            </w:r>
            <w:r w:rsidR="00C70DDF" w:rsidRPr="00CB5388">
              <w:t xml:space="preserve"> </w:t>
            </w:r>
            <w:r w:rsidRPr="00CB5388">
              <w:t>mediation services are underutilised, and disputes are often not fully resolved. To be fully effective in providing a low</w:t>
            </w:r>
            <w:r w:rsidR="003A0D5E">
              <w:noBreakHyphen/>
            </w:r>
            <w:r w:rsidRPr="00CB5388">
              <w:t xml:space="preserve">cost dispute resolution service, </w:t>
            </w:r>
            <w:r w:rsidR="00800237">
              <w:t xml:space="preserve">the </w:t>
            </w:r>
            <w:r w:rsidR="004F4281">
              <w:t xml:space="preserve">Australian </w:t>
            </w:r>
            <w:r w:rsidR="00800237">
              <w:t>Government</w:t>
            </w:r>
            <w:r w:rsidR="00800237" w:rsidRPr="00CB5388">
              <w:t xml:space="preserve"> </w:t>
            </w:r>
            <w:r w:rsidRPr="00CB5388">
              <w:t xml:space="preserve">should consider amending </w:t>
            </w:r>
            <w:r w:rsidR="00800237">
              <w:t xml:space="preserve">the ASBFEO Act </w:t>
            </w:r>
            <w:r w:rsidR="003F2781">
              <w:t>so that</w:t>
            </w:r>
            <w:r w:rsidR="008E616F" w:rsidRPr="008E616F">
              <w:t xml:space="preserve"> ASBFEO can provide more support to small businesses involved in a dispute.</w:t>
            </w:r>
            <w:r w:rsidR="00356FEC" w:rsidRPr="00356FEC">
              <w:rPr>
                <w:rFonts w:ascii="Segoe UI" w:hAnsi="Segoe UI" w:cs="Segoe UI"/>
                <w:color w:val="auto"/>
                <w:sz w:val="18"/>
                <w:szCs w:val="18"/>
              </w:rPr>
              <w:t xml:space="preserve"> </w:t>
            </w:r>
            <w:r w:rsidR="0068552C" w:rsidRPr="00356FEC">
              <w:t>Specifically</w:t>
            </w:r>
            <w:r w:rsidR="0068552C">
              <w:t xml:space="preserve">, </w:t>
            </w:r>
            <w:r w:rsidR="0068552C" w:rsidRPr="00356FEC">
              <w:t>ASBFEO should be a</w:t>
            </w:r>
            <w:r w:rsidR="0068552C">
              <w:t>ble</w:t>
            </w:r>
            <w:r w:rsidR="0068552C" w:rsidRPr="00356FEC">
              <w:t xml:space="preserve"> to </w:t>
            </w:r>
            <w:r w:rsidR="0068552C">
              <w:t xml:space="preserve">procure a mediation panel and </w:t>
            </w:r>
            <w:r w:rsidR="0068552C" w:rsidRPr="00356FEC">
              <w:t xml:space="preserve">appoint an independent mediator to conduct mediation, rather </w:t>
            </w:r>
            <w:r w:rsidR="0068552C">
              <w:t>the current process of</w:t>
            </w:r>
            <w:r w:rsidR="0068552C" w:rsidRPr="00356FEC">
              <w:t xml:space="preserve"> provid</w:t>
            </w:r>
            <w:r w:rsidR="0068552C">
              <w:t>ing</w:t>
            </w:r>
            <w:r w:rsidR="0068552C" w:rsidRPr="00356FEC">
              <w:t xml:space="preserve"> a list of names of mediators for </w:t>
            </w:r>
            <w:r w:rsidR="0068552C">
              <w:t>parties in dispute</w:t>
            </w:r>
            <w:r w:rsidR="0068552C" w:rsidRPr="00356FEC">
              <w:t xml:space="preserve"> to consider.</w:t>
            </w:r>
            <w:r w:rsidR="00356FEC" w:rsidRPr="00356FEC">
              <w:t xml:space="preserve"> ASBFEO</w:t>
            </w:r>
            <w:r w:rsidR="00AB7F72">
              <w:t>’</w:t>
            </w:r>
            <w:r w:rsidR="00356FEC" w:rsidRPr="00356FEC">
              <w:t>s Case Management staff should be allowed to negotiate resolutions before formal mediation and to also obtain feedback on formal mediation undertaken.</w:t>
            </w:r>
          </w:p>
          <w:p w14:paraId="5C581A07" w14:textId="1B247652" w:rsidR="001F3E2F" w:rsidRPr="00876633" w:rsidRDefault="001F3E2F" w:rsidP="00861F8B">
            <w:pPr>
              <w:pStyle w:val="BoxText"/>
            </w:pPr>
            <w:r>
              <w:rPr>
                <w:lang w:val="en-US"/>
              </w:rPr>
              <w:t>Dispute r</w:t>
            </w:r>
            <w:r w:rsidRPr="00CB5388">
              <w:rPr>
                <w:lang w:val="en-US"/>
              </w:rPr>
              <w:t xml:space="preserve">eferrals to other agencies </w:t>
            </w:r>
            <w:r>
              <w:rPr>
                <w:lang w:val="en-US"/>
              </w:rPr>
              <w:t xml:space="preserve">have </w:t>
            </w:r>
            <w:r w:rsidR="004F3E12">
              <w:rPr>
                <w:lang w:val="en-US"/>
              </w:rPr>
              <w:t>averaged</w:t>
            </w:r>
            <w:r w:rsidR="008C465D">
              <w:rPr>
                <w:lang w:val="en-US"/>
              </w:rPr>
              <w:t xml:space="preserve"> </w:t>
            </w:r>
            <w:r w:rsidRPr="00CB5388">
              <w:rPr>
                <w:lang w:val="en-US"/>
              </w:rPr>
              <w:t>25</w:t>
            </w:r>
            <w:r w:rsidR="00861F8B">
              <w:rPr>
                <w:lang w:val="en-US"/>
              </w:rPr>
              <w:t> </w:t>
            </w:r>
            <w:r w:rsidRPr="00CB5388">
              <w:rPr>
                <w:lang w:val="en-US"/>
              </w:rPr>
              <w:t xml:space="preserve">per cent of the Case Management team’s </w:t>
            </w:r>
            <w:r w:rsidR="004F3E12">
              <w:rPr>
                <w:lang w:val="en-US"/>
              </w:rPr>
              <w:t xml:space="preserve">annual </w:t>
            </w:r>
            <w:r w:rsidRPr="00CB5388">
              <w:rPr>
                <w:lang w:val="en-US"/>
              </w:rPr>
              <w:t>workload</w:t>
            </w:r>
            <w:r w:rsidR="004F3E12">
              <w:rPr>
                <w:lang w:val="en-US"/>
              </w:rPr>
              <w:t xml:space="preserve"> over the last three years</w:t>
            </w:r>
            <w:r>
              <w:rPr>
                <w:lang w:val="en-US"/>
              </w:rPr>
              <w:t>. Reviewing</w:t>
            </w:r>
            <w:r w:rsidRPr="00876633">
              <w:rPr>
                <w:lang w:val="en-US"/>
              </w:rPr>
              <w:t xml:space="preserve"> th</w:t>
            </w:r>
            <w:r>
              <w:rPr>
                <w:lang w:val="en-US"/>
              </w:rPr>
              <w:t>e</w:t>
            </w:r>
            <w:r w:rsidRPr="00876633">
              <w:rPr>
                <w:lang w:val="en-US"/>
              </w:rPr>
              <w:t xml:space="preserve"> transfer process to </w:t>
            </w:r>
            <w:r>
              <w:rPr>
                <w:lang w:val="en-US"/>
              </w:rPr>
              <w:t>determine what constitutes a warm handover and revising the referrals process in the Contact Centre and the online dispute resolution tool would help enable</w:t>
            </w:r>
            <w:r w:rsidRPr="00876633">
              <w:rPr>
                <w:lang w:val="en-US"/>
              </w:rPr>
              <w:t xml:space="preserve"> </w:t>
            </w:r>
            <w:r>
              <w:rPr>
                <w:lang w:val="en-US"/>
              </w:rPr>
              <w:t xml:space="preserve">the </w:t>
            </w:r>
            <w:r w:rsidRPr="00876633">
              <w:rPr>
                <w:lang w:val="en-US"/>
              </w:rPr>
              <w:t>timely transfer of cases.</w:t>
            </w:r>
          </w:p>
          <w:p w14:paraId="089CB87E" w14:textId="721D9BD5" w:rsidR="00974BC2" w:rsidRDefault="001F3E2F" w:rsidP="00974BC2">
            <w:pPr>
              <w:pStyle w:val="BoxText"/>
            </w:pPr>
            <w:r>
              <w:t>ASBFEO recognised</w:t>
            </w:r>
            <w:r w:rsidDel="001E191C">
              <w:t xml:space="preserve"> </w:t>
            </w:r>
            <w:r w:rsidR="001E191C">
              <w:t xml:space="preserve">its </w:t>
            </w:r>
            <w:r>
              <w:t xml:space="preserve">reporting is insufficient as it </w:t>
            </w:r>
            <w:r w:rsidRPr="0009353D">
              <w:t>lacks completeness in tracking resolution methods, case duration, or touchpoints during disputes.</w:t>
            </w:r>
            <w:r>
              <w:t xml:space="preserve"> </w:t>
            </w:r>
            <w:r w:rsidR="00DC51A6" w:rsidRPr="00CB5388">
              <w:t xml:space="preserve">ASBFEO’s ambition is to </w:t>
            </w:r>
            <w:r w:rsidR="00DC51A6" w:rsidRPr="0022603D">
              <w:t>achieve</w:t>
            </w:r>
            <w:r w:rsidR="00DC51A6" w:rsidRPr="00AA4DFA">
              <w:rPr>
                <w:b/>
              </w:rPr>
              <w:t xml:space="preserve"> </w:t>
            </w:r>
            <w:r w:rsidR="00852EC3" w:rsidRPr="00AA4DFA">
              <w:rPr>
                <w:rStyle w:val="Strong"/>
                <w:b w:val="0"/>
              </w:rPr>
              <w:t>International Organization</w:t>
            </w:r>
            <w:r w:rsidR="00DC51A6" w:rsidRPr="00AA4DFA">
              <w:rPr>
                <w:rStyle w:val="Strong"/>
                <w:b w:val="0"/>
              </w:rPr>
              <w:t xml:space="preserve"> for </w:t>
            </w:r>
            <w:r w:rsidR="00852EC3" w:rsidRPr="00AA4DFA">
              <w:rPr>
                <w:rStyle w:val="Strong"/>
                <w:b w:val="0"/>
              </w:rPr>
              <w:t>Standardization</w:t>
            </w:r>
            <w:r w:rsidR="00852EC3">
              <w:rPr>
                <w:rStyle w:val="Strong"/>
              </w:rPr>
              <w:t xml:space="preserve"> </w:t>
            </w:r>
            <w:r w:rsidR="00852EC3" w:rsidRPr="00363F00">
              <w:t>(</w:t>
            </w:r>
            <w:r w:rsidR="00DC51A6" w:rsidRPr="004C1343">
              <w:rPr>
                <w:rStyle w:val="Strong"/>
                <w:b w:val="0"/>
                <w:bCs w:val="0"/>
              </w:rPr>
              <w:t>ISO</w:t>
            </w:r>
            <w:r w:rsidR="00852EC3">
              <w:t>)</w:t>
            </w:r>
            <w:r w:rsidR="00DC51A6" w:rsidRPr="00CB5388">
              <w:t xml:space="preserve"> accreditation for the assistance function</w:t>
            </w:r>
            <w:r w:rsidR="001E191C">
              <w:t>. T</w:t>
            </w:r>
            <w:r w:rsidR="00DC51A6" w:rsidRPr="00975F2A">
              <w:t>he</w:t>
            </w:r>
            <w:r w:rsidR="00DC51A6">
              <w:t xml:space="preserve"> Review notes that the</w:t>
            </w:r>
            <w:r w:rsidR="00DC51A6" w:rsidRPr="00975F2A">
              <w:t xml:space="preserve"> Assistance team </w:t>
            </w:r>
            <w:r w:rsidR="00DC51A6">
              <w:t>recently</w:t>
            </w:r>
            <w:r w:rsidR="00DC51A6" w:rsidRPr="00975F2A">
              <w:t xml:space="preserve"> completed an ISO audit for its dispute resolution services</w:t>
            </w:r>
            <w:r w:rsidR="00DC51A6">
              <w:t>. As part of the accreditation process</w:t>
            </w:r>
            <w:r w:rsidR="00DC51A6" w:rsidRPr="00CB5388">
              <w:t xml:space="preserve"> t</w:t>
            </w:r>
            <w:r w:rsidR="00DC51A6" w:rsidRPr="009119C3">
              <w:t>he Review recommended introducing service standards for response times, mediation referrals</w:t>
            </w:r>
            <w:r w:rsidR="001E191C">
              <w:t>,</w:t>
            </w:r>
            <w:r w:rsidR="00DC51A6">
              <w:t xml:space="preserve"> and</w:t>
            </w:r>
            <w:r w:rsidR="00DC51A6" w:rsidRPr="009119C3">
              <w:t xml:space="preserve"> satisfaction surveys for assistance</w:t>
            </w:r>
            <w:r w:rsidR="00DC51A6" w:rsidRPr="0009353D">
              <w:t xml:space="preserve"> services</w:t>
            </w:r>
            <w:r>
              <w:t xml:space="preserve">. </w:t>
            </w:r>
            <w:r w:rsidRPr="00876633">
              <w:t xml:space="preserve">Stakeholders valued the guidance material </w:t>
            </w:r>
            <w:r>
              <w:t xml:space="preserve">on the </w:t>
            </w:r>
            <w:r w:rsidR="001E191C">
              <w:t xml:space="preserve">ASBFEO </w:t>
            </w:r>
            <w:r>
              <w:t>website</w:t>
            </w:r>
            <w:r w:rsidR="001E191C">
              <w:t>. U</w:t>
            </w:r>
            <w:r>
              <w:t xml:space="preserve">sing intelligence collected from </w:t>
            </w:r>
            <w:r w:rsidR="001E191C">
              <w:t xml:space="preserve">its </w:t>
            </w:r>
            <w:r>
              <w:t>assistance service,</w:t>
            </w:r>
            <w:r w:rsidRPr="00876633">
              <w:t xml:space="preserve"> </w:t>
            </w:r>
            <w:r>
              <w:t xml:space="preserve">this </w:t>
            </w:r>
            <w:r w:rsidRPr="00876633">
              <w:t>could be expanded to include ad</w:t>
            </w:r>
            <w:r>
              <w:t>v</w:t>
            </w:r>
            <w:r w:rsidRPr="00876633">
              <w:t xml:space="preserve">ice on the mediation process and additional case studies. </w:t>
            </w:r>
            <w:r w:rsidR="000A50A6">
              <w:t>ASBFEO</w:t>
            </w:r>
            <w:r w:rsidRPr="0009353D" w:rsidDel="001E191C">
              <w:t xml:space="preserve"> </w:t>
            </w:r>
            <w:r w:rsidRPr="0009353D">
              <w:t xml:space="preserve">recently </w:t>
            </w:r>
            <w:r w:rsidR="000A50A6">
              <w:t>engaged</w:t>
            </w:r>
            <w:r w:rsidRPr="0009353D">
              <w:t xml:space="preserve"> a programmer to update </w:t>
            </w:r>
            <w:r w:rsidR="001E191C">
              <w:t>its</w:t>
            </w:r>
            <w:r w:rsidR="001E191C" w:rsidRPr="0009353D">
              <w:t xml:space="preserve"> </w:t>
            </w:r>
            <w:r w:rsidR="007C2460" w:rsidRPr="007C2460">
              <w:t>Customer Relationship Management</w:t>
            </w:r>
            <w:r w:rsidRPr="0009353D">
              <w:t xml:space="preserve"> </w:t>
            </w:r>
            <w:r w:rsidR="001E191C">
              <w:t xml:space="preserve">(CRM) </w:t>
            </w:r>
            <w:r w:rsidRPr="0009353D">
              <w:t>and tracking system, which should enhance data reporting</w:t>
            </w:r>
            <w:r>
              <w:t xml:space="preserve">. </w:t>
            </w:r>
          </w:p>
        </w:tc>
      </w:tr>
    </w:tbl>
    <w:p w14:paraId="49B452F7" w14:textId="4A00B62F" w:rsidR="007960FB" w:rsidRDefault="007960FB" w:rsidP="00974BC2">
      <w:pPr>
        <w:pStyle w:val="Heading2"/>
      </w:pPr>
      <w:bookmarkStart w:id="38" w:name="_Toc199940948"/>
      <w:r w:rsidRPr="00974BC2">
        <w:t>Overview</w:t>
      </w:r>
      <w:bookmarkEnd w:id="38"/>
    </w:p>
    <w:p w14:paraId="6CEF9B45" w14:textId="4AAEEFD6" w:rsidR="00946B4F" w:rsidRPr="006752BF" w:rsidRDefault="00946B4F" w:rsidP="002D618A">
      <w:r w:rsidRPr="002D618A">
        <w:rPr>
          <w:rStyle w:val="Strong"/>
        </w:rPr>
        <w:t xml:space="preserve">Managing a dispute can be costly and difficult for small businesses. </w:t>
      </w:r>
      <w:r w:rsidRPr="00974BC2">
        <w:t>Small Businesses often have limited time, resources and financial capacity to search for and find low</w:t>
      </w:r>
      <w:r w:rsidR="00916FA5" w:rsidRPr="00974BC2">
        <w:noBreakHyphen/>
      </w:r>
      <w:r w:rsidRPr="00974BC2">
        <w:t>cost options that help settle dispute</w:t>
      </w:r>
      <w:r w:rsidR="001E191C">
        <w:t>s</w:t>
      </w:r>
      <w:r w:rsidRPr="00974BC2">
        <w:t>. This impacts their ability to access the justice system and address their dispute. ASBFEO</w:t>
      </w:r>
      <w:r w:rsidR="00E060B3">
        <w:t>’</w:t>
      </w:r>
      <w:r w:rsidRPr="00974BC2">
        <w:t>s assistance function was introduced to ensure small businesses can operate in a fair and competitive environment by facilitating their access to avenues for dispute resolution.</w:t>
      </w:r>
      <w:r w:rsidRPr="006752BF">
        <w:t> </w:t>
      </w:r>
    </w:p>
    <w:p w14:paraId="3F24A5E5" w14:textId="46525AB5" w:rsidR="00946B4F" w:rsidRPr="00946B4F" w:rsidRDefault="00946B4F" w:rsidP="002D618A">
      <w:r w:rsidRPr="002D618A">
        <w:rPr>
          <w:rStyle w:val="Strong"/>
        </w:rPr>
        <w:t>Section 65 of the ASBFEO Act allows the Ombudsman to assist with small business disputes involving other businesses or Commonwealth agencies that fall within its constitutional powers.</w:t>
      </w:r>
      <w:r w:rsidRPr="00946B4F">
        <w:rPr>
          <w:lang w:val="en-US"/>
        </w:rPr>
        <w:t xml:space="preserve"> Th</w:t>
      </w:r>
      <w:r w:rsidR="00B46180">
        <w:rPr>
          <w:lang w:val="en-US"/>
        </w:rPr>
        <w:t>is also allow</w:t>
      </w:r>
      <w:r w:rsidR="00F31061">
        <w:rPr>
          <w:lang w:val="en-US"/>
        </w:rPr>
        <w:t>s</w:t>
      </w:r>
      <w:r w:rsidR="00B46180">
        <w:rPr>
          <w:lang w:val="en-US"/>
        </w:rPr>
        <w:t xml:space="preserve"> the Ombudsman</w:t>
      </w:r>
      <w:r w:rsidRPr="00946B4F">
        <w:rPr>
          <w:lang w:val="en-US"/>
        </w:rPr>
        <w:t xml:space="preserve"> </w:t>
      </w:r>
      <w:r w:rsidR="00F31061">
        <w:rPr>
          <w:lang w:val="en-US"/>
        </w:rPr>
        <w:t>to assist with</w:t>
      </w:r>
      <w:r w:rsidRPr="00946B4F">
        <w:rPr>
          <w:lang w:val="en-US"/>
        </w:rPr>
        <w:t> disputes</w:t>
      </w:r>
      <w:r w:rsidR="00F31061">
        <w:rPr>
          <w:lang w:val="en-US"/>
        </w:rPr>
        <w:t xml:space="preserve"> under</w:t>
      </w:r>
      <w:r w:rsidRPr="00946B4F">
        <w:rPr>
          <w:lang w:val="en-US"/>
        </w:rPr>
        <w:t xml:space="preserve"> the Industry Code of Conduct for Franchising, Dairy, Horticulture and Oil. ASBFEO</w:t>
      </w:r>
      <w:r w:rsidR="00916FA5">
        <w:rPr>
          <w:lang w:val="en-US"/>
        </w:rPr>
        <w:t>’</w:t>
      </w:r>
      <w:r w:rsidRPr="00946B4F">
        <w:rPr>
          <w:lang w:val="en-US"/>
        </w:rPr>
        <w:t>s assistance function encompasses:</w:t>
      </w:r>
      <w:r w:rsidRPr="00946B4F">
        <w:t> </w:t>
      </w:r>
    </w:p>
    <w:p w14:paraId="606EB615" w14:textId="77777777" w:rsidR="003D391C" w:rsidRDefault="003D391C">
      <w:pPr>
        <w:spacing w:before="0" w:after="160" w:line="259" w:lineRule="auto"/>
      </w:pPr>
      <w:r>
        <w:br w:type="page"/>
      </w:r>
    </w:p>
    <w:p w14:paraId="7BFD1788" w14:textId="478474C2" w:rsidR="00946B4F" w:rsidRPr="00946B4F" w:rsidRDefault="00CF6734" w:rsidP="002D618A">
      <w:pPr>
        <w:pStyle w:val="Bullet"/>
      </w:pPr>
      <w:r>
        <w:rPr>
          <w:lang w:val="en-US"/>
        </w:rPr>
        <w:lastRenderedPageBreak/>
        <w:t>r</w:t>
      </w:r>
      <w:r w:rsidR="00946B4F" w:rsidRPr="00946B4F">
        <w:rPr>
          <w:lang w:val="en-US"/>
        </w:rPr>
        <w:t xml:space="preserve">esponding to requests for help through its </w:t>
      </w:r>
      <w:r w:rsidR="00916FA5">
        <w:rPr>
          <w:lang w:val="en-US"/>
        </w:rPr>
        <w:t>‘</w:t>
      </w:r>
      <w:r w:rsidR="00946B4F" w:rsidRPr="00946B4F">
        <w:rPr>
          <w:lang w:val="en-US"/>
        </w:rPr>
        <w:t>concierge</w:t>
      </w:r>
      <w:r w:rsidR="00916FA5">
        <w:rPr>
          <w:lang w:val="en-US"/>
        </w:rPr>
        <w:t>’</w:t>
      </w:r>
      <w:r w:rsidR="00946B4F" w:rsidRPr="00946B4F">
        <w:rPr>
          <w:lang w:val="en-US"/>
        </w:rPr>
        <w:t xml:space="preserve"> role </w:t>
      </w:r>
      <w:r w:rsidR="00946B4F" w:rsidRPr="00946B4F">
        <w:t> </w:t>
      </w:r>
    </w:p>
    <w:p w14:paraId="377CB857" w14:textId="31A4B600" w:rsidR="00946B4F" w:rsidRPr="00946B4F" w:rsidRDefault="00CF6734" w:rsidP="002D618A">
      <w:pPr>
        <w:pStyle w:val="Bullet"/>
      </w:pPr>
      <w:r>
        <w:rPr>
          <w:lang w:val="en-US"/>
        </w:rPr>
        <w:t>r</w:t>
      </w:r>
      <w:r w:rsidR="00946B4F" w:rsidRPr="00946B4F">
        <w:rPr>
          <w:lang w:val="en-US"/>
        </w:rPr>
        <w:t>eferring</w:t>
      </w:r>
      <w:r w:rsidR="00946B4F" w:rsidRPr="00946B4F" w:rsidDel="001F3E2F">
        <w:rPr>
          <w:lang w:val="en-US"/>
        </w:rPr>
        <w:t xml:space="preserve"> </w:t>
      </w:r>
      <w:r w:rsidR="00D9794D">
        <w:rPr>
          <w:lang w:val="en-US"/>
        </w:rPr>
        <w:t>requests to another Commonwealth agency</w:t>
      </w:r>
      <w:r w:rsidR="00D9794D" w:rsidRPr="00946B4F">
        <w:rPr>
          <w:lang w:val="en-US"/>
        </w:rPr>
        <w:t xml:space="preserve">, </w:t>
      </w:r>
      <w:r w:rsidR="00946B4F" w:rsidRPr="00946B4F">
        <w:rPr>
          <w:lang w:val="en-US"/>
        </w:rPr>
        <w:t xml:space="preserve">a </w:t>
      </w:r>
      <w:r w:rsidR="003545F9">
        <w:rPr>
          <w:lang w:val="en-US"/>
        </w:rPr>
        <w:t>s</w:t>
      </w:r>
      <w:r w:rsidR="00946B4F" w:rsidRPr="00946B4F">
        <w:rPr>
          <w:lang w:val="en-US"/>
        </w:rPr>
        <w:t xml:space="preserve">tate or </w:t>
      </w:r>
      <w:r w:rsidR="003545F9">
        <w:rPr>
          <w:lang w:val="en-US"/>
        </w:rPr>
        <w:t>t</w:t>
      </w:r>
      <w:r w:rsidR="00946B4F" w:rsidRPr="00946B4F">
        <w:rPr>
          <w:lang w:val="en-US"/>
        </w:rPr>
        <w:t>erritory</w:t>
      </w:r>
      <w:r w:rsidR="00946B4F" w:rsidRPr="00946B4F">
        <w:t> </w:t>
      </w:r>
    </w:p>
    <w:p w14:paraId="46B8A5DD" w14:textId="08EC94A5" w:rsidR="00946B4F" w:rsidRPr="00946B4F" w:rsidRDefault="00CF6734" w:rsidP="002D618A">
      <w:pPr>
        <w:pStyle w:val="Bullet"/>
      </w:pPr>
      <w:r>
        <w:rPr>
          <w:lang w:val="en-US"/>
        </w:rPr>
        <w:t>c</w:t>
      </w:r>
      <w:r w:rsidR="00946B4F" w:rsidRPr="00946B4F">
        <w:rPr>
          <w:lang w:val="en-US"/>
        </w:rPr>
        <w:t>ollaborating with another agency to provide support </w:t>
      </w:r>
      <w:r w:rsidR="00946B4F" w:rsidRPr="00946B4F">
        <w:t> </w:t>
      </w:r>
    </w:p>
    <w:p w14:paraId="34BFFB55" w14:textId="39BCD7E7" w:rsidR="00946B4F" w:rsidRPr="00946B4F" w:rsidRDefault="00CF6734" w:rsidP="002D618A">
      <w:pPr>
        <w:pStyle w:val="Bullet"/>
      </w:pPr>
      <w:r>
        <w:rPr>
          <w:lang w:val="en-US"/>
        </w:rPr>
        <w:t>a</w:t>
      </w:r>
      <w:r w:rsidR="00946B4F" w:rsidRPr="00946B4F">
        <w:rPr>
          <w:lang w:val="en-US"/>
        </w:rPr>
        <w:t>dvising on the management of disputes that fall within ASBFEO</w:t>
      </w:r>
      <w:r w:rsidR="00916FA5">
        <w:rPr>
          <w:lang w:val="en-US"/>
        </w:rPr>
        <w:t>’</w:t>
      </w:r>
      <w:r w:rsidR="00946B4F" w:rsidRPr="00946B4F">
        <w:rPr>
          <w:lang w:val="en-US"/>
        </w:rPr>
        <w:t>s remit, including the use of ADR processes.</w:t>
      </w:r>
      <w:r w:rsidR="00065357">
        <w:rPr>
          <w:rFonts w:ascii="ZWAdobeF" w:hAnsi="ZWAdobeF" w:cs="ZWAdobeF"/>
          <w:color w:val="auto"/>
          <w:sz w:val="2"/>
          <w:szCs w:val="2"/>
          <w:lang w:val="en-US"/>
        </w:rPr>
        <w:t>57F</w:t>
      </w:r>
      <w:r w:rsidR="00E27F72" w:rsidRPr="00E304FD">
        <w:rPr>
          <w:rStyle w:val="FootnoteReference"/>
          <w:sz w:val="22"/>
          <w:szCs w:val="24"/>
          <w:vertAlign w:val="superscript"/>
          <w:lang w:val="en-US"/>
        </w:rPr>
        <w:footnoteReference w:id="59"/>
      </w:r>
    </w:p>
    <w:p w14:paraId="4419C2DF" w14:textId="24E768B0" w:rsidR="00946B4F" w:rsidRPr="00946B4F" w:rsidRDefault="00946B4F" w:rsidP="002D618A">
      <w:r w:rsidRPr="002D618A">
        <w:rPr>
          <w:rStyle w:val="Strong"/>
        </w:rPr>
        <w:t>ASBFEO</w:t>
      </w:r>
      <w:r w:rsidR="00916FA5" w:rsidRPr="002D618A">
        <w:rPr>
          <w:rStyle w:val="Strong"/>
        </w:rPr>
        <w:t>’</w:t>
      </w:r>
      <w:r w:rsidRPr="002D618A">
        <w:rPr>
          <w:rStyle w:val="Strong"/>
        </w:rPr>
        <w:t>s role is complementary to the broader dispute resolution ecosystem in Australia.</w:t>
      </w:r>
      <w:r w:rsidRPr="00946B4F">
        <w:rPr>
          <w:lang w:val="en-US"/>
        </w:rPr>
        <w:t xml:space="preserve"> As discussed in Chapter 1, several other government agencies and bodies provide dispute resolution services, including the SBCs</w:t>
      </w:r>
      <w:r w:rsidR="003545F9">
        <w:rPr>
          <w:lang w:val="en-US"/>
        </w:rPr>
        <w:t xml:space="preserve"> </w:t>
      </w:r>
      <w:r w:rsidRPr="00946B4F">
        <w:rPr>
          <w:lang w:val="en-US"/>
        </w:rPr>
        <w:t>and AFCA</w:t>
      </w:r>
      <w:r w:rsidR="00157DC0">
        <w:rPr>
          <w:lang w:val="en-US"/>
        </w:rPr>
        <w:t>,</w:t>
      </w:r>
      <w:r w:rsidRPr="00946B4F">
        <w:rPr>
          <w:lang w:val="en-US"/>
        </w:rPr>
        <w:t xml:space="preserve"> wh</w:t>
      </w:r>
      <w:r w:rsidR="00EB6388">
        <w:rPr>
          <w:lang w:val="en-US"/>
        </w:rPr>
        <w:t>ich</w:t>
      </w:r>
      <w:r w:rsidRPr="00946B4F">
        <w:rPr>
          <w:lang w:val="en-US"/>
        </w:rPr>
        <w:t xml:space="preserve"> support small businesses to access ADR through their services or </w:t>
      </w:r>
      <w:r w:rsidR="00EB6388">
        <w:rPr>
          <w:lang w:val="en-US"/>
        </w:rPr>
        <w:t xml:space="preserve">refer </w:t>
      </w:r>
      <w:r w:rsidRPr="00946B4F">
        <w:rPr>
          <w:lang w:val="en-US"/>
        </w:rPr>
        <w:t>an issue to ASBFEO</w:t>
      </w:r>
      <w:r w:rsidR="00916FA5">
        <w:rPr>
          <w:lang w:val="en-US"/>
        </w:rPr>
        <w:t>.</w:t>
      </w:r>
    </w:p>
    <w:p w14:paraId="2B55BA6E" w14:textId="3FCE9BDB" w:rsidR="00946B4F" w:rsidRPr="00946B4F" w:rsidRDefault="00946B4F" w:rsidP="002D618A">
      <w:r w:rsidRPr="002D618A">
        <w:rPr>
          <w:rStyle w:val="Strong"/>
        </w:rPr>
        <w:t xml:space="preserve">ASBFEO </w:t>
      </w:r>
      <w:r w:rsidR="00157DC0">
        <w:rPr>
          <w:rStyle w:val="Strong"/>
        </w:rPr>
        <w:t xml:space="preserve">assists </w:t>
      </w:r>
      <w:r w:rsidRPr="002D618A">
        <w:rPr>
          <w:rStyle w:val="Strong"/>
        </w:rPr>
        <w:t>small businesses in th</w:t>
      </w:r>
      <w:r w:rsidRPr="00EA4E61">
        <w:rPr>
          <w:rStyle w:val="Strong"/>
        </w:rPr>
        <w:t>e</w:t>
      </w:r>
      <w:r w:rsidRPr="005262B0">
        <w:rPr>
          <w:rStyle w:val="Strong"/>
          <w:b w:val="0"/>
          <w:bCs w:val="0"/>
        </w:rPr>
        <w:t xml:space="preserve"> </w:t>
      </w:r>
      <w:r w:rsidR="00DC10E3" w:rsidRPr="005262B0">
        <w:rPr>
          <w:rFonts w:eastAsia="Calibri"/>
          <w:b/>
          <w:iCs/>
        </w:rPr>
        <w:t>A</w:t>
      </w:r>
      <w:r w:rsidR="00085875">
        <w:rPr>
          <w:rFonts w:eastAsia="Calibri"/>
          <w:b/>
          <w:iCs/>
        </w:rPr>
        <w:t>CT</w:t>
      </w:r>
      <w:r w:rsidRPr="005262B0">
        <w:rPr>
          <w:rStyle w:val="Strong"/>
          <w:b w:val="0"/>
          <w:bCs w:val="0"/>
        </w:rPr>
        <w:t xml:space="preserve">, </w:t>
      </w:r>
      <w:r w:rsidR="00433707" w:rsidRPr="00433707">
        <w:rPr>
          <w:b/>
          <w:bCs/>
        </w:rPr>
        <w:t>Northern Territory</w:t>
      </w:r>
      <w:r w:rsidR="005262B0">
        <w:rPr>
          <w:b/>
          <w:bCs/>
        </w:rPr>
        <w:t xml:space="preserve"> </w:t>
      </w:r>
      <w:r w:rsidR="00DF3BDA">
        <w:rPr>
          <w:b/>
          <w:bCs/>
        </w:rPr>
        <w:t xml:space="preserve">(NT) </w:t>
      </w:r>
      <w:r w:rsidRPr="002D618A">
        <w:rPr>
          <w:rStyle w:val="Strong"/>
        </w:rPr>
        <w:t>and</w:t>
      </w:r>
      <w:r w:rsidR="00C62B45">
        <w:rPr>
          <w:rStyle w:val="Strong"/>
        </w:rPr>
        <w:t xml:space="preserve"> T</w:t>
      </w:r>
      <w:r w:rsidR="00D9693E">
        <w:rPr>
          <w:rStyle w:val="Strong"/>
        </w:rPr>
        <w:t>asmania</w:t>
      </w:r>
      <w:r w:rsidRPr="002D618A">
        <w:rPr>
          <w:rStyle w:val="Strong"/>
        </w:rPr>
        <w:t xml:space="preserve"> as these jurisdictions do not have a designated SBC.</w:t>
      </w:r>
      <w:r w:rsidRPr="00946B4F">
        <w:rPr>
          <w:b/>
          <w:bCs/>
          <w:lang w:val="en-US"/>
        </w:rPr>
        <w:t xml:space="preserve"> </w:t>
      </w:r>
      <w:r w:rsidRPr="00946B4F">
        <w:rPr>
          <w:lang w:val="en-US"/>
        </w:rPr>
        <w:t>In T</w:t>
      </w:r>
      <w:r w:rsidR="007A114C">
        <w:rPr>
          <w:lang w:val="en-US"/>
        </w:rPr>
        <w:t>asmania</w:t>
      </w:r>
      <w:r w:rsidRPr="00946B4F">
        <w:rPr>
          <w:lang w:val="en-US"/>
        </w:rPr>
        <w:t xml:space="preserve"> a small business advocate manages a limited number of dispute cases. </w:t>
      </w:r>
      <w:r w:rsidR="003545F9">
        <w:rPr>
          <w:lang w:val="en-US"/>
        </w:rPr>
        <w:t xml:space="preserve">The </w:t>
      </w:r>
      <w:r w:rsidR="00DF3BDA">
        <w:rPr>
          <w:lang w:val="en-US"/>
        </w:rPr>
        <w:t>NT</w:t>
      </w:r>
      <w:r w:rsidRPr="00946B4F">
        <w:rPr>
          <w:lang w:val="en-US"/>
        </w:rPr>
        <w:t xml:space="preserve"> also receives referrals from ASBFEO, with the Northern Territory Civil and Administrative Tribunal offering some options for dispute resolution. The </w:t>
      </w:r>
      <w:r w:rsidR="008A3FCD">
        <w:rPr>
          <w:rFonts w:eastAsia="Calibri"/>
          <w:iCs/>
        </w:rPr>
        <w:t>ACT </w:t>
      </w:r>
      <w:r w:rsidRPr="00946B4F">
        <w:rPr>
          <w:lang w:val="en-US"/>
        </w:rPr>
        <w:t>Government supports small businesses through the Canberra Business Advice and Support Service which occasionally refers cases to ASBFEO</w:t>
      </w:r>
      <w:r w:rsidR="00916FA5">
        <w:rPr>
          <w:lang w:val="en-US"/>
        </w:rPr>
        <w:t xml:space="preserve">. </w:t>
      </w:r>
      <w:r w:rsidRPr="00946B4F">
        <w:rPr>
          <w:lang w:val="en-US"/>
        </w:rPr>
        <w:t xml:space="preserve">When a case pertains to an </w:t>
      </w:r>
      <w:r w:rsidR="008A3FCD">
        <w:rPr>
          <w:rFonts w:eastAsia="Calibri"/>
          <w:iCs/>
        </w:rPr>
        <w:t>ACT</w:t>
      </w:r>
      <w:r>
        <w:rPr>
          <w:rFonts w:eastAsia="Calibri"/>
        </w:rPr>
        <w:t xml:space="preserve"> </w:t>
      </w:r>
      <w:r w:rsidRPr="00946B4F">
        <w:rPr>
          <w:lang w:val="en-US"/>
        </w:rPr>
        <w:t>issue</w:t>
      </w:r>
      <w:r w:rsidR="00B11923">
        <w:rPr>
          <w:lang w:val="en-US"/>
        </w:rPr>
        <w:t>,</w:t>
      </w:r>
      <w:r w:rsidRPr="00946B4F">
        <w:rPr>
          <w:lang w:val="en-US"/>
        </w:rPr>
        <w:t xml:space="preserve"> it is referred to Access Canberra. Nevertheless, ASBFEO is the designated dispute resolution agency for small businesses in these jurisdictions and collaborates closely with respective local agencies.</w:t>
      </w:r>
      <w:r w:rsidRPr="00946B4F">
        <w:t> </w:t>
      </w:r>
    </w:p>
    <w:p w14:paraId="12DDEA80" w14:textId="07645F85" w:rsidR="00946B4F" w:rsidRPr="00946B4F" w:rsidRDefault="00946B4F" w:rsidP="002D618A">
      <w:r w:rsidRPr="00CB1EEE">
        <w:rPr>
          <w:rStyle w:val="Strong"/>
        </w:rPr>
        <w:t>Section</w:t>
      </w:r>
      <w:r w:rsidR="00861F8B">
        <w:rPr>
          <w:rStyle w:val="Strong"/>
        </w:rPr>
        <w:t> </w:t>
      </w:r>
      <w:r w:rsidRPr="00CB1EEE">
        <w:rPr>
          <w:rStyle w:val="Strong"/>
        </w:rPr>
        <w:t>71 of the ASBFEO Act allows the Ombudsman to recommend how disputes may be managed, including referring the party to ADR</w:t>
      </w:r>
      <w:r w:rsidR="00DB4BBA">
        <w:rPr>
          <w:rStyle w:val="Strong"/>
        </w:rPr>
        <w:t xml:space="preserve"> </w:t>
      </w:r>
      <w:r w:rsidR="00DB4BBA" w:rsidRPr="00DB4BBA">
        <w:rPr>
          <w:b/>
          <w:bCs/>
        </w:rPr>
        <w:t xml:space="preserve">but the </w:t>
      </w:r>
      <w:r w:rsidR="0019011C">
        <w:rPr>
          <w:b/>
          <w:bCs/>
        </w:rPr>
        <w:t xml:space="preserve">ASBFEO </w:t>
      </w:r>
      <w:r w:rsidR="00DB4BBA" w:rsidRPr="00DB4BBA">
        <w:rPr>
          <w:b/>
          <w:bCs/>
        </w:rPr>
        <w:t>Act also prohibits ASBFEO from conducting the ADR themselves</w:t>
      </w:r>
      <w:r w:rsidRPr="00CB1EEE">
        <w:rPr>
          <w:rStyle w:val="Strong"/>
        </w:rPr>
        <w:t xml:space="preserve">. </w:t>
      </w:r>
      <w:r w:rsidRPr="00946B4F">
        <w:rPr>
          <w:lang w:val="en-US"/>
        </w:rPr>
        <w:t xml:space="preserve">ADR includes conferencing; mediation; neutral evaluation; case appraisal or conciliation but not arbitration or court services. Predominantly, mediation is the </w:t>
      </w:r>
      <w:r w:rsidR="00B11923">
        <w:rPr>
          <w:lang w:val="en-US"/>
        </w:rPr>
        <w:t xml:space="preserve">recommended </w:t>
      </w:r>
      <w:r w:rsidRPr="00946B4F">
        <w:rPr>
          <w:lang w:val="en-US"/>
        </w:rPr>
        <w:t>form of ADR</w:t>
      </w:r>
      <w:r w:rsidR="00B11923">
        <w:rPr>
          <w:lang w:val="en-US"/>
        </w:rPr>
        <w:t>.</w:t>
      </w:r>
      <w:r w:rsidRPr="00946B4F">
        <w:rPr>
          <w:lang w:val="en-US"/>
        </w:rPr>
        <w:t xml:space="preserve"> In part, this is due to mediation and conciliation being the prescribed forms of ADR under the various </w:t>
      </w:r>
      <w:r w:rsidR="00550269">
        <w:rPr>
          <w:lang w:val="en-US"/>
        </w:rPr>
        <w:t xml:space="preserve">Industry </w:t>
      </w:r>
      <w:r w:rsidRPr="00946B4F">
        <w:rPr>
          <w:lang w:val="en-US"/>
        </w:rPr>
        <w:t>Codes. </w:t>
      </w:r>
    </w:p>
    <w:p w14:paraId="6679F07D" w14:textId="306AEE3B" w:rsidR="00946B4F" w:rsidRPr="00946B4F" w:rsidRDefault="00946B4F" w:rsidP="002D618A">
      <w:r w:rsidRPr="00CB1EEE">
        <w:rPr>
          <w:rStyle w:val="Strong"/>
        </w:rPr>
        <w:t>ASBFEO</w:t>
      </w:r>
      <w:r w:rsidR="00916FA5" w:rsidRPr="00CB1EEE">
        <w:rPr>
          <w:rStyle w:val="Strong"/>
        </w:rPr>
        <w:t>’</w:t>
      </w:r>
      <w:r w:rsidRPr="00CB1EEE">
        <w:rPr>
          <w:rStyle w:val="Strong"/>
        </w:rPr>
        <w:t>s role is to assist small business</w:t>
      </w:r>
      <w:r w:rsidR="00586985">
        <w:rPr>
          <w:rStyle w:val="Strong"/>
        </w:rPr>
        <w:t>es</w:t>
      </w:r>
      <w:r w:rsidRPr="00CB1EEE">
        <w:rPr>
          <w:rStyle w:val="Strong"/>
        </w:rPr>
        <w:t xml:space="preserve"> </w:t>
      </w:r>
      <w:r w:rsidR="00037A85">
        <w:rPr>
          <w:rStyle w:val="Strong"/>
        </w:rPr>
        <w:t xml:space="preserve">in resolving </w:t>
      </w:r>
      <w:r w:rsidRPr="00CB1EEE">
        <w:rPr>
          <w:rStyle w:val="Strong"/>
        </w:rPr>
        <w:t>dispute without duplicating assistance provided by other agencies.</w:t>
      </w:r>
      <w:r w:rsidRPr="00946B4F">
        <w:rPr>
          <w:lang w:val="en-US"/>
        </w:rPr>
        <w:t xml:space="preserve"> Section 69 of the ASBFEO Act</w:t>
      </w:r>
      <w:r w:rsidR="004F4281">
        <w:rPr>
          <w:lang w:val="en-US"/>
        </w:rPr>
        <w:t xml:space="preserve"> </w:t>
      </w:r>
      <w:r w:rsidR="00AA5978">
        <w:rPr>
          <w:lang w:val="en-US"/>
        </w:rPr>
        <w:t xml:space="preserve">states that </w:t>
      </w:r>
      <w:r w:rsidRPr="00946B4F">
        <w:rPr>
          <w:lang w:val="en-US"/>
        </w:rPr>
        <w:t>ASBFEO must transfer assistance</w:t>
      </w:r>
      <w:r w:rsidR="00180E18">
        <w:rPr>
          <w:lang w:val="en-US"/>
        </w:rPr>
        <w:t xml:space="preserve"> requests</w:t>
      </w:r>
      <w:r w:rsidRPr="00946B4F">
        <w:rPr>
          <w:lang w:val="en-US"/>
        </w:rPr>
        <w:t xml:space="preserve"> to another Commonwealth, </w:t>
      </w:r>
      <w:r w:rsidR="004F4281">
        <w:rPr>
          <w:lang w:val="en-US"/>
        </w:rPr>
        <w:t>s</w:t>
      </w:r>
      <w:r w:rsidRPr="00946B4F">
        <w:rPr>
          <w:lang w:val="en-US"/>
        </w:rPr>
        <w:t xml:space="preserve">tate or </w:t>
      </w:r>
      <w:r w:rsidR="004F4281">
        <w:rPr>
          <w:lang w:val="en-US"/>
        </w:rPr>
        <w:t>t</w:t>
      </w:r>
      <w:r w:rsidRPr="00946B4F">
        <w:rPr>
          <w:lang w:val="en-US"/>
        </w:rPr>
        <w:t xml:space="preserve">erritory agency </w:t>
      </w:r>
      <w:r w:rsidR="003E69EF">
        <w:rPr>
          <w:lang w:val="en-US"/>
        </w:rPr>
        <w:t xml:space="preserve">if </w:t>
      </w:r>
      <w:r w:rsidR="00624A8F">
        <w:rPr>
          <w:lang w:val="en-US"/>
        </w:rPr>
        <w:t xml:space="preserve">the </w:t>
      </w:r>
      <w:r w:rsidRPr="00946B4F">
        <w:rPr>
          <w:lang w:val="en-US"/>
        </w:rPr>
        <w:t>agency</w:t>
      </w:r>
      <w:r w:rsidR="00900ECC">
        <w:rPr>
          <w:lang w:val="en-US"/>
        </w:rPr>
        <w:t xml:space="preserve"> could more</w:t>
      </w:r>
      <w:r w:rsidRPr="00946B4F" w:rsidDel="00900ECC">
        <w:rPr>
          <w:lang w:val="en-US"/>
        </w:rPr>
        <w:t xml:space="preserve"> </w:t>
      </w:r>
      <w:r w:rsidRPr="00946B4F">
        <w:rPr>
          <w:lang w:val="en-US"/>
        </w:rPr>
        <w:t>conveniently or effectively deal</w:t>
      </w:r>
      <w:r w:rsidR="00DB22BB">
        <w:rPr>
          <w:lang w:val="en-US"/>
        </w:rPr>
        <w:t xml:space="preserve"> with </w:t>
      </w:r>
      <w:r w:rsidR="00900ECC">
        <w:rPr>
          <w:lang w:val="en-US"/>
        </w:rPr>
        <w:t>the request</w:t>
      </w:r>
      <w:r w:rsidRPr="00946B4F">
        <w:rPr>
          <w:lang w:val="en-US"/>
        </w:rPr>
        <w:t>.</w:t>
      </w:r>
    </w:p>
    <w:p w14:paraId="406B691A" w14:textId="77777777" w:rsidR="00033A60" w:rsidRPr="003D391C" w:rsidRDefault="00033A60" w:rsidP="003D391C">
      <w:r>
        <w:rPr>
          <w:lang w:val="en-US"/>
        </w:rPr>
        <w:br w:type="page"/>
      </w:r>
    </w:p>
    <w:p w14:paraId="6F0BC9E4" w14:textId="5DC096F0" w:rsidR="00946B4F" w:rsidRPr="00946B4F" w:rsidRDefault="00946B4F" w:rsidP="00B42EAB">
      <w:pPr>
        <w:pStyle w:val="Heading2"/>
      </w:pPr>
      <w:bookmarkStart w:id="39" w:name="_Toc199940949"/>
      <w:r w:rsidRPr="00946B4F">
        <w:rPr>
          <w:lang w:val="en-US"/>
        </w:rPr>
        <w:lastRenderedPageBreak/>
        <w:t xml:space="preserve">Requests for </w:t>
      </w:r>
      <w:r w:rsidR="003545F9">
        <w:rPr>
          <w:lang w:val="en-US"/>
        </w:rPr>
        <w:t>a</w:t>
      </w:r>
      <w:r w:rsidRPr="00946B4F">
        <w:rPr>
          <w:lang w:val="en-US"/>
        </w:rPr>
        <w:t>ssistance process</w:t>
      </w:r>
      <w:bookmarkEnd w:id="39"/>
      <w:r w:rsidRPr="00946B4F">
        <w:t> </w:t>
      </w:r>
    </w:p>
    <w:p w14:paraId="324D31E8" w14:textId="00DBE6B9" w:rsidR="00946B4F" w:rsidRPr="00946B4F" w:rsidRDefault="00946B4F" w:rsidP="00B538E8">
      <w:r w:rsidRPr="00946B4F">
        <w:rPr>
          <w:lang w:val="en-US"/>
        </w:rPr>
        <w:t xml:space="preserve">A request for assistance undergoes </w:t>
      </w:r>
      <w:r w:rsidR="003545F9">
        <w:rPr>
          <w:lang w:val="en-US"/>
        </w:rPr>
        <w:t>5</w:t>
      </w:r>
      <w:r w:rsidR="003545F9" w:rsidRPr="00946B4F">
        <w:rPr>
          <w:lang w:val="en-US"/>
        </w:rPr>
        <w:t xml:space="preserve"> </w:t>
      </w:r>
      <w:r w:rsidRPr="00946B4F">
        <w:rPr>
          <w:lang w:val="en-US"/>
        </w:rPr>
        <w:t>stages to resolve the case. The</w:t>
      </w:r>
      <w:r w:rsidR="00500135">
        <w:rPr>
          <w:lang w:val="en-US"/>
        </w:rPr>
        <w:t xml:space="preserve"> process is outlined in </w:t>
      </w:r>
      <w:r w:rsidRPr="00B81F0F">
        <w:rPr>
          <w:lang w:val="en-US"/>
        </w:rPr>
        <w:t xml:space="preserve">Figure </w:t>
      </w:r>
      <w:r w:rsidR="00E304FD">
        <w:rPr>
          <w:lang w:val="en-US"/>
        </w:rPr>
        <w:t>4.</w:t>
      </w:r>
      <w:r w:rsidR="00CF43D3">
        <w:rPr>
          <w:lang w:val="en-US"/>
        </w:rPr>
        <w:t>1</w:t>
      </w:r>
      <w:r w:rsidR="00AF3771">
        <w:rPr>
          <w:lang w:val="en-US"/>
        </w:rPr>
        <w:t>.</w:t>
      </w:r>
    </w:p>
    <w:p w14:paraId="0F701FEC" w14:textId="2DB58A95" w:rsidR="00CE27DF" w:rsidRPr="00AB724A" w:rsidRDefault="00CE27DF" w:rsidP="00033A60">
      <w:pPr>
        <w:pStyle w:val="ChartMainHeading"/>
        <w:rPr>
          <w:rStyle w:val="Strong"/>
        </w:rPr>
      </w:pPr>
      <w:r>
        <w:rPr>
          <w:lang w:val="en-US"/>
        </w:rPr>
        <w:t>Figure 4</w:t>
      </w:r>
      <w:r w:rsidRPr="00C47726">
        <w:rPr>
          <w:lang w:val="en-US"/>
        </w:rPr>
        <w:t>.</w:t>
      </w:r>
      <w:r>
        <w:rPr>
          <w:lang w:val="en-US"/>
        </w:rPr>
        <w:t>1</w:t>
      </w:r>
      <w:r w:rsidRPr="00C47726">
        <w:rPr>
          <w:lang w:val="en-US"/>
        </w:rPr>
        <w:t xml:space="preserve">: </w:t>
      </w:r>
      <w:r w:rsidR="00500135">
        <w:rPr>
          <w:lang w:val="en-US"/>
        </w:rPr>
        <w:t>Process for resolving requests for assistance</w:t>
      </w:r>
    </w:p>
    <w:p w14:paraId="10B61561" w14:textId="01C7D48E" w:rsidR="00B70480" w:rsidRDefault="00B70480" w:rsidP="00946B4F">
      <w:pPr>
        <w:pStyle w:val="BoxText"/>
        <w:rPr>
          <w:sz w:val="22"/>
          <w:lang w:val="en-US"/>
        </w:rPr>
      </w:pPr>
      <w:r>
        <w:rPr>
          <w:noProof/>
        </w:rPr>
        <w:drawing>
          <wp:inline distT="0" distB="0" distL="0" distR="0" wp14:anchorId="77E33AB3" wp14:editId="56224AA6">
            <wp:extent cx="5750062" cy="3635096"/>
            <wp:effectExtent l="0" t="0" r="3175" b="3810"/>
            <wp:docPr id="2061073834" name="Picture 9" descr="This infographic shows an overview of five stages of how ASBFEO's request for assistance is pro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73834" name="Picture 9" descr="This infographic shows an overview of five stages of how ASBFEO's request for assistance is processed."/>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5750062" cy="3635096"/>
                    </a:xfrm>
                    <a:prstGeom prst="rect">
                      <a:avLst/>
                    </a:prstGeom>
                  </pic:spPr>
                </pic:pic>
              </a:graphicData>
            </a:graphic>
          </wp:inline>
        </w:drawing>
      </w:r>
    </w:p>
    <w:p w14:paraId="73825667" w14:textId="77777777" w:rsidR="00CE27DF" w:rsidRPr="00472676" w:rsidRDefault="00CE27DF" w:rsidP="00946B4F">
      <w:pPr>
        <w:pStyle w:val="BoxText"/>
        <w:rPr>
          <w:sz w:val="22"/>
          <w:lang w:val="en-US"/>
        </w:rPr>
      </w:pPr>
    </w:p>
    <w:p w14:paraId="13BD826D" w14:textId="2F881585" w:rsidR="00946B4F" w:rsidRPr="00946B4F" w:rsidRDefault="00946B4F" w:rsidP="00082D4C">
      <w:pPr>
        <w:pStyle w:val="OutlineNumbered1"/>
        <w:numPr>
          <w:ilvl w:val="0"/>
          <w:numId w:val="13"/>
        </w:numPr>
        <w:ind w:left="340" w:hanging="340"/>
      </w:pPr>
      <w:r w:rsidRPr="00200940">
        <w:rPr>
          <w:lang w:val="en-US"/>
        </w:rPr>
        <w:t>The initial contact with ASBFEO is through calls made to the Contact Centre, an email</w:t>
      </w:r>
      <w:r w:rsidR="00900ECC">
        <w:rPr>
          <w:lang w:val="en-US"/>
        </w:rPr>
        <w:t>,</w:t>
      </w:r>
      <w:r w:rsidRPr="00200940">
        <w:rPr>
          <w:lang w:val="en-US"/>
        </w:rPr>
        <w:t xml:space="preserve"> direct calls to the ASBFEO </w:t>
      </w:r>
      <w:r w:rsidR="00B9716E">
        <w:rPr>
          <w:lang w:val="en-US"/>
        </w:rPr>
        <w:t>A</w:t>
      </w:r>
      <w:r w:rsidRPr="00200940">
        <w:rPr>
          <w:lang w:val="en-US"/>
        </w:rPr>
        <w:t>ssistance team or the website dispute resolution form.</w:t>
      </w:r>
      <w:r w:rsidRPr="00AA4DFA">
        <w:rPr>
          <w:lang w:val="en-US"/>
        </w:rPr>
        <w:t> </w:t>
      </w:r>
      <w:r w:rsidR="00B672BC" w:rsidRPr="00AA4DFA">
        <w:rPr>
          <w:lang w:val="en-US"/>
        </w:rPr>
        <w:t>ASBFEO</w:t>
      </w:r>
      <w:r w:rsidR="003A0D5E">
        <w:rPr>
          <w:lang w:val="en-US"/>
        </w:rPr>
        <w:t>’</w:t>
      </w:r>
      <w:r w:rsidR="00B672BC" w:rsidRPr="00AA4DFA">
        <w:rPr>
          <w:lang w:val="en-US"/>
        </w:rPr>
        <w:t xml:space="preserve">s Contact Centre </w:t>
      </w:r>
      <w:r w:rsidR="007016C6" w:rsidRPr="00AA4DFA">
        <w:rPr>
          <w:lang w:val="en-US"/>
        </w:rPr>
        <w:t xml:space="preserve">is </w:t>
      </w:r>
      <w:r w:rsidR="00B672BC" w:rsidRPr="00AA4DFA">
        <w:rPr>
          <w:lang w:val="en-US"/>
        </w:rPr>
        <w:t xml:space="preserve">outsourced under an </w:t>
      </w:r>
      <w:proofErr w:type="spellStart"/>
      <w:r w:rsidR="00B672BC" w:rsidRPr="00AA4DFA">
        <w:rPr>
          <w:lang w:val="en-US"/>
        </w:rPr>
        <w:t>AusIndustry</w:t>
      </w:r>
      <w:proofErr w:type="spellEnd"/>
      <w:r w:rsidR="00B672BC" w:rsidRPr="00AA4DFA">
        <w:rPr>
          <w:lang w:val="en-US"/>
        </w:rPr>
        <w:t xml:space="preserve"> contract </w:t>
      </w:r>
      <w:r w:rsidR="007016C6" w:rsidRPr="00AA4DFA">
        <w:rPr>
          <w:lang w:val="en-US"/>
        </w:rPr>
        <w:t>that</w:t>
      </w:r>
      <w:r w:rsidR="007016C6">
        <w:t xml:space="preserve"> </w:t>
      </w:r>
      <w:r w:rsidR="00B672BC" w:rsidRPr="004D1FDF">
        <w:t>oversees calls from small businesses requesting help.</w:t>
      </w:r>
    </w:p>
    <w:p w14:paraId="684140D3" w14:textId="7FD4F48A" w:rsidR="00946B4F" w:rsidRPr="00946B4F" w:rsidRDefault="003A673D" w:rsidP="00082D4C">
      <w:pPr>
        <w:pStyle w:val="OutlineNumbered1"/>
        <w:numPr>
          <w:ilvl w:val="0"/>
          <w:numId w:val="13"/>
        </w:numPr>
        <w:ind w:left="340" w:hanging="340"/>
      </w:pPr>
      <w:r>
        <w:rPr>
          <w:lang w:val="en-US"/>
        </w:rPr>
        <w:t>R</w:t>
      </w:r>
      <w:r w:rsidR="00946B4F" w:rsidRPr="00200940">
        <w:rPr>
          <w:lang w:val="en-US"/>
        </w:rPr>
        <w:t>equests for assistance are triaged to direct the dispute to the correct agency. Possible actions for a request include: </w:t>
      </w:r>
      <w:r w:rsidR="00946B4F" w:rsidRPr="00946B4F">
        <w:t> </w:t>
      </w:r>
    </w:p>
    <w:p w14:paraId="2A60C575" w14:textId="77777777" w:rsidR="00946B4F" w:rsidRPr="00946B4F" w:rsidRDefault="00946B4F" w:rsidP="00200940">
      <w:pPr>
        <w:pStyle w:val="Dash"/>
      </w:pPr>
      <w:r w:rsidRPr="00200940">
        <w:rPr>
          <w:lang w:val="en-US"/>
        </w:rPr>
        <w:t>referring the case for formal assistance  </w:t>
      </w:r>
      <w:r w:rsidRPr="00946B4F">
        <w:t> </w:t>
      </w:r>
    </w:p>
    <w:p w14:paraId="5D83D512" w14:textId="4298ECC5" w:rsidR="00946B4F" w:rsidRPr="00946B4F" w:rsidRDefault="00946B4F" w:rsidP="00200940">
      <w:pPr>
        <w:pStyle w:val="Dash"/>
      </w:pPr>
      <w:r w:rsidRPr="00200940">
        <w:rPr>
          <w:lang w:val="en-US"/>
        </w:rPr>
        <w:t>referring the case to another agency</w:t>
      </w:r>
      <w:r w:rsidR="00916FA5" w:rsidRPr="00200940">
        <w:rPr>
          <w:lang w:val="en-US"/>
        </w:rPr>
        <w:t xml:space="preserve"> – </w:t>
      </w:r>
      <w:r w:rsidRPr="00200940">
        <w:rPr>
          <w:lang w:val="en-US"/>
        </w:rPr>
        <w:t>such as a specific Ombudsman, or SBC </w:t>
      </w:r>
      <w:r w:rsidRPr="00946B4F">
        <w:t> </w:t>
      </w:r>
    </w:p>
    <w:p w14:paraId="2591FCE4" w14:textId="46A644FB" w:rsidR="00946B4F" w:rsidRPr="00946B4F" w:rsidRDefault="008E577E" w:rsidP="00200940">
      <w:pPr>
        <w:pStyle w:val="Dash"/>
      </w:pPr>
      <w:r>
        <w:rPr>
          <w:lang w:val="en-US"/>
        </w:rPr>
        <w:t>p</w:t>
      </w:r>
      <w:r w:rsidR="00946B4F" w:rsidRPr="00200940">
        <w:rPr>
          <w:lang w:val="en-US"/>
        </w:rPr>
        <w:t>roviding general information or referring the case to ASBFEO</w:t>
      </w:r>
      <w:r w:rsidR="00916FA5" w:rsidRPr="00200940">
        <w:rPr>
          <w:lang w:val="en-US"/>
        </w:rPr>
        <w:t>’</w:t>
      </w:r>
      <w:r w:rsidR="00946B4F" w:rsidRPr="00200940">
        <w:rPr>
          <w:lang w:val="en-US"/>
        </w:rPr>
        <w:t>s website dispute tool</w:t>
      </w:r>
      <w:r w:rsidR="00916FA5" w:rsidRPr="00200940">
        <w:rPr>
          <w:lang w:val="en-US"/>
        </w:rPr>
        <w:t xml:space="preserve">. </w:t>
      </w:r>
    </w:p>
    <w:p w14:paraId="6C9F7923" w14:textId="28681F4F" w:rsidR="00946B4F" w:rsidRPr="00946B4F" w:rsidRDefault="00946B4F" w:rsidP="00082D4C">
      <w:pPr>
        <w:pStyle w:val="OutlineNumbered1"/>
        <w:numPr>
          <w:ilvl w:val="0"/>
          <w:numId w:val="13"/>
        </w:numPr>
        <w:ind w:left="340" w:hanging="340"/>
      </w:pPr>
      <w:r w:rsidRPr="00200940">
        <w:rPr>
          <w:lang w:val="en-US"/>
        </w:rPr>
        <w:t xml:space="preserve">The </w:t>
      </w:r>
      <w:r w:rsidRPr="00553ECA">
        <w:rPr>
          <w:lang w:val="en-US"/>
        </w:rPr>
        <w:t>Case Manager</w:t>
      </w:r>
      <w:r w:rsidRPr="00200940">
        <w:rPr>
          <w:lang w:val="en-US"/>
        </w:rPr>
        <w:t xml:space="preserve"> examines the case to determine which agency should manage the case</w:t>
      </w:r>
      <w:r w:rsidR="00916FA5" w:rsidRPr="00200940">
        <w:rPr>
          <w:lang w:val="en-US"/>
        </w:rPr>
        <w:t xml:space="preserve">. </w:t>
      </w:r>
      <w:r w:rsidRPr="00200940">
        <w:rPr>
          <w:lang w:val="en-US"/>
        </w:rPr>
        <w:t>This may involve contacting the small business more than once to collect enough information to make the determination.</w:t>
      </w:r>
      <w:r w:rsidRPr="00946B4F">
        <w:t> </w:t>
      </w:r>
    </w:p>
    <w:p w14:paraId="3CF72A67" w14:textId="64575747" w:rsidR="00946B4F" w:rsidRPr="00946B4F" w:rsidRDefault="00946B4F" w:rsidP="00082D4C">
      <w:pPr>
        <w:pStyle w:val="OutlineNumbered1"/>
        <w:numPr>
          <w:ilvl w:val="0"/>
          <w:numId w:val="13"/>
        </w:numPr>
        <w:ind w:left="340" w:hanging="340"/>
      </w:pPr>
      <w:r w:rsidRPr="00200940">
        <w:rPr>
          <w:lang w:val="en-US"/>
        </w:rPr>
        <w:t>The case is designated as a formal request and allocated and assessed as a case to be actively managed by ASBFEO</w:t>
      </w:r>
      <w:r w:rsidR="00916FA5" w:rsidRPr="00200940">
        <w:rPr>
          <w:lang w:val="en-US"/>
        </w:rPr>
        <w:t xml:space="preserve">. </w:t>
      </w:r>
    </w:p>
    <w:p w14:paraId="71228077" w14:textId="05BC3DF3" w:rsidR="00946B4F" w:rsidRPr="00946B4F" w:rsidRDefault="00946B4F" w:rsidP="00082D4C">
      <w:pPr>
        <w:pStyle w:val="OutlineNumbered1"/>
        <w:numPr>
          <w:ilvl w:val="0"/>
          <w:numId w:val="13"/>
        </w:numPr>
        <w:ind w:left="340" w:hanging="340"/>
      </w:pPr>
      <w:r w:rsidRPr="00200940">
        <w:rPr>
          <w:lang w:val="en-US"/>
        </w:rPr>
        <w:t xml:space="preserve">The Case Manager </w:t>
      </w:r>
      <w:proofErr w:type="spellStart"/>
      <w:r w:rsidRPr="00200940">
        <w:rPr>
          <w:lang w:val="en-US"/>
        </w:rPr>
        <w:t>finalises</w:t>
      </w:r>
      <w:proofErr w:type="spellEnd"/>
      <w:r w:rsidRPr="00200940">
        <w:rPr>
          <w:lang w:val="en-US"/>
        </w:rPr>
        <w:t xml:space="preserve"> the cases by: </w:t>
      </w:r>
      <w:r w:rsidRPr="00946B4F">
        <w:t> </w:t>
      </w:r>
    </w:p>
    <w:p w14:paraId="53A74745" w14:textId="77777777" w:rsidR="00946B4F" w:rsidRPr="00946B4F" w:rsidRDefault="00946B4F" w:rsidP="00200940">
      <w:pPr>
        <w:pStyle w:val="Dash"/>
      </w:pPr>
      <w:r w:rsidRPr="00200940">
        <w:rPr>
          <w:lang w:val="en-US"/>
        </w:rPr>
        <w:t>referring the case for formal ADR  </w:t>
      </w:r>
      <w:r w:rsidRPr="00946B4F">
        <w:t> </w:t>
      </w:r>
    </w:p>
    <w:p w14:paraId="53660D96" w14:textId="5C7DCD9E" w:rsidR="00946B4F" w:rsidRPr="00946B4F" w:rsidRDefault="00946B4F" w:rsidP="00200940">
      <w:pPr>
        <w:pStyle w:val="Dash"/>
      </w:pPr>
      <w:r w:rsidRPr="00200940">
        <w:rPr>
          <w:lang w:val="en-US"/>
        </w:rPr>
        <w:t xml:space="preserve">referring the case to a lawyer under the </w:t>
      </w:r>
      <w:r w:rsidR="00D6138D">
        <w:rPr>
          <w:lang w:val="en-US"/>
        </w:rPr>
        <w:t>SBTC</w:t>
      </w:r>
      <w:r w:rsidRPr="00200940">
        <w:rPr>
          <w:lang w:val="en-US"/>
        </w:rPr>
        <w:t xml:space="preserve"> service </w:t>
      </w:r>
      <w:r w:rsidRPr="00946B4F">
        <w:t> </w:t>
      </w:r>
    </w:p>
    <w:p w14:paraId="0D242670" w14:textId="61460568" w:rsidR="00946B4F" w:rsidRPr="00946B4F" w:rsidRDefault="00946B4F" w:rsidP="00200940">
      <w:pPr>
        <w:pStyle w:val="Dash"/>
      </w:pPr>
      <w:r w:rsidRPr="00200940">
        <w:rPr>
          <w:lang w:val="en-US"/>
        </w:rPr>
        <w:lastRenderedPageBreak/>
        <w:t xml:space="preserve">contacting one or more parties to the dispute to try </w:t>
      </w:r>
      <w:r w:rsidR="00392D89">
        <w:rPr>
          <w:lang w:val="en-US"/>
        </w:rPr>
        <w:t xml:space="preserve">to </w:t>
      </w:r>
      <w:r w:rsidRPr="00200940">
        <w:rPr>
          <w:lang w:val="en-US"/>
        </w:rPr>
        <w:t>resolve the dispute</w:t>
      </w:r>
      <w:r w:rsidRPr="00946B4F">
        <w:t> </w:t>
      </w:r>
    </w:p>
    <w:p w14:paraId="3EE33C3A" w14:textId="23A86078" w:rsidR="00946B4F" w:rsidRPr="00946B4F" w:rsidRDefault="00946B4F" w:rsidP="00200940">
      <w:pPr>
        <w:pStyle w:val="Dash"/>
      </w:pPr>
      <w:r w:rsidRPr="00200940">
        <w:rPr>
          <w:lang w:val="en-US"/>
        </w:rPr>
        <w:t>providing information for example on dispute resolution pathways. </w:t>
      </w:r>
      <w:r w:rsidRPr="00946B4F">
        <w:t> </w:t>
      </w:r>
    </w:p>
    <w:p w14:paraId="0C37DA31" w14:textId="3D4B55E2" w:rsidR="00946B4F" w:rsidRPr="00946B4F" w:rsidRDefault="00946B4F" w:rsidP="00082D4C">
      <w:pPr>
        <w:pStyle w:val="OutlineNumbered1"/>
        <w:numPr>
          <w:ilvl w:val="0"/>
          <w:numId w:val="13"/>
        </w:numPr>
        <w:ind w:left="340" w:hanging="340"/>
      </w:pPr>
      <w:r w:rsidRPr="00200940">
        <w:rPr>
          <w:lang w:val="en-US"/>
        </w:rPr>
        <w:t>The potential outcome of the case includes reached resolution</w:t>
      </w:r>
      <w:r w:rsidR="00392D89">
        <w:rPr>
          <w:lang w:val="en-US"/>
        </w:rPr>
        <w:t>,</w:t>
      </w:r>
      <w:r w:rsidRPr="00200940">
        <w:rPr>
          <w:lang w:val="en-US"/>
        </w:rPr>
        <w:t xml:space="preserve"> partially resolved</w:t>
      </w:r>
      <w:r w:rsidR="00392D89">
        <w:rPr>
          <w:lang w:val="en-US"/>
        </w:rPr>
        <w:t>,</w:t>
      </w:r>
      <w:r w:rsidRPr="00200940">
        <w:rPr>
          <w:lang w:val="en-US"/>
        </w:rPr>
        <w:t xml:space="preserve"> unable to resolve</w:t>
      </w:r>
      <w:r w:rsidR="00392D89">
        <w:rPr>
          <w:lang w:val="en-US"/>
        </w:rPr>
        <w:t>,</w:t>
      </w:r>
      <w:r w:rsidRPr="00200940">
        <w:rPr>
          <w:lang w:val="en-US"/>
        </w:rPr>
        <w:t xml:space="preserve"> in progress and no response.</w:t>
      </w:r>
      <w:r w:rsidRPr="00946B4F">
        <w:t> </w:t>
      </w:r>
    </w:p>
    <w:p w14:paraId="55BA38B4" w14:textId="77777777" w:rsidR="00946B4F" w:rsidRPr="00946B4F" w:rsidRDefault="00946B4F" w:rsidP="00EC6BF0">
      <w:pPr>
        <w:pStyle w:val="Heading2"/>
      </w:pPr>
      <w:bookmarkStart w:id="40" w:name="_Toc199940950"/>
      <w:r w:rsidRPr="00946B4F">
        <w:rPr>
          <w:lang w:val="en-US"/>
        </w:rPr>
        <w:t>Best practice guidance and other tools for dispute pathways</w:t>
      </w:r>
      <w:bookmarkEnd w:id="40"/>
      <w:r w:rsidRPr="00946B4F">
        <w:t> </w:t>
      </w:r>
    </w:p>
    <w:p w14:paraId="701EB614" w14:textId="7B947C35" w:rsidR="006B2A9D" w:rsidRDefault="00946B4F" w:rsidP="00200940">
      <w:pPr>
        <w:rPr>
          <w:lang w:val="en-US"/>
        </w:rPr>
      </w:pPr>
      <w:r w:rsidRPr="00200940">
        <w:rPr>
          <w:rStyle w:val="Strong"/>
        </w:rPr>
        <w:t>ASBFEO offers self</w:t>
      </w:r>
      <w:r w:rsidR="00916FA5" w:rsidRPr="00200940">
        <w:rPr>
          <w:rStyle w:val="Strong"/>
        </w:rPr>
        <w:noBreakHyphen/>
      </w:r>
      <w:r w:rsidRPr="00200940">
        <w:rPr>
          <w:rStyle w:val="Strong"/>
        </w:rPr>
        <w:t xml:space="preserve">help tools on </w:t>
      </w:r>
      <w:r w:rsidR="00790079">
        <w:rPr>
          <w:rStyle w:val="Strong"/>
        </w:rPr>
        <w:t>its</w:t>
      </w:r>
      <w:r w:rsidR="00790079" w:rsidRPr="00200940">
        <w:rPr>
          <w:rStyle w:val="Strong"/>
        </w:rPr>
        <w:t xml:space="preserve"> </w:t>
      </w:r>
      <w:r w:rsidRPr="00200940">
        <w:rPr>
          <w:rStyle w:val="Strong"/>
        </w:rPr>
        <w:t>website to enable small businesses to resolve disputes independently.</w:t>
      </w:r>
    </w:p>
    <w:p w14:paraId="641E465A" w14:textId="53293D3A" w:rsidR="00946B4F" w:rsidRPr="00946B4F" w:rsidRDefault="00946B4F" w:rsidP="00200940">
      <w:r w:rsidRPr="00946B4F">
        <w:rPr>
          <w:lang w:val="en-US"/>
        </w:rPr>
        <w:t>The website includes</w:t>
      </w:r>
      <w:r w:rsidR="00EE61D9">
        <w:rPr>
          <w:lang w:val="en-US"/>
        </w:rPr>
        <w:t>:</w:t>
      </w:r>
      <w:r w:rsidRPr="00946B4F">
        <w:t> </w:t>
      </w:r>
    </w:p>
    <w:p w14:paraId="787DD949" w14:textId="30B6AA12" w:rsidR="00946B4F" w:rsidRPr="00946B4F" w:rsidRDefault="00946B4F" w:rsidP="00200940">
      <w:pPr>
        <w:pStyle w:val="Bullet"/>
      </w:pPr>
      <w:r w:rsidRPr="00946B4F">
        <w:rPr>
          <w:lang w:val="en-US"/>
        </w:rPr>
        <w:t>5 steps to resolving disputes</w:t>
      </w:r>
      <w:r w:rsidRPr="00946B4F">
        <w:t> </w:t>
      </w:r>
    </w:p>
    <w:p w14:paraId="0F05C99F" w14:textId="2B96FD87" w:rsidR="00946B4F" w:rsidRPr="00946B4F" w:rsidRDefault="00946B4F" w:rsidP="00200940">
      <w:pPr>
        <w:pStyle w:val="Bullet"/>
      </w:pPr>
      <w:r w:rsidRPr="00946B4F">
        <w:rPr>
          <w:lang w:val="en-US"/>
        </w:rPr>
        <w:t>case studies of different types of disputes such as contract disputes and payment disputes</w:t>
      </w:r>
      <w:r w:rsidRPr="00946B4F">
        <w:t> </w:t>
      </w:r>
    </w:p>
    <w:p w14:paraId="6C14953A" w14:textId="54C8758A" w:rsidR="00946B4F" w:rsidRPr="00946B4F" w:rsidRDefault="00946B4F" w:rsidP="00200940">
      <w:pPr>
        <w:pStyle w:val="Bullet"/>
      </w:pPr>
      <w:r w:rsidRPr="00946B4F">
        <w:rPr>
          <w:lang w:val="en-US"/>
        </w:rPr>
        <w:t>information about the ADR, the different types of ADR and what they are used for</w:t>
      </w:r>
    </w:p>
    <w:p w14:paraId="6CADC24F" w14:textId="54EC372D" w:rsidR="00946B4F" w:rsidRPr="00946B4F" w:rsidRDefault="00946B4F" w:rsidP="00200940">
      <w:pPr>
        <w:pStyle w:val="Bullet"/>
      </w:pPr>
      <w:r w:rsidRPr="00946B4F">
        <w:rPr>
          <w:lang w:val="en-US"/>
        </w:rPr>
        <w:t xml:space="preserve">a list of ADR practitioners in each </w:t>
      </w:r>
      <w:r w:rsidR="006B2A9D">
        <w:rPr>
          <w:lang w:val="en-US"/>
        </w:rPr>
        <w:t>s</w:t>
      </w:r>
      <w:r w:rsidRPr="00946B4F">
        <w:rPr>
          <w:lang w:val="en-US"/>
        </w:rPr>
        <w:t>tate</w:t>
      </w:r>
    </w:p>
    <w:p w14:paraId="610454CC" w14:textId="050DA207" w:rsidR="00946B4F" w:rsidRPr="00946B4F" w:rsidRDefault="00946B4F" w:rsidP="00200940">
      <w:pPr>
        <w:pStyle w:val="Bullet"/>
      </w:pPr>
      <w:r w:rsidRPr="00946B4F">
        <w:rPr>
          <w:lang w:val="en-US"/>
        </w:rPr>
        <w:t>dispute resolution tools for specific issues including unpaid invoices, digital platform and retail lease dispute</w:t>
      </w:r>
      <w:r w:rsidR="00EF7D97">
        <w:rPr>
          <w:lang w:val="en-US"/>
        </w:rPr>
        <w:t>s</w:t>
      </w:r>
      <w:r w:rsidR="00916FA5">
        <w:rPr>
          <w:lang w:val="en-US"/>
        </w:rPr>
        <w:t xml:space="preserve">. </w:t>
      </w:r>
    </w:p>
    <w:p w14:paraId="7E35F8F0" w14:textId="77777777" w:rsidR="00946B4F" w:rsidRPr="00946B4F" w:rsidRDefault="00946B4F" w:rsidP="00B51A9D">
      <w:pPr>
        <w:pStyle w:val="Heading3"/>
      </w:pPr>
      <w:bookmarkStart w:id="41" w:name="_Toc199940951"/>
      <w:r w:rsidRPr="00946B4F">
        <w:t>Stakeholder views</w:t>
      </w:r>
      <w:bookmarkEnd w:id="41"/>
      <w:r w:rsidRPr="00946B4F">
        <w:t> </w:t>
      </w:r>
    </w:p>
    <w:p w14:paraId="779BFF6D" w14:textId="77777777" w:rsidR="00946B4F" w:rsidRPr="00200940" w:rsidRDefault="00946B4F" w:rsidP="00200940">
      <w:pPr>
        <w:rPr>
          <w:rStyle w:val="Strong"/>
        </w:rPr>
      </w:pPr>
      <w:r w:rsidRPr="00200940">
        <w:rPr>
          <w:rStyle w:val="Strong"/>
        </w:rPr>
        <w:t>Stakeholders appreciated the comprehensive information and guidance material provided on the ASBFEO website. </w:t>
      </w:r>
    </w:p>
    <w:p w14:paraId="36A2FCB2" w14:textId="74FB8324" w:rsidR="00946B4F" w:rsidRPr="00946B4F" w:rsidRDefault="002C1AF4" w:rsidP="00200940">
      <w:r>
        <w:rPr>
          <w:rStyle w:val="Emphasis"/>
        </w:rPr>
        <w:t>‘</w:t>
      </w:r>
      <w:r w:rsidR="00946B4F" w:rsidRPr="00AD68C2">
        <w:rPr>
          <w:rStyle w:val="Emphasis"/>
        </w:rPr>
        <w:t>ASBFEO provide</w:t>
      </w:r>
      <w:r w:rsidR="00AF7857" w:rsidRPr="00AD68C2">
        <w:rPr>
          <w:rStyle w:val="Emphasis"/>
        </w:rPr>
        <w:t>s</w:t>
      </w:r>
      <w:r w:rsidR="00946B4F" w:rsidRPr="00AD68C2">
        <w:rPr>
          <w:rStyle w:val="Emphasis"/>
        </w:rPr>
        <w:t xml:space="preserve"> comprehensive information that is readily accessible. Few, if any, small businesses have </w:t>
      </w:r>
      <w:r w:rsidR="00262BD4" w:rsidRPr="00AD68C2">
        <w:rPr>
          <w:rStyle w:val="Emphasis"/>
        </w:rPr>
        <w:t xml:space="preserve">the </w:t>
      </w:r>
      <w:r w:rsidR="00946B4F" w:rsidRPr="00AD68C2">
        <w:rPr>
          <w:rStyle w:val="Emphasis"/>
        </w:rPr>
        <w:t>time, resources and expertise to escalate disputes through courts.</w:t>
      </w:r>
      <w:r w:rsidR="003A0D5E">
        <w:rPr>
          <w:rStyle w:val="Emphasis"/>
        </w:rPr>
        <w:t>’</w:t>
      </w:r>
      <w:r w:rsidR="00065357">
        <w:rPr>
          <w:rStyle w:val="Emphasis"/>
          <w:rFonts w:ascii="ZWAdobeF" w:hAnsi="ZWAdobeF" w:cs="ZWAdobeF"/>
          <w:i w:val="0"/>
          <w:color w:val="auto"/>
          <w:sz w:val="2"/>
          <w:szCs w:val="2"/>
        </w:rPr>
        <w:t>58F</w:t>
      </w:r>
      <w:r w:rsidR="00822DCF" w:rsidRPr="00FA0156">
        <w:rPr>
          <w:rStyle w:val="FootnoteReference"/>
          <w:sz w:val="22"/>
          <w:szCs w:val="24"/>
          <w:vertAlign w:val="superscript"/>
          <w:lang w:val="en-US"/>
        </w:rPr>
        <w:footnoteReference w:id="60"/>
      </w:r>
    </w:p>
    <w:p w14:paraId="609C0385" w14:textId="04449265" w:rsidR="009B059A" w:rsidRPr="00AA4DFA" w:rsidRDefault="000E7D78" w:rsidP="00200940">
      <w:pPr>
        <w:rPr>
          <w:b/>
        </w:rPr>
      </w:pPr>
      <w:r w:rsidRPr="00AA4DFA">
        <w:rPr>
          <w:rStyle w:val="Strong"/>
          <w:b w:val="0"/>
          <w:bCs w:val="0"/>
        </w:rPr>
        <w:t xml:space="preserve">One small business </w:t>
      </w:r>
      <w:r w:rsidR="00262BD4" w:rsidRPr="00AA4DFA">
        <w:rPr>
          <w:rStyle w:val="Strong"/>
          <w:b w:val="0"/>
          <w:bCs w:val="0"/>
        </w:rPr>
        <w:t xml:space="preserve">that </w:t>
      </w:r>
      <w:r w:rsidRPr="00AA4DFA">
        <w:rPr>
          <w:rStyle w:val="Strong"/>
          <w:b w:val="0"/>
          <w:bCs w:val="0"/>
        </w:rPr>
        <w:t>spoke with the </w:t>
      </w:r>
      <w:proofErr w:type="spellStart"/>
      <w:r w:rsidRPr="00AA4DFA">
        <w:rPr>
          <w:rStyle w:val="Strong"/>
          <w:b w:val="0"/>
          <w:bCs w:val="0"/>
        </w:rPr>
        <w:t>AusIndustry</w:t>
      </w:r>
      <w:proofErr w:type="spellEnd"/>
      <w:r w:rsidRPr="00AA4DFA">
        <w:rPr>
          <w:rStyle w:val="Strong"/>
          <w:b w:val="0"/>
          <w:bCs w:val="0"/>
        </w:rPr>
        <w:t xml:space="preserve"> Regional Manager network praised the letter of concern template </w:t>
      </w:r>
      <w:r w:rsidR="00B72C05" w:rsidRPr="00AA4DFA">
        <w:rPr>
          <w:rStyle w:val="Strong"/>
          <w:b w:val="0"/>
          <w:bCs w:val="0"/>
        </w:rPr>
        <w:t xml:space="preserve">that ASBFEO made available </w:t>
      </w:r>
      <w:r w:rsidRPr="00AA4DFA">
        <w:rPr>
          <w:rStyle w:val="Strong"/>
          <w:b w:val="0"/>
          <w:bCs w:val="0"/>
        </w:rPr>
        <w:t xml:space="preserve">on the business.gov.au website to help small businesses </w:t>
      </w:r>
      <w:r w:rsidR="007B67E8" w:rsidRPr="00AA4DFA">
        <w:rPr>
          <w:rStyle w:val="Strong"/>
          <w:b w:val="0"/>
          <w:bCs w:val="0"/>
        </w:rPr>
        <w:t xml:space="preserve">resolve </w:t>
      </w:r>
      <w:r w:rsidRPr="00AA4DFA">
        <w:rPr>
          <w:rStyle w:val="Strong"/>
          <w:b w:val="0"/>
          <w:bCs w:val="0"/>
        </w:rPr>
        <w:t>issues with suppliers</w:t>
      </w:r>
      <w:r w:rsidRPr="00AA4DFA">
        <w:rPr>
          <w:b/>
        </w:rPr>
        <w:t>.</w:t>
      </w:r>
      <w:r w:rsidR="00065357">
        <w:rPr>
          <w:rFonts w:ascii="ZWAdobeF" w:hAnsi="ZWAdobeF" w:cs="ZWAdobeF"/>
          <w:color w:val="auto"/>
          <w:sz w:val="2"/>
          <w:szCs w:val="2"/>
        </w:rPr>
        <w:t>59F</w:t>
      </w:r>
      <w:r w:rsidR="00EF3583" w:rsidRPr="00AA4DFA">
        <w:rPr>
          <w:rStyle w:val="FootnoteReference"/>
          <w:b/>
          <w:vertAlign w:val="superscript"/>
        </w:rPr>
        <w:footnoteReference w:id="61"/>
      </w:r>
      <w:r w:rsidR="00946B4F" w:rsidRPr="00AA4DFA">
        <w:rPr>
          <w:b/>
        </w:rPr>
        <w:t xml:space="preserve"> </w:t>
      </w:r>
    </w:p>
    <w:p w14:paraId="25C51B7F" w14:textId="6018C75D" w:rsidR="00946B4F" w:rsidRPr="00946B4F" w:rsidRDefault="00837194" w:rsidP="00200940">
      <w:r>
        <w:rPr>
          <w:lang w:val="en-US"/>
        </w:rPr>
        <w:t>However, t</w:t>
      </w:r>
      <w:r w:rsidR="00946B4F" w:rsidRPr="00946B4F">
        <w:rPr>
          <w:lang w:val="en-US"/>
        </w:rPr>
        <w:t xml:space="preserve">he stakeholder survey findings indicated a need for improved communication and education </w:t>
      </w:r>
      <w:r w:rsidR="0053564F">
        <w:rPr>
          <w:lang w:val="en-US"/>
        </w:rPr>
        <w:t>about</w:t>
      </w:r>
      <w:r w:rsidR="00A2199A" w:rsidDel="003A673D">
        <w:rPr>
          <w:lang w:val="en-US"/>
        </w:rPr>
        <w:t xml:space="preserve"> </w:t>
      </w:r>
      <w:r w:rsidR="00946B4F" w:rsidRPr="00946B4F">
        <w:rPr>
          <w:lang w:val="en-US"/>
        </w:rPr>
        <w:t>ASBFEO</w:t>
      </w:r>
      <w:r w:rsidR="00916FA5">
        <w:rPr>
          <w:lang w:val="en-US"/>
        </w:rPr>
        <w:t>’</w:t>
      </w:r>
      <w:r w:rsidR="00946B4F" w:rsidRPr="00946B4F">
        <w:rPr>
          <w:lang w:val="en-US"/>
        </w:rPr>
        <w:t xml:space="preserve">s services with </w:t>
      </w:r>
      <w:r w:rsidR="00C72C5B">
        <w:rPr>
          <w:lang w:val="en-US"/>
        </w:rPr>
        <w:t>approximately 30 per cent of</w:t>
      </w:r>
      <w:r w:rsidR="009B059A">
        <w:rPr>
          <w:lang w:val="en-US"/>
        </w:rPr>
        <w:t xml:space="preserve"> </w:t>
      </w:r>
      <w:r w:rsidR="00946B4F" w:rsidRPr="00946B4F">
        <w:rPr>
          <w:lang w:val="en-US"/>
        </w:rPr>
        <w:t xml:space="preserve">respondents </w:t>
      </w:r>
      <w:r w:rsidR="0074269D">
        <w:rPr>
          <w:lang w:val="en-US"/>
        </w:rPr>
        <w:t xml:space="preserve">wanting better </w:t>
      </w:r>
      <w:r w:rsidR="009B059A">
        <w:rPr>
          <w:lang w:val="en-US"/>
        </w:rPr>
        <w:t>educational</w:t>
      </w:r>
      <w:r w:rsidR="002A7F5E">
        <w:rPr>
          <w:lang w:val="en-US"/>
        </w:rPr>
        <w:t xml:space="preserve"> resources</w:t>
      </w:r>
      <w:r w:rsidR="009B059A">
        <w:rPr>
          <w:lang w:val="en-US"/>
        </w:rPr>
        <w:t xml:space="preserve"> or guidance materials</w:t>
      </w:r>
      <w:r w:rsidR="00946B4F" w:rsidRPr="00946B4F">
        <w:rPr>
          <w:lang w:val="en-US"/>
        </w:rPr>
        <w:t>.</w:t>
      </w:r>
      <w:r w:rsidR="00946B4F" w:rsidRPr="00946B4F">
        <w:t> </w:t>
      </w:r>
    </w:p>
    <w:p w14:paraId="15BCA105" w14:textId="1AE097C5" w:rsidR="00946B4F" w:rsidRPr="00946B4F" w:rsidRDefault="00946B4F" w:rsidP="00E271E7">
      <w:pPr>
        <w:pStyle w:val="Heading3"/>
      </w:pPr>
      <w:bookmarkStart w:id="42" w:name="_Toc199940952"/>
      <w:r w:rsidRPr="00946B4F">
        <w:rPr>
          <w:lang w:val="en-US"/>
        </w:rPr>
        <w:lastRenderedPageBreak/>
        <w:t>Analysis</w:t>
      </w:r>
      <w:bookmarkEnd w:id="42"/>
    </w:p>
    <w:p w14:paraId="0079F40B" w14:textId="61262C7F" w:rsidR="00946B4F" w:rsidRPr="00FA0156" w:rsidRDefault="00946B4F" w:rsidP="00200940">
      <w:pPr>
        <w:rPr>
          <w:lang w:val="en-US"/>
        </w:rPr>
      </w:pPr>
      <w:r w:rsidRPr="00200940">
        <w:rPr>
          <w:rStyle w:val="Strong"/>
        </w:rPr>
        <w:t>ASBFEO has done a c</w:t>
      </w:r>
      <w:r w:rsidR="00837194">
        <w:rPr>
          <w:rStyle w:val="Strong"/>
        </w:rPr>
        <w:t>redible</w:t>
      </w:r>
      <w:r w:rsidRPr="00200940">
        <w:rPr>
          <w:rStyle w:val="Strong"/>
        </w:rPr>
        <w:t xml:space="preserve"> job providing best practice guidance </w:t>
      </w:r>
      <w:r w:rsidR="00A134D8">
        <w:rPr>
          <w:rStyle w:val="Strong"/>
        </w:rPr>
        <w:t xml:space="preserve">for </w:t>
      </w:r>
      <w:r w:rsidR="00AF40EA" w:rsidRPr="00200940">
        <w:rPr>
          <w:rStyle w:val="Strong"/>
        </w:rPr>
        <w:t>resolving</w:t>
      </w:r>
      <w:r w:rsidRPr="00200940">
        <w:rPr>
          <w:rStyle w:val="Strong"/>
        </w:rPr>
        <w:t xml:space="preserve"> disputes, </w:t>
      </w:r>
      <w:r w:rsidR="009A28BE">
        <w:rPr>
          <w:rStyle w:val="Strong"/>
        </w:rPr>
        <w:t xml:space="preserve">which could be </w:t>
      </w:r>
      <w:r w:rsidRPr="00200940">
        <w:rPr>
          <w:rStyle w:val="Strong"/>
        </w:rPr>
        <w:t xml:space="preserve">expanded to include </w:t>
      </w:r>
      <w:r w:rsidR="00822A40">
        <w:rPr>
          <w:rStyle w:val="Strong"/>
        </w:rPr>
        <w:t xml:space="preserve">advice </w:t>
      </w:r>
      <w:r w:rsidRPr="00200940">
        <w:rPr>
          <w:rStyle w:val="Strong"/>
        </w:rPr>
        <w:t>on the mediation process and additional case studies.</w:t>
      </w:r>
      <w:r w:rsidR="003E7DCB">
        <w:rPr>
          <w:lang w:val="en-US"/>
        </w:rPr>
        <w:t xml:space="preserve"> </w:t>
      </w:r>
      <w:r w:rsidRPr="00946B4F">
        <w:rPr>
          <w:lang w:val="en-US"/>
        </w:rPr>
        <w:t>An analysis of the current guidance materials found little guidance on the mediation process and few case studies. The tool used to refer disputes to other agencies is not intuitive</w:t>
      </w:r>
      <w:r w:rsidR="00683047">
        <w:rPr>
          <w:lang w:val="en-US"/>
        </w:rPr>
        <w:t>.</w:t>
      </w:r>
      <w:r w:rsidRPr="00946B4F">
        <w:rPr>
          <w:lang w:val="en-US"/>
        </w:rPr>
        <w:t xml:space="preserve"> </w:t>
      </w:r>
      <w:r w:rsidR="00683047">
        <w:rPr>
          <w:lang w:val="en-US"/>
        </w:rPr>
        <w:t>U</w:t>
      </w:r>
      <w:r w:rsidRPr="00946B4F">
        <w:rPr>
          <w:lang w:val="en-US"/>
        </w:rPr>
        <w:t>ser testing could inform a more straightforward pathway to the appropriate agency for dispute resolution. </w:t>
      </w:r>
    </w:p>
    <w:p w14:paraId="6193F873" w14:textId="77777777" w:rsidR="00946B4F" w:rsidRPr="00946B4F" w:rsidRDefault="00946B4F" w:rsidP="00E271E7">
      <w:pPr>
        <w:pStyle w:val="Heading3"/>
      </w:pPr>
      <w:bookmarkStart w:id="43" w:name="_Toc199940953"/>
      <w:r w:rsidRPr="00946B4F">
        <w:rPr>
          <w:lang w:val="en-US"/>
        </w:rPr>
        <w:t>Recommendation</w:t>
      </w:r>
      <w:bookmarkEnd w:id="43"/>
      <w:r w:rsidRPr="00946B4F">
        <w:t> </w:t>
      </w:r>
    </w:p>
    <w:tbl>
      <w:tblPr>
        <w:tblStyle w:val="BoxStyle"/>
        <w:tblW w:w="5000" w:type="pct"/>
        <w:shd w:val="clear" w:color="auto" w:fill="F4F0EC"/>
        <w:tblLook w:val="0620" w:firstRow="1" w:lastRow="0" w:firstColumn="0" w:lastColumn="0" w:noHBand="1" w:noVBand="1"/>
      </w:tblPr>
      <w:tblGrid>
        <w:gridCol w:w="9070"/>
      </w:tblGrid>
      <w:tr w:rsidR="001B650C" w14:paraId="52EBCD2D" w14:textId="77777777" w:rsidTr="004C4118">
        <w:tc>
          <w:tcPr>
            <w:tcW w:w="5000" w:type="pct"/>
            <w:shd w:val="clear" w:color="auto" w:fill="F4F0EC"/>
            <w:hideMark/>
          </w:tcPr>
          <w:p w14:paraId="5AC8582E" w14:textId="42E78DAC" w:rsidR="001B650C" w:rsidRPr="00833D5F" w:rsidRDefault="001B650C" w:rsidP="00902B40">
            <w:pPr>
              <w:pStyle w:val="BoxText"/>
              <w:rPr>
                <w:b/>
              </w:rPr>
            </w:pPr>
            <w:r w:rsidRPr="00200940">
              <w:rPr>
                <w:rStyle w:val="Strong"/>
              </w:rPr>
              <w:t xml:space="preserve">Recommendation </w:t>
            </w:r>
            <w:r w:rsidRPr="00B04FD5">
              <w:rPr>
                <w:rStyle w:val="Strong"/>
              </w:rPr>
              <w:t>5</w:t>
            </w:r>
            <w:r w:rsidRPr="00200940">
              <w:rPr>
                <w:rStyle w:val="Strong"/>
              </w:rPr>
              <w:t xml:space="preserve">: </w:t>
            </w:r>
            <w:r>
              <w:rPr>
                <w:rStyle w:val="Strong"/>
                <w:b w:val="0"/>
              </w:rPr>
              <w:t xml:space="preserve">ASBFEO should </w:t>
            </w:r>
            <w:r w:rsidRPr="00410E2A">
              <w:rPr>
                <w:rStyle w:val="Strong"/>
                <w:b w:val="0"/>
              </w:rPr>
              <w:t>review current guidance materials and tools for dispute resolution to ensure they are more user friendly, provide better guidance on mediation processes and include more case studies.</w:t>
            </w:r>
            <w:r w:rsidR="003D36BE" w:rsidRPr="00200940">
              <w:rPr>
                <w:rStyle w:val="Strong"/>
              </w:rPr>
              <w:t> </w:t>
            </w:r>
          </w:p>
        </w:tc>
      </w:tr>
    </w:tbl>
    <w:p w14:paraId="53023AAB" w14:textId="77777777" w:rsidR="00946B4F" w:rsidRPr="00946B4F" w:rsidRDefault="00946B4F" w:rsidP="001E724D">
      <w:pPr>
        <w:pStyle w:val="Heading2"/>
      </w:pPr>
      <w:bookmarkStart w:id="44" w:name="_Toc199940954"/>
      <w:r w:rsidRPr="00946B4F">
        <w:rPr>
          <w:lang w:val="en-US"/>
        </w:rPr>
        <w:t>Contact Centre</w:t>
      </w:r>
      <w:bookmarkEnd w:id="44"/>
      <w:r w:rsidRPr="00946B4F">
        <w:t> </w:t>
      </w:r>
    </w:p>
    <w:p w14:paraId="1C68E973" w14:textId="0583C4E6" w:rsidR="00200940" w:rsidRDefault="00946B4F" w:rsidP="008E7750">
      <w:r w:rsidRPr="008E7750">
        <w:rPr>
          <w:rStyle w:val="Strong"/>
        </w:rPr>
        <w:t>Over the 3 years from 2021</w:t>
      </w:r>
      <w:r w:rsidR="00B55EDC" w:rsidRPr="00B55EDC">
        <w:rPr>
          <w:b/>
          <w:bCs/>
        </w:rPr>
        <w:t>–</w:t>
      </w:r>
      <w:r w:rsidRPr="008E7750">
        <w:rPr>
          <w:rStyle w:val="Strong"/>
        </w:rPr>
        <w:t>22 to 2023</w:t>
      </w:r>
      <w:r w:rsidR="00B55EDC" w:rsidRPr="00B55EDC">
        <w:rPr>
          <w:b/>
          <w:bCs/>
        </w:rPr>
        <w:t>–</w:t>
      </w:r>
      <w:r w:rsidRPr="008E7750">
        <w:rPr>
          <w:rStyle w:val="Strong"/>
        </w:rPr>
        <w:t>24, the Contact Centre responded to 13,578</w:t>
      </w:r>
      <w:r w:rsidR="00B55EDC">
        <w:rPr>
          <w:rStyle w:val="Strong"/>
        </w:rPr>
        <w:t> </w:t>
      </w:r>
      <w:r w:rsidRPr="008E7750">
        <w:rPr>
          <w:rStyle w:val="Strong"/>
        </w:rPr>
        <w:t>calls from small businesses requesting assistance.</w:t>
      </w:r>
      <w:r w:rsidRPr="00946B4F">
        <w:rPr>
          <w:lang w:val="en-US"/>
        </w:rPr>
        <w:t xml:space="preserve"> The most common issue was payment disputes with 34</w:t>
      </w:r>
      <w:r w:rsidR="00506E89">
        <w:rPr>
          <w:lang w:val="en-US"/>
        </w:rPr>
        <w:t> </w:t>
      </w:r>
      <w:r w:rsidRPr="00946B4F">
        <w:rPr>
          <w:lang w:val="en-US"/>
        </w:rPr>
        <w:t>per</w:t>
      </w:r>
      <w:r w:rsidR="00506E89">
        <w:rPr>
          <w:lang w:val="en-US"/>
        </w:rPr>
        <w:t> </w:t>
      </w:r>
      <w:r w:rsidRPr="00946B4F">
        <w:rPr>
          <w:lang w:val="en-US"/>
        </w:rPr>
        <w:t>cent of calls related to these disputes, 16 per cent were requests for general information, 14</w:t>
      </w:r>
      <w:r w:rsidR="00506E89">
        <w:rPr>
          <w:lang w:val="en-US"/>
        </w:rPr>
        <w:t> </w:t>
      </w:r>
      <w:r w:rsidRPr="00946B4F">
        <w:rPr>
          <w:lang w:val="en-US"/>
        </w:rPr>
        <w:t xml:space="preserve">per cent were contract disputes, 5 per cent related to franchising issues and less than half a percent related to the oil, diary or horticulture codes. The number of calls increased by </w:t>
      </w:r>
      <w:r w:rsidR="005D32A9">
        <w:rPr>
          <w:lang w:val="en-US"/>
        </w:rPr>
        <w:t>9</w:t>
      </w:r>
      <w:r w:rsidR="00506E89">
        <w:rPr>
          <w:lang w:val="en-US"/>
        </w:rPr>
        <w:t> </w:t>
      </w:r>
      <w:r w:rsidRPr="00946B4F">
        <w:rPr>
          <w:lang w:val="en-US"/>
        </w:rPr>
        <w:t>per</w:t>
      </w:r>
      <w:r w:rsidR="00506E89">
        <w:rPr>
          <w:lang w:val="en-US"/>
        </w:rPr>
        <w:t> </w:t>
      </w:r>
      <w:r w:rsidRPr="00946B4F">
        <w:rPr>
          <w:lang w:val="en-US"/>
        </w:rPr>
        <w:t xml:space="preserve">cent </w:t>
      </w:r>
      <w:r w:rsidR="005D32A9">
        <w:rPr>
          <w:lang w:val="en-US"/>
        </w:rPr>
        <w:t>from 2021</w:t>
      </w:r>
      <w:r w:rsidR="00EA1FEB" w:rsidRPr="00EA1FEB">
        <w:t>–</w:t>
      </w:r>
      <w:r w:rsidR="005D32A9">
        <w:rPr>
          <w:lang w:val="en-US"/>
        </w:rPr>
        <w:t xml:space="preserve">22 through to </w:t>
      </w:r>
      <w:r w:rsidRPr="00946B4F">
        <w:rPr>
          <w:lang w:val="en-US"/>
        </w:rPr>
        <w:t>2023</w:t>
      </w:r>
      <w:r w:rsidR="00506E89" w:rsidRPr="00506E89">
        <w:t>–</w:t>
      </w:r>
      <w:r w:rsidRPr="00946B4F">
        <w:rPr>
          <w:lang w:val="en-US"/>
        </w:rPr>
        <w:t>24.</w:t>
      </w:r>
      <w:r w:rsidR="00065357">
        <w:rPr>
          <w:rFonts w:ascii="ZWAdobeF" w:hAnsi="ZWAdobeF" w:cs="ZWAdobeF"/>
          <w:color w:val="auto"/>
          <w:sz w:val="2"/>
          <w:szCs w:val="2"/>
          <w:lang w:val="en-US"/>
        </w:rPr>
        <w:t>60F</w:t>
      </w:r>
      <w:r w:rsidR="00FE3E82" w:rsidRPr="00ED63C7">
        <w:rPr>
          <w:rStyle w:val="FootnoteReference"/>
          <w:sz w:val="22"/>
          <w:szCs w:val="24"/>
          <w:vertAlign w:val="superscript"/>
          <w:lang w:val="en-US"/>
        </w:rPr>
        <w:footnoteReference w:id="62"/>
      </w:r>
      <w:r w:rsidRPr="00946B4F">
        <w:rPr>
          <w:lang w:val="en-US"/>
        </w:rPr>
        <w:t xml:space="preserve"> </w:t>
      </w:r>
      <w:r w:rsidR="00505E4D" w:rsidRPr="00946B4F">
        <w:rPr>
          <w:lang w:val="en-US"/>
        </w:rPr>
        <w:t>A</w:t>
      </w:r>
      <w:r w:rsidR="00505E4D">
        <w:rPr>
          <w:lang w:val="en-US"/>
        </w:rPr>
        <w:t xml:space="preserve">ppendix </w:t>
      </w:r>
      <w:r w:rsidR="000C69B5">
        <w:rPr>
          <w:lang w:val="en-US"/>
        </w:rPr>
        <w:t>H</w:t>
      </w:r>
      <w:r w:rsidR="00505E4D">
        <w:rPr>
          <w:lang w:val="en-US"/>
        </w:rPr>
        <w:t xml:space="preserve"> </w:t>
      </w:r>
      <w:r w:rsidR="001D7639">
        <w:rPr>
          <w:lang w:val="en-US"/>
        </w:rPr>
        <w:t xml:space="preserve">has </w:t>
      </w:r>
      <w:r w:rsidR="00505E4D">
        <w:rPr>
          <w:lang w:val="en-US"/>
        </w:rPr>
        <w:t>a</w:t>
      </w:r>
      <w:r w:rsidR="00505E4D" w:rsidRPr="00946B4F">
        <w:rPr>
          <w:lang w:val="en-US"/>
        </w:rPr>
        <w:t xml:space="preserve"> </w:t>
      </w:r>
      <w:r w:rsidR="00505E4D">
        <w:rPr>
          <w:lang w:val="en-US"/>
        </w:rPr>
        <w:t>complete</w:t>
      </w:r>
      <w:r w:rsidR="00505E4D" w:rsidRPr="00946B4F">
        <w:rPr>
          <w:lang w:val="en-US"/>
        </w:rPr>
        <w:t xml:space="preserve"> </w:t>
      </w:r>
      <w:r w:rsidRPr="00946B4F">
        <w:rPr>
          <w:lang w:val="en-US"/>
        </w:rPr>
        <w:t xml:space="preserve">list of the types of disputes over the past </w:t>
      </w:r>
      <w:r w:rsidR="006A6B8B">
        <w:rPr>
          <w:lang w:val="en-US"/>
        </w:rPr>
        <w:t>3</w:t>
      </w:r>
      <w:r w:rsidR="001D7639" w:rsidRPr="00946B4F">
        <w:rPr>
          <w:lang w:val="en-US"/>
        </w:rPr>
        <w:t xml:space="preserve"> </w:t>
      </w:r>
      <w:r w:rsidRPr="00946B4F">
        <w:rPr>
          <w:lang w:val="en-US"/>
        </w:rPr>
        <w:t>year</w:t>
      </w:r>
      <w:r w:rsidR="001269FC">
        <w:rPr>
          <w:lang w:val="en-US"/>
        </w:rPr>
        <w:t>s.</w:t>
      </w:r>
      <w:r w:rsidRPr="00946B4F">
        <w:t> </w:t>
      </w:r>
    </w:p>
    <w:p w14:paraId="44BED908" w14:textId="4E3E6C37" w:rsidR="00946B4F" w:rsidRPr="00946B4F" w:rsidRDefault="00946B4F" w:rsidP="008E7750">
      <w:r w:rsidRPr="00B55EDC">
        <w:rPr>
          <w:rStyle w:val="Strong"/>
        </w:rPr>
        <w:t>The Contact Centre resolves approximately 80 per cent of the calls by providing general information or referring small business callers to the dispute resolution tool located on the website.</w:t>
      </w:r>
      <w:r w:rsidRPr="00946B4F">
        <w:rPr>
          <w:lang w:val="en-US"/>
        </w:rPr>
        <w:t xml:space="preserve"> A further 15 per cent of calls are referred to other agencies and approximately 5 per cent (or 679 calls from 2021</w:t>
      </w:r>
      <w:r w:rsidR="00506E89" w:rsidRPr="00506E89">
        <w:t>–</w:t>
      </w:r>
      <w:r w:rsidRPr="00946B4F">
        <w:rPr>
          <w:lang w:val="en-US"/>
        </w:rPr>
        <w:t>22 to 2023</w:t>
      </w:r>
      <w:r w:rsidR="00506E89" w:rsidRPr="00506E89">
        <w:t>–</w:t>
      </w:r>
      <w:r w:rsidRPr="00946B4F">
        <w:rPr>
          <w:lang w:val="en-US"/>
        </w:rPr>
        <w:t xml:space="preserve">24) are transferred to the ASBFEO </w:t>
      </w:r>
      <w:r w:rsidR="00B9716E">
        <w:rPr>
          <w:lang w:val="en-US"/>
        </w:rPr>
        <w:t>A</w:t>
      </w:r>
      <w:r w:rsidRPr="00946B4F">
        <w:rPr>
          <w:lang w:val="en-US"/>
        </w:rPr>
        <w:t>ssistance team for case management</w:t>
      </w:r>
      <w:r w:rsidR="00916FA5">
        <w:rPr>
          <w:lang w:val="en-US"/>
        </w:rPr>
        <w:t>.</w:t>
      </w:r>
      <w:r w:rsidR="00065357">
        <w:rPr>
          <w:rFonts w:ascii="ZWAdobeF" w:hAnsi="ZWAdobeF" w:cs="ZWAdobeF"/>
          <w:color w:val="auto"/>
          <w:sz w:val="2"/>
          <w:szCs w:val="2"/>
          <w:lang w:val="en-US"/>
        </w:rPr>
        <w:t>61F</w:t>
      </w:r>
      <w:r w:rsidR="001A2F27" w:rsidRPr="00ED63C7">
        <w:rPr>
          <w:rStyle w:val="FootnoteReference"/>
          <w:sz w:val="22"/>
          <w:szCs w:val="24"/>
          <w:vertAlign w:val="superscript"/>
          <w:lang w:val="en-US"/>
        </w:rPr>
        <w:footnoteReference w:id="63"/>
      </w:r>
    </w:p>
    <w:p w14:paraId="6898E650" w14:textId="3375BDCF" w:rsidR="00946B4F" w:rsidRPr="00946B4F" w:rsidRDefault="00946B4F" w:rsidP="00B42EAB">
      <w:pPr>
        <w:pStyle w:val="Heading3"/>
      </w:pPr>
      <w:bookmarkStart w:id="45" w:name="_Toc199940955"/>
      <w:r w:rsidRPr="00946B4F">
        <w:rPr>
          <w:lang w:val="en-US"/>
        </w:rPr>
        <w:t>Stakeholder views</w:t>
      </w:r>
      <w:bookmarkEnd w:id="45"/>
    </w:p>
    <w:p w14:paraId="4CC8862B" w14:textId="4EF4D657" w:rsidR="00946B4F" w:rsidRPr="00B55EDC" w:rsidRDefault="00946B4F" w:rsidP="00B55EDC">
      <w:r w:rsidRPr="00B55EDC">
        <w:rPr>
          <w:rStyle w:val="Strong"/>
        </w:rPr>
        <w:t xml:space="preserve">Small </w:t>
      </w:r>
      <w:r w:rsidR="00B224F2">
        <w:rPr>
          <w:rStyle w:val="Strong"/>
        </w:rPr>
        <w:t>b</w:t>
      </w:r>
      <w:r w:rsidRPr="00B55EDC">
        <w:rPr>
          <w:rStyle w:val="Strong"/>
        </w:rPr>
        <w:t>usinesses</w:t>
      </w:r>
      <w:r w:rsidRPr="00B55EDC" w:rsidDel="00B224F2">
        <w:rPr>
          <w:rStyle w:val="Strong"/>
        </w:rPr>
        <w:t xml:space="preserve"> </w:t>
      </w:r>
      <w:r w:rsidR="00B224F2">
        <w:rPr>
          <w:rStyle w:val="Strong"/>
        </w:rPr>
        <w:t>that</w:t>
      </w:r>
      <w:r w:rsidRPr="00B55EDC">
        <w:rPr>
          <w:rStyle w:val="Strong"/>
        </w:rPr>
        <w:t xml:space="preserve"> used the Contact Centre were very satisfied with the service they </w:t>
      </w:r>
      <w:proofErr w:type="gramStart"/>
      <w:r w:rsidRPr="00B55EDC">
        <w:rPr>
          <w:rStyle w:val="Strong"/>
        </w:rPr>
        <w:t>received</w:t>
      </w:r>
      <w:proofErr w:type="gramEnd"/>
      <w:r w:rsidRPr="00B55EDC">
        <w:rPr>
          <w:rStyle w:val="Strong"/>
        </w:rPr>
        <w:t xml:space="preserve"> and calls were responded to promptly</w:t>
      </w:r>
      <w:r w:rsidR="00916FA5" w:rsidRPr="00B55EDC">
        <w:rPr>
          <w:rStyle w:val="Strong"/>
        </w:rPr>
        <w:t>.</w:t>
      </w:r>
      <w:r w:rsidR="00916FA5" w:rsidRPr="00B55EDC">
        <w:t xml:space="preserve"> </w:t>
      </w:r>
      <w:r w:rsidR="007421D6">
        <w:t>DISR</w:t>
      </w:r>
      <w:r w:rsidRPr="00B55EDC">
        <w:t xml:space="preserve"> conducts </w:t>
      </w:r>
      <w:r w:rsidR="00A85693">
        <w:t>the Contact Centre</w:t>
      </w:r>
      <w:r w:rsidR="00177F17">
        <w:t xml:space="preserve">’s </w:t>
      </w:r>
      <w:r w:rsidRPr="00B55EDC">
        <w:t>annual customer satisfaction survey</w:t>
      </w:r>
      <w:r w:rsidR="00177F17">
        <w:t>.</w:t>
      </w:r>
      <w:r w:rsidRPr="00B55EDC">
        <w:t xml:space="preserve"> Over the past </w:t>
      </w:r>
      <w:r w:rsidR="003020C4">
        <w:t>3</w:t>
      </w:r>
      <w:r w:rsidRPr="00B55EDC">
        <w:t xml:space="preserve"> years customer satisfaction has been very high with 98</w:t>
      </w:r>
      <w:r w:rsidR="00B55EDC">
        <w:t> </w:t>
      </w:r>
      <w:r w:rsidRPr="00B55EDC">
        <w:t>per</w:t>
      </w:r>
      <w:r w:rsidR="00370A84">
        <w:t xml:space="preserve"> </w:t>
      </w:r>
      <w:r w:rsidRPr="00B55EDC">
        <w:t xml:space="preserve">cent of customers satisfied with the service they </w:t>
      </w:r>
      <w:proofErr w:type="gramStart"/>
      <w:r w:rsidRPr="00B55EDC">
        <w:t>received</w:t>
      </w:r>
      <w:proofErr w:type="gramEnd"/>
      <w:r w:rsidR="005046A3">
        <w:t xml:space="preserve"> and i</w:t>
      </w:r>
      <w:r w:rsidR="00D21D1C">
        <w:t>t found</w:t>
      </w:r>
      <w:r w:rsidRPr="00B55EDC">
        <w:t xml:space="preserve"> 99</w:t>
      </w:r>
      <w:r w:rsidR="00F16486">
        <w:t> </w:t>
      </w:r>
      <w:r w:rsidRPr="00B55EDC">
        <w:t xml:space="preserve">per cent of customers satisfied </w:t>
      </w:r>
      <w:r w:rsidRPr="00B55EDC">
        <w:lastRenderedPageBreak/>
        <w:t xml:space="preserve">that </w:t>
      </w:r>
      <w:r w:rsidR="004F19EC">
        <w:t xml:space="preserve">the </w:t>
      </w:r>
      <w:r w:rsidRPr="00B55EDC">
        <w:t xml:space="preserve">information </w:t>
      </w:r>
      <w:r w:rsidR="004F19EC">
        <w:t xml:space="preserve">they </w:t>
      </w:r>
      <w:r w:rsidRPr="00B55EDC">
        <w:t>sought was found.</w:t>
      </w:r>
      <w:r w:rsidR="00065357">
        <w:rPr>
          <w:rFonts w:ascii="ZWAdobeF" w:hAnsi="ZWAdobeF" w:cs="ZWAdobeF"/>
          <w:color w:val="auto"/>
          <w:sz w:val="2"/>
          <w:szCs w:val="2"/>
        </w:rPr>
        <w:t>62F</w:t>
      </w:r>
      <w:r w:rsidR="006E466B" w:rsidRPr="00ED63C7">
        <w:rPr>
          <w:rStyle w:val="FootnoteReference"/>
          <w:sz w:val="22"/>
          <w:szCs w:val="24"/>
          <w:vertAlign w:val="superscript"/>
        </w:rPr>
        <w:footnoteReference w:id="64"/>
      </w:r>
      <w:r w:rsidRPr="00ED63C7">
        <w:rPr>
          <w:vertAlign w:val="superscript"/>
        </w:rPr>
        <w:t xml:space="preserve"> </w:t>
      </w:r>
      <w:r w:rsidRPr="00B55EDC">
        <w:t>From 2021</w:t>
      </w:r>
      <w:r w:rsidR="00B55EDC" w:rsidRPr="00B55EDC">
        <w:t>–</w:t>
      </w:r>
      <w:r w:rsidRPr="00B55EDC">
        <w:t>22 to 2023</w:t>
      </w:r>
      <w:r w:rsidR="00B55EDC" w:rsidRPr="00B55EDC">
        <w:t>–</w:t>
      </w:r>
      <w:r w:rsidRPr="00B55EDC">
        <w:t>24 approximately 92</w:t>
      </w:r>
      <w:r w:rsidR="00B55EDC">
        <w:t> </w:t>
      </w:r>
      <w:r w:rsidRPr="00B55EDC">
        <w:t>per cent of calls were answered within 10 seconds. The average wait time was 16</w:t>
      </w:r>
      <w:r w:rsidR="00B55EDC">
        <w:t> </w:t>
      </w:r>
      <w:r w:rsidRPr="00B55EDC">
        <w:t>seconds in 2023</w:t>
      </w:r>
      <w:r w:rsidR="00B55EDC" w:rsidRPr="00B55EDC">
        <w:t>–</w:t>
      </w:r>
      <w:r w:rsidRPr="00B55EDC">
        <w:t>24</w:t>
      </w:r>
      <w:r w:rsidR="00B42EAB" w:rsidRPr="00B55EDC">
        <w:t>.</w:t>
      </w:r>
      <w:r w:rsidR="00065357">
        <w:rPr>
          <w:rFonts w:ascii="ZWAdobeF" w:hAnsi="ZWAdobeF" w:cs="ZWAdobeF"/>
          <w:color w:val="auto"/>
          <w:sz w:val="2"/>
          <w:szCs w:val="2"/>
        </w:rPr>
        <w:t>63F</w:t>
      </w:r>
      <w:r w:rsidR="0077087E" w:rsidRPr="00ED63C7">
        <w:rPr>
          <w:rStyle w:val="FootnoteReference"/>
          <w:sz w:val="22"/>
          <w:szCs w:val="24"/>
          <w:vertAlign w:val="superscript"/>
        </w:rPr>
        <w:footnoteReference w:id="65"/>
      </w:r>
      <w:r w:rsidRPr="00ED63C7">
        <w:rPr>
          <w:sz w:val="28"/>
          <w:szCs w:val="24"/>
        </w:rPr>
        <w:t> </w:t>
      </w:r>
    </w:p>
    <w:p w14:paraId="43D00A2B" w14:textId="77777777" w:rsidR="00946B4F" w:rsidRPr="00946B4F" w:rsidRDefault="00946B4F" w:rsidP="00B42EAB">
      <w:pPr>
        <w:pStyle w:val="Heading3"/>
      </w:pPr>
      <w:bookmarkStart w:id="46" w:name="_Toc199940956"/>
      <w:r w:rsidRPr="00946B4F">
        <w:rPr>
          <w:lang w:val="en-US"/>
        </w:rPr>
        <w:t>Analysis</w:t>
      </w:r>
      <w:bookmarkEnd w:id="46"/>
      <w:r w:rsidRPr="00946B4F">
        <w:t> </w:t>
      </w:r>
    </w:p>
    <w:p w14:paraId="1F22F8B4" w14:textId="5F639CDA" w:rsidR="00946B4F" w:rsidRPr="00946B4F" w:rsidRDefault="00946B4F" w:rsidP="00B55EDC">
      <w:r w:rsidRPr="00B55EDC">
        <w:rPr>
          <w:rStyle w:val="Strong"/>
        </w:rPr>
        <w:t>Overall, the management of the Contact Centre has been efficient and effective.</w:t>
      </w:r>
      <w:r w:rsidRPr="00946B4F">
        <w:rPr>
          <w:b/>
          <w:bCs/>
          <w:lang w:val="en-US"/>
        </w:rPr>
        <w:t xml:space="preserve"> </w:t>
      </w:r>
      <w:r w:rsidRPr="00946B4F">
        <w:rPr>
          <w:lang w:val="en-US"/>
        </w:rPr>
        <w:t>It has had a consistently high satisfaction rating, responds to requests efficiently and has resolved 80</w:t>
      </w:r>
      <w:r w:rsidR="00B55EDC">
        <w:rPr>
          <w:lang w:val="en-US"/>
        </w:rPr>
        <w:t> </w:t>
      </w:r>
      <w:r w:rsidRPr="00946B4F">
        <w:rPr>
          <w:lang w:val="en-US"/>
        </w:rPr>
        <w:t>per cent of the calls</w:t>
      </w:r>
      <w:r w:rsidR="00916FA5">
        <w:rPr>
          <w:lang w:val="en-US"/>
        </w:rPr>
        <w:t>.</w:t>
      </w:r>
    </w:p>
    <w:p w14:paraId="1BABC625" w14:textId="08E50AB5" w:rsidR="00946B4F" w:rsidRPr="00946B4F" w:rsidRDefault="00CA7307" w:rsidP="00B42EAB">
      <w:pPr>
        <w:pStyle w:val="Heading3"/>
        <w:rPr>
          <w:lang w:val="en-US"/>
        </w:rPr>
      </w:pPr>
      <w:bookmarkStart w:id="47" w:name="_Toc199940957"/>
      <w:r>
        <w:rPr>
          <w:lang w:val="en-US"/>
        </w:rPr>
        <w:t>Observation</w:t>
      </w:r>
      <w:bookmarkEnd w:id="47"/>
    </w:p>
    <w:tbl>
      <w:tblPr>
        <w:tblStyle w:val="BoxStyle"/>
        <w:tblW w:w="5000" w:type="pct"/>
        <w:shd w:val="clear" w:color="auto" w:fill="F4F0EC"/>
        <w:tblLook w:val="0620" w:firstRow="1" w:lastRow="0" w:firstColumn="0" w:lastColumn="0" w:noHBand="1" w:noVBand="1"/>
      </w:tblPr>
      <w:tblGrid>
        <w:gridCol w:w="9070"/>
      </w:tblGrid>
      <w:tr w:rsidR="00901C44" w14:paraId="752C4ED7" w14:textId="77777777" w:rsidTr="004C4118">
        <w:tc>
          <w:tcPr>
            <w:tcW w:w="5000" w:type="pct"/>
            <w:shd w:val="clear" w:color="auto" w:fill="F4F0EC"/>
            <w:hideMark/>
          </w:tcPr>
          <w:p w14:paraId="4AC15024" w14:textId="517D627D" w:rsidR="00901C44" w:rsidRPr="00833D5F" w:rsidRDefault="00D45219" w:rsidP="00754AD6">
            <w:pPr>
              <w:pStyle w:val="BoxText"/>
            </w:pPr>
            <w:r w:rsidRPr="00F83E53">
              <w:rPr>
                <w:rStyle w:val="Strong"/>
              </w:rPr>
              <w:t>Observation</w:t>
            </w:r>
            <w:r>
              <w:rPr>
                <w:rStyle w:val="Strong"/>
              </w:rPr>
              <w:t xml:space="preserve"> 2</w:t>
            </w:r>
            <w:r w:rsidRPr="00F83E53">
              <w:rPr>
                <w:rStyle w:val="Strong"/>
              </w:rPr>
              <w:t>:</w:t>
            </w:r>
            <w:r w:rsidRPr="00946B4F">
              <w:t> </w:t>
            </w:r>
            <w:r w:rsidRPr="00A90C56">
              <w:t>To measure the effectiveness of its services, ASBFEO could use the ‘satisfaction survey’ and service standards it currently uses in its Contact Centre.</w:t>
            </w:r>
          </w:p>
        </w:tc>
      </w:tr>
    </w:tbl>
    <w:p w14:paraId="6A590D51" w14:textId="77777777" w:rsidR="00946B4F" w:rsidRPr="00946B4F" w:rsidRDefault="00946B4F" w:rsidP="0050523A">
      <w:pPr>
        <w:pStyle w:val="Heading2"/>
      </w:pPr>
      <w:bookmarkStart w:id="48" w:name="_Toc199940958"/>
      <w:r w:rsidRPr="00946B4F">
        <w:t>ASBFEO Case Management team</w:t>
      </w:r>
      <w:bookmarkEnd w:id="48"/>
      <w:r w:rsidRPr="00946B4F">
        <w:t> </w:t>
      </w:r>
    </w:p>
    <w:p w14:paraId="7560D761" w14:textId="27D4D9A8" w:rsidR="00946B4F" w:rsidRPr="00946B4F" w:rsidRDefault="00946B4F" w:rsidP="00B55EDC">
      <w:pPr>
        <w:rPr>
          <w:b/>
          <w:bCs/>
        </w:rPr>
      </w:pPr>
      <w:r w:rsidRPr="00C753A4">
        <w:rPr>
          <w:rStyle w:val="Strong"/>
        </w:rPr>
        <w:t>From 2021–22 to 2023–24</w:t>
      </w:r>
      <w:r w:rsidRPr="00C753A4" w:rsidDel="00665AFB">
        <w:rPr>
          <w:rStyle w:val="Strong"/>
        </w:rPr>
        <w:t xml:space="preserve"> </w:t>
      </w:r>
      <w:r w:rsidRPr="00C753A4">
        <w:rPr>
          <w:rStyle w:val="Strong"/>
        </w:rPr>
        <w:t>ASBFEO received 4</w:t>
      </w:r>
      <w:r w:rsidR="00AA0A8F" w:rsidRPr="00C753A4">
        <w:rPr>
          <w:rStyle w:val="Strong"/>
        </w:rPr>
        <w:t>,</w:t>
      </w:r>
      <w:r w:rsidRPr="00C753A4">
        <w:rPr>
          <w:rStyle w:val="Strong"/>
        </w:rPr>
        <w:t xml:space="preserve">466 formal requests for assistance. </w:t>
      </w:r>
      <w:r w:rsidRPr="00417C26">
        <w:t>The number</w:t>
      </w:r>
      <w:r w:rsidRPr="00946B4F">
        <w:rPr>
          <w:lang w:val="en-US"/>
        </w:rPr>
        <w:t xml:space="preserve"> of formal requests for assistance has</w:t>
      </w:r>
      <w:r w:rsidRPr="00946B4F" w:rsidDel="00787809">
        <w:rPr>
          <w:lang w:val="en-US"/>
        </w:rPr>
        <w:t xml:space="preserve"> </w:t>
      </w:r>
      <w:r w:rsidRPr="00946B4F">
        <w:rPr>
          <w:lang w:val="en-US"/>
        </w:rPr>
        <w:t>decreas</w:t>
      </w:r>
      <w:r w:rsidR="00787809">
        <w:rPr>
          <w:lang w:val="en-US"/>
        </w:rPr>
        <w:t>ed</w:t>
      </w:r>
      <w:r w:rsidRPr="00946B4F">
        <w:rPr>
          <w:lang w:val="en-US"/>
        </w:rPr>
        <w:t>, falling by 13</w:t>
      </w:r>
      <w:r w:rsidR="00AA0A8F">
        <w:rPr>
          <w:lang w:val="en-US"/>
        </w:rPr>
        <w:t> </w:t>
      </w:r>
      <w:r w:rsidRPr="00946B4F">
        <w:rPr>
          <w:lang w:val="en-US"/>
        </w:rPr>
        <w:t>per cent from 2021</w:t>
      </w:r>
      <w:r w:rsidR="00AA0A8F" w:rsidRPr="00AA0A8F">
        <w:t>–</w:t>
      </w:r>
      <w:r w:rsidRPr="00946B4F">
        <w:rPr>
          <w:lang w:val="en-US"/>
        </w:rPr>
        <w:t>22 to 2023</w:t>
      </w:r>
      <w:r w:rsidR="00AA0A8F" w:rsidRPr="00AA0A8F">
        <w:t>–</w:t>
      </w:r>
      <w:r w:rsidRPr="00946B4F">
        <w:rPr>
          <w:lang w:val="en-US"/>
        </w:rPr>
        <w:t>24. The high number of cases in 2021–22 was due in part to COVID</w:t>
      </w:r>
      <w:r w:rsidR="003A0D5E">
        <w:rPr>
          <w:lang w:val="en-US"/>
        </w:rPr>
        <w:noBreakHyphen/>
      </w:r>
      <w:r w:rsidRPr="00946B4F">
        <w:rPr>
          <w:lang w:val="en-US"/>
        </w:rPr>
        <w:t>19</w:t>
      </w:r>
      <w:r w:rsidR="00916FA5">
        <w:rPr>
          <w:lang w:val="en-US"/>
        </w:rPr>
        <w:t xml:space="preserve">. </w:t>
      </w:r>
      <w:r w:rsidRPr="00946B4F">
        <w:rPr>
          <w:lang w:val="en-US"/>
        </w:rPr>
        <w:t xml:space="preserve">Disputes relating to payments made up 36 per cent of all disputes, followed by contract and Franchising Code </w:t>
      </w:r>
      <w:r w:rsidR="00227F27">
        <w:rPr>
          <w:lang w:val="en-US"/>
        </w:rPr>
        <w:t xml:space="preserve">of Conduct </w:t>
      </w:r>
      <w:r w:rsidRPr="00946B4F">
        <w:rPr>
          <w:lang w:val="en-US"/>
        </w:rPr>
        <w:t xml:space="preserve">disputes, as shown </w:t>
      </w:r>
      <w:r w:rsidR="00787809">
        <w:rPr>
          <w:lang w:val="en-US"/>
        </w:rPr>
        <w:t>i</w:t>
      </w:r>
      <w:r w:rsidRPr="00946B4F">
        <w:rPr>
          <w:lang w:val="en-US"/>
        </w:rPr>
        <w:t xml:space="preserve">n Table </w:t>
      </w:r>
      <w:r w:rsidR="00787809">
        <w:rPr>
          <w:lang w:val="en-US"/>
        </w:rPr>
        <w:t>4.1</w:t>
      </w:r>
      <w:r w:rsidRPr="00946B4F">
        <w:rPr>
          <w:lang w:val="en-US"/>
        </w:rPr>
        <w:t xml:space="preserve">. </w:t>
      </w:r>
    </w:p>
    <w:p w14:paraId="1F33A737" w14:textId="0D98BDF1" w:rsidR="00946B4F" w:rsidRPr="004D1FDF" w:rsidRDefault="00B107C8" w:rsidP="00D84409">
      <w:pPr>
        <w:pStyle w:val="TableMainHeading"/>
        <w:rPr>
          <w:lang w:val="en-US"/>
        </w:rPr>
      </w:pPr>
      <w:r w:rsidRPr="000F6889">
        <w:rPr>
          <w:lang w:val="en-US"/>
        </w:rPr>
        <w:t>Table 4.1</w:t>
      </w:r>
      <w:r w:rsidR="004851D1">
        <w:rPr>
          <w:lang w:val="en-US"/>
        </w:rPr>
        <w:t>:</w:t>
      </w:r>
      <w:r w:rsidRPr="000F6889">
        <w:rPr>
          <w:lang w:val="en-US"/>
        </w:rPr>
        <w:t xml:space="preserve"> New cases where ASBFEO provided one</w:t>
      </w:r>
      <w:r w:rsidR="000C641B">
        <w:rPr>
          <w:lang w:val="en-US"/>
        </w:rPr>
        <w:t>-</w:t>
      </w:r>
      <w:r w:rsidRPr="000F6889">
        <w:rPr>
          <w:lang w:val="en-US"/>
        </w:rPr>
        <w:t>to</w:t>
      </w:r>
      <w:r w:rsidR="000C641B">
        <w:rPr>
          <w:lang w:val="en-US"/>
        </w:rPr>
        <w:t>-</w:t>
      </w:r>
      <w:r w:rsidRPr="000F6889">
        <w:rPr>
          <w:lang w:val="en-US"/>
        </w:rPr>
        <w:t>one assistance, by type of dispute</w:t>
      </w:r>
    </w:p>
    <w:tbl>
      <w:tblPr>
        <w:tblStyle w:val="Style1"/>
        <w:tblW w:w="9070" w:type="dxa"/>
        <w:tblCellMar>
          <w:top w:w="28" w:type="dxa"/>
          <w:bottom w:w="28" w:type="dxa"/>
        </w:tblCellMar>
        <w:tblLook w:val="04E0" w:firstRow="1" w:lastRow="1" w:firstColumn="1" w:lastColumn="0" w:noHBand="0" w:noVBand="1"/>
      </w:tblPr>
      <w:tblGrid>
        <w:gridCol w:w="3490"/>
        <w:gridCol w:w="1133"/>
        <w:gridCol w:w="1133"/>
        <w:gridCol w:w="1133"/>
        <w:gridCol w:w="2181"/>
      </w:tblGrid>
      <w:tr w:rsidR="00946B4F" w:rsidRPr="00946B4F" w14:paraId="7FFABE15" w14:textId="77777777" w:rsidTr="0055793B">
        <w:trPr>
          <w:cnfStyle w:val="100000000000" w:firstRow="1" w:lastRow="0" w:firstColumn="0" w:lastColumn="0" w:oddVBand="0" w:evenVBand="0" w:oddHBand="0" w:evenHBand="0" w:firstRowFirstColumn="0" w:firstRowLastColumn="0" w:lastRowFirstColumn="0" w:lastRowLastColumn="0"/>
          <w:trHeight w:val="300"/>
        </w:trPr>
        <w:tc>
          <w:tcPr>
            <w:tcW w:w="3490" w:type="dxa"/>
            <w:hideMark/>
          </w:tcPr>
          <w:p w14:paraId="19D25150" w14:textId="7CB92B57" w:rsidR="00946B4F" w:rsidRPr="004D1FDF" w:rsidRDefault="00946B4F" w:rsidP="00C753A4">
            <w:pPr>
              <w:pStyle w:val="TableColumnHeadingLeft"/>
            </w:pPr>
            <w:r w:rsidRPr="004D1FDF">
              <w:rPr>
                <w:lang w:val="en-US"/>
              </w:rPr>
              <w:t>New cases</w:t>
            </w:r>
          </w:p>
        </w:tc>
        <w:tc>
          <w:tcPr>
            <w:tcW w:w="1133" w:type="dxa"/>
            <w:hideMark/>
          </w:tcPr>
          <w:p w14:paraId="3486269B" w14:textId="61A43590" w:rsidR="00946B4F" w:rsidRPr="004D1FDF" w:rsidRDefault="00946B4F" w:rsidP="006947C2">
            <w:pPr>
              <w:pStyle w:val="TableColumnHeadingRight"/>
            </w:pPr>
            <w:r w:rsidRPr="004D1FDF">
              <w:rPr>
                <w:lang w:val="en-US"/>
              </w:rPr>
              <w:t>2021</w:t>
            </w:r>
            <w:r w:rsidR="00D05414" w:rsidRPr="004D1FDF">
              <w:t>–</w:t>
            </w:r>
            <w:r w:rsidRPr="004D1FDF">
              <w:rPr>
                <w:lang w:val="en-US"/>
              </w:rPr>
              <w:t>22</w:t>
            </w:r>
          </w:p>
        </w:tc>
        <w:tc>
          <w:tcPr>
            <w:tcW w:w="1133" w:type="dxa"/>
            <w:hideMark/>
          </w:tcPr>
          <w:p w14:paraId="1983D929" w14:textId="55839C68" w:rsidR="00946B4F" w:rsidRPr="004D1FDF" w:rsidRDefault="00946B4F" w:rsidP="006947C2">
            <w:pPr>
              <w:pStyle w:val="TableColumnHeadingRight"/>
            </w:pPr>
            <w:r w:rsidRPr="004D1FDF">
              <w:rPr>
                <w:lang w:val="en-US"/>
              </w:rPr>
              <w:t> 2022</w:t>
            </w:r>
            <w:r w:rsidR="00D05414" w:rsidRPr="004D1FDF">
              <w:t>–</w:t>
            </w:r>
            <w:r w:rsidRPr="004D1FDF">
              <w:rPr>
                <w:lang w:val="en-US"/>
              </w:rPr>
              <w:t>23</w:t>
            </w:r>
          </w:p>
        </w:tc>
        <w:tc>
          <w:tcPr>
            <w:tcW w:w="1133" w:type="dxa"/>
            <w:hideMark/>
          </w:tcPr>
          <w:p w14:paraId="722EACFE" w14:textId="07C3D414" w:rsidR="00946B4F" w:rsidRPr="004D1FDF" w:rsidRDefault="00946B4F" w:rsidP="006947C2">
            <w:pPr>
              <w:pStyle w:val="TableColumnHeadingRight"/>
            </w:pPr>
            <w:r w:rsidRPr="004D1FDF">
              <w:rPr>
                <w:lang w:val="en-US"/>
              </w:rPr>
              <w:t> 2023</w:t>
            </w:r>
            <w:r w:rsidR="00D05414" w:rsidRPr="004D1FDF">
              <w:t>–</w:t>
            </w:r>
            <w:r w:rsidRPr="004D1FDF">
              <w:rPr>
                <w:lang w:val="en-US"/>
              </w:rPr>
              <w:t>24</w:t>
            </w:r>
          </w:p>
        </w:tc>
        <w:tc>
          <w:tcPr>
            <w:tcW w:w="2181" w:type="dxa"/>
            <w:hideMark/>
          </w:tcPr>
          <w:p w14:paraId="03AF87D6" w14:textId="548B8E2F" w:rsidR="00946B4F" w:rsidRPr="004D1FDF" w:rsidRDefault="00946B4F" w:rsidP="006947C2">
            <w:pPr>
              <w:pStyle w:val="TableColumnHeadingRight"/>
            </w:pPr>
            <w:r w:rsidRPr="004D1FDF">
              <w:rPr>
                <w:lang w:val="en-US"/>
              </w:rPr>
              <w:t>3</w:t>
            </w:r>
            <w:r w:rsidR="003A0D5E">
              <w:rPr>
                <w:lang w:val="en-US"/>
              </w:rPr>
              <w:noBreakHyphen/>
            </w:r>
            <w:r w:rsidRPr="004D1FDF">
              <w:rPr>
                <w:lang w:val="en-US"/>
              </w:rPr>
              <w:t>year total</w:t>
            </w:r>
          </w:p>
        </w:tc>
      </w:tr>
      <w:tr w:rsidR="00946B4F" w:rsidRPr="00946B4F" w14:paraId="67F93855" w14:textId="77777777" w:rsidTr="0055793B">
        <w:trPr>
          <w:trHeight w:val="300"/>
        </w:trPr>
        <w:tc>
          <w:tcPr>
            <w:tcW w:w="3490" w:type="dxa"/>
            <w:hideMark/>
          </w:tcPr>
          <w:p w14:paraId="515B2550" w14:textId="682F0863" w:rsidR="00946B4F" w:rsidRPr="00946B4F" w:rsidRDefault="00946B4F" w:rsidP="00E339C3">
            <w:pPr>
              <w:pStyle w:val="TableTextLeft"/>
            </w:pPr>
            <w:r w:rsidRPr="005271F0">
              <w:t>Payment </w:t>
            </w:r>
          </w:p>
        </w:tc>
        <w:tc>
          <w:tcPr>
            <w:tcW w:w="1133" w:type="dxa"/>
            <w:hideMark/>
          </w:tcPr>
          <w:p w14:paraId="30B3474E" w14:textId="0D8B68F6" w:rsidR="00946B4F" w:rsidRPr="00946B4F" w:rsidRDefault="00946B4F" w:rsidP="006947C2">
            <w:pPr>
              <w:pStyle w:val="TableTextRight"/>
            </w:pPr>
            <w:r w:rsidRPr="005271F0">
              <w:t>499</w:t>
            </w:r>
          </w:p>
        </w:tc>
        <w:tc>
          <w:tcPr>
            <w:tcW w:w="1133" w:type="dxa"/>
            <w:hideMark/>
          </w:tcPr>
          <w:p w14:paraId="68C33B9F" w14:textId="29198A6B" w:rsidR="00946B4F" w:rsidRPr="00946B4F" w:rsidRDefault="00946B4F" w:rsidP="006947C2">
            <w:pPr>
              <w:pStyle w:val="TableTextRight"/>
            </w:pPr>
            <w:r w:rsidRPr="005271F0">
              <w:t>519</w:t>
            </w:r>
          </w:p>
        </w:tc>
        <w:tc>
          <w:tcPr>
            <w:tcW w:w="1133" w:type="dxa"/>
            <w:hideMark/>
          </w:tcPr>
          <w:p w14:paraId="24D33D1F" w14:textId="148BDA65" w:rsidR="00946B4F" w:rsidRPr="00946B4F" w:rsidRDefault="00946B4F" w:rsidP="006947C2">
            <w:pPr>
              <w:pStyle w:val="TableTextRight"/>
            </w:pPr>
            <w:r w:rsidRPr="005271F0">
              <w:t>588</w:t>
            </w:r>
          </w:p>
        </w:tc>
        <w:tc>
          <w:tcPr>
            <w:tcW w:w="2181" w:type="dxa"/>
            <w:hideMark/>
          </w:tcPr>
          <w:p w14:paraId="56DC997D" w14:textId="5C036F87" w:rsidR="00946B4F" w:rsidRPr="00946B4F" w:rsidRDefault="00946B4F" w:rsidP="006947C2">
            <w:pPr>
              <w:pStyle w:val="TableTextRight"/>
            </w:pPr>
            <w:r w:rsidRPr="005271F0">
              <w:t>1,606</w:t>
            </w:r>
          </w:p>
        </w:tc>
      </w:tr>
      <w:tr w:rsidR="00946B4F" w:rsidRPr="00946B4F" w14:paraId="1BF94589" w14:textId="77777777" w:rsidTr="0055793B">
        <w:trPr>
          <w:cnfStyle w:val="000000010000" w:firstRow="0" w:lastRow="0" w:firstColumn="0" w:lastColumn="0" w:oddVBand="0" w:evenVBand="0" w:oddHBand="0" w:evenHBand="1" w:firstRowFirstColumn="0" w:firstRowLastColumn="0" w:lastRowFirstColumn="0" w:lastRowLastColumn="0"/>
          <w:trHeight w:val="300"/>
        </w:trPr>
        <w:tc>
          <w:tcPr>
            <w:tcW w:w="3490" w:type="dxa"/>
            <w:hideMark/>
          </w:tcPr>
          <w:p w14:paraId="5EF3129B" w14:textId="0DC0915C" w:rsidR="00946B4F" w:rsidRPr="00946B4F" w:rsidRDefault="00946B4F" w:rsidP="00E339C3">
            <w:pPr>
              <w:pStyle w:val="TableTextLeft"/>
            </w:pPr>
            <w:r w:rsidRPr="005271F0">
              <w:t>Contract </w:t>
            </w:r>
          </w:p>
        </w:tc>
        <w:tc>
          <w:tcPr>
            <w:tcW w:w="1133" w:type="dxa"/>
            <w:hideMark/>
          </w:tcPr>
          <w:p w14:paraId="2E1DBC92" w14:textId="72A8C016" w:rsidR="00946B4F" w:rsidRPr="00946B4F" w:rsidRDefault="00946B4F" w:rsidP="006947C2">
            <w:pPr>
              <w:pStyle w:val="TableTextRight"/>
            </w:pPr>
            <w:r w:rsidRPr="005271F0">
              <w:t>313</w:t>
            </w:r>
          </w:p>
        </w:tc>
        <w:tc>
          <w:tcPr>
            <w:tcW w:w="1133" w:type="dxa"/>
            <w:hideMark/>
          </w:tcPr>
          <w:p w14:paraId="45D7F4F8" w14:textId="0A79DFF7" w:rsidR="00946B4F" w:rsidRPr="00946B4F" w:rsidRDefault="00946B4F" w:rsidP="006947C2">
            <w:pPr>
              <w:pStyle w:val="TableTextRight"/>
            </w:pPr>
            <w:r w:rsidRPr="005271F0">
              <w:t>357</w:t>
            </w:r>
          </w:p>
        </w:tc>
        <w:tc>
          <w:tcPr>
            <w:tcW w:w="1133" w:type="dxa"/>
            <w:hideMark/>
          </w:tcPr>
          <w:p w14:paraId="08DDB653" w14:textId="60508307" w:rsidR="00946B4F" w:rsidRPr="00946B4F" w:rsidRDefault="00946B4F" w:rsidP="006947C2">
            <w:pPr>
              <w:pStyle w:val="TableTextRight"/>
            </w:pPr>
            <w:r w:rsidRPr="005271F0">
              <w:t>274</w:t>
            </w:r>
          </w:p>
        </w:tc>
        <w:tc>
          <w:tcPr>
            <w:tcW w:w="2181" w:type="dxa"/>
            <w:hideMark/>
          </w:tcPr>
          <w:p w14:paraId="3CA834AB" w14:textId="5344BD19" w:rsidR="00946B4F" w:rsidRPr="00946B4F" w:rsidRDefault="00946B4F" w:rsidP="006947C2">
            <w:pPr>
              <w:pStyle w:val="TableTextRight"/>
            </w:pPr>
            <w:r w:rsidRPr="005271F0">
              <w:t>944</w:t>
            </w:r>
          </w:p>
        </w:tc>
      </w:tr>
      <w:tr w:rsidR="00946B4F" w:rsidRPr="00946B4F" w14:paraId="1FE942CA" w14:textId="77777777" w:rsidTr="0055793B">
        <w:trPr>
          <w:trHeight w:val="300"/>
        </w:trPr>
        <w:tc>
          <w:tcPr>
            <w:tcW w:w="3490" w:type="dxa"/>
            <w:hideMark/>
          </w:tcPr>
          <w:p w14:paraId="44ED6233" w14:textId="6CD73082" w:rsidR="00946B4F" w:rsidRPr="00946B4F" w:rsidRDefault="00946B4F" w:rsidP="00E339C3">
            <w:pPr>
              <w:pStyle w:val="TableTextLeft"/>
            </w:pPr>
            <w:r w:rsidRPr="005271F0">
              <w:t>Franchise Code </w:t>
            </w:r>
          </w:p>
        </w:tc>
        <w:tc>
          <w:tcPr>
            <w:tcW w:w="1133" w:type="dxa"/>
            <w:hideMark/>
          </w:tcPr>
          <w:p w14:paraId="61DD18AA" w14:textId="20D7C81A" w:rsidR="00946B4F" w:rsidRPr="00946B4F" w:rsidRDefault="00946B4F" w:rsidP="006947C2">
            <w:pPr>
              <w:pStyle w:val="TableTextRight"/>
            </w:pPr>
            <w:r w:rsidRPr="005271F0">
              <w:t>222</w:t>
            </w:r>
          </w:p>
        </w:tc>
        <w:tc>
          <w:tcPr>
            <w:tcW w:w="1133" w:type="dxa"/>
            <w:hideMark/>
          </w:tcPr>
          <w:p w14:paraId="7A081F4D" w14:textId="2CA7E346" w:rsidR="00946B4F" w:rsidRPr="00946B4F" w:rsidRDefault="00946B4F" w:rsidP="006947C2">
            <w:pPr>
              <w:pStyle w:val="TableTextRight"/>
            </w:pPr>
            <w:r w:rsidRPr="005271F0">
              <w:t>154</w:t>
            </w:r>
          </w:p>
        </w:tc>
        <w:tc>
          <w:tcPr>
            <w:tcW w:w="1133" w:type="dxa"/>
            <w:hideMark/>
          </w:tcPr>
          <w:p w14:paraId="24A5BC3E" w14:textId="0E5141AC" w:rsidR="00946B4F" w:rsidRPr="00946B4F" w:rsidRDefault="00946B4F" w:rsidP="006947C2">
            <w:pPr>
              <w:pStyle w:val="TableTextRight"/>
            </w:pPr>
            <w:r w:rsidRPr="005271F0">
              <w:t>124</w:t>
            </w:r>
          </w:p>
        </w:tc>
        <w:tc>
          <w:tcPr>
            <w:tcW w:w="2181" w:type="dxa"/>
            <w:hideMark/>
          </w:tcPr>
          <w:p w14:paraId="05336653" w14:textId="73FB9442" w:rsidR="00946B4F" w:rsidRPr="00946B4F" w:rsidRDefault="00946B4F" w:rsidP="006947C2">
            <w:pPr>
              <w:pStyle w:val="TableTextRight"/>
            </w:pPr>
            <w:r w:rsidRPr="005271F0">
              <w:t>500</w:t>
            </w:r>
          </w:p>
        </w:tc>
      </w:tr>
      <w:tr w:rsidR="00946B4F" w:rsidRPr="00946B4F" w14:paraId="70209456" w14:textId="77777777" w:rsidTr="0055793B">
        <w:trPr>
          <w:cnfStyle w:val="000000010000" w:firstRow="0" w:lastRow="0" w:firstColumn="0" w:lastColumn="0" w:oddVBand="0" w:evenVBand="0" w:oddHBand="0" w:evenHBand="1" w:firstRowFirstColumn="0" w:firstRowLastColumn="0" w:lastRowFirstColumn="0" w:lastRowLastColumn="0"/>
          <w:trHeight w:val="300"/>
        </w:trPr>
        <w:tc>
          <w:tcPr>
            <w:tcW w:w="3490" w:type="dxa"/>
            <w:hideMark/>
          </w:tcPr>
          <w:p w14:paraId="52B4018B" w14:textId="087748F4" w:rsidR="00946B4F" w:rsidRPr="00946B4F" w:rsidRDefault="00946B4F" w:rsidP="00E339C3">
            <w:pPr>
              <w:pStyle w:val="TableTextLeft"/>
            </w:pPr>
            <w:r w:rsidRPr="005271F0">
              <w:t>Financial Service/Insurance </w:t>
            </w:r>
          </w:p>
        </w:tc>
        <w:tc>
          <w:tcPr>
            <w:tcW w:w="1133" w:type="dxa"/>
            <w:hideMark/>
          </w:tcPr>
          <w:p w14:paraId="5EAC1A3F" w14:textId="4A8474D1" w:rsidR="00946B4F" w:rsidRPr="00946B4F" w:rsidRDefault="00946B4F" w:rsidP="006947C2">
            <w:pPr>
              <w:pStyle w:val="TableTextRight"/>
            </w:pPr>
            <w:r w:rsidRPr="005271F0">
              <w:t>50</w:t>
            </w:r>
          </w:p>
        </w:tc>
        <w:tc>
          <w:tcPr>
            <w:tcW w:w="1133" w:type="dxa"/>
            <w:hideMark/>
          </w:tcPr>
          <w:p w14:paraId="0B77BA2F" w14:textId="5F1779D9" w:rsidR="00946B4F" w:rsidRPr="00946B4F" w:rsidRDefault="00946B4F" w:rsidP="006947C2">
            <w:pPr>
              <w:pStyle w:val="TableTextRight"/>
            </w:pPr>
            <w:r w:rsidRPr="005271F0">
              <w:t>21</w:t>
            </w:r>
          </w:p>
        </w:tc>
        <w:tc>
          <w:tcPr>
            <w:tcW w:w="1133" w:type="dxa"/>
            <w:hideMark/>
          </w:tcPr>
          <w:p w14:paraId="0B2E41A5" w14:textId="38E62B60" w:rsidR="00946B4F" w:rsidRPr="00946B4F" w:rsidRDefault="00946B4F" w:rsidP="006947C2">
            <w:pPr>
              <w:pStyle w:val="TableTextRight"/>
            </w:pPr>
            <w:r w:rsidRPr="005271F0">
              <w:t>19</w:t>
            </w:r>
          </w:p>
        </w:tc>
        <w:tc>
          <w:tcPr>
            <w:tcW w:w="2181" w:type="dxa"/>
            <w:hideMark/>
          </w:tcPr>
          <w:p w14:paraId="0898FCA2" w14:textId="480E1495" w:rsidR="00946B4F" w:rsidRPr="00946B4F" w:rsidRDefault="00946B4F" w:rsidP="006947C2">
            <w:pPr>
              <w:pStyle w:val="TableTextRight"/>
            </w:pPr>
            <w:r w:rsidRPr="005271F0">
              <w:t>90</w:t>
            </w:r>
          </w:p>
        </w:tc>
      </w:tr>
      <w:tr w:rsidR="00946B4F" w:rsidRPr="00946B4F" w14:paraId="34947A93" w14:textId="77777777" w:rsidTr="0055793B">
        <w:trPr>
          <w:trHeight w:val="300"/>
        </w:trPr>
        <w:tc>
          <w:tcPr>
            <w:tcW w:w="3490" w:type="dxa"/>
            <w:hideMark/>
          </w:tcPr>
          <w:p w14:paraId="2CE79E01" w14:textId="5CF4FF70" w:rsidR="00946B4F" w:rsidRPr="00946B4F" w:rsidRDefault="00946B4F" w:rsidP="00E339C3">
            <w:pPr>
              <w:pStyle w:val="TableTextLeft"/>
            </w:pPr>
            <w:r w:rsidRPr="005271F0">
              <w:t>Consumer Law Issue </w:t>
            </w:r>
          </w:p>
        </w:tc>
        <w:tc>
          <w:tcPr>
            <w:tcW w:w="1133" w:type="dxa"/>
            <w:hideMark/>
          </w:tcPr>
          <w:p w14:paraId="4CA56275" w14:textId="1017A958" w:rsidR="00946B4F" w:rsidRPr="00946B4F" w:rsidRDefault="00946B4F" w:rsidP="006947C2">
            <w:pPr>
              <w:pStyle w:val="TableTextRight"/>
            </w:pPr>
            <w:r w:rsidRPr="005271F0">
              <w:t>42</w:t>
            </w:r>
          </w:p>
        </w:tc>
        <w:tc>
          <w:tcPr>
            <w:tcW w:w="1133" w:type="dxa"/>
            <w:hideMark/>
          </w:tcPr>
          <w:p w14:paraId="7FBEF106" w14:textId="1BFA367B" w:rsidR="00946B4F" w:rsidRPr="00946B4F" w:rsidRDefault="00946B4F" w:rsidP="006947C2">
            <w:pPr>
              <w:pStyle w:val="TableTextRight"/>
            </w:pPr>
            <w:r w:rsidRPr="005271F0">
              <w:t>33</w:t>
            </w:r>
          </w:p>
        </w:tc>
        <w:tc>
          <w:tcPr>
            <w:tcW w:w="1133" w:type="dxa"/>
            <w:hideMark/>
          </w:tcPr>
          <w:p w14:paraId="5B31812B" w14:textId="07594393" w:rsidR="00946B4F" w:rsidRPr="00946B4F" w:rsidRDefault="00946B4F" w:rsidP="006947C2">
            <w:pPr>
              <w:pStyle w:val="TableTextRight"/>
            </w:pPr>
            <w:r w:rsidRPr="005271F0">
              <w:t>9</w:t>
            </w:r>
          </w:p>
        </w:tc>
        <w:tc>
          <w:tcPr>
            <w:tcW w:w="2181" w:type="dxa"/>
            <w:hideMark/>
          </w:tcPr>
          <w:p w14:paraId="1535308E" w14:textId="23FD9415" w:rsidR="00946B4F" w:rsidRPr="00946B4F" w:rsidRDefault="00946B4F" w:rsidP="006947C2">
            <w:pPr>
              <w:pStyle w:val="TableTextRight"/>
            </w:pPr>
            <w:r w:rsidRPr="005271F0">
              <w:t>84</w:t>
            </w:r>
          </w:p>
        </w:tc>
      </w:tr>
      <w:tr w:rsidR="00946B4F" w:rsidRPr="00946B4F" w14:paraId="4A6B9C86" w14:textId="77777777" w:rsidTr="0055793B">
        <w:trPr>
          <w:cnfStyle w:val="000000010000" w:firstRow="0" w:lastRow="0" w:firstColumn="0" w:lastColumn="0" w:oddVBand="0" w:evenVBand="0" w:oddHBand="0" w:evenHBand="1" w:firstRowFirstColumn="0" w:firstRowLastColumn="0" w:lastRowFirstColumn="0" w:lastRowLastColumn="0"/>
          <w:trHeight w:val="300"/>
        </w:trPr>
        <w:tc>
          <w:tcPr>
            <w:tcW w:w="3490" w:type="dxa"/>
            <w:hideMark/>
          </w:tcPr>
          <w:p w14:paraId="3F2F1BB7" w14:textId="274EF58F" w:rsidR="00946B4F" w:rsidRPr="00946B4F" w:rsidRDefault="00946B4F" w:rsidP="00E339C3">
            <w:pPr>
              <w:pStyle w:val="TableTextLeft"/>
            </w:pPr>
            <w:r w:rsidRPr="005271F0">
              <w:t>Commonwealth Government </w:t>
            </w:r>
          </w:p>
        </w:tc>
        <w:tc>
          <w:tcPr>
            <w:tcW w:w="1133" w:type="dxa"/>
            <w:hideMark/>
          </w:tcPr>
          <w:p w14:paraId="0D470BCF" w14:textId="5EC4BFA1" w:rsidR="00946B4F" w:rsidRPr="00946B4F" w:rsidRDefault="00946B4F" w:rsidP="006947C2">
            <w:pPr>
              <w:pStyle w:val="TableTextRight"/>
            </w:pPr>
            <w:r w:rsidRPr="005271F0">
              <w:t>31</w:t>
            </w:r>
          </w:p>
        </w:tc>
        <w:tc>
          <w:tcPr>
            <w:tcW w:w="1133" w:type="dxa"/>
            <w:hideMark/>
          </w:tcPr>
          <w:p w14:paraId="799CACE2" w14:textId="4A18808A" w:rsidR="00946B4F" w:rsidRPr="00946B4F" w:rsidRDefault="00946B4F" w:rsidP="006947C2">
            <w:pPr>
              <w:pStyle w:val="TableTextRight"/>
            </w:pPr>
            <w:r w:rsidRPr="005271F0">
              <w:t>20</w:t>
            </w:r>
          </w:p>
        </w:tc>
        <w:tc>
          <w:tcPr>
            <w:tcW w:w="1133" w:type="dxa"/>
            <w:hideMark/>
          </w:tcPr>
          <w:p w14:paraId="0AA14C25" w14:textId="213023A6" w:rsidR="00946B4F" w:rsidRPr="00946B4F" w:rsidRDefault="00946B4F" w:rsidP="006947C2">
            <w:pPr>
              <w:pStyle w:val="TableTextRight"/>
            </w:pPr>
            <w:r w:rsidRPr="005271F0">
              <w:t>20</w:t>
            </w:r>
          </w:p>
        </w:tc>
        <w:tc>
          <w:tcPr>
            <w:tcW w:w="2181" w:type="dxa"/>
            <w:hideMark/>
          </w:tcPr>
          <w:p w14:paraId="68F2EC99" w14:textId="377B2399" w:rsidR="00946B4F" w:rsidRPr="00946B4F" w:rsidRDefault="00946B4F" w:rsidP="006947C2">
            <w:pPr>
              <w:pStyle w:val="TableTextRight"/>
            </w:pPr>
            <w:r w:rsidRPr="005271F0">
              <w:t>71</w:t>
            </w:r>
          </w:p>
        </w:tc>
      </w:tr>
      <w:tr w:rsidR="00946B4F" w:rsidRPr="00946B4F" w14:paraId="3263D147" w14:textId="77777777" w:rsidTr="0055793B">
        <w:trPr>
          <w:trHeight w:val="300"/>
        </w:trPr>
        <w:tc>
          <w:tcPr>
            <w:tcW w:w="3490" w:type="dxa"/>
            <w:hideMark/>
          </w:tcPr>
          <w:p w14:paraId="1D608C96" w14:textId="6E293288" w:rsidR="00946B4F" w:rsidRPr="00946B4F" w:rsidRDefault="00946B4F" w:rsidP="00E339C3">
            <w:pPr>
              <w:pStyle w:val="TableTextLeft"/>
            </w:pPr>
            <w:r w:rsidRPr="005271F0">
              <w:t>Lease</w:t>
            </w:r>
          </w:p>
        </w:tc>
        <w:tc>
          <w:tcPr>
            <w:tcW w:w="1133" w:type="dxa"/>
            <w:hideMark/>
          </w:tcPr>
          <w:p w14:paraId="1BFE0A0C" w14:textId="757652CC" w:rsidR="00946B4F" w:rsidRPr="00946B4F" w:rsidRDefault="00946B4F" w:rsidP="006947C2">
            <w:pPr>
              <w:pStyle w:val="TableTextRight"/>
            </w:pPr>
            <w:r w:rsidRPr="005271F0">
              <w:t>32</w:t>
            </w:r>
          </w:p>
        </w:tc>
        <w:tc>
          <w:tcPr>
            <w:tcW w:w="1133" w:type="dxa"/>
            <w:hideMark/>
          </w:tcPr>
          <w:p w14:paraId="7BD420A2" w14:textId="040F897C" w:rsidR="00946B4F" w:rsidRPr="00946B4F" w:rsidRDefault="00946B4F" w:rsidP="006947C2">
            <w:pPr>
              <w:pStyle w:val="TableTextRight"/>
            </w:pPr>
            <w:r w:rsidRPr="005271F0">
              <w:t>25</w:t>
            </w:r>
          </w:p>
        </w:tc>
        <w:tc>
          <w:tcPr>
            <w:tcW w:w="1133" w:type="dxa"/>
            <w:hideMark/>
          </w:tcPr>
          <w:p w14:paraId="13F4E27C" w14:textId="61539309" w:rsidR="00946B4F" w:rsidRPr="00946B4F" w:rsidRDefault="00946B4F" w:rsidP="006947C2">
            <w:pPr>
              <w:pStyle w:val="TableTextRight"/>
            </w:pPr>
            <w:r w:rsidRPr="005271F0">
              <w:t>11</w:t>
            </w:r>
          </w:p>
        </w:tc>
        <w:tc>
          <w:tcPr>
            <w:tcW w:w="2181" w:type="dxa"/>
            <w:hideMark/>
          </w:tcPr>
          <w:p w14:paraId="34A17DCC" w14:textId="61024C74" w:rsidR="00946B4F" w:rsidRPr="00946B4F" w:rsidRDefault="00946B4F" w:rsidP="006947C2">
            <w:pPr>
              <w:pStyle w:val="TableTextRight"/>
            </w:pPr>
            <w:r w:rsidRPr="005271F0">
              <w:t>68</w:t>
            </w:r>
          </w:p>
        </w:tc>
      </w:tr>
      <w:tr w:rsidR="00946B4F" w:rsidRPr="00946B4F" w14:paraId="6BDE7C68" w14:textId="77777777" w:rsidTr="0055793B">
        <w:trPr>
          <w:cnfStyle w:val="000000010000" w:firstRow="0" w:lastRow="0" w:firstColumn="0" w:lastColumn="0" w:oddVBand="0" w:evenVBand="0" w:oddHBand="0" w:evenHBand="1" w:firstRowFirstColumn="0" w:firstRowLastColumn="0" w:lastRowFirstColumn="0" w:lastRowLastColumn="0"/>
          <w:trHeight w:val="300"/>
        </w:trPr>
        <w:tc>
          <w:tcPr>
            <w:tcW w:w="3490" w:type="dxa"/>
            <w:hideMark/>
          </w:tcPr>
          <w:p w14:paraId="3A606649" w14:textId="6016A896" w:rsidR="00946B4F" w:rsidRPr="00946B4F" w:rsidRDefault="00946B4F" w:rsidP="00E339C3">
            <w:pPr>
              <w:pStyle w:val="TableTextLeft"/>
            </w:pPr>
            <w:r w:rsidRPr="005271F0">
              <w:t>State Government </w:t>
            </w:r>
          </w:p>
        </w:tc>
        <w:tc>
          <w:tcPr>
            <w:tcW w:w="1133" w:type="dxa"/>
            <w:hideMark/>
          </w:tcPr>
          <w:p w14:paraId="1F40E207" w14:textId="042045B5" w:rsidR="00946B4F" w:rsidRPr="00946B4F" w:rsidRDefault="00946B4F" w:rsidP="006947C2">
            <w:pPr>
              <w:pStyle w:val="TableTextRight"/>
            </w:pPr>
            <w:r w:rsidRPr="005271F0">
              <w:t>37</w:t>
            </w:r>
          </w:p>
        </w:tc>
        <w:tc>
          <w:tcPr>
            <w:tcW w:w="1133" w:type="dxa"/>
            <w:hideMark/>
          </w:tcPr>
          <w:p w14:paraId="172BE26A" w14:textId="110FBE2D" w:rsidR="00946B4F" w:rsidRPr="00946B4F" w:rsidRDefault="00946B4F" w:rsidP="006947C2">
            <w:pPr>
              <w:pStyle w:val="TableTextRight"/>
            </w:pPr>
            <w:r w:rsidRPr="005271F0">
              <w:t>3</w:t>
            </w:r>
          </w:p>
        </w:tc>
        <w:tc>
          <w:tcPr>
            <w:tcW w:w="1133" w:type="dxa"/>
            <w:hideMark/>
          </w:tcPr>
          <w:p w14:paraId="0999B502" w14:textId="085EF452" w:rsidR="00946B4F" w:rsidRPr="00946B4F" w:rsidRDefault="00946B4F" w:rsidP="006947C2">
            <w:pPr>
              <w:pStyle w:val="TableTextRight"/>
            </w:pPr>
            <w:r w:rsidRPr="005271F0">
              <w:t>11</w:t>
            </w:r>
          </w:p>
        </w:tc>
        <w:tc>
          <w:tcPr>
            <w:tcW w:w="2181" w:type="dxa"/>
            <w:hideMark/>
          </w:tcPr>
          <w:p w14:paraId="68C1BF8D" w14:textId="51465FB1" w:rsidR="00946B4F" w:rsidRPr="00946B4F" w:rsidRDefault="00946B4F" w:rsidP="006947C2">
            <w:pPr>
              <w:pStyle w:val="TableTextRight"/>
            </w:pPr>
            <w:r w:rsidRPr="005271F0">
              <w:t>51</w:t>
            </w:r>
          </w:p>
        </w:tc>
      </w:tr>
      <w:tr w:rsidR="00DB0668" w:rsidRPr="00946B4F" w14:paraId="2B2D9671" w14:textId="77777777" w:rsidTr="00331540">
        <w:trPr>
          <w:trHeight w:val="300"/>
        </w:trPr>
        <w:tc>
          <w:tcPr>
            <w:tcW w:w="3490" w:type="dxa"/>
            <w:tcBorders>
              <w:bottom w:val="single" w:sz="4" w:space="0" w:color="auto"/>
            </w:tcBorders>
          </w:tcPr>
          <w:p w14:paraId="0EBC74AF" w14:textId="27DA1F16" w:rsidR="00DB0668" w:rsidRPr="005271F0" w:rsidRDefault="00DB0668" w:rsidP="00DB0668">
            <w:pPr>
              <w:pStyle w:val="TableTextLeft"/>
            </w:pPr>
            <w:r w:rsidRPr="005271F0">
              <w:t>Postal Dispute</w:t>
            </w:r>
          </w:p>
        </w:tc>
        <w:tc>
          <w:tcPr>
            <w:tcW w:w="1133" w:type="dxa"/>
            <w:tcBorders>
              <w:bottom w:val="single" w:sz="4" w:space="0" w:color="auto"/>
            </w:tcBorders>
          </w:tcPr>
          <w:p w14:paraId="6ED5111F" w14:textId="75E755CC" w:rsidR="00DB0668" w:rsidRPr="005271F0" w:rsidRDefault="00DB0668" w:rsidP="006947C2">
            <w:pPr>
              <w:pStyle w:val="TableTextRight"/>
            </w:pPr>
            <w:r w:rsidRPr="005271F0">
              <w:t>31</w:t>
            </w:r>
          </w:p>
        </w:tc>
        <w:tc>
          <w:tcPr>
            <w:tcW w:w="1133" w:type="dxa"/>
            <w:tcBorders>
              <w:bottom w:val="single" w:sz="4" w:space="0" w:color="auto"/>
            </w:tcBorders>
          </w:tcPr>
          <w:p w14:paraId="7EFED143" w14:textId="46D365E6" w:rsidR="00DB0668" w:rsidRPr="005271F0" w:rsidRDefault="00DB0668" w:rsidP="006947C2">
            <w:pPr>
              <w:pStyle w:val="TableTextRight"/>
            </w:pPr>
            <w:r w:rsidRPr="005271F0">
              <w:t>2</w:t>
            </w:r>
          </w:p>
        </w:tc>
        <w:tc>
          <w:tcPr>
            <w:tcW w:w="1133" w:type="dxa"/>
            <w:tcBorders>
              <w:bottom w:val="single" w:sz="4" w:space="0" w:color="auto"/>
            </w:tcBorders>
          </w:tcPr>
          <w:p w14:paraId="10AEF30D" w14:textId="36F90CE2" w:rsidR="00DB0668" w:rsidRPr="005271F0" w:rsidRDefault="00DB0668" w:rsidP="006947C2">
            <w:pPr>
              <w:pStyle w:val="TableTextRight"/>
            </w:pPr>
            <w:r w:rsidRPr="005271F0">
              <w:t>1</w:t>
            </w:r>
          </w:p>
        </w:tc>
        <w:tc>
          <w:tcPr>
            <w:tcW w:w="2181" w:type="dxa"/>
            <w:tcBorders>
              <w:bottom w:val="single" w:sz="4" w:space="0" w:color="auto"/>
            </w:tcBorders>
          </w:tcPr>
          <w:p w14:paraId="22AEE901" w14:textId="0B701C43" w:rsidR="00DB0668" w:rsidRPr="005271F0" w:rsidRDefault="00DB0668" w:rsidP="006947C2">
            <w:pPr>
              <w:pStyle w:val="TableTextRight"/>
            </w:pPr>
            <w:r w:rsidRPr="005271F0">
              <w:t>34 </w:t>
            </w:r>
          </w:p>
        </w:tc>
      </w:tr>
    </w:tbl>
    <w:p w14:paraId="68A89A53" w14:textId="77777777" w:rsidR="00331540" w:rsidRDefault="00331540">
      <w:pPr>
        <w:spacing w:before="0" w:after="160" w:line="259" w:lineRule="auto"/>
      </w:pPr>
      <w:r>
        <w:br w:type="page"/>
      </w:r>
    </w:p>
    <w:p w14:paraId="50C3880E" w14:textId="2BE0561F" w:rsidR="00EF434F" w:rsidRPr="009A4C1E" w:rsidRDefault="00EF434F" w:rsidP="009A4C1E">
      <w:pPr>
        <w:pStyle w:val="TableHeadingContinued"/>
      </w:pPr>
      <w:r w:rsidRPr="009A4C1E">
        <w:lastRenderedPageBreak/>
        <w:t>Table 4.1: New cases where ASBFEO provided one</w:t>
      </w:r>
      <w:r w:rsidR="000C641B">
        <w:t>-</w:t>
      </w:r>
      <w:r w:rsidRPr="009A4C1E">
        <w:t>to</w:t>
      </w:r>
      <w:r w:rsidR="000C641B">
        <w:t>-</w:t>
      </w:r>
      <w:r w:rsidRPr="009A4C1E">
        <w:t>one assistance, by type of dispute (continued)</w:t>
      </w:r>
    </w:p>
    <w:tbl>
      <w:tblPr>
        <w:tblStyle w:val="Style1"/>
        <w:tblW w:w="9070" w:type="dxa"/>
        <w:tblCellMar>
          <w:top w:w="28" w:type="dxa"/>
          <w:bottom w:w="28" w:type="dxa"/>
        </w:tblCellMar>
        <w:tblLook w:val="04E0" w:firstRow="1" w:lastRow="1" w:firstColumn="1" w:lastColumn="0" w:noHBand="0" w:noVBand="1"/>
      </w:tblPr>
      <w:tblGrid>
        <w:gridCol w:w="3490"/>
        <w:gridCol w:w="1133"/>
        <w:gridCol w:w="1133"/>
        <w:gridCol w:w="1133"/>
        <w:gridCol w:w="2181"/>
      </w:tblGrid>
      <w:tr w:rsidR="005271F0" w:rsidRPr="00946B4F" w14:paraId="4A9E11FA" w14:textId="77777777" w:rsidTr="00E43A43">
        <w:trPr>
          <w:cnfStyle w:val="100000000000" w:firstRow="1" w:lastRow="0" w:firstColumn="0" w:lastColumn="0" w:oddVBand="0" w:evenVBand="0" w:oddHBand="0" w:evenHBand="0" w:firstRowFirstColumn="0" w:firstRowLastColumn="0" w:lastRowFirstColumn="0" w:lastRowLastColumn="0"/>
          <w:trHeight w:val="300"/>
        </w:trPr>
        <w:tc>
          <w:tcPr>
            <w:tcW w:w="3490" w:type="dxa"/>
            <w:hideMark/>
          </w:tcPr>
          <w:p w14:paraId="6C08EFE8" w14:textId="1AFD1151" w:rsidR="005271F0" w:rsidRPr="004D1FDF" w:rsidRDefault="005271F0" w:rsidP="00E43A43">
            <w:pPr>
              <w:pStyle w:val="TableColumnHeadingLeft"/>
            </w:pPr>
            <w:r w:rsidRPr="004D1FDF">
              <w:rPr>
                <w:lang w:val="en-US"/>
              </w:rPr>
              <w:t>New cases</w:t>
            </w:r>
          </w:p>
        </w:tc>
        <w:tc>
          <w:tcPr>
            <w:tcW w:w="1133" w:type="dxa"/>
            <w:hideMark/>
          </w:tcPr>
          <w:p w14:paraId="2DE889D9" w14:textId="29062F95" w:rsidR="005271F0" w:rsidRPr="004D1FDF" w:rsidRDefault="005271F0" w:rsidP="00196649">
            <w:pPr>
              <w:pStyle w:val="TableColumnHeadingRight"/>
            </w:pPr>
            <w:r w:rsidRPr="004D1FDF">
              <w:rPr>
                <w:lang w:val="en-US"/>
              </w:rPr>
              <w:t>2021</w:t>
            </w:r>
            <w:r w:rsidRPr="004D1FDF">
              <w:t>–</w:t>
            </w:r>
            <w:r w:rsidRPr="004D1FDF">
              <w:rPr>
                <w:lang w:val="en-US"/>
              </w:rPr>
              <w:t>22</w:t>
            </w:r>
          </w:p>
        </w:tc>
        <w:tc>
          <w:tcPr>
            <w:tcW w:w="1133" w:type="dxa"/>
            <w:hideMark/>
          </w:tcPr>
          <w:p w14:paraId="4CFD1955" w14:textId="04734726" w:rsidR="005271F0" w:rsidRPr="004D1FDF" w:rsidRDefault="005271F0" w:rsidP="00196649">
            <w:pPr>
              <w:pStyle w:val="TableColumnHeadingRight"/>
            </w:pPr>
            <w:r w:rsidRPr="004D1FDF">
              <w:rPr>
                <w:lang w:val="en-US"/>
              </w:rPr>
              <w:t> 2022</w:t>
            </w:r>
            <w:r w:rsidRPr="004D1FDF">
              <w:t>–</w:t>
            </w:r>
            <w:r w:rsidRPr="004D1FDF">
              <w:rPr>
                <w:lang w:val="en-US"/>
              </w:rPr>
              <w:t>23</w:t>
            </w:r>
          </w:p>
        </w:tc>
        <w:tc>
          <w:tcPr>
            <w:tcW w:w="1133" w:type="dxa"/>
            <w:hideMark/>
          </w:tcPr>
          <w:p w14:paraId="24C1A101" w14:textId="3F243116" w:rsidR="005271F0" w:rsidRPr="004D1FDF" w:rsidRDefault="005271F0" w:rsidP="00196649">
            <w:pPr>
              <w:pStyle w:val="TableColumnHeadingRight"/>
            </w:pPr>
            <w:r w:rsidRPr="004D1FDF">
              <w:rPr>
                <w:lang w:val="en-US"/>
              </w:rPr>
              <w:t> 2023</w:t>
            </w:r>
            <w:r w:rsidRPr="004D1FDF">
              <w:t>–</w:t>
            </w:r>
            <w:r w:rsidRPr="004D1FDF">
              <w:rPr>
                <w:lang w:val="en-US"/>
              </w:rPr>
              <w:t>24 </w:t>
            </w:r>
          </w:p>
        </w:tc>
        <w:tc>
          <w:tcPr>
            <w:tcW w:w="2181" w:type="dxa"/>
            <w:hideMark/>
          </w:tcPr>
          <w:p w14:paraId="334A7603" w14:textId="62CEC19E" w:rsidR="005271F0" w:rsidRPr="004D1FDF" w:rsidRDefault="005271F0" w:rsidP="00196649">
            <w:pPr>
              <w:pStyle w:val="TableColumnHeadingRight"/>
            </w:pPr>
            <w:r w:rsidRPr="004D1FDF">
              <w:rPr>
                <w:lang w:val="en-US"/>
              </w:rPr>
              <w:t>3</w:t>
            </w:r>
            <w:r w:rsidR="003A0D5E">
              <w:rPr>
                <w:lang w:val="en-US"/>
              </w:rPr>
              <w:noBreakHyphen/>
            </w:r>
            <w:r w:rsidRPr="004D1FDF">
              <w:rPr>
                <w:lang w:val="en-US"/>
              </w:rPr>
              <w:t>year tota</w:t>
            </w:r>
            <w:r w:rsidR="003058B3">
              <w:rPr>
                <w:lang w:val="en-US"/>
              </w:rPr>
              <w:t>l</w:t>
            </w:r>
          </w:p>
        </w:tc>
      </w:tr>
      <w:tr w:rsidR="00B543DF" w:rsidRPr="00946B4F" w14:paraId="09715186" w14:textId="77777777" w:rsidTr="00E43A43">
        <w:trPr>
          <w:trHeight w:val="300"/>
        </w:trPr>
        <w:tc>
          <w:tcPr>
            <w:tcW w:w="3490" w:type="dxa"/>
            <w:hideMark/>
          </w:tcPr>
          <w:p w14:paraId="3815A465" w14:textId="29DFC148" w:rsidR="005271F0" w:rsidRPr="005271F0" w:rsidRDefault="005271F0" w:rsidP="00E43A43">
            <w:pPr>
              <w:pStyle w:val="TableTextLeft"/>
            </w:pPr>
            <w:r w:rsidRPr="005271F0">
              <w:t>Local Government</w:t>
            </w:r>
          </w:p>
        </w:tc>
        <w:tc>
          <w:tcPr>
            <w:tcW w:w="1133" w:type="dxa"/>
            <w:hideMark/>
          </w:tcPr>
          <w:p w14:paraId="3150757C" w14:textId="76ADA941" w:rsidR="005271F0" w:rsidRPr="005271F0" w:rsidRDefault="005271F0" w:rsidP="00196649">
            <w:pPr>
              <w:pStyle w:val="TableTextRight"/>
            </w:pPr>
            <w:r w:rsidRPr="005271F0">
              <w:t>7</w:t>
            </w:r>
          </w:p>
        </w:tc>
        <w:tc>
          <w:tcPr>
            <w:tcW w:w="1133" w:type="dxa"/>
            <w:hideMark/>
          </w:tcPr>
          <w:p w14:paraId="76B7D1C3" w14:textId="7FD10DB4" w:rsidR="005271F0" w:rsidRPr="005271F0" w:rsidRDefault="005271F0" w:rsidP="00196649">
            <w:pPr>
              <w:pStyle w:val="TableTextRight"/>
            </w:pPr>
            <w:r w:rsidRPr="005271F0">
              <w:t>1</w:t>
            </w:r>
          </w:p>
        </w:tc>
        <w:tc>
          <w:tcPr>
            <w:tcW w:w="1133" w:type="dxa"/>
            <w:hideMark/>
          </w:tcPr>
          <w:p w14:paraId="04F71D21" w14:textId="0F3945BE" w:rsidR="005271F0" w:rsidRPr="005271F0" w:rsidRDefault="005271F0" w:rsidP="00196649">
            <w:pPr>
              <w:pStyle w:val="TableTextRight"/>
            </w:pPr>
            <w:r w:rsidRPr="005271F0">
              <w:t>0</w:t>
            </w:r>
          </w:p>
        </w:tc>
        <w:tc>
          <w:tcPr>
            <w:tcW w:w="2181" w:type="dxa"/>
            <w:hideMark/>
          </w:tcPr>
          <w:p w14:paraId="1725350F" w14:textId="413AC8B9" w:rsidR="005271F0" w:rsidRPr="005271F0" w:rsidRDefault="005271F0" w:rsidP="00196649">
            <w:pPr>
              <w:pStyle w:val="TableTextRight"/>
            </w:pPr>
            <w:r w:rsidRPr="005271F0">
              <w:t>8 </w:t>
            </w:r>
          </w:p>
        </w:tc>
      </w:tr>
      <w:tr w:rsidR="005271F0" w:rsidRPr="00946B4F" w14:paraId="513CE724" w14:textId="77777777" w:rsidTr="00E43A43">
        <w:trPr>
          <w:cnfStyle w:val="000000010000" w:firstRow="0" w:lastRow="0" w:firstColumn="0" w:lastColumn="0" w:oddVBand="0" w:evenVBand="0" w:oddHBand="0" w:evenHBand="1" w:firstRowFirstColumn="0" w:firstRowLastColumn="0" w:lastRowFirstColumn="0" w:lastRowLastColumn="0"/>
          <w:trHeight w:val="300"/>
        </w:trPr>
        <w:tc>
          <w:tcPr>
            <w:tcW w:w="3490" w:type="dxa"/>
            <w:hideMark/>
          </w:tcPr>
          <w:p w14:paraId="5B5149AF" w14:textId="0A4C7360" w:rsidR="005271F0" w:rsidRPr="00946B4F" w:rsidRDefault="005271F0" w:rsidP="00E43A43">
            <w:pPr>
              <w:pStyle w:val="TableTextLeft"/>
            </w:pPr>
            <w:r w:rsidRPr="00946B4F">
              <w:rPr>
                <w:lang w:val="en-US"/>
              </w:rPr>
              <w:t>Oil Code</w:t>
            </w:r>
          </w:p>
        </w:tc>
        <w:tc>
          <w:tcPr>
            <w:tcW w:w="1133" w:type="dxa"/>
            <w:hideMark/>
          </w:tcPr>
          <w:p w14:paraId="5884ADC4" w14:textId="15480917" w:rsidR="005271F0" w:rsidRPr="00946B4F" w:rsidRDefault="005271F0" w:rsidP="00196649">
            <w:pPr>
              <w:pStyle w:val="TableTextRight"/>
            </w:pPr>
            <w:r w:rsidRPr="00946B4F">
              <w:rPr>
                <w:lang w:val="en-US"/>
              </w:rPr>
              <w:t>1</w:t>
            </w:r>
          </w:p>
        </w:tc>
        <w:tc>
          <w:tcPr>
            <w:tcW w:w="1133" w:type="dxa"/>
            <w:hideMark/>
          </w:tcPr>
          <w:p w14:paraId="750B2752" w14:textId="6358D7D3" w:rsidR="005271F0" w:rsidRPr="00946B4F" w:rsidRDefault="005271F0" w:rsidP="00196649">
            <w:pPr>
              <w:pStyle w:val="TableTextRight"/>
            </w:pPr>
            <w:r w:rsidRPr="00946B4F">
              <w:rPr>
                <w:lang w:val="en-US"/>
              </w:rPr>
              <w:t>3</w:t>
            </w:r>
          </w:p>
        </w:tc>
        <w:tc>
          <w:tcPr>
            <w:tcW w:w="1133" w:type="dxa"/>
            <w:hideMark/>
          </w:tcPr>
          <w:p w14:paraId="47F05CF0" w14:textId="636FDD73" w:rsidR="005271F0" w:rsidRPr="00946B4F" w:rsidRDefault="005271F0" w:rsidP="00196649">
            <w:pPr>
              <w:pStyle w:val="TableTextRight"/>
            </w:pPr>
            <w:r w:rsidRPr="00946B4F">
              <w:rPr>
                <w:lang w:val="en-US"/>
              </w:rPr>
              <w:t>2</w:t>
            </w:r>
          </w:p>
        </w:tc>
        <w:tc>
          <w:tcPr>
            <w:tcW w:w="2181" w:type="dxa"/>
            <w:hideMark/>
          </w:tcPr>
          <w:p w14:paraId="6B2A4F9B" w14:textId="6137D7AF" w:rsidR="005271F0" w:rsidRPr="00946B4F" w:rsidRDefault="005271F0" w:rsidP="00196649">
            <w:pPr>
              <w:pStyle w:val="TableTextRight"/>
            </w:pPr>
            <w:r w:rsidRPr="00946B4F">
              <w:rPr>
                <w:lang w:val="en-US"/>
              </w:rPr>
              <w:t>6</w:t>
            </w:r>
          </w:p>
        </w:tc>
      </w:tr>
      <w:tr w:rsidR="00B543DF" w:rsidRPr="00946B4F" w14:paraId="17B862BA" w14:textId="77777777" w:rsidTr="00E43A43">
        <w:trPr>
          <w:trHeight w:val="300"/>
        </w:trPr>
        <w:tc>
          <w:tcPr>
            <w:tcW w:w="3490" w:type="dxa"/>
            <w:hideMark/>
          </w:tcPr>
          <w:p w14:paraId="287C3768" w14:textId="02BA4647" w:rsidR="005271F0" w:rsidRPr="00946B4F" w:rsidRDefault="005271F0" w:rsidP="00E43A43">
            <w:pPr>
              <w:pStyle w:val="TableTextLeft"/>
            </w:pPr>
            <w:r w:rsidRPr="00946B4F">
              <w:rPr>
                <w:lang w:val="en-US"/>
              </w:rPr>
              <w:t>Horticulture Code</w:t>
            </w:r>
          </w:p>
        </w:tc>
        <w:tc>
          <w:tcPr>
            <w:tcW w:w="1133" w:type="dxa"/>
            <w:hideMark/>
          </w:tcPr>
          <w:p w14:paraId="406656C4" w14:textId="190642CC" w:rsidR="005271F0" w:rsidRPr="00946B4F" w:rsidRDefault="005271F0" w:rsidP="00196649">
            <w:pPr>
              <w:pStyle w:val="TableTextRight"/>
            </w:pPr>
            <w:r w:rsidRPr="00946B4F">
              <w:rPr>
                <w:lang w:val="en-US"/>
              </w:rPr>
              <w:t>1</w:t>
            </w:r>
          </w:p>
        </w:tc>
        <w:tc>
          <w:tcPr>
            <w:tcW w:w="1133" w:type="dxa"/>
            <w:hideMark/>
          </w:tcPr>
          <w:p w14:paraId="311B69B5" w14:textId="47703912" w:rsidR="005271F0" w:rsidRPr="00946B4F" w:rsidRDefault="005271F0" w:rsidP="00196649">
            <w:pPr>
              <w:pStyle w:val="TableTextRight"/>
            </w:pPr>
            <w:r w:rsidRPr="00946B4F">
              <w:rPr>
                <w:lang w:val="en-US"/>
              </w:rPr>
              <w:t>2</w:t>
            </w:r>
          </w:p>
        </w:tc>
        <w:tc>
          <w:tcPr>
            <w:tcW w:w="1133" w:type="dxa"/>
            <w:hideMark/>
          </w:tcPr>
          <w:p w14:paraId="03B309B1" w14:textId="4C9AAEAB" w:rsidR="005271F0" w:rsidRPr="00946B4F" w:rsidRDefault="005271F0" w:rsidP="00196649">
            <w:pPr>
              <w:pStyle w:val="TableTextRight"/>
            </w:pPr>
            <w:r w:rsidRPr="00946B4F">
              <w:rPr>
                <w:lang w:val="en-US"/>
              </w:rPr>
              <w:t>1</w:t>
            </w:r>
          </w:p>
        </w:tc>
        <w:tc>
          <w:tcPr>
            <w:tcW w:w="2181" w:type="dxa"/>
            <w:hideMark/>
          </w:tcPr>
          <w:p w14:paraId="068782FA" w14:textId="73C8BBE8" w:rsidR="005271F0" w:rsidRPr="00946B4F" w:rsidRDefault="005271F0" w:rsidP="00196649">
            <w:pPr>
              <w:pStyle w:val="TableTextRight"/>
            </w:pPr>
            <w:r w:rsidRPr="00946B4F">
              <w:rPr>
                <w:lang w:val="en-US"/>
              </w:rPr>
              <w:t>4</w:t>
            </w:r>
          </w:p>
        </w:tc>
      </w:tr>
      <w:tr w:rsidR="005271F0" w:rsidRPr="00946B4F" w14:paraId="611AD07F" w14:textId="77777777" w:rsidTr="00E43A43">
        <w:trPr>
          <w:cnfStyle w:val="000000010000" w:firstRow="0" w:lastRow="0" w:firstColumn="0" w:lastColumn="0" w:oddVBand="0" w:evenVBand="0" w:oddHBand="0" w:evenHBand="1" w:firstRowFirstColumn="0" w:firstRowLastColumn="0" w:lastRowFirstColumn="0" w:lastRowLastColumn="0"/>
          <w:trHeight w:val="300"/>
        </w:trPr>
        <w:tc>
          <w:tcPr>
            <w:tcW w:w="3490" w:type="dxa"/>
            <w:hideMark/>
          </w:tcPr>
          <w:p w14:paraId="17B02C00" w14:textId="3BA227B3" w:rsidR="005271F0" w:rsidRPr="00946B4F" w:rsidRDefault="005271F0" w:rsidP="00E43A43">
            <w:pPr>
              <w:pStyle w:val="TableTextLeft"/>
            </w:pPr>
            <w:r w:rsidRPr="00946B4F">
              <w:rPr>
                <w:lang w:val="en-US"/>
              </w:rPr>
              <w:t>Dairy Code</w:t>
            </w:r>
          </w:p>
        </w:tc>
        <w:tc>
          <w:tcPr>
            <w:tcW w:w="1133" w:type="dxa"/>
            <w:hideMark/>
          </w:tcPr>
          <w:p w14:paraId="5C94B8D7" w14:textId="7C4330A0" w:rsidR="005271F0" w:rsidRPr="00946B4F" w:rsidRDefault="005271F0" w:rsidP="00196649">
            <w:pPr>
              <w:pStyle w:val="TableTextRight"/>
            </w:pPr>
            <w:r w:rsidRPr="00946B4F">
              <w:rPr>
                <w:lang w:val="en-US"/>
              </w:rPr>
              <w:t>0</w:t>
            </w:r>
          </w:p>
        </w:tc>
        <w:tc>
          <w:tcPr>
            <w:tcW w:w="1133" w:type="dxa"/>
            <w:hideMark/>
          </w:tcPr>
          <w:p w14:paraId="5083FCD3" w14:textId="6E873C53" w:rsidR="005271F0" w:rsidRPr="00946B4F" w:rsidRDefault="005271F0" w:rsidP="00196649">
            <w:pPr>
              <w:pStyle w:val="TableTextRight"/>
            </w:pPr>
            <w:r w:rsidRPr="00946B4F">
              <w:rPr>
                <w:lang w:val="en-US"/>
              </w:rPr>
              <w:t>2</w:t>
            </w:r>
          </w:p>
        </w:tc>
        <w:tc>
          <w:tcPr>
            <w:tcW w:w="1133" w:type="dxa"/>
            <w:hideMark/>
          </w:tcPr>
          <w:p w14:paraId="728719FE" w14:textId="57A05618" w:rsidR="005271F0" w:rsidRPr="00946B4F" w:rsidRDefault="005271F0" w:rsidP="00196649">
            <w:pPr>
              <w:pStyle w:val="TableTextRight"/>
            </w:pPr>
            <w:r w:rsidRPr="00946B4F">
              <w:rPr>
                <w:lang w:val="en-US"/>
              </w:rPr>
              <w:t>1</w:t>
            </w:r>
          </w:p>
        </w:tc>
        <w:tc>
          <w:tcPr>
            <w:tcW w:w="2181" w:type="dxa"/>
            <w:hideMark/>
          </w:tcPr>
          <w:p w14:paraId="43FD2254" w14:textId="50E150FE" w:rsidR="005271F0" w:rsidRPr="00946B4F" w:rsidRDefault="005271F0" w:rsidP="00196649">
            <w:pPr>
              <w:pStyle w:val="TableTextRight"/>
            </w:pPr>
            <w:r w:rsidRPr="00946B4F">
              <w:rPr>
                <w:lang w:val="en-US"/>
              </w:rPr>
              <w:t>3</w:t>
            </w:r>
          </w:p>
        </w:tc>
      </w:tr>
      <w:tr w:rsidR="00B543DF" w:rsidRPr="00946B4F" w14:paraId="5A541B94" w14:textId="77777777" w:rsidTr="00E43A43">
        <w:trPr>
          <w:trHeight w:val="300"/>
        </w:trPr>
        <w:tc>
          <w:tcPr>
            <w:tcW w:w="3490" w:type="dxa"/>
            <w:hideMark/>
          </w:tcPr>
          <w:p w14:paraId="5CBD8C20" w14:textId="30C27B21" w:rsidR="005271F0" w:rsidRPr="00946B4F" w:rsidRDefault="005271F0" w:rsidP="00E43A43">
            <w:pPr>
              <w:pStyle w:val="TableTextLeft"/>
            </w:pPr>
            <w:r w:rsidRPr="00946B4F">
              <w:rPr>
                <w:lang w:val="en-US"/>
              </w:rPr>
              <w:t>Digital Platform</w:t>
            </w:r>
          </w:p>
        </w:tc>
        <w:tc>
          <w:tcPr>
            <w:tcW w:w="1133" w:type="dxa"/>
            <w:hideMark/>
          </w:tcPr>
          <w:p w14:paraId="6EB5885B" w14:textId="59E8226C" w:rsidR="005271F0" w:rsidRPr="00946B4F" w:rsidRDefault="005271F0" w:rsidP="00196649">
            <w:pPr>
              <w:pStyle w:val="TableTextRight"/>
            </w:pPr>
            <w:r w:rsidRPr="00946B4F">
              <w:rPr>
                <w:lang w:val="en-US"/>
              </w:rPr>
              <w:t>0</w:t>
            </w:r>
          </w:p>
        </w:tc>
        <w:tc>
          <w:tcPr>
            <w:tcW w:w="1133" w:type="dxa"/>
            <w:hideMark/>
          </w:tcPr>
          <w:p w14:paraId="453CF801" w14:textId="72E708E8" w:rsidR="005271F0" w:rsidRPr="00946B4F" w:rsidRDefault="005271F0" w:rsidP="00196649">
            <w:pPr>
              <w:pStyle w:val="TableTextRight"/>
            </w:pPr>
            <w:r w:rsidRPr="00946B4F">
              <w:rPr>
                <w:lang w:val="en-US"/>
              </w:rPr>
              <w:t>0</w:t>
            </w:r>
          </w:p>
        </w:tc>
        <w:tc>
          <w:tcPr>
            <w:tcW w:w="1133" w:type="dxa"/>
            <w:hideMark/>
          </w:tcPr>
          <w:p w14:paraId="4F031C66" w14:textId="6B8C02CA" w:rsidR="005271F0" w:rsidRPr="00946B4F" w:rsidRDefault="005271F0" w:rsidP="00196649">
            <w:pPr>
              <w:pStyle w:val="TableTextRight"/>
            </w:pPr>
            <w:r w:rsidRPr="00946B4F">
              <w:rPr>
                <w:lang w:val="en-US"/>
              </w:rPr>
              <w:t>0</w:t>
            </w:r>
          </w:p>
        </w:tc>
        <w:tc>
          <w:tcPr>
            <w:tcW w:w="2181" w:type="dxa"/>
            <w:hideMark/>
          </w:tcPr>
          <w:p w14:paraId="45654D52" w14:textId="4776DE87" w:rsidR="005271F0" w:rsidRPr="00946B4F" w:rsidRDefault="005271F0" w:rsidP="00196649">
            <w:pPr>
              <w:pStyle w:val="TableTextRight"/>
            </w:pPr>
            <w:r w:rsidRPr="00946B4F">
              <w:rPr>
                <w:lang w:val="en-US"/>
              </w:rPr>
              <w:t>0</w:t>
            </w:r>
          </w:p>
        </w:tc>
      </w:tr>
      <w:tr w:rsidR="005271F0" w:rsidRPr="00946B4F" w14:paraId="45CF21CE" w14:textId="77777777" w:rsidTr="00E43A43">
        <w:trPr>
          <w:cnfStyle w:val="000000010000" w:firstRow="0" w:lastRow="0" w:firstColumn="0" w:lastColumn="0" w:oddVBand="0" w:evenVBand="0" w:oddHBand="0" w:evenHBand="1" w:firstRowFirstColumn="0" w:firstRowLastColumn="0" w:lastRowFirstColumn="0" w:lastRowLastColumn="0"/>
          <w:trHeight w:val="300"/>
        </w:trPr>
        <w:tc>
          <w:tcPr>
            <w:tcW w:w="3490" w:type="dxa"/>
            <w:hideMark/>
          </w:tcPr>
          <w:p w14:paraId="67B2DFF8" w14:textId="4042E5F2" w:rsidR="005271F0" w:rsidRPr="00946B4F" w:rsidRDefault="005271F0" w:rsidP="00E43A43">
            <w:pPr>
              <w:pStyle w:val="TableTextLeft"/>
            </w:pPr>
            <w:r w:rsidRPr="00946B4F">
              <w:rPr>
                <w:lang w:val="en-US"/>
              </w:rPr>
              <w:t xml:space="preserve">Other (including request for </w:t>
            </w:r>
            <w:r w:rsidRPr="00946B4F" w:rsidDel="00E5366B">
              <w:rPr>
                <w:lang w:val="en-US"/>
              </w:rPr>
              <w:t>information)</w:t>
            </w:r>
          </w:p>
        </w:tc>
        <w:tc>
          <w:tcPr>
            <w:tcW w:w="1133" w:type="dxa"/>
            <w:hideMark/>
          </w:tcPr>
          <w:p w14:paraId="544719D0" w14:textId="6E38ACB9" w:rsidR="005271F0" w:rsidRPr="00946B4F" w:rsidRDefault="005271F0" w:rsidP="00196649">
            <w:pPr>
              <w:pStyle w:val="TableTextRight"/>
            </w:pPr>
            <w:r w:rsidRPr="00946B4F">
              <w:rPr>
                <w:lang w:val="en-US"/>
              </w:rPr>
              <w:t>335</w:t>
            </w:r>
          </w:p>
        </w:tc>
        <w:tc>
          <w:tcPr>
            <w:tcW w:w="1133" w:type="dxa"/>
            <w:hideMark/>
          </w:tcPr>
          <w:p w14:paraId="46B62FE8" w14:textId="5A9BF81A" w:rsidR="005271F0" w:rsidRPr="00946B4F" w:rsidRDefault="005271F0" w:rsidP="00196649">
            <w:pPr>
              <w:pStyle w:val="TableTextRight"/>
            </w:pPr>
            <w:r w:rsidRPr="00946B4F">
              <w:rPr>
                <w:lang w:val="en-US"/>
              </w:rPr>
              <w:t>327</w:t>
            </w:r>
          </w:p>
        </w:tc>
        <w:tc>
          <w:tcPr>
            <w:tcW w:w="1133" w:type="dxa"/>
            <w:hideMark/>
          </w:tcPr>
          <w:p w14:paraId="5658ADF9" w14:textId="71B74FDE" w:rsidR="005271F0" w:rsidRPr="00946B4F" w:rsidRDefault="005271F0" w:rsidP="00196649">
            <w:pPr>
              <w:pStyle w:val="TableTextRight"/>
            </w:pPr>
            <w:r w:rsidRPr="00946B4F">
              <w:rPr>
                <w:lang w:val="en-US"/>
              </w:rPr>
              <w:t>335</w:t>
            </w:r>
          </w:p>
        </w:tc>
        <w:tc>
          <w:tcPr>
            <w:tcW w:w="2181" w:type="dxa"/>
            <w:hideMark/>
          </w:tcPr>
          <w:p w14:paraId="2317095E" w14:textId="3939C399" w:rsidR="005271F0" w:rsidRPr="00946B4F" w:rsidRDefault="005271F0" w:rsidP="00196649">
            <w:pPr>
              <w:pStyle w:val="TableTextRight"/>
            </w:pPr>
            <w:r w:rsidRPr="004D1FDF">
              <w:rPr>
                <w:lang w:val="en-US"/>
              </w:rPr>
              <w:t>997</w:t>
            </w:r>
          </w:p>
        </w:tc>
      </w:tr>
      <w:tr w:rsidR="00D1699A" w:rsidRPr="00946B4F" w14:paraId="66CD9D69" w14:textId="77777777" w:rsidTr="00E43A43">
        <w:trPr>
          <w:trHeight w:val="300"/>
        </w:trPr>
        <w:tc>
          <w:tcPr>
            <w:tcW w:w="3490" w:type="dxa"/>
            <w:tcBorders>
              <w:bottom w:val="single" w:sz="4" w:space="0" w:color="4D4D4D" w:themeColor="accent6"/>
            </w:tcBorders>
            <w:hideMark/>
          </w:tcPr>
          <w:p w14:paraId="3650C0B1" w14:textId="3CD84A0A" w:rsidR="005271F0" w:rsidRPr="00946B4F" w:rsidRDefault="005271F0" w:rsidP="00E43A43">
            <w:pPr>
              <w:pStyle w:val="TableTextLeft"/>
            </w:pPr>
            <w:r w:rsidRPr="00946B4F">
              <w:rPr>
                <w:b/>
                <w:bCs/>
                <w:lang w:val="en-US"/>
              </w:rPr>
              <w:t>Total</w:t>
            </w:r>
          </w:p>
        </w:tc>
        <w:tc>
          <w:tcPr>
            <w:tcW w:w="1133" w:type="dxa"/>
            <w:tcBorders>
              <w:bottom w:val="single" w:sz="4" w:space="0" w:color="4D4D4D" w:themeColor="accent6"/>
            </w:tcBorders>
            <w:hideMark/>
          </w:tcPr>
          <w:p w14:paraId="52FD0C82" w14:textId="791014D4" w:rsidR="005271F0" w:rsidRPr="00946B4F" w:rsidRDefault="005271F0" w:rsidP="00196649">
            <w:pPr>
              <w:pStyle w:val="TableTextRight"/>
            </w:pPr>
            <w:r w:rsidRPr="00946B4F">
              <w:rPr>
                <w:b/>
                <w:bCs/>
                <w:lang w:val="en-US"/>
              </w:rPr>
              <w:t>1,601</w:t>
            </w:r>
          </w:p>
        </w:tc>
        <w:tc>
          <w:tcPr>
            <w:tcW w:w="1133" w:type="dxa"/>
            <w:tcBorders>
              <w:bottom w:val="single" w:sz="4" w:space="0" w:color="4D4D4D" w:themeColor="accent6"/>
            </w:tcBorders>
            <w:hideMark/>
          </w:tcPr>
          <w:p w14:paraId="50D5B8A2" w14:textId="4A902E50" w:rsidR="005271F0" w:rsidRPr="00946B4F" w:rsidRDefault="005271F0" w:rsidP="00196649">
            <w:pPr>
              <w:pStyle w:val="TableTextRight"/>
            </w:pPr>
            <w:r w:rsidRPr="00946B4F">
              <w:rPr>
                <w:b/>
                <w:bCs/>
                <w:lang w:val="en-US"/>
              </w:rPr>
              <w:t>1,469</w:t>
            </w:r>
          </w:p>
        </w:tc>
        <w:tc>
          <w:tcPr>
            <w:tcW w:w="1133" w:type="dxa"/>
            <w:tcBorders>
              <w:bottom w:val="single" w:sz="4" w:space="0" w:color="4D4D4D" w:themeColor="accent6"/>
            </w:tcBorders>
            <w:hideMark/>
          </w:tcPr>
          <w:p w14:paraId="3218FDC9" w14:textId="091F2329" w:rsidR="005271F0" w:rsidRPr="00946B4F" w:rsidRDefault="005271F0" w:rsidP="00196649">
            <w:pPr>
              <w:pStyle w:val="TableTextRight"/>
            </w:pPr>
            <w:r w:rsidRPr="00946B4F">
              <w:rPr>
                <w:b/>
                <w:bCs/>
                <w:lang w:val="en-US"/>
              </w:rPr>
              <w:t>1,396</w:t>
            </w:r>
          </w:p>
        </w:tc>
        <w:tc>
          <w:tcPr>
            <w:tcW w:w="2181" w:type="dxa"/>
            <w:tcBorders>
              <w:bottom w:val="single" w:sz="4" w:space="0" w:color="4D4D4D" w:themeColor="accent6"/>
            </w:tcBorders>
            <w:hideMark/>
          </w:tcPr>
          <w:p w14:paraId="03CCE72F" w14:textId="5838CC9B" w:rsidR="005271F0" w:rsidRPr="00946B4F" w:rsidRDefault="005271F0" w:rsidP="00196649">
            <w:pPr>
              <w:pStyle w:val="TableTextRight"/>
            </w:pPr>
            <w:r w:rsidRPr="00946B4F">
              <w:rPr>
                <w:b/>
                <w:bCs/>
                <w:lang w:val="en-US"/>
              </w:rPr>
              <w:t>4,466</w:t>
            </w:r>
          </w:p>
        </w:tc>
      </w:tr>
    </w:tbl>
    <w:p w14:paraId="4DA5EE40" w14:textId="6A6F1971" w:rsidR="00D71BAE" w:rsidRPr="004D4530" w:rsidRDefault="00BB7A86" w:rsidP="00D61FA6">
      <w:pPr>
        <w:pStyle w:val="ChartorTablenoteandsource"/>
      </w:pPr>
      <w:r>
        <w:t>Please refer to Appendix I for table notes and sources</w:t>
      </w:r>
      <w:r w:rsidR="00E5366B">
        <w:t>.</w:t>
      </w:r>
    </w:p>
    <w:p w14:paraId="2EC553A4" w14:textId="161CBFB3" w:rsidR="00946B4F" w:rsidRDefault="00946B4F" w:rsidP="004D2DD7">
      <w:pPr>
        <w:rPr>
          <w:lang w:val="en-US"/>
        </w:rPr>
      </w:pPr>
      <w:r w:rsidRPr="0057739B">
        <w:rPr>
          <w:rStyle w:val="Strong"/>
        </w:rPr>
        <w:t>Over the 3 years from 2021</w:t>
      </w:r>
      <w:r w:rsidR="0057739B" w:rsidRPr="0057739B">
        <w:rPr>
          <w:b/>
          <w:bCs/>
        </w:rPr>
        <w:t>–</w:t>
      </w:r>
      <w:r w:rsidRPr="0057739B">
        <w:rPr>
          <w:rStyle w:val="Strong"/>
        </w:rPr>
        <w:t>22 to 2023</w:t>
      </w:r>
      <w:r w:rsidR="004F32E0" w:rsidRPr="004F32E0">
        <w:rPr>
          <w:b/>
          <w:bCs/>
        </w:rPr>
        <w:t>–</w:t>
      </w:r>
      <w:r w:rsidRPr="0057739B">
        <w:rPr>
          <w:rStyle w:val="Strong"/>
        </w:rPr>
        <w:t xml:space="preserve">24, the number of cases managed </w:t>
      </w:r>
      <w:r w:rsidR="00872871" w:rsidRPr="0057739B">
        <w:rPr>
          <w:rStyle w:val="Strong"/>
        </w:rPr>
        <w:t xml:space="preserve">annually </w:t>
      </w:r>
      <w:r w:rsidRPr="0057739B">
        <w:rPr>
          <w:rStyle w:val="Strong"/>
        </w:rPr>
        <w:t xml:space="preserve">by ASBFEO remained steady at approximately 1,500 cases. </w:t>
      </w:r>
      <w:r w:rsidRPr="006900B7">
        <w:rPr>
          <w:rStyle w:val="Strong"/>
          <w:b w:val="0"/>
          <w:bCs w:val="0"/>
        </w:rPr>
        <w:t xml:space="preserve">However, there has been an increase in the number of cases requiring active case management as shown in Table </w:t>
      </w:r>
      <w:r w:rsidR="00EE68F2" w:rsidRPr="006900B7">
        <w:rPr>
          <w:rStyle w:val="Strong"/>
          <w:b w:val="0"/>
          <w:bCs w:val="0"/>
        </w:rPr>
        <w:t>4.2</w:t>
      </w:r>
      <w:r w:rsidRPr="0057739B">
        <w:rPr>
          <w:rStyle w:val="Strong"/>
        </w:rPr>
        <w:t xml:space="preserve">. </w:t>
      </w:r>
      <w:r w:rsidR="005E129E">
        <w:rPr>
          <w:bCs/>
          <w:lang w:val="en-US"/>
        </w:rPr>
        <w:t>Only a</w:t>
      </w:r>
      <w:r w:rsidR="00993C7C" w:rsidRPr="009577A8">
        <w:rPr>
          <w:bCs/>
          <w:lang w:val="en-US"/>
        </w:rPr>
        <w:t xml:space="preserve"> small number of cases </w:t>
      </w:r>
      <w:r w:rsidR="00993C7C" w:rsidRPr="009577A8">
        <w:rPr>
          <w:bCs/>
        </w:rPr>
        <w:t>are</w:t>
      </w:r>
      <w:r w:rsidR="00993C7C" w:rsidRPr="009577A8">
        <w:rPr>
          <w:bCs/>
          <w:lang w:val="en-US"/>
        </w:rPr>
        <w:t xml:space="preserve"> referred to ADR in any year and most of </w:t>
      </w:r>
      <w:r w:rsidR="00993C7C">
        <w:rPr>
          <w:bCs/>
          <w:lang w:val="en-US"/>
        </w:rPr>
        <w:t>these</w:t>
      </w:r>
      <w:r w:rsidR="00993C7C" w:rsidRPr="009577A8">
        <w:rPr>
          <w:bCs/>
          <w:lang w:val="en-US"/>
        </w:rPr>
        <w:t xml:space="preserve"> </w:t>
      </w:r>
      <w:r w:rsidR="00993C7C">
        <w:rPr>
          <w:bCs/>
          <w:lang w:val="en-US"/>
        </w:rPr>
        <w:t>are</w:t>
      </w:r>
      <w:r w:rsidR="00993C7C" w:rsidRPr="009577A8">
        <w:rPr>
          <w:bCs/>
          <w:lang w:val="en-US"/>
        </w:rPr>
        <w:t xml:space="preserve"> disputes </w:t>
      </w:r>
      <w:r w:rsidRPr="00946B4F">
        <w:rPr>
          <w:lang w:val="en-US"/>
        </w:rPr>
        <w:t>involving the Franchising Code</w:t>
      </w:r>
      <w:r w:rsidR="00537F53">
        <w:rPr>
          <w:lang w:val="en-US"/>
        </w:rPr>
        <w:t xml:space="preserve"> of Conduct</w:t>
      </w:r>
      <w:r w:rsidR="00916FA5">
        <w:rPr>
          <w:lang w:val="en-US"/>
        </w:rPr>
        <w:t xml:space="preserve">. </w:t>
      </w:r>
      <w:r w:rsidR="00CB156D">
        <w:rPr>
          <w:bCs/>
          <w:lang w:val="en-US"/>
        </w:rPr>
        <w:t>Despite the Contact Centre referring</w:t>
      </w:r>
      <w:r w:rsidR="00CB156D" w:rsidRPr="009577A8" w:rsidDel="00EE68F2">
        <w:rPr>
          <w:bCs/>
          <w:lang w:val="en-US"/>
        </w:rPr>
        <w:t xml:space="preserve"> </w:t>
      </w:r>
      <w:r w:rsidR="00E5366B" w:rsidRPr="009577A8">
        <w:rPr>
          <w:bCs/>
          <w:lang w:val="en-US"/>
        </w:rPr>
        <w:t>many</w:t>
      </w:r>
      <w:r w:rsidR="00CB156D" w:rsidRPr="009577A8">
        <w:rPr>
          <w:bCs/>
          <w:lang w:val="en-US"/>
        </w:rPr>
        <w:t xml:space="preserve"> cases to another agency</w:t>
      </w:r>
      <w:r w:rsidR="00CB156D" w:rsidRPr="00946B4F">
        <w:rPr>
          <w:lang w:val="en-US"/>
        </w:rPr>
        <w:t>,</w:t>
      </w:r>
      <w:r w:rsidR="00CB156D">
        <w:rPr>
          <w:lang w:val="en-US"/>
        </w:rPr>
        <w:t xml:space="preserve"> the Case Manager also referred </w:t>
      </w:r>
      <w:r w:rsidR="00CB156D" w:rsidRPr="00946B4F">
        <w:rPr>
          <w:lang w:val="en-US"/>
        </w:rPr>
        <w:t>an additional 25</w:t>
      </w:r>
      <w:r w:rsidR="00CB156D">
        <w:rPr>
          <w:lang w:val="en-US"/>
        </w:rPr>
        <w:t> </w:t>
      </w:r>
      <w:r w:rsidR="00CB156D" w:rsidRPr="00946B4F">
        <w:rPr>
          <w:lang w:val="en-US"/>
        </w:rPr>
        <w:t xml:space="preserve">per cent of the cases to </w:t>
      </w:r>
      <w:r w:rsidR="00CB156D">
        <w:rPr>
          <w:lang w:val="en-US"/>
        </w:rPr>
        <w:t>other</w:t>
      </w:r>
      <w:r w:rsidR="00CB156D" w:rsidRPr="00946B4F">
        <w:rPr>
          <w:lang w:val="en-US"/>
        </w:rPr>
        <w:t xml:space="preserve"> agenc</w:t>
      </w:r>
      <w:r w:rsidR="00CB156D">
        <w:rPr>
          <w:lang w:val="en-US"/>
        </w:rPr>
        <w:t xml:space="preserve">ies.  </w:t>
      </w:r>
    </w:p>
    <w:p w14:paraId="7B474E34" w14:textId="4F0BC700" w:rsidR="00AE0C6C" w:rsidRPr="00833D5F" w:rsidRDefault="00AE0C6C" w:rsidP="00AA4DFA">
      <w:pPr>
        <w:pStyle w:val="TableMainHeading"/>
        <w:rPr>
          <w:lang w:val="en-US"/>
        </w:rPr>
      </w:pPr>
      <w:r w:rsidRPr="004D2DD7">
        <w:rPr>
          <w:lang w:val="en-US"/>
        </w:rPr>
        <w:t>Table 4.2</w:t>
      </w:r>
      <w:r>
        <w:rPr>
          <w:lang w:val="en-US"/>
        </w:rPr>
        <w:t>:</w:t>
      </w:r>
      <w:r w:rsidRPr="004D2DD7">
        <w:rPr>
          <w:lang w:val="en-US"/>
        </w:rPr>
        <w:t xml:space="preserve"> Outcome of cases managed by ASBFEO </w:t>
      </w:r>
    </w:p>
    <w:tbl>
      <w:tblPr>
        <w:tblStyle w:val="Style1"/>
        <w:tblW w:w="9070" w:type="dxa"/>
        <w:tblCellMar>
          <w:top w:w="28" w:type="dxa"/>
          <w:bottom w:w="28" w:type="dxa"/>
        </w:tblCellMar>
        <w:tblLook w:val="04E0" w:firstRow="1" w:lastRow="1" w:firstColumn="1" w:lastColumn="0" w:noHBand="0" w:noVBand="1"/>
      </w:tblPr>
      <w:tblGrid>
        <w:gridCol w:w="4111"/>
        <w:gridCol w:w="1239"/>
        <w:gridCol w:w="1240"/>
        <w:gridCol w:w="1240"/>
        <w:gridCol w:w="1240"/>
      </w:tblGrid>
      <w:tr w:rsidR="00946B4F" w:rsidRPr="00946B4F" w14:paraId="5D033D53" w14:textId="77777777" w:rsidTr="00331540">
        <w:trPr>
          <w:cnfStyle w:val="100000000000" w:firstRow="1" w:lastRow="0" w:firstColumn="0" w:lastColumn="0" w:oddVBand="0" w:evenVBand="0" w:oddHBand="0" w:evenHBand="0" w:firstRowFirstColumn="0" w:firstRowLastColumn="0" w:lastRowFirstColumn="0" w:lastRowLastColumn="0"/>
          <w:trHeight w:val="300"/>
        </w:trPr>
        <w:tc>
          <w:tcPr>
            <w:tcW w:w="4111" w:type="dxa"/>
            <w:hideMark/>
          </w:tcPr>
          <w:p w14:paraId="54FACD02" w14:textId="4D9884BE" w:rsidR="00946B4F" w:rsidRPr="00946B4F" w:rsidRDefault="00946B4F" w:rsidP="004A274F">
            <w:pPr>
              <w:pStyle w:val="TableTextLeft"/>
            </w:pPr>
          </w:p>
        </w:tc>
        <w:tc>
          <w:tcPr>
            <w:tcW w:w="1239" w:type="dxa"/>
            <w:hideMark/>
          </w:tcPr>
          <w:p w14:paraId="3497B24C" w14:textId="0895E05D" w:rsidR="00946B4F" w:rsidRPr="00331540" w:rsidRDefault="00946B4F" w:rsidP="00196649">
            <w:pPr>
              <w:pStyle w:val="TableColumnHeadingRight"/>
              <w:rPr>
                <w:rStyle w:val="Strong"/>
                <w:b/>
              </w:rPr>
            </w:pPr>
            <w:r w:rsidRPr="00331540">
              <w:rPr>
                <w:rStyle w:val="Strong"/>
                <w:b/>
              </w:rPr>
              <w:t>2021</w:t>
            </w:r>
            <w:r w:rsidR="00D05414" w:rsidRPr="00331540">
              <w:rPr>
                <w:rStyle w:val="Strong"/>
                <w:b/>
              </w:rPr>
              <w:t>–</w:t>
            </w:r>
            <w:r w:rsidRPr="00331540">
              <w:rPr>
                <w:rStyle w:val="Strong"/>
                <w:b/>
              </w:rPr>
              <w:t>22 </w:t>
            </w:r>
          </w:p>
        </w:tc>
        <w:tc>
          <w:tcPr>
            <w:tcW w:w="1240" w:type="dxa"/>
            <w:hideMark/>
          </w:tcPr>
          <w:p w14:paraId="3A9FEF04" w14:textId="10F31DFE" w:rsidR="00946B4F" w:rsidRPr="00331540" w:rsidRDefault="00946B4F" w:rsidP="00196649">
            <w:pPr>
              <w:pStyle w:val="TableColumnHeadingRight"/>
              <w:rPr>
                <w:rStyle w:val="Strong"/>
                <w:b/>
              </w:rPr>
            </w:pPr>
            <w:r w:rsidRPr="00331540">
              <w:rPr>
                <w:rStyle w:val="Strong"/>
                <w:b/>
              </w:rPr>
              <w:t>2022</w:t>
            </w:r>
            <w:r w:rsidR="00D05414" w:rsidRPr="00331540">
              <w:rPr>
                <w:rStyle w:val="Strong"/>
                <w:b/>
              </w:rPr>
              <w:t>–</w:t>
            </w:r>
            <w:r w:rsidRPr="00331540">
              <w:rPr>
                <w:rStyle w:val="Strong"/>
                <w:b/>
              </w:rPr>
              <w:t>23 </w:t>
            </w:r>
          </w:p>
        </w:tc>
        <w:tc>
          <w:tcPr>
            <w:tcW w:w="1240" w:type="dxa"/>
            <w:hideMark/>
          </w:tcPr>
          <w:p w14:paraId="24A14B64" w14:textId="40D17DA1" w:rsidR="00946B4F" w:rsidRPr="00331540" w:rsidRDefault="00946B4F" w:rsidP="00196649">
            <w:pPr>
              <w:pStyle w:val="TableColumnHeadingRight"/>
              <w:rPr>
                <w:rStyle w:val="Strong"/>
                <w:b/>
              </w:rPr>
            </w:pPr>
            <w:r w:rsidRPr="00331540">
              <w:rPr>
                <w:rStyle w:val="Strong"/>
                <w:b/>
              </w:rPr>
              <w:t>2023</w:t>
            </w:r>
            <w:r w:rsidR="00D05414" w:rsidRPr="00331540">
              <w:rPr>
                <w:rStyle w:val="Strong"/>
                <w:b/>
              </w:rPr>
              <w:t>–</w:t>
            </w:r>
            <w:r w:rsidRPr="00331540">
              <w:rPr>
                <w:rStyle w:val="Strong"/>
                <w:b/>
                <w:bCs w:val="0"/>
              </w:rPr>
              <w:t>24</w:t>
            </w:r>
          </w:p>
        </w:tc>
        <w:tc>
          <w:tcPr>
            <w:tcW w:w="1240" w:type="dxa"/>
            <w:hideMark/>
          </w:tcPr>
          <w:p w14:paraId="5AD5F41F" w14:textId="3E1478CD" w:rsidR="00946B4F" w:rsidRPr="00331540" w:rsidRDefault="00946B4F" w:rsidP="00196649">
            <w:pPr>
              <w:pStyle w:val="TableColumnHeadingRight"/>
              <w:rPr>
                <w:rStyle w:val="Strong"/>
                <w:b/>
              </w:rPr>
            </w:pPr>
            <w:r w:rsidRPr="00331540">
              <w:rPr>
                <w:rStyle w:val="Strong"/>
                <w:b/>
              </w:rPr>
              <w:t>3</w:t>
            </w:r>
            <w:r w:rsidR="003A0D5E">
              <w:rPr>
                <w:rStyle w:val="Strong"/>
                <w:b/>
                <w:bCs w:val="0"/>
              </w:rPr>
              <w:noBreakHyphen/>
            </w:r>
            <w:r w:rsidRPr="00331540">
              <w:rPr>
                <w:rStyle w:val="Strong"/>
                <w:b/>
              </w:rPr>
              <w:t>y</w:t>
            </w:r>
            <w:r w:rsidR="00281A20" w:rsidRPr="00331540">
              <w:rPr>
                <w:rStyle w:val="Strong"/>
                <w:b/>
              </w:rPr>
              <w:t>ea</w:t>
            </w:r>
            <w:r w:rsidRPr="00331540">
              <w:rPr>
                <w:rStyle w:val="Strong"/>
                <w:b/>
              </w:rPr>
              <w:t>r total </w:t>
            </w:r>
          </w:p>
        </w:tc>
      </w:tr>
      <w:tr w:rsidR="00946B4F" w:rsidRPr="00946B4F" w14:paraId="08874BD9" w14:textId="77777777" w:rsidTr="00331540">
        <w:trPr>
          <w:trHeight w:val="300"/>
        </w:trPr>
        <w:tc>
          <w:tcPr>
            <w:tcW w:w="4111" w:type="dxa"/>
            <w:hideMark/>
          </w:tcPr>
          <w:p w14:paraId="605480DA" w14:textId="355F5047" w:rsidR="00946B4F" w:rsidRPr="00946B4F" w:rsidRDefault="00946B4F" w:rsidP="004A274F">
            <w:pPr>
              <w:pStyle w:val="TableTextLeft"/>
            </w:pPr>
            <w:r w:rsidRPr="00946B4F">
              <w:rPr>
                <w:lang w:val="en-US"/>
              </w:rPr>
              <w:t>Information provided</w:t>
            </w:r>
          </w:p>
        </w:tc>
        <w:tc>
          <w:tcPr>
            <w:tcW w:w="1239" w:type="dxa"/>
            <w:hideMark/>
          </w:tcPr>
          <w:p w14:paraId="24E01406" w14:textId="6A2EAF5E" w:rsidR="00946B4F" w:rsidRPr="00946B4F" w:rsidRDefault="00946B4F" w:rsidP="00196649">
            <w:pPr>
              <w:pStyle w:val="TableTextRight"/>
            </w:pPr>
            <w:r w:rsidRPr="00946B4F">
              <w:rPr>
                <w:lang w:val="en-US"/>
              </w:rPr>
              <w:t>366</w:t>
            </w:r>
          </w:p>
        </w:tc>
        <w:tc>
          <w:tcPr>
            <w:tcW w:w="1240" w:type="dxa"/>
            <w:hideMark/>
          </w:tcPr>
          <w:p w14:paraId="436CE214" w14:textId="05CE0141" w:rsidR="00946B4F" w:rsidRPr="00946B4F" w:rsidRDefault="00946B4F" w:rsidP="00196649">
            <w:pPr>
              <w:pStyle w:val="TableTextRight"/>
            </w:pPr>
            <w:r w:rsidRPr="00946B4F">
              <w:rPr>
                <w:lang w:val="en-US"/>
              </w:rPr>
              <w:t>454</w:t>
            </w:r>
          </w:p>
        </w:tc>
        <w:tc>
          <w:tcPr>
            <w:tcW w:w="1240" w:type="dxa"/>
            <w:hideMark/>
          </w:tcPr>
          <w:p w14:paraId="4329E013" w14:textId="1FA66E27" w:rsidR="00946B4F" w:rsidRPr="00946B4F" w:rsidRDefault="00946B4F" w:rsidP="00196649">
            <w:pPr>
              <w:pStyle w:val="TableTextRight"/>
            </w:pPr>
            <w:r w:rsidRPr="00946B4F">
              <w:rPr>
                <w:lang w:val="en-US"/>
              </w:rPr>
              <w:t>346</w:t>
            </w:r>
          </w:p>
        </w:tc>
        <w:tc>
          <w:tcPr>
            <w:tcW w:w="1240" w:type="dxa"/>
            <w:hideMark/>
          </w:tcPr>
          <w:p w14:paraId="38860554" w14:textId="7FEC29C6" w:rsidR="00946B4F" w:rsidRPr="00946B4F" w:rsidRDefault="00946B4F" w:rsidP="00196649">
            <w:pPr>
              <w:pStyle w:val="TableTextRight"/>
            </w:pPr>
            <w:r w:rsidRPr="00946B4F">
              <w:rPr>
                <w:lang w:val="en-US"/>
              </w:rPr>
              <w:t>1,166</w:t>
            </w:r>
          </w:p>
        </w:tc>
      </w:tr>
      <w:tr w:rsidR="00946B4F" w:rsidRPr="00946B4F" w14:paraId="2DC26FC3" w14:textId="77777777" w:rsidTr="00331540">
        <w:trPr>
          <w:cnfStyle w:val="000000010000" w:firstRow="0" w:lastRow="0" w:firstColumn="0" w:lastColumn="0" w:oddVBand="0" w:evenVBand="0" w:oddHBand="0" w:evenHBand="1" w:firstRowFirstColumn="0" w:firstRowLastColumn="0" w:lastRowFirstColumn="0" w:lastRowLastColumn="0"/>
          <w:trHeight w:val="300"/>
        </w:trPr>
        <w:tc>
          <w:tcPr>
            <w:tcW w:w="4111" w:type="dxa"/>
            <w:hideMark/>
          </w:tcPr>
          <w:p w14:paraId="49757FA0" w14:textId="7CDDF0B7" w:rsidR="00946B4F" w:rsidRPr="00946B4F" w:rsidRDefault="00946B4F" w:rsidP="004A274F">
            <w:pPr>
              <w:pStyle w:val="TableTextLeft"/>
            </w:pPr>
            <w:r w:rsidRPr="00946B4F">
              <w:rPr>
                <w:lang w:val="en-US"/>
              </w:rPr>
              <w:t>Requiring active case management (including SBTC)</w:t>
            </w:r>
          </w:p>
        </w:tc>
        <w:tc>
          <w:tcPr>
            <w:tcW w:w="1239" w:type="dxa"/>
            <w:hideMark/>
          </w:tcPr>
          <w:p w14:paraId="3BADF504" w14:textId="545E926B" w:rsidR="00946B4F" w:rsidRPr="00946B4F" w:rsidRDefault="00946B4F" w:rsidP="00196649">
            <w:pPr>
              <w:pStyle w:val="TableTextRight"/>
            </w:pPr>
            <w:r w:rsidRPr="00946B4F">
              <w:rPr>
                <w:lang w:val="en-US"/>
              </w:rPr>
              <w:t>558</w:t>
            </w:r>
          </w:p>
        </w:tc>
        <w:tc>
          <w:tcPr>
            <w:tcW w:w="1240" w:type="dxa"/>
            <w:hideMark/>
          </w:tcPr>
          <w:p w14:paraId="1B9D76C4" w14:textId="329E6D9F" w:rsidR="00946B4F" w:rsidRPr="00946B4F" w:rsidRDefault="00946B4F" w:rsidP="00196649">
            <w:pPr>
              <w:pStyle w:val="TableTextRight"/>
            </w:pPr>
            <w:r w:rsidRPr="00946B4F">
              <w:rPr>
                <w:lang w:val="en-US"/>
              </w:rPr>
              <w:t>678</w:t>
            </w:r>
          </w:p>
        </w:tc>
        <w:tc>
          <w:tcPr>
            <w:tcW w:w="1240" w:type="dxa"/>
            <w:hideMark/>
          </w:tcPr>
          <w:p w14:paraId="02E20EA7" w14:textId="24A9C0FA" w:rsidR="00946B4F" w:rsidRPr="00946B4F" w:rsidRDefault="00946B4F" w:rsidP="00196649">
            <w:pPr>
              <w:pStyle w:val="TableTextRight"/>
            </w:pPr>
            <w:r w:rsidRPr="00946B4F">
              <w:rPr>
                <w:lang w:val="en-US"/>
              </w:rPr>
              <w:t>704</w:t>
            </w:r>
          </w:p>
        </w:tc>
        <w:tc>
          <w:tcPr>
            <w:tcW w:w="1240" w:type="dxa"/>
            <w:hideMark/>
          </w:tcPr>
          <w:p w14:paraId="3558E127" w14:textId="68838DA1" w:rsidR="00946B4F" w:rsidRPr="00946B4F" w:rsidRDefault="00946B4F" w:rsidP="00196649">
            <w:pPr>
              <w:pStyle w:val="TableTextRight"/>
            </w:pPr>
            <w:r w:rsidRPr="00946B4F">
              <w:rPr>
                <w:lang w:val="en-US"/>
              </w:rPr>
              <w:t>1,940</w:t>
            </w:r>
          </w:p>
        </w:tc>
      </w:tr>
      <w:tr w:rsidR="00946B4F" w:rsidRPr="00946B4F" w14:paraId="71C3A727" w14:textId="77777777" w:rsidTr="00331540">
        <w:trPr>
          <w:trHeight w:val="300"/>
        </w:trPr>
        <w:tc>
          <w:tcPr>
            <w:tcW w:w="4111" w:type="dxa"/>
            <w:hideMark/>
          </w:tcPr>
          <w:p w14:paraId="1746471C" w14:textId="4971D489" w:rsidR="00946B4F" w:rsidRPr="00946B4F" w:rsidRDefault="00946B4F" w:rsidP="004A274F">
            <w:pPr>
              <w:pStyle w:val="TableTextLeft"/>
            </w:pPr>
            <w:r w:rsidRPr="00946B4F">
              <w:rPr>
                <w:lang w:val="en-US"/>
              </w:rPr>
              <w:t>Referred to ADR</w:t>
            </w:r>
          </w:p>
        </w:tc>
        <w:tc>
          <w:tcPr>
            <w:tcW w:w="1239" w:type="dxa"/>
            <w:hideMark/>
          </w:tcPr>
          <w:p w14:paraId="7E22CAA5" w14:textId="52B87C7F" w:rsidR="00946B4F" w:rsidRPr="00946B4F" w:rsidRDefault="00946B4F" w:rsidP="00196649">
            <w:pPr>
              <w:pStyle w:val="TableTextRight"/>
            </w:pPr>
            <w:r w:rsidRPr="00946B4F">
              <w:rPr>
                <w:lang w:val="en-US"/>
              </w:rPr>
              <w:t>97</w:t>
            </w:r>
          </w:p>
        </w:tc>
        <w:tc>
          <w:tcPr>
            <w:tcW w:w="1240" w:type="dxa"/>
            <w:hideMark/>
          </w:tcPr>
          <w:p w14:paraId="17C5151A" w14:textId="7067CEC7" w:rsidR="00946B4F" w:rsidRPr="00946B4F" w:rsidRDefault="00946B4F" w:rsidP="00196649">
            <w:pPr>
              <w:pStyle w:val="TableTextRight"/>
            </w:pPr>
            <w:r w:rsidRPr="00946B4F">
              <w:rPr>
                <w:lang w:val="en-US"/>
              </w:rPr>
              <w:t>57</w:t>
            </w:r>
          </w:p>
        </w:tc>
        <w:tc>
          <w:tcPr>
            <w:tcW w:w="1240" w:type="dxa"/>
            <w:hideMark/>
          </w:tcPr>
          <w:p w14:paraId="7EC75557" w14:textId="3F6D9D94" w:rsidR="00946B4F" w:rsidRPr="00946B4F" w:rsidRDefault="00946B4F" w:rsidP="00196649">
            <w:pPr>
              <w:pStyle w:val="TableTextRight"/>
            </w:pPr>
            <w:r w:rsidRPr="00946B4F">
              <w:rPr>
                <w:lang w:val="en-US"/>
              </w:rPr>
              <w:t>93</w:t>
            </w:r>
          </w:p>
        </w:tc>
        <w:tc>
          <w:tcPr>
            <w:tcW w:w="1240" w:type="dxa"/>
            <w:hideMark/>
          </w:tcPr>
          <w:p w14:paraId="4021F513" w14:textId="07397C14" w:rsidR="00946B4F" w:rsidRPr="00946B4F" w:rsidRDefault="00946B4F" w:rsidP="00196649">
            <w:pPr>
              <w:pStyle w:val="TableTextRight"/>
            </w:pPr>
            <w:r w:rsidRPr="00946B4F">
              <w:rPr>
                <w:lang w:val="en-US"/>
              </w:rPr>
              <w:t>247</w:t>
            </w:r>
          </w:p>
        </w:tc>
      </w:tr>
      <w:tr w:rsidR="00946B4F" w:rsidRPr="00946B4F" w14:paraId="5E9FDACA" w14:textId="77777777" w:rsidTr="00331540">
        <w:trPr>
          <w:cnfStyle w:val="000000010000" w:firstRow="0" w:lastRow="0" w:firstColumn="0" w:lastColumn="0" w:oddVBand="0" w:evenVBand="0" w:oddHBand="0" w:evenHBand="1" w:firstRowFirstColumn="0" w:firstRowLastColumn="0" w:lastRowFirstColumn="0" w:lastRowLastColumn="0"/>
          <w:trHeight w:val="300"/>
        </w:trPr>
        <w:tc>
          <w:tcPr>
            <w:tcW w:w="4111" w:type="dxa"/>
            <w:hideMark/>
          </w:tcPr>
          <w:p w14:paraId="79F0676B" w14:textId="02D17001" w:rsidR="00946B4F" w:rsidRPr="00946B4F" w:rsidRDefault="00946B4F" w:rsidP="004A274F">
            <w:pPr>
              <w:pStyle w:val="TableTextLeft"/>
            </w:pPr>
            <w:r w:rsidRPr="00946B4F">
              <w:rPr>
                <w:lang w:val="en-US"/>
              </w:rPr>
              <w:t>Referred to another party</w:t>
            </w:r>
          </w:p>
        </w:tc>
        <w:tc>
          <w:tcPr>
            <w:tcW w:w="1239" w:type="dxa"/>
            <w:hideMark/>
          </w:tcPr>
          <w:p w14:paraId="16BC7593" w14:textId="55C3D20E" w:rsidR="00946B4F" w:rsidRPr="00946B4F" w:rsidRDefault="00946B4F" w:rsidP="00196649">
            <w:pPr>
              <w:pStyle w:val="TableTextRight"/>
            </w:pPr>
            <w:r w:rsidRPr="00946B4F">
              <w:rPr>
                <w:lang w:val="en-US"/>
              </w:rPr>
              <w:t>477</w:t>
            </w:r>
          </w:p>
        </w:tc>
        <w:tc>
          <w:tcPr>
            <w:tcW w:w="1240" w:type="dxa"/>
            <w:hideMark/>
          </w:tcPr>
          <w:p w14:paraId="56F74C10" w14:textId="68F14E6D" w:rsidR="00946B4F" w:rsidRPr="00946B4F" w:rsidRDefault="00946B4F" w:rsidP="00196649">
            <w:pPr>
              <w:pStyle w:val="TableTextRight"/>
            </w:pPr>
            <w:r w:rsidRPr="00946B4F">
              <w:rPr>
                <w:lang w:val="en-US"/>
              </w:rPr>
              <w:t>303</w:t>
            </w:r>
          </w:p>
        </w:tc>
        <w:tc>
          <w:tcPr>
            <w:tcW w:w="1240" w:type="dxa"/>
            <w:hideMark/>
          </w:tcPr>
          <w:p w14:paraId="682DDC79" w14:textId="3D940309" w:rsidR="00946B4F" w:rsidRPr="00946B4F" w:rsidRDefault="00946B4F" w:rsidP="00196649">
            <w:pPr>
              <w:pStyle w:val="TableTextRight"/>
            </w:pPr>
            <w:r w:rsidRPr="00946B4F">
              <w:rPr>
                <w:lang w:val="en-US"/>
              </w:rPr>
              <w:t>331</w:t>
            </w:r>
          </w:p>
        </w:tc>
        <w:tc>
          <w:tcPr>
            <w:tcW w:w="1240" w:type="dxa"/>
            <w:hideMark/>
          </w:tcPr>
          <w:p w14:paraId="427005EB" w14:textId="6D82F5CE" w:rsidR="00946B4F" w:rsidRPr="00946B4F" w:rsidRDefault="00946B4F" w:rsidP="00196649">
            <w:pPr>
              <w:pStyle w:val="TableTextRight"/>
            </w:pPr>
            <w:r w:rsidRPr="00946B4F">
              <w:rPr>
                <w:lang w:val="en-US"/>
              </w:rPr>
              <w:t>1,111</w:t>
            </w:r>
          </w:p>
        </w:tc>
      </w:tr>
      <w:tr w:rsidR="00946B4F" w:rsidRPr="00946B4F" w14:paraId="4643B03A" w14:textId="77777777" w:rsidTr="00331540">
        <w:trPr>
          <w:trHeight w:val="300"/>
        </w:trPr>
        <w:tc>
          <w:tcPr>
            <w:tcW w:w="4111" w:type="dxa"/>
            <w:tcBorders>
              <w:bottom w:val="single" w:sz="4" w:space="0" w:color="4D4D4D" w:themeColor="accent6"/>
            </w:tcBorders>
            <w:hideMark/>
          </w:tcPr>
          <w:p w14:paraId="35997018" w14:textId="406EC5B5" w:rsidR="00946B4F" w:rsidRPr="009F1FFF" w:rsidRDefault="00946B4F" w:rsidP="004A274F">
            <w:pPr>
              <w:pStyle w:val="TableTextLeft"/>
              <w:rPr>
                <w:rStyle w:val="Strong"/>
              </w:rPr>
            </w:pPr>
            <w:r w:rsidRPr="00331540">
              <w:rPr>
                <w:rStyle w:val="Strong"/>
              </w:rPr>
              <w:t>TOTAL</w:t>
            </w:r>
          </w:p>
        </w:tc>
        <w:tc>
          <w:tcPr>
            <w:tcW w:w="1239" w:type="dxa"/>
            <w:tcBorders>
              <w:bottom w:val="single" w:sz="4" w:space="0" w:color="4D4D4D" w:themeColor="accent6"/>
            </w:tcBorders>
            <w:hideMark/>
          </w:tcPr>
          <w:p w14:paraId="5A6E1418" w14:textId="60D6ED5E" w:rsidR="00946B4F" w:rsidRPr="009F1FFF" w:rsidRDefault="00946B4F" w:rsidP="00196649">
            <w:pPr>
              <w:pStyle w:val="TableTextRight"/>
              <w:rPr>
                <w:rStyle w:val="Strong"/>
              </w:rPr>
            </w:pPr>
            <w:r w:rsidRPr="009F1FFF">
              <w:rPr>
                <w:rStyle w:val="Strong"/>
              </w:rPr>
              <w:t>1,</w:t>
            </w:r>
            <w:r w:rsidRPr="00331540">
              <w:rPr>
                <w:rStyle w:val="Strong"/>
              </w:rPr>
              <w:t>498</w:t>
            </w:r>
          </w:p>
        </w:tc>
        <w:tc>
          <w:tcPr>
            <w:tcW w:w="1240" w:type="dxa"/>
            <w:tcBorders>
              <w:bottom w:val="single" w:sz="4" w:space="0" w:color="4D4D4D" w:themeColor="accent6"/>
            </w:tcBorders>
            <w:hideMark/>
          </w:tcPr>
          <w:p w14:paraId="4C05D295" w14:textId="7610C093" w:rsidR="00946B4F" w:rsidRPr="009F1FFF" w:rsidRDefault="00946B4F" w:rsidP="00196649">
            <w:pPr>
              <w:pStyle w:val="TableTextRight"/>
              <w:rPr>
                <w:rStyle w:val="Strong"/>
              </w:rPr>
            </w:pPr>
            <w:r w:rsidRPr="009F1FFF">
              <w:rPr>
                <w:rStyle w:val="Strong"/>
              </w:rPr>
              <w:t>1,</w:t>
            </w:r>
            <w:r w:rsidRPr="00331540">
              <w:rPr>
                <w:rStyle w:val="Strong"/>
              </w:rPr>
              <w:t>492</w:t>
            </w:r>
          </w:p>
        </w:tc>
        <w:tc>
          <w:tcPr>
            <w:tcW w:w="1240" w:type="dxa"/>
            <w:tcBorders>
              <w:bottom w:val="single" w:sz="4" w:space="0" w:color="4D4D4D" w:themeColor="accent6"/>
            </w:tcBorders>
            <w:hideMark/>
          </w:tcPr>
          <w:p w14:paraId="166C6D42" w14:textId="26C39E88" w:rsidR="00946B4F" w:rsidRPr="009F1FFF" w:rsidRDefault="00946B4F" w:rsidP="00196649">
            <w:pPr>
              <w:pStyle w:val="TableTextRight"/>
              <w:rPr>
                <w:rStyle w:val="Strong"/>
              </w:rPr>
            </w:pPr>
            <w:r w:rsidRPr="009F1FFF">
              <w:rPr>
                <w:rStyle w:val="Strong"/>
              </w:rPr>
              <w:t>1,</w:t>
            </w:r>
            <w:r w:rsidRPr="00331540">
              <w:rPr>
                <w:rStyle w:val="Strong"/>
              </w:rPr>
              <w:t>474</w:t>
            </w:r>
          </w:p>
        </w:tc>
        <w:tc>
          <w:tcPr>
            <w:tcW w:w="1240" w:type="dxa"/>
            <w:tcBorders>
              <w:bottom w:val="single" w:sz="4" w:space="0" w:color="4D4D4D" w:themeColor="accent6"/>
            </w:tcBorders>
            <w:hideMark/>
          </w:tcPr>
          <w:p w14:paraId="58A82942" w14:textId="3DB66CA1" w:rsidR="00946B4F" w:rsidRPr="009F1FFF" w:rsidRDefault="00946B4F" w:rsidP="00196649">
            <w:pPr>
              <w:pStyle w:val="TableTextRight"/>
              <w:rPr>
                <w:rStyle w:val="Strong"/>
              </w:rPr>
            </w:pPr>
            <w:r w:rsidRPr="009F1FFF">
              <w:rPr>
                <w:rStyle w:val="Strong"/>
              </w:rPr>
              <w:t>4,</w:t>
            </w:r>
            <w:r w:rsidRPr="00331540">
              <w:rPr>
                <w:rStyle w:val="Strong"/>
              </w:rPr>
              <w:t>46</w:t>
            </w:r>
            <w:r w:rsidR="00507E9A" w:rsidRPr="00331540">
              <w:rPr>
                <w:rStyle w:val="Strong"/>
              </w:rPr>
              <w:t>4</w:t>
            </w:r>
          </w:p>
        </w:tc>
      </w:tr>
    </w:tbl>
    <w:p w14:paraId="2C2C6ABF" w14:textId="602495BE" w:rsidR="00BB7A86" w:rsidRPr="004D4530" w:rsidRDefault="00BB7A86" w:rsidP="00BB7A86">
      <w:pPr>
        <w:pStyle w:val="ChartorTablenoteandsource"/>
      </w:pPr>
      <w:bookmarkStart w:id="49" w:name="_Toc1989440000"/>
      <w:r>
        <w:t>Please refer to Appendix I for table notes and sources</w:t>
      </w:r>
      <w:r w:rsidR="00B2420F">
        <w:t>.</w:t>
      </w:r>
    </w:p>
    <w:p w14:paraId="6CCFEA10" w14:textId="0084126D" w:rsidR="00516B22" w:rsidRPr="00946B4F" w:rsidRDefault="00516B22" w:rsidP="00516B22">
      <w:pPr>
        <w:pStyle w:val="Heading3"/>
      </w:pPr>
      <w:bookmarkStart w:id="50" w:name="_Toc199940959"/>
      <w:r w:rsidRPr="21C5A44B">
        <w:rPr>
          <w:lang w:val="en-US"/>
        </w:rPr>
        <w:t xml:space="preserve">Stakeholder </w:t>
      </w:r>
      <w:bookmarkEnd w:id="49"/>
      <w:r w:rsidR="00242BD0">
        <w:rPr>
          <w:lang w:val="en-US"/>
        </w:rPr>
        <w:t>v</w:t>
      </w:r>
      <w:r w:rsidRPr="21C5A44B">
        <w:rPr>
          <w:lang w:val="en-US"/>
        </w:rPr>
        <w:t>iews</w:t>
      </w:r>
      <w:bookmarkEnd w:id="50"/>
      <w:r>
        <w:t> </w:t>
      </w:r>
    </w:p>
    <w:p w14:paraId="7F5362C4" w14:textId="2C4D366A" w:rsidR="00516B22" w:rsidRDefault="00516B22" w:rsidP="00331540">
      <w:r w:rsidRPr="00331540">
        <w:rPr>
          <w:rStyle w:val="Strong"/>
        </w:rPr>
        <w:t xml:space="preserve">Feedback on the </w:t>
      </w:r>
      <w:r w:rsidR="00832658">
        <w:rPr>
          <w:b/>
          <w:bCs/>
          <w:szCs w:val="22"/>
          <w:lang w:val="en-US"/>
        </w:rPr>
        <w:t>a</w:t>
      </w:r>
      <w:r w:rsidRPr="0010234A">
        <w:rPr>
          <w:b/>
          <w:bCs/>
          <w:szCs w:val="22"/>
          <w:lang w:val="en-US"/>
        </w:rPr>
        <w:t>ssistance</w:t>
      </w:r>
      <w:r w:rsidRPr="0010234A">
        <w:rPr>
          <w:b/>
          <w:szCs w:val="22"/>
          <w:lang w:val="en-US"/>
        </w:rPr>
        <w:t xml:space="preserve"> function was limited</w:t>
      </w:r>
      <w:r w:rsidRPr="0010234A">
        <w:rPr>
          <w:szCs w:val="22"/>
          <w:lang w:val="en-US"/>
        </w:rPr>
        <w:t xml:space="preserve">. </w:t>
      </w:r>
      <w:r w:rsidRPr="0010234A">
        <w:rPr>
          <w:lang w:val="en-US"/>
        </w:rPr>
        <w:t>Only a few submissions provided insights into its use. Due to the confidential nature of the dispute resolution process, only one small business owner using the service was interviewed. A mediator and</w:t>
      </w:r>
      <w:r w:rsidRPr="0010234A" w:rsidDel="008B2233">
        <w:rPr>
          <w:lang w:val="en-US"/>
        </w:rPr>
        <w:t xml:space="preserve"> </w:t>
      </w:r>
      <w:r w:rsidR="008B2233">
        <w:rPr>
          <w:lang w:val="en-US"/>
        </w:rPr>
        <w:t>2</w:t>
      </w:r>
      <w:r w:rsidR="008B2233" w:rsidRPr="0010234A">
        <w:rPr>
          <w:lang w:val="en-US"/>
        </w:rPr>
        <w:t xml:space="preserve"> </w:t>
      </w:r>
      <w:r w:rsidRPr="0010234A">
        <w:rPr>
          <w:lang w:val="en-US"/>
        </w:rPr>
        <w:t>law associations also interviewed, indicat</w:t>
      </w:r>
      <w:r w:rsidR="00253ACD">
        <w:rPr>
          <w:lang w:val="en-US"/>
        </w:rPr>
        <w:t>ed</w:t>
      </w:r>
      <w:r w:rsidRPr="0010234A">
        <w:rPr>
          <w:lang w:val="en-US"/>
        </w:rPr>
        <w:t xml:space="preserve"> they valued ASBFEO</w:t>
      </w:r>
      <w:r>
        <w:rPr>
          <w:lang w:val="en-US"/>
        </w:rPr>
        <w:t>’</w:t>
      </w:r>
      <w:r w:rsidRPr="0010234A">
        <w:rPr>
          <w:lang w:val="en-US"/>
        </w:rPr>
        <w:t xml:space="preserve">s assistance function. The Law Council of Australia highlighted </w:t>
      </w:r>
      <w:r w:rsidR="0012431B">
        <w:rPr>
          <w:lang w:val="en-US"/>
        </w:rPr>
        <w:t xml:space="preserve">the </w:t>
      </w:r>
      <w:r w:rsidRPr="0010234A">
        <w:rPr>
          <w:lang w:val="en-US"/>
        </w:rPr>
        <w:t>ASBFEO</w:t>
      </w:r>
      <w:r>
        <w:rPr>
          <w:lang w:val="en-US"/>
        </w:rPr>
        <w:t>’</w:t>
      </w:r>
      <w:r w:rsidRPr="0010234A">
        <w:rPr>
          <w:lang w:val="en-US"/>
        </w:rPr>
        <w:t>s crucial role in dispute resolution</w:t>
      </w:r>
      <w:r w:rsidR="001B436D">
        <w:rPr>
          <w:lang w:val="en-US"/>
        </w:rPr>
        <w:t>, stating</w:t>
      </w:r>
      <w:r w:rsidR="00643ED9">
        <w:rPr>
          <w:lang w:val="en-US"/>
        </w:rPr>
        <w:t>:</w:t>
      </w:r>
      <w:r w:rsidRPr="0010234A">
        <w:t xml:space="preserve"> </w:t>
      </w:r>
    </w:p>
    <w:p w14:paraId="4BB7D658" w14:textId="17DCB646" w:rsidR="003B3453" w:rsidRPr="00331540" w:rsidRDefault="00602E36" w:rsidP="00331540">
      <w:pPr>
        <w:rPr>
          <w:rStyle w:val="Emphasis"/>
        </w:rPr>
      </w:pPr>
      <w:r>
        <w:rPr>
          <w:rStyle w:val="Emphasis"/>
        </w:rPr>
        <w:t>‘</w:t>
      </w:r>
      <w:r w:rsidRPr="00602E36">
        <w:rPr>
          <w:i/>
          <w:lang w:val="en-US"/>
        </w:rPr>
        <w:t>When practitioners are not able to get any action or resolution it is very powerful to have someone in the small business corner. If enough of the issues are recurring it allows identification of potential systemic issues</w:t>
      </w:r>
      <w:r w:rsidRPr="00331540">
        <w:rPr>
          <w:rStyle w:val="Emphasis"/>
        </w:rPr>
        <w:t>.</w:t>
      </w:r>
      <w:r>
        <w:rPr>
          <w:rStyle w:val="Emphasis"/>
        </w:rPr>
        <w:t>’</w:t>
      </w:r>
    </w:p>
    <w:p w14:paraId="022EBD2A" w14:textId="5B84B60A" w:rsidR="00233A9B" w:rsidRPr="00113DB0" w:rsidRDefault="00233A9B" w:rsidP="00233A9B">
      <w:pPr>
        <w:rPr>
          <w:rStyle w:val="Strong"/>
        </w:rPr>
      </w:pPr>
      <w:r w:rsidRPr="00113DB0">
        <w:rPr>
          <w:rStyle w:val="Strong"/>
        </w:rPr>
        <w:t>Stakeholders aware of ASBFEO’s assistance services commended them for providing comprehensive and accessible services to small businesses. </w:t>
      </w:r>
    </w:p>
    <w:p w14:paraId="561BA962" w14:textId="0187F6CF" w:rsidR="00233A9B" w:rsidRPr="00946B4F" w:rsidRDefault="00233A9B" w:rsidP="00233A9B">
      <w:r>
        <w:rPr>
          <w:rStyle w:val="Emphasis"/>
        </w:rPr>
        <w:lastRenderedPageBreak/>
        <w:t>‘</w:t>
      </w:r>
      <w:r w:rsidRPr="00331540">
        <w:rPr>
          <w:rStyle w:val="Emphasis"/>
        </w:rPr>
        <w:t>Our members advise that the dispute resolution services provided by ASBFEO are fit</w:t>
      </w:r>
      <w:r w:rsidR="000B6BCA" w:rsidRPr="00331540">
        <w:rPr>
          <w:rStyle w:val="Emphasis"/>
        </w:rPr>
        <w:t xml:space="preserve"> </w:t>
      </w:r>
      <w:r w:rsidRPr="00331540">
        <w:rPr>
          <w:rStyle w:val="Emphasis"/>
        </w:rPr>
        <w:t>for</w:t>
      </w:r>
      <w:r w:rsidR="000B6BCA" w:rsidRPr="00331540">
        <w:rPr>
          <w:rStyle w:val="Emphasis"/>
        </w:rPr>
        <w:t xml:space="preserve"> </w:t>
      </w:r>
      <w:r w:rsidRPr="00331540">
        <w:rPr>
          <w:rStyle w:val="Emphasis"/>
        </w:rPr>
        <w:t>purpose. We understand that the services are easily accessible, agile and responsive for those who access them, and that the expertise offered by those servicing the function across a range of industries is beneficial.</w:t>
      </w:r>
      <w:r w:rsidR="003A0D5E">
        <w:rPr>
          <w:rStyle w:val="Emphasis"/>
        </w:rPr>
        <w:t>’</w:t>
      </w:r>
      <w:r w:rsidR="00065357">
        <w:rPr>
          <w:rStyle w:val="Emphasis"/>
          <w:rFonts w:ascii="ZWAdobeF" w:hAnsi="ZWAdobeF" w:cs="ZWAdobeF"/>
          <w:i w:val="0"/>
          <w:color w:val="auto"/>
          <w:sz w:val="2"/>
          <w:szCs w:val="2"/>
        </w:rPr>
        <w:t>64F</w:t>
      </w:r>
      <w:r w:rsidRPr="007D684B">
        <w:rPr>
          <w:rStyle w:val="FootnoteReference"/>
          <w:sz w:val="22"/>
          <w:szCs w:val="22"/>
          <w:vertAlign w:val="superscript"/>
          <w:lang w:val="en-US"/>
        </w:rPr>
        <w:footnoteReference w:id="66"/>
      </w:r>
    </w:p>
    <w:p w14:paraId="52F0054E" w14:textId="488420DB" w:rsidR="00310066" w:rsidRPr="007D684B" w:rsidRDefault="00233A9B" w:rsidP="00331540">
      <w:pPr>
        <w:rPr>
          <w:lang w:val="en-US"/>
        </w:rPr>
      </w:pPr>
      <w:r>
        <w:rPr>
          <w:rStyle w:val="Emphasis"/>
        </w:rPr>
        <w:t>‘</w:t>
      </w:r>
      <w:r w:rsidRPr="00331540">
        <w:rPr>
          <w:rStyle w:val="Emphasis"/>
        </w:rPr>
        <w:t>Small businesses rely on this service for its affordable, timely and impartial intervention in disputes with larger businesses.</w:t>
      </w:r>
      <w:r w:rsidR="003A0D5E">
        <w:rPr>
          <w:rStyle w:val="Emphasis"/>
        </w:rPr>
        <w:t>’</w:t>
      </w:r>
      <w:r w:rsidR="00065357">
        <w:rPr>
          <w:rStyle w:val="Emphasis"/>
          <w:rFonts w:ascii="ZWAdobeF" w:hAnsi="ZWAdobeF" w:cs="ZWAdobeF"/>
          <w:i w:val="0"/>
          <w:color w:val="auto"/>
          <w:sz w:val="2"/>
          <w:szCs w:val="2"/>
        </w:rPr>
        <w:t>65F</w:t>
      </w:r>
      <w:r w:rsidRPr="007D684B">
        <w:rPr>
          <w:rStyle w:val="FootnoteReference"/>
          <w:sz w:val="22"/>
          <w:szCs w:val="22"/>
          <w:vertAlign w:val="superscript"/>
          <w:lang w:val="en-US"/>
        </w:rPr>
        <w:footnoteReference w:id="67"/>
      </w:r>
    </w:p>
    <w:p w14:paraId="00B8EFFC" w14:textId="27AC77D5" w:rsidR="00CF24F4" w:rsidRDefault="00EE59EB" w:rsidP="0039558E">
      <w:r w:rsidRPr="0039558E">
        <w:rPr>
          <w:rStyle w:val="Strong"/>
        </w:rPr>
        <w:t>However, a</w:t>
      </w:r>
      <w:r w:rsidR="00C238D7">
        <w:rPr>
          <w:rStyle w:val="Strong"/>
        </w:rPr>
        <w:t xml:space="preserve"> </w:t>
      </w:r>
      <w:r w:rsidR="003E3612" w:rsidRPr="0039558E">
        <w:rPr>
          <w:rStyle w:val="Strong"/>
        </w:rPr>
        <w:t>survey of mediators on ASBFEO</w:t>
      </w:r>
      <w:r w:rsidR="003E3612">
        <w:rPr>
          <w:rStyle w:val="Strong"/>
        </w:rPr>
        <w:t>’</w:t>
      </w:r>
      <w:r w:rsidR="003E3612" w:rsidRPr="0039558E">
        <w:rPr>
          <w:rStyle w:val="Strong"/>
        </w:rPr>
        <w:t>s ADR practitioner list provided feedback that while mediation services are effective, there is room for improvement</w:t>
      </w:r>
      <w:r w:rsidR="003C7434">
        <w:rPr>
          <w:rStyle w:val="Strong"/>
        </w:rPr>
        <w:t xml:space="preserve"> (full details at Appendix D)</w:t>
      </w:r>
      <w:r w:rsidR="003E3612" w:rsidRPr="0039558E">
        <w:rPr>
          <w:rStyle w:val="Strong"/>
        </w:rPr>
        <w:t>.</w:t>
      </w:r>
      <w:r w:rsidR="009E3025">
        <w:t xml:space="preserve"> </w:t>
      </w:r>
      <w:r w:rsidR="009E3025" w:rsidRPr="00EE59EB">
        <w:t>For example,</w:t>
      </w:r>
      <w:r w:rsidR="009E3025">
        <w:t xml:space="preserve"> t</w:t>
      </w:r>
      <w:r w:rsidR="008C75DE" w:rsidRPr="00EE59EB">
        <w:t xml:space="preserve">he survey </w:t>
      </w:r>
      <w:r w:rsidR="00162CE2">
        <w:t>found</w:t>
      </w:r>
      <w:r w:rsidR="008C75DE" w:rsidRPr="00EE59EB">
        <w:t xml:space="preserve"> that ASBFEO</w:t>
      </w:r>
      <w:r w:rsidR="008C75DE">
        <w:t>’</w:t>
      </w:r>
      <w:r w:rsidR="008C75DE" w:rsidRPr="00EE59EB">
        <w:t>s pre</w:t>
      </w:r>
      <w:r w:rsidR="003A0D5E">
        <w:noBreakHyphen/>
      </w:r>
      <w:r w:rsidR="008C75DE" w:rsidRPr="00EE59EB">
        <w:t>and post</w:t>
      </w:r>
      <w:r w:rsidR="008C75DE" w:rsidRPr="00EE59EB">
        <w:noBreakHyphen/>
        <w:t>mediation communication with disputants could be improved</w:t>
      </w:r>
      <w:r w:rsidR="00CF24F4">
        <w:t>.</w:t>
      </w:r>
    </w:p>
    <w:p w14:paraId="02387074" w14:textId="62A2277D" w:rsidR="008C75DE" w:rsidRPr="007D684B" w:rsidRDefault="008C75DE" w:rsidP="0039558E">
      <w:pPr>
        <w:rPr>
          <w:i/>
          <w:szCs w:val="24"/>
        </w:rPr>
      </w:pPr>
      <w:r w:rsidRPr="0039558E">
        <w:rPr>
          <w:rStyle w:val="Emphasis"/>
        </w:rPr>
        <w:t xml:space="preserve"> </w:t>
      </w:r>
      <w:r w:rsidRPr="007D684B">
        <w:rPr>
          <w:i/>
          <w:szCs w:val="24"/>
        </w:rPr>
        <w:t>‘In the few mediations that have been referred to me, it has not been clear if the participants have had any direct conversations with ASBFEO staff.’</w:t>
      </w:r>
    </w:p>
    <w:p w14:paraId="58B1CF4B" w14:textId="12BD111C" w:rsidR="00E015DA" w:rsidRDefault="001E5338" w:rsidP="008C75DE">
      <w:r>
        <w:t>A</w:t>
      </w:r>
      <w:r w:rsidR="00756A9B">
        <w:t>ddition</w:t>
      </w:r>
      <w:r>
        <w:t>ally</w:t>
      </w:r>
      <w:r w:rsidR="00756A9B">
        <w:t xml:space="preserve">, </w:t>
      </w:r>
      <w:r w:rsidR="008C75DE">
        <w:t>66 </w:t>
      </w:r>
      <w:r w:rsidR="008C75DE" w:rsidRPr="006958AD">
        <w:t>per cent of mediators would like to see improvements in performance feedback to mediators, and 40</w:t>
      </w:r>
      <w:r w:rsidR="008C75DE">
        <w:t> </w:t>
      </w:r>
      <w:r w:rsidR="008C75DE" w:rsidRPr="006958AD">
        <w:t xml:space="preserve">per cent of mediators thought the process of inducting a mediator could be improved. </w:t>
      </w:r>
    </w:p>
    <w:p w14:paraId="4A3EB702" w14:textId="57BFF5E6" w:rsidR="008C75DE" w:rsidRPr="006958AD" w:rsidRDefault="008C75DE" w:rsidP="008C75DE">
      <w:r w:rsidRPr="00E513FD">
        <w:rPr>
          <w:rStyle w:val="Emphasis"/>
        </w:rPr>
        <w:t>‘I have had no induction, training, or information regarding collaboration with colleagues. There was no feedback on the mediation done or why so little work has been allocated to me as a mediator.’</w:t>
      </w:r>
    </w:p>
    <w:p w14:paraId="62FF94C9" w14:textId="6B382F5C" w:rsidR="008C75DE" w:rsidRPr="006958AD" w:rsidRDefault="00E54ED0" w:rsidP="008C75DE">
      <w:r>
        <w:t>O</w:t>
      </w:r>
      <w:r w:rsidR="008C75DE" w:rsidRPr="006958AD">
        <w:t>nly 43</w:t>
      </w:r>
      <w:r w:rsidR="008C75DE">
        <w:t> </w:t>
      </w:r>
      <w:r w:rsidR="008C75DE" w:rsidRPr="006958AD">
        <w:t xml:space="preserve">per cent of mediators thought that ASBFEO adequately supported the </w:t>
      </w:r>
      <w:r w:rsidR="008C75DE" w:rsidRPr="00C75599">
        <w:t>CALD</w:t>
      </w:r>
      <w:r w:rsidR="008C75DE" w:rsidRPr="006958AD">
        <w:t xml:space="preserve"> community in participating effectively in mediation. Mediators recommended providing adequate notice to engage cultural </w:t>
      </w:r>
      <w:r w:rsidR="00E83500" w:rsidRPr="006958AD">
        <w:t>advis</w:t>
      </w:r>
      <w:r w:rsidR="00E83500">
        <w:t>e</w:t>
      </w:r>
      <w:r w:rsidR="00E83500" w:rsidRPr="006958AD">
        <w:t xml:space="preserve">rs </w:t>
      </w:r>
      <w:r w:rsidR="008C75DE" w:rsidRPr="006958AD">
        <w:t xml:space="preserve">or interpreters in a timely manner and suggested implementing a standard list of questions to </w:t>
      </w:r>
      <w:r w:rsidR="00FE478D" w:rsidRPr="006958AD">
        <w:t xml:space="preserve">better </w:t>
      </w:r>
      <w:r w:rsidR="008C75DE" w:rsidRPr="006958AD">
        <w:t>understand participants</w:t>
      </w:r>
      <w:r w:rsidR="008C75DE">
        <w:t>’</w:t>
      </w:r>
      <w:r w:rsidR="008C75DE" w:rsidRPr="006958AD">
        <w:t xml:space="preserve"> expectations.</w:t>
      </w:r>
    </w:p>
    <w:p w14:paraId="763D521E" w14:textId="03502A3A" w:rsidR="008C75DE" w:rsidRPr="00EE59EB" w:rsidRDefault="008C75DE" w:rsidP="00EE59EB">
      <w:r w:rsidRPr="006958AD">
        <w:t>Most respondents either agreed or strongly agreed that if the disputant had legal advice prior to the mediation, it would improve their ability to represent views and enhance the mediation overall.</w:t>
      </w:r>
    </w:p>
    <w:p w14:paraId="183B57CB" w14:textId="7C68D2F3" w:rsidR="00683FA1" w:rsidRDefault="00946B4F" w:rsidP="00113DB0">
      <w:pPr>
        <w:rPr>
          <w:lang w:val="en-US"/>
        </w:rPr>
      </w:pPr>
      <w:r w:rsidRPr="00113DB0">
        <w:rPr>
          <w:rStyle w:val="Strong"/>
        </w:rPr>
        <w:t xml:space="preserve">The </w:t>
      </w:r>
      <w:r w:rsidR="00FF6D42">
        <w:rPr>
          <w:rStyle w:val="Strong"/>
        </w:rPr>
        <w:t>R</w:t>
      </w:r>
      <w:r w:rsidRPr="00113DB0">
        <w:rPr>
          <w:rStyle w:val="Strong"/>
        </w:rPr>
        <w:t>eview interviewed a franchisee who used ASBFEO</w:t>
      </w:r>
      <w:r w:rsidR="00916FA5" w:rsidRPr="00113DB0">
        <w:rPr>
          <w:rStyle w:val="Strong"/>
        </w:rPr>
        <w:t>’</w:t>
      </w:r>
      <w:r w:rsidRPr="00113DB0">
        <w:rPr>
          <w:rStyle w:val="Strong"/>
        </w:rPr>
        <w:t>s services and found the assistance provided could be improved.</w:t>
      </w:r>
      <w:r w:rsidRPr="00946B4F">
        <w:rPr>
          <w:lang w:val="en-US"/>
        </w:rPr>
        <w:t xml:space="preserve"> </w:t>
      </w:r>
      <w:r w:rsidR="001830CA">
        <w:rPr>
          <w:lang w:val="en-US"/>
        </w:rPr>
        <w:t xml:space="preserve">A </w:t>
      </w:r>
      <w:r w:rsidRPr="00946B4F">
        <w:rPr>
          <w:lang w:val="en-US"/>
        </w:rPr>
        <w:t xml:space="preserve">franchisee shared </w:t>
      </w:r>
      <w:r w:rsidR="001830CA">
        <w:rPr>
          <w:lang w:val="en-US"/>
        </w:rPr>
        <w:t xml:space="preserve">their </w:t>
      </w:r>
      <w:r w:rsidRPr="00946B4F">
        <w:rPr>
          <w:lang w:val="en-US"/>
        </w:rPr>
        <w:t>story to prevent future occurrences</w:t>
      </w:r>
      <w:r w:rsidR="00916FA5">
        <w:rPr>
          <w:lang w:val="en-US"/>
        </w:rPr>
        <w:t xml:space="preserve">. </w:t>
      </w:r>
      <w:r w:rsidRPr="00946B4F">
        <w:rPr>
          <w:lang w:val="en-US"/>
        </w:rPr>
        <w:t xml:space="preserve">The case study outlines </w:t>
      </w:r>
      <w:r w:rsidR="009544DB">
        <w:rPr>
          <w:lang w:val="en-US"/>
        </w:rPr>
        <w:t>th</w:t>
      </w:r>
      <w:r w:rsidR="00E72743">
        <w:rPr>
          <w:lang w:val="en-US"/>
        </w:rPr>
        <w:t>e franchisee</w:t>
      </w:r>
      <w:r w:rsidR="005F1D13">
        <w:rPr>
          <w:lang w:val="en-US"/>
        </w:rPr>
        <w:t>’</w:t>
      </w:r>
      <w:r w:rsidR="00E72743">
        <w:rPr>
          <w:lang w:val="en-US"/>
        </w:rPr>
        <w:t xml:space="preserve">s </w:t>
      </w:r>
      <w:proofErr w:type="gramStart"/>
      <w:r w:rsidRPr="00946B4F">
        <w:rPr>
          <w:lang w:val="en-US"/>
        </w:rPr>
        <w:t>dispute</w:t>
      </w:r>
      <w:proofErr w:type="gramEnd"/>
      <w:r w:rsidRPr="00946B4F">
        <w:rPr>
          <w:lang w:val="en-US"/>
        </w:rPr>
        <w:t xml:space="preserve"> and the help sought from ASBFEO. Although </w:t>
      </w:r>
      <w:r w:rsidR="009544DB">
        <w:rPr>
          <w:lang w:val="en-US"/>
        </w:rPr>
        <w:t>the</w:t>
      </w:r>
      <w:r w:rsidR="009F6CF0">
        <w:rPr>
          <w:lang w:val="en-US"/>
        </w:rPr>
        <w:t xml:space="preserve"> franchisee </w:t>
      </w:r>
      <w:r w:rsidRPr="00946B4F">
        <w:rPr>
          <w:lang w:val="en-US"/>
        </w:rPr>
        <w:t xml:space="preserve">found the </w:t>
      </w:r>
      <w:r w:rsidR="00BC65E6">
        <w:rPr>
          <w:lang w:val="en-US"/>
        </w:rPr>
        <w:t>Case Manager</w:t>
      </w:r>
      <w:r w:rsidRPr="00946B4F">
        <w:rPr>
          <w:lang w:val="en-US"/>
        </w:rPr>
        <w:t xml:space="preserve"> friendly, their assistance did not meet </w:t>
      </w:r>
      <w:r w:rsidR="009544DB">
        <w:rPr>
          <w:lang w:val="en-US"/>
        </w:rPr>
        <w:t>the franchisee</w:t>
      </w:r>
      <w:r w:rsidR="00031A54">
        <w:rPr>
          <w:lang w:val="en-US"/>
        </w:rPr>
        <w:t>’</w:t>
      </w:r>
      <w:r w:rsidR="009544DB">
        <w:rPr>
          <w:lang w:val="en-US"/>
        </w:rPr>
        <w:t xml:space="preserve">s </w:t>
      </w:r>
      <w:r w:rsidRPr="00946B4F">
        <w:rPr>
          <w:lang w:val="en-US"/>
        </w:rPr>
        <w:t>needs</w:t>
      </w:r>
      <w:r w:rsidR="00916FA5">
        <w:rPr>
          <w:lang w:val="en-US"/>
        </w:rPr>
        <w:t>.</w:t>
      </w:r>
    </w:p>
    <w:p w14:paraId="03E2347C" w14:textId="77777777" w:rsidR="00683FA1" w:rsidRDefault="00683FA1">
      <w:pPr>
        <w:spacing w:before="0" w:after="160" w:line="259" w:lineRule="auto"/>
        <w:rPr>
          <w:sz w:val="20"/>
          <w:lang w:val="en-US"/>
        </w:rPr>
      </w:pPr>
      <w:r>
        <w:rPr>
          <w:lang w:val="en-US"/>
        </w:rPr>
        <w:br w:type="page"/>
      </w:r>
    </w:p>
    <w:p w14:paraId="5C686A59" w14:textId="1379E880" w:rsidR="00946B4F" w:rsidRPr="00946B4F" w:rsidRDefault="009F1FFF" w:rsidP="000C1DF2">
      <w:pPr>
        <w:pStyle w:val="Heading3"/>
        <w:rPr>
          <w:sz w:val="20"/>
          <w:szCs w:val="20"/>
        </w:rPr>
      </w:pPr>
      <w:bookmarkStart w:id="51" w:name="_Toc199940960"/>
      <w:r>
        <w:rPr>
          <w:lang w:val="en-GB"/>
        </w:rPr>
        <w:lastRenderedPageBreak/>
        <w:t xml:space="preserve">Case </w:t>
      </w:r>
      <w:r w:rsidR="00031A54">
        <w:rPr>
          <w:lang w:val="en-GB"/>
        </w:rPr>
        <w:t>s</w:t>
      </w:r>
      <w:r>
        <w:rPr>
          <w:lang w:val="en-GB"/>
        </w:rPr>
        <w:t>tudy</w:t>
      </w:r>
      <w:bookmarkEnd w:id="51"/>
    </w:p>
    <w:tbl>
      <w:tblPr>
        <w:tblStyle w:val="BoxStyle"/>
        <w:tblW w:w="5000" w:type="pct"/>
        <w:shd w:val="clear" w:color="auto" w:fill="F4F0EC"/>
        <w:tblLook w:val="0620" w:firstRow="1" w:lastRow="0" w:firstColumn="0" w:lastColumn="0" w:noHBand="1" w:noVBand="1"/>
      </w:tblPr>
      <w:tblGrid>
        <w:gridCol w:w="9070"/>
      </w:tblGrid>
      <w:tr w:rsidR="000E46BE" w14:paraId="0B86FC44" w14:textId="77777777" w:rsidTr="004C4118">
        <w:tc>
          <w:tcPr>
            <w:tcW w:w="5000" w:type="pct"/>
            <w:shd w:val="clear" w:color="auto" w:fill="F4F0EC"/>
            <w:hideMark/>
          </w:tcPr>
          <w:p w14:paraId="4E6873E0" w14:textId="10BB494B" w:rsidR="000E46BE" w:rsidRPr="00113DB0" w:rsidRDefault="000E46BE" w:rsidP="00113DB0">
            <w:pPr>
              <w:pStyle w:val="BoxText"/>
            </w:pPr>
            <w:r w:rsidRPr="00113DB0">
              <w:t xml:space="preserve">The </w:t>
            </w:r>
            <w:r w:rsidR="00031A54">
              <w:t>f</w:t>
            </w:r>
            <w:r w:rsidRPr="00113DB0">
              <w:t>ranchisee purchased a franchise because they wanted to leverage the franchisor</w:t>
            </w:r>
            <w:r w:rsidR="00916FA5" w:rsidRPr="00113DB0">
              <w:t>’</w:t>
            </w:r>
            <w:r w:rsidRPr="00113DB0">
              <w:t>s expertise. This was not their first small business, as they had experience in other industries.</w:t>
            </w:r>
          </w:p>
          <w:p w14:paraId="3D951972" w14:textId="2FC05D16" w:rsidR="000E46BE" w:rsidRPr="00113DB0" w:rsidRDefault="00B8553D" w:rsidP="00113DB0">
            <w:pPr>
              <w:pStyle w:val="BoxText"/>
            </w:pPr>
            <w:r>
              <w:t>After</w:t>
            </w:r>
            <w:r w:rsidR="000E46BE" w:rsidRPr="00113DB0">
              <w:t xml:space="preserve"> signing the franchise agreement, the franchisee received training. The training was found to be insufficient and the other franchisees agreed with this. The franchisee advocated for more training for all franchisees. The franchisor denied issues with the training materials, accused the franchisee of causing trouble and asked them to leave the franchise at a cost of</w:t>
            </w:r>
            <w:r w:rsidR="00F36C09">
              <w:t xml:space="preserve"> more than $</w:t>
            </w:r>
            <w:r w:rsidR="00F01C30">
              <w:t>50,000.</w:t>
            </w:r>
            <w:r w:rsidR="000E46BE" w:rsidRPr="00113DB0">
              <w:t> </w:t>
            </w:r>
          </w:p>
          <w:p w14:paraId="591655A4" w14:textId="704141F2" w:rsidR="000E46BE" w:rsidRPr="00113DB0" w:rsidRDefault="000E46BE" w:rsidP="00113DB0">
            <w:pPr>
              <w:pStyle w:val="BoxText"/>
            </w:pPr>
            <w:r w:rsidRPr="00113DB0">
              <w:t>The franchisee contacted ASBFEO</w:t>
            </w:r>
            <w:r w:rsidR="00916FA5" w:rsidRPr="00113DB0">
              <w:t>’</w:t>
            </w:r>
            <w:r w:rsidRPr="00113DB0">
              <w:t>s Contact Centre to help resolve the dispute. The Contact Centre outlined the dispute resolution process and provided links to further information on ASBFEO</w:t>
            </w:r>
            <w:r w:rsidR="00FF6D42">
              <w:t>’s</w:t>
            </w:r>
            <w:r w:rsidRPr="00113DB0">
              <w:t xml:space="preserve"> website. The </w:t>
            </w:r>
            <w:r w:rsidR="00D21E5A">
              <w:t>f</w:t>
            </w:r>
            <w:r w:rsidRPr="00113DB0">
              <w:t>ranchisee was advised to lodge a dispute notice under the Franchising Code of Conduct and provided with a dispute notice template for completion. The franchisor rejected the notice, claiming that it was missing information</w:t>
            </w:r>
            <w:r w:rsidR="00916FA5" w:rsidRPr="00113DB0">
              <w:t xml:space="preserve">. </w:t>
            </w:r>
          </w:p>
          <w:p w14:paraId="63F5E4F5" w14:textId="5172A5AA" w:rsidR="000E46BE" w:rsidRPr="00113DB0" w:rsidRDefault="000E46BE" w:rsidP="00113DB0">
            <w:pPr>
              <w:pStyle w:val="BoxText"/>
            </w:pPr>
            <w:r w:rsidRPr="00113DB0">
              <w:t xml:space="preserve">The franchisee was unsure what information was missing and contacted the Contact Centre again for guidance on what to include in the dispute notice. ASBFEO advised that they could not help as their role was not to provide legal advice, and they needed to remain impartial. The Contact Centre suggested </w:t>
            </w:r>
            <w:r w:rsidR="00EF7DE8">
              <w:t>the franchisee</w:t>
            </w:r>
            <w:r w:rsidR="00EF7DE8" w:rsidRPr="00113DB0">
              <w:t xml:space="preserve"> </w:t>
            </w:r>
            <w:r w:rsidRPr="00113DB0">
              <w:t>engage a lawyer. </w:t>
            </w:r>
          </w:p>
          <w:p w14:paraId="7D78F005" w14:textId="649E8FB1" w:rsidR="000E46BE" w:rsidRPr="00113DB0" w:rsidRDefault="000E46BE" w:rsidP="00113DB0">
            <w:pPr>
              <w:pStyle w:val="BoxText"/>
            </w:pPr>
            <w:r w:rsidRPr="00113DB0">
              <w:t xml:space="preserve">The Franchisee engaged a lawyer to lodge the dispute notice and negotiate with the franchisor. Unable to resolve the issue, they opted for the </w:t>
            </w:r>
            <w:r w:rsidR="007B7552" w:rsidRPr="007B7552">
              <w:t>New South Wales</w:t>
            </w:r>
            <w:r w:rsidRPr="00113DB0">
              <w:t xml:space="preserve"> SBC</w:t>
            </w:r>
            <w:r w:rsidR="00916FA5" w:rsidRPr="00113DB0">
              <w:t>’</w:t>
            </w:r>
            <w:r w:rsidRPr="00113DB0">
              <w:t>s cheaper mediation service over ASBFEO</w:t>
            </w:r>
            <w:r w:rsidR="00916FA5" w:rsidRPr="00113DB0">
              <w:t>’</w:t>
            </w:r>
            <w:r w:rsidRPr="00113DB0">
              <w:t>s. However, the franchisor cancelled the mediation session 10</w:t>
            </w:r>
            <w:r w:rsidR="00113DB0">
              <w:t> </w:t>
            </w:r>
            <w:r w:rsidRPr="00113DB0">
              <w:t xml:space="preserve">minutes before it was due to start. The franchisor contacted the </w:t>
            </w:r>
            <w:r w:rsidR="00603AF6">
              <w:t xml:space="preserve">franchisee’s </w:t>
            </w:r>
            <w:r w:rsidRPr="00113DB0">
              <w:t>lawyer daily, resulting in $32,000 in legal fees. The franchisee considered the Federal Court but found it too costly. </w:t>
            </w:r>
          </w:p>
          <w:p w14:paraId="54F6157A" w14:textId="736E8DE8" w:rsidR="000E46BE" w:rsidRPr="00113DB0" w:rsidRDefault="000E46BE" w:rsidP="00113DB0">
            <w:pPr>
              <w:pStyle w:val="BoxText"/>
            </w:pPr>
            <w:r w:rsidRPr="00113DB0">
              <w:t xml:space="preserve">The franchisor locked the franchisee out of their premises. To resolve the dispute, the franchisee paid $100,000. The franchisee then </w:t>
            </w:r>
            <w:r w:rsidR="00603AF6">
              <w:t xml:space="preserve">left </w:t>
            </w:r>
            <w:r w:rsidRPr="00113DB0">
              <w:t>their business and accepted jobs outside the industry. </w:t>
            </w:r>
          </w:p>
          <w:p w14:paraId="5F20E1E5" w14:textId="4E03028C" w:rsidR="000E46BE" w:rsidRDefault="000E46BE" w:rsidP="00113DB0">
            <w:pPr>
              <w:pStyle w:val="BoxText"/>
            </w:pPr>
            <w:r w:rsidRPr="00113DB0">
              <w:t>After signing the agreement, they discovered that the franchisor had an outstanding debt with the ATO, which was not disclosed before signing. They had conducted their due diligence and reviewed the ASIC website for any debts. Subsequently,</w:t>
            </w:r>
            <w:r w:rsidRPr="00113DB0" w:rsidDel="00E72D97">
              <w:t xml:space="preserve"> </w:t>
            </w:r>
            <w:r w:rsidR="00E72D97">
              <w:t>the franchisee</w:t>
            </w:r>
            <w:r w:rsidRPr="00113DB0">
              <w:t xml:space="preserve"> learned that 5 days before they signed their contract, the franchisor had restructured their small business and had a substantial debt with the ATO. However, the ASIC website was not updated to include the outstanding ATO debt. </w:t>
            </w:r>
          </w:p>
        </w:tc>
      </w:tr>
    </w:tbl>
    <w:p w14:paraId="2B63B666" w14:textId="77777777" w:rsidR="008A624A" w:rsidRPr="00946B4F" w:rsidRDefault="008A624A" w:rsidP="008A624A">
      <w:pPr>
        <w:pStyle w:val="Heading3"/>
      </w:pPr>
      <w:bookmarkStart w:id="52" w:name="_Toc199940961"/>
      <w:r w:rsidRPr="00946B4F">
        <w:rPr>
          <w:lang w:val="en-US"/>
        </w:rPr>
        <w:t>Analysis</w:t>
      </w:r>
      <w:bookmarkEnd w:id="52"/>
      <w:r w:rsidRPr="00946B4F">
        <w:t> </w:t>
      </w:r>
    </w:p>
    <w:p w14:paraId="6BCF91EE" w14:textId="173257F9" w:rsidR="00727523" w:rsidRPr="0010234A" w:rsidRDefault="00727523" w:rsidP="00A179FE">
      <w:pPr>
        <w:rPr>
          <w:lang w:val="en-GB"/>
        </w:rPr>
      </w:pPr>
      <w:r w:rsidRPr="00A179FE">
        <w:rPr>
          <w:rStyle w:val="Strong"/>
        </w:rPr>
        <w:t>The case study highlights improvements that could be made to ASBFEO</w:t>
      </w:r>
      <w:r w:rsidRPr="0010234A">
        <w:rPr>
          <w:b/>
          <w:szCs w:val="22"/>
          <w:lang w:val="en-GB"/>
        </w:rPr>
        <w:t>’s assistance function.</w:t>
      </w:r>
      <w:r w:rsidRPr="0010234A">
        <w:rPr>
          <w:szCs w:val="22"/>
          <w:lang w:val="en-GB"/>
        </w:rPr>
        <w:t xml:space="preserve"> </w:t>
      </w:r>
      <w:r w:rsidRPr="0010234A">
        <w:rPr>
          <w:lang w:val="en-GB"/>
        </w:rPr>
        <w:t xml:space="preserve">ASBFEO </w:t>
      </w:r>
      <w:r w:rsidR="00892A3C">
        <w:rPr>
          <w:lang w:val="en-GB"/>
        </w:rPr>
        <w:t>should</w:t>
      </w:r>
      <w:r w:rsidRPr="0010234A">
        <w:rPr>
          <w:lang w:val="en-GB"/>
        </w:rPr>
        <w:t xml:space="preserve"> review </w:t>
      </w:r>
      <w:r w:rsidR="004D37B0">
        <w:rPr>
          <w:lang w:val="en-GB"/>
        </w:rPr>
        <w:t>its</w:t>
      </w:r>
      <w:r w:rsidRPr="0010234A">
        <w:rPr>
          <w:lang w:val="en-GB"/>
        </w:rPr>
        <w:t xml:space="preserve"> guidance dispute notice to provide clear requirements and samples of a completed form. When the franchisor contacted ASBFEO a second time, it was evident that the situation constituted a dispute and should have been assigned to a </w:t>
      </w:r>
      <w:r w:rsidR="007E7B8D">
        <w:rPr>
          <w:lang w:val="en-GB"/>
        </w:rPr>
        <w:t>C</w:t>
      </w:r>
      <w:r w:rsidRPr="0010234A">
        <w:rPr>
          <w:lang w:val="en-GB"/>
        </w:rPr>
        <w:t xml:space="preserve">ase </w:t>
      </w:r>
      <w:r w:rsidR="007E7B8D">
        <w:rPr>
          <w:lang w:val="en-GB"/>
        </w:rPr>
        <w:t>M</w:t>
      </w:r>
      <w:r w:rsidRPr="0010234A">
        <w:rPr>
          <w:lang w:val="en-GB"/>
        </w:rPr>
        <w:t>anager for proper management.</w:t>
      </w:r>
      <w:r w:rsidRPr="0010234A">
        <w:t> </w:t>
      </w:r>
      <w:r w:rsidRPr="0010234A">
        <w:rPr>
          <w:lang w:val="en-GB"/>
        </w:rPr>
        <w:t xml:space="preserve">ASBFEO could have raised the undisclosed debt with the ATO and ASIC to </w:t>
      </w:r>
      <w:r w:rsidR="000065B7">
        <w:rPr>
          <w:lang w:val="en-GB"/>
        </w:rPr>
        <w:t xml:space="preserve">help </w:t>
      </w:r>
      <w:r w:rsidR="00F3555B">
        <w:rPr>
          <w:lang w:val="en-GB"/>
        </w:rPr>
        <w:t>them</w:t>
      </w:r>
      <w:r w:rsidR="007E7B8D">
        <w:rPr>
          <w:lang w:val="en-GB"/>
        </w:rPr>
        <w:t xml:space="preserve"> </w:t>
      </w:r>
      <w:r w:rsidRPr="0010234A">
        <w:rPr>
          <w:lang w:val="en-GB"/>
        </w:rPr>
        <w:t>prevent similar incidents for other franchisees</w:t>
      </w:r>
      <w:r w:rsidR="0050125F">
        <w:rPr>
          <w:lang w:val="en-GB"/>
        </w:rPr>
        <w:t xml:space="preserve"> in future</w:t>
      </w:r>
      <w:r w:rsidRPr="0010234A">
        <w:rPr>
          <w:lang w:val="en-GB"/>
        </w:rPr>
        <w:t>.</w:t>
      </w:r>
    </w:p>
    <w:p w14:paraId="35B86D9E" w14:textId="3B75507C" w:rsidR="00572213" w:rsidRDefault="00572213" w:rsidP="00572213"/>
    <w:p w14:paraId="23A909AA" w14:textId="77777777" w:rsidR="00572213" w:rsidRDefault="00572213">
      <w:pPr>
        <w:spacing w:before="0" w:after="160" w:line="259" w:lineRule="auto"/>
      </w:pPr>
      <w:r>
        <w:br w:type="page"/>
      </w:r>
    </w:p>
    <w:p w14:paraId="7F522541" w14:textId="3CEFBC22" w:rsidR="00946B4F" w:rsidRPr="00946B4F" w:rsidRDefault="00632ECF" w:rsidP="00572213">
      <w:r>
        <w:rPr>
          <w:rStyle w:val="Strong"/>
        </w:rPr>
        <w:lastRenderedPageBreak/>
        <w:t>The</w:t>
      </w:r>
      <w:r w:rsidR="00AB1FF1">
        <w:rPr>
          <w:rStyle w:val="Strong"/>
        </w:rPr>
        <w:t xml:space="preserve"> Case Management team</w:t>
      </w:r>
      <w:r w:rsidR="00AB1FF1" w:rsidRPr="00572213">
        <w:rPr>
          <w:rStyle w:val="Strong"/>
        </w:rPr>
        <w:t xml:space="preserve"> lacks a mechanism to determine </w:t>
      </w:r>
      <w:r w:rsidR="00AB1FF1">
        <w:rPr>
          <w:rStyle w:val="Strong"/>
        </w:rPr>
        <w:t>if</w:t>
      </w:r>
      <w:r w:rsidR="00AB1FF1" w:rsidRPr="00572213">
        <w:rPr>
          <w:rStyle w:val="Strong"/>
        </w:rPr>
        <w:t xml:space="preserve"> their assistance service satisfactorily resolves disputes for small businesses and if these services are delivered conveniently, efficiently and effectively.</w:t>
      </w:r>
      <w:r w:rsidR="00AB1FF1" w:rsidRPr="00946B4F">
        <w:rPr>
          <w:b/>
          <w:bCs/>
          <w:lang w:val="en-US"/>
        </w:rPr>
        <w:t xml:space="preserve"> </w:t>
      </w:r>
      <w:r w:rsidR="00946B4F" w:rsidRPr="00946B4F">
        <w:rPr>
          <w:lang w:val="en-US"/>
        </w:rPr>
        <w:t>ASBFEO</w:t>
      </w:r>
      <w:r w:rsidR="00EF2BDB">
        <w:rPr>
          <w:lang w:val="en-US"/>
        </w:rPr>
        <w:t>’s</w:t>
      </w:r>
      <w:r w:rsidR="00946B4F" w:rsidRPr="00946B4F">
        <w:rPr>
          <w:lang w:val="en-US"/>
        </w:rPr>
        <w:t xml:space="preserve"> Contact Centre has implemented a satisfaction survey and service standards for each interaction with a small business</w:t>
      </w:r>
      <w:r w:rsidR="00F3555B">
        <w:rPr>
          <w:lang w:val="en-US"/>
        </w:rPr>
        <w:t>. This</w:t>
      </w:r>
      <w:r w:rsidR="00946B4F" w:rsidRPr="00946B4F">
        <w:rPr>
          <w:lang w:val="en-US"/>
        </w:rPr>
        <w:t xml:space="preserve"> practice should be extended to the Case Management team. Satisfaction surveys are discussed further in the </w:t>
      </w:r>
      <w:r w:rsidR="00886208">
        <w:rPr>
          <w:lang w:val="en-US"/>
        </w:rPr>
        <w:t xml:space="preserve">Reporting and </w:t>
      </w:r>
      <w:r w:rsidR="00946B4F" w:rsidRPr="00946B4F">
        <w:rPr>
          <w:lang w:val="en-US"/>
        </w:rPr>
        <w:t>Intelligence section</w:t>
      </w:r>
      <w:r w:rsidR="00CC5051">
        <w:rPr>
          <w:lang w:val="en-US"/>
        </w:rPr>
        <w:t xml:space="preserve"> of this chapter</w:t>
      </w:r>
      <w:r w:rsidR="00946B4F" w:rsidRPr="00946B4F">
        <w:rPr>
          <w:lang w:val="en-US"/>
        </w:rPr>
        <w:t>.</w:t>
      </w:r>
      <w:r w:rsidR="00946B4F" w:rsidRPr="00946B4F">
        <w:t> </w:t>
      </w:r>
    </w:p>
    <w:p w14:paraId="0D6C2D2C" w14:textId="77777777" w:rsidR="00946B4F" w:rsidRPr="00946B4F" w:rsidRDefault="00946B4F" w:rsidP="00942D43">
      <w:pPr>
        <w:pStyle w:val="Heading2"/>
      </w:pPr>
      <w:bookmarkStart w:id="53" w:name="_Toc199940962"/>
      <w:r w:rsidRPr="00946B4F">
        <w:rPr>
          <w:lang w:val="en-US"/>
        </w:rPr>
        <w:t>Referrals by the Contact Centre and ASBFEO</w:t>
      </w:r>
      <w:bookmarkEnd w:id="53"/>
      <w:r w:rsidRPr="00946B4F">
        <w:t> </w:t>
      </w:r>
    </w:p>
    <w:p w14:paraId="0A0D9C85" w14:textId="740859E0" w:rsidR="00946B4F" w:rsidRPr="00946B4F" w:rsidRDefault="00946B4F" w:rsidP="00572213">
      <w:r w:rsidRPr="00572213">
        <w:rPr>
          <w:rStyle w:val="Strong"/>
        </w:rPr>
        <w:t>From 2021–22 to 2023</w:t>
      </w:r>
      <w:r w:rsidR="00F3555B" w:rsidRPr="00572213">
        <w:rPr>
          <w:rStyle w:val="Strong"/>
        </w:rPr>
        <w:t>–</w:t>
      </w:r>
      <w:r w:rsidRPr="00572213">
        <w:rPr>
          <w:rStyle w:val="Strong"/>
        </w:rPr>
        <w:t>24 ASBFEO redirected approximately 3</w:t>
      </w:r>
      <w:r w:rsidR="00893228">
        <w:rPr>
          <w:rStyle w:val="Strong"/>
        </w:rPr>
        <w:t>,</w:t>
      </w:r>
      <w:r w:rsidRPr="00572213">
        <w:rPr>
          <w:rStyle w:val="Strong"/>
        </w:rPr>
        <w:t>000 requests for assistance to another agency that could more effectively manage the request.</w:t>
      </w:r>
      <w:r w:rsidRPr="00946B4F">
        <w:rPr>
          <w:lang w:val="en-US"/>
        </w:rPr>
        <w:t xml:space="preserve"> </w:t>
      </w:r>
      <w:r w:rsidR="00E6475F">
        <w:rPr>
          <w:lang w:val="en-US"/>
        </w:rPr>
        <w:t>S</w:t>
      </w:r>
      <w:r w:rsidRPr="00946B4F">
        <w:rPr>
          <w:lang w:val="en-US"/>
        </w:rPr>
        <w:t xml:space="preserve">mall businesses </w:t>
      </w:r>
      <w:r w:rsidR="00E6475F">
        <w:rPr>
          <w:lang w:val="en-US"/>
        </w:rPr>
        <w:t xml:space="preserve">are also able to </w:t>
      </w:r>
      <w:r w:rsidR="00F233CE">
        <w:rPr>
          <w:lang w:val="en-US"/>
        </w:rPr>
        <w:t xml:space="preserve">contact the relevant agency directly </w:t>
      </w:r>
      <w:r w:rsidR="00F233CE" w:rsidRPr="00946B4F">
        <w:rPr>
          <w:lang w:val="en-US"/>
        </w:rPr>
        <w:t>us</w:t>
      </w:r>
      <w:r w:rsidR="00F233CE">
        <w:rPr>
          <w:lang w:val="en-US"/>
        </w:rPr>
        <w:t xml:space="preserve">ing </w:t>
      </w:r>
      <w:r w:rsidRPr="00946B4F">
        <w:rPr>
          <w:lang w:val="en-US"/>
        </w:rPr>
        <w:t>the online dispute tool</w:t>
      </w:r>
      <w:r w:rsidR="003806D2">
        <w:rPr>
          <w:lang w:val="en-US"/>
        </w:rPr>
        <w:t xml:space="preserve"> on the ASBFEO website</w:t>
      </w:r>
      <w:r w:rsidR="005C7274">
        <w:rPr>
          <w:lang w:val="en-US"/>
        </w:rPr>
        <w:t>.</w:t>
      </w:r>
      <w:r w:rsidRPr="00946B4F">
        <w:rPr>
          <w:lang w:val="en-US"/>
        </w:rPr>
        <w:t xml:space="preserve"> The Contact Centre referred 14 per cent or 1,892 phone calls to </w:t>
      </w:r>
      <w:r w:rsidR="00D865EE">
        <w:rPr>
          <w:lang w:val="en-US"/>
        </w:rPr>
        <w:t>SBCs</w:t>
      </w:r>
      <w:r w:rsidRPr="00946B4F">
        <w:rPr>
          <w:lang w:val="en-US"/>
        </w:rPr>
        <w:t xml:space="preserve">, as </w:t>
      </w:r>
      <w:r w:rsidR="008C7E8E">
        <w:rPr>
          <w:lang w:val="en-US"/>
        </w:rPr>
        <w:t>indicated</w:t>
      </w:r>
      <w:r w:rsidR="008C7E8E" w:rsidRPr="00946B4F">
        <w:rPr>
          <w:lang w:val="en-US"/>
        </w:rPr>
        <w:t xml:space="preserve"> in</w:t>
      </w:r>
      <w:r w:rsidRPr="00946B4F">
        <w:rPr>
          <w:lang w:val="en-US"/>
        </w:rPr>
        <w:t xml:space="preserve"> Table </w:t>
      </w:r>
      <w:r w:rsidR="005C7274">
        <w:rPr>
          <w:lang w:val="en-US"/>
        </w:rPr>
        <w:t>4.3</w:t>
      </w:r>
      <w:r w:rsidRPr="00946B4F">
        <w:rPr>
          <w:lang w:val="en-US"/>
        </w:rPr>
        <w:t xml:space="preserve">. In addition, the Case Management team reviewed and referred 1,111 cases to other agencies as outlined in </w:t>
      </w:r>
      <w:r w:rsidR="00833511">
        <w:rPr>
          <w:lang w:val="en-US"/>
        </w:rPr>
        <w:t>T</w:t>
      </w:r>
      <w:r w:rsidRPr="00946B4F">
        <w:rPr>
          <w:lang w:val="en-US"/>
        </w:rPr>
        <w:t xml:space="preserve">able </w:t>
      </w:r>
      <w:r w:rsidR="005C7274" w:rsidRPr="0010234A">
        <w:rPr>
          <w:lang w:val="en-US"/>
        </w:rPr>
        <w:t>4.4</w:t>
      </w:r>
      <w:r w:rsidR="00916FA5">
        <w:rPr>
          <w:lang w:val="en-US"/>
        </w:rPr>
        <w:t xml:space="preserve">. </w:t>
      </w:r>
    </w:p>
    <w:p w14:paraId="473A623F" w14:textId="74473197" w:rsidR="00946B4F" w:rsidRPr="00617DA9" w:rsidRDefault="00585FBF" w:rsidP="00AF37B6">
      <w:pPr>
        <w:pStyle w:val="TableMainHeading"/>
        <w:rPr>
          <w:lang w:val="en-US"/>
        </w:rPr>
      </w:pPr>
      <w:r>
        <w:rPr>
          <w:lang w:val="en-US"/>
        </w:rPr>
        <w:t>Table 4.3</w:t>
      </w:r>
      <w:r w:rsidR="009C503A">
        <w:rPr>
          <w:lang w:val="en-US"/>
        </w:rPr>
        <w:t>:</w:t>
      </w:r>
      <w:r>
        <w:rPr>
          <w:lang w:val="en-US"/>
        </w:rPr>
        <w:t xml:space="preserve"> </w:t>
      </w:r>
      <w:r w:rsidRPr="00946B4F">
        <w:rPr>
          <w:lang w:val="en-US"/>
        </w:rPr>
        <w:t xml:space="preserve">Referrals by </w:t>
      </w:r>
      <w:r w:rsidR="006A50DD">
        <w:rPr>
          <w:lang w:val="en-US"/>
        </w:rPr>
        <w:t xml:space="preserve">the </w:t>
      </w:r>
      <w:r w:rsidRPr="00946B4F">
        <w:rPr>
          <w:lang w:val="en-US"/>
        </w:rPr>
        <w:t xml:space="preserve">ASBFEO Contact Centre to </w:t>
      </w:r>
      <w:r w:rsidR="00833511">
        <w:rPr>
          <w:lang w:val="en-US"/>
        </w:rPr>
        <w:t>s</w:t>
      </w:r>
      <w:r w:rsidRPr="00946B4F">
        <w:rPr>
          <w:lang w:val="en-US"/>
        </w:rPr>
        <w:t xml:space="preserve">mall </w:t>
      </w:r>
      <w:r w:rsidR="00833511">
        <w:rPr>
          <w:lang w:val="en-US"/>
        </w:rPr>
        <w:t>b</w:t>
      </w:r>
      <w:r w:rsidRPr="00946B4F">
        <w:rPr>
          <w:lang w:val="en-US"/>
        </w:rPr>
        <w:t xml:space="preserve">usiness </w:t>
      </w:r>
      <w:r w:rsidR="00833511">
        <w:rPr>
          <w:lang w:val="en-US"/>
        </w:rPr>
        <w:t>c</w:t>
      </w:r>
      <w:r w:rsidRPr="00946B4F">
        <w:rPr>
          <w:lang w:val="en-US"/>
        </w:rPr>
        <w:t>ommissioners or equivalent</w:t>
      </w:r>
      <w:r w:rsidRPr="00617DA9">
        <w:rPr>
          <w:lang w:val="en-US"/>
        </w:rPr>
        <w:t> </w:t>
      </w:r>
    </w:p>
    <w:tbl>
      <w:tblPr>
        <w:tblStyle w:val="TableGrid"/>
        <w:tblW w:w="9070" w:type="dxa"/>
        <w:tblLook w:val="04A0" w:firstRow="1" w:lastRow="0" w:firstColumn="1" w:lastColumn="0" w:noHBand="0" w:noVBand="1"/>
      </w:tblPr>
      <w:tblGrid>
        <w:gridCol w:w="3969"/>
        <w:gridCol w:w="1275"/>
        <w:gridCol w:w="1275"/>
        <w:gridCol w:w="1275"/>
        <w:gridCol w:w="1276"/>
      </w:tblGrid>
      <w:tr w:rsidR="00946B4F" w:rsidRPr="00946B4F" w14:paraId="754371F0" w14:textId="77777777" w:rsidTr="00A604D5">
        <w:trPr>
          <w:cnfStyle w:val="100000000000" w:firstRow="1" w:lastRow="0" w:firstColumn="0" w:lastColumn="0" w:oddVBand="0" w:evenVBand="0" w:oddHBand="0" w:evenHBand="0" w:firstRowFirstColumn="0" w:firstRowLastColumn="0" w:lastRowFirstColumn="0" w:lastRowLastColumn="0"/>
          <w:trHeight w:val="300"/>
        </w:trPr>
        <w:tc>
          <w:tcPr>
            <w:tcW w:w="3969" w:type="dxa"/>
            <w:hideMark/>
          </w:tcPr>
          <w:p w14:paraId="6DC9DFEB" w14:textId="455F22D4" w:rsidR="00946B4F" w:rsidRPr="004D1FDF" w:rsidRDefault="00946B4F" w:rsidP="00AF37B6">
            <w:pPr>
              <w:pStyle w:val="TableTextLeft"/>
              <w:rPr>
                <w:b/>
              </w:rPr>
            </w:pPr>
          </w:p>
        </w:tc>
        <w:tc>
          <w:tcPr>
            <w:tcW w:w="1275" w:type="dxa"/>
            <w:hideMark/>
          </w:tcPr>
          <w:p w14:paraId="74A02A29" w14:textId="6591DEFE" w:rsidR="00946B4F" w:rsidRPr="00A604D5" w:rsidRDefault="00946B4F" w:rsidP="00196649">
            <w:pPr>
              <w:pStyle w:val="TableColumnHeadingRight"/>
            </w:pPr>
            <w:r w:rsidRPr="00A604D5">
              <w:t>2021</w:t>
            </w:r>
            <w:r w:rsidR="00D05414" w:rsidRPr="00A604D5">
              <w:t>–</w:t>
            </w:r>
            <w:r w:rsidRPr="00A604D5">
              <w:t>22</w:t>
            </w:r>
          </w:p>
        </w:tc>
        <w:tc>
          <w:tcPr>
            <w:tcW w:w="1275" w:type="dxa"/>
            <w:hideMark/>
          </w:tcPr>
          <w:p w14:paraId="3F7E6766" w14:textId="59A284AD" w:rsidR="00946B4F" w:rsidRPr="00A604D5" w:rsidRDefault="00946B4F" w:rsidP="00196649">
            <w:pPr>
              <w:pStyle w:val="TableColumnHeadingRight"/>
            </w:pPr>
            <w:r w:rsidRPr="00A604D5">
              <w:t>2022</w:t>
            </w:r>
            <w:r w:rsidR="00D05414" w:rsidRPr="00A604D5">
              <w:t>–</w:t>
            </w:r>
            <w:r w:rsidRPr="00A604D5">
              <w:t>23</w:t>
            </w:r>
          </w:p>
        </w:tc>
        <w:tc>
          <w:tcPr>
            <w:tcW w:w="1275" w:type="dxa"/>
            <w:hideMark/>
          </w:tcPr>
          <w:p w14:paraId="6F517B4F" w14:textId="7C38AD6E" w:rsidR="00946B4F" w:rsidRPr="00A604D5" w:rsidRDefault="00946B4F" w:rsidP="00196649">
            <w:pPr>
              <w:pStyle w:val="TableColumnHeadingRight"/>
            </w:pPr>
            <w:r w:rsidRPr="00A604D5">
              <w:t>2022</w:t>
            </w:r>
            <w:r w:rsidR="00D05414" w:rsidRPr="00A604D5">
              <w:t>–</w:t>
            </w:r>
            <w:r w:rsidRPr="00A604D5">
              <w:t>23</w:t>
            </w:r>
          </w:p>
        </w:tc>
        <w:tc>
          <w:tcPr>
            <w:tcW w:w="1276" w:type="dxa"/>
            <w:hideMark/>
          </w:tcPr>
          <w:p w14:paraId="23F47BF0" w14:textId="6865983B" w:rsidR="00946B4F" w:rsidRPr="00A604D5" w:rsidRDefault="00946B4F" w:rsidP="00196649">
            <w:pPr>
              <w:pStyle w:val="TableColumnHeadingRight"/>
            </w:pPr>
            <w:r w:rsidRPr="00A604D5">
              <w:t>3</w:t>
            </w:r>
            <w:r w:rsidR="003A0D5E">
              <w:noBreakHyphen/>
            </w:r>
            <w:r w:rsidRPr="00A604D5">
              <w:t>y</w:t>
            </w:r>
            <w:r w:rsidR="008A4407" w:rsidRPr="00A604D5">
              <w:t>ea</w:t>
            </w:r>
            <w:r w:rsidRPr="00A604D5">
              <w:t>r total</w:t>
            </w:r>
          </w:p>
        </w:tc>
      </w:tr>
      <w:tr w:rsidR="00946B4F" w:rsidRPr="00946B4F" w14:paraId="3917CAA1" w14:textId="77777777" w:rsidTr="00A604D5">
        <w:trPr>
          <w:cnfStyle w:val="000000100000" w:firstRow="0" w:lastRow="0" w:firstColumn="0" w:lastColumn="0" w:oddVBand="0" w:evenVBand="0" w:oddHBand="1" w:evenHBand="0" w:firstRowFirstColumn="0" w:firstRowLastColumn="0" w:lastRowFirstColumn="0" w:lastRowLastColumn="0"/>
          <w:trHeight w:val="300"/>
        </w:trPr>
        <w:tc>
          <w:tcPr>
            <w:tcW w:w="3969" w:type="dxa"/>
            <w:hideMark/>
          </w:tcPr>
          <w:p w14:paraId="3776F687" w14:textId="77777777" w:rsidR="00946B4F" w:rsidRPr="00946B4F" w:rsidRDefault="00946B4F" w:rsidP="00AF37B6">
            <w:pPr>
              <w:pStyle w:val="TableTextLeft"/>
            </w:pPr>
            <w:r w:rsidRPr="00946B4F">
              <w:rPr>
                <w:lang w:val="en-US"/>
              </w:rPr>
              <w:t>Access Canberra </w:t>
            </w:r>
            <w:r w:rsidRPr="00946B4F">
              <w:t> </w:t>
            </w:r>
          </w:p>
        </w:tc>
        <w:tc>
          <w:tcPr>
            <w:tcW w:w="1275" w:type="dxa"/>
            <w:hideMark/>
          </w:tcPr>
          <w:p w14:paraId="69DC7A13" w14:textId="43F648FD" w:rsidR="00946B4F" w:rsidRPr="00946B4F" w:rsidRDefault="00946B4F" w:rsidP="00196649">
            <w:pPr>
              <w:pStyle w:val="TableTextRight"/>
            </w:pPr>
            <w:r w:rsidRPr="00946B4F">
              <w:rPr>
                <w:lang w:val="en-US"/>
              </w:rPr>
              <w:t>14</w:t>
            </w:r>
          </w:p>
        </w:tc>
        <w:tc>
          <w:tcPr>
            <w:tcW w:w="1275" w:type="dxa"/>
            <w:hideMark/>
          </w:tcPr>
          <w:p w14:paraId="4A440D5C" w14:textId="2E2B8F7A" w:rsidR="00946B4F" w:rsidRPr="00946B4F" w:rsidRDefault="00946B4F" w:rsidP="00196649">
            <w:pPr>
              <w:pStyle w:val="TableTextRight"/>
            </w:pPr>
            <w:r w:rsidRPr="00946B4F">
              <w:rPr>
                <w:lang w:val="en-US"/>
              </w:rPr>
              <w:t>12</w:t>
            </w:r>
          </w:p>
        </w:tc>
        <w:tc>
          <w:tcPr>
            <w:tcW w:w="1275" w:type="dxa"/>
            <w:hideMark/>
          </w:tcPr>
          <w:p w14:paraId="2FC14FD3" w14:textId="4DA6EB21" w:rsidR="00946B4F" w:rsidRPr="00946B4F" w:rsidRDefault="00946B4F" w:rsidP="00196649">
            <w:pPr>
              <w:pStyle w:val="TableTextRight"/>
            </w:pPr>
            <w:r w:rsidRPr="00946B4F">
              <w:rPr>
                <w:lang w:val="en-US"/>
              </w:rPr>
              <w:t>4</w:t>
            </w:r>
          </w:p>
        </w:tc>
        <w:tc>
          <w:tcPr>
            <w:tcW w:w="1276" w:type="dxa"/>
            <w:hideMark/>
          </w:tcPr>
          <w:p w14:paraId="26201D7B" w14:textId="51F90C3B" w:rsidR="00946B4F" w:rsidRPr="00946B4F" w:rsidRDefault="00946B4F" w:rsidP="00196649">
            <w:pPr>
              <w:pStyle w:val="TableTextRight"/>
            </w:pPr>
            <w:r w:rsidRPr="00946B4F">
              <w:rPr>
                <w:lang w:val="en-US"/>
              </w:rPr>
              <w:t>30</w:t>
            </w:r>
          </w:p>
        </w:tc>
      </w:tr>
      <w:tr w:rsidR="00946B4F" w:rsidRPr="00946B4F" w14:paraId="008C5047" w14:textId="77777777" w:rsidTr="00A604D5">
        <w:trPr>
          <w:cnfStyle w:val="000000010000" w:firstRow="0" w:lastRow="0" w:firstColumn="0" w:lastColumn="0" w:oddVBand="0" w:evenVBand="0" w:oddHBand="0" w:evenHBand="1" w:firstRowFirstColumn="0" w:firstRowLastColumn="0" w:lastRowFirstColumn="0" w:lastRowLastColumn="0"/>
          <w:trHeight w:val="300"/>
        </w:trPr>
        <w:tc>
          <w:tcPr>
            <w:tcW w:w="3969" w:type="dxa"/>
            <w:hideMark/>
          </w:tcPr>
          <w:p w14:paraId="60C55F3F" w14:textId="24BF9F85" w:rsidR="00946B4F" w:rsidRPr="00946B4F" w:rsidRDefault="00946B4F" w:rsidP="00AF37B6">
            <w:pPr>
              <w:pStyle w:val="TableTextLeft"/>
            </w:pPr>
            <w:r w:rsidRPr="00946B4F">
              <w:rPr>
                <w:lang w:val="en-US"/>
              </w:rPr>
              <w:t>N</w:t>
            </w:r>
            <w:r w:rsidR="00B71136">
              <w:rPr>
                <w:lang w:val="en-US"/>
              </w:rPr>
              <w:t>ew South</w:t>
            </w:r>
            <w:r w:rsidR="00CF533A">
              <w:rPr>
                <w:lang w:val="en-US"/>
              </w:rPr>
              <w:t xml:space="preserve"> Wal</w:t>
            </w:r>
            <w:r w:rsidR="00625359">
              <w:rPr>
                <w:lang w:val="en-US"/>
              </w:rPr>
              <w:t>e</w:t>
            </w:r>
            <w:r w:rsidR="00CF533A">
              <w:rPr>
                <w:lang w:val="en-US"/>
              </w:rPr>
              <w:t>s</w:t>
            </w:r>
            <w:r w:rsidRPr="00946B4F">
              <w:rPr>
                <w:lang w:val="en-US"/>
              </w:rPr>
              <w:t xml:space="preserve"> Small Business Commissioner </w:t>
            </w:r>
            <w:r w:rsidRPr="00946B4F">
              <w:t> </w:t>
            </w:r>
          </w:p>
        </w:tc>
        <w:tc>
          <w:tcPr>
            <w:tcW w:w="1275" w:type="dxa"/>
            <w:hideMark/>
          </w:tcPr>
          <w:p w14:paraId="0EE3EF26" w14:textId="6B6AA395" w:rsidR="00946B4F" w:rsidRPr="00946B4F" w:rsidRDefault="00946B4F" w:rsidP="00196649">
            <w:pPr>
              <w:pStyle w:val="TableTextRight"/>
            </w:pPr>
            <w:r w:rsidRPr="00946B4F">
              <w:rPr>
                <w:lang w:val="en-US"/>
              </w:rPr>
              <w:t>295</w:t>
            </w:r>
          </w:p>
        </w:tc>
        <w:tc>
          <w:tcPr>
            <w:tcW w:w="1275" w:type="dxa"/>
            <w:hideMark/>
          </w:tcPr>
          <w:p w14:paraId="595A3090" w14:textId="192382F1" w:rsidR="00946B4F" w:rsidRPr="00946B4F" w:rsidRDefault="00946B4F" w:rsidP="00196649">
            <w:pPr>
              <w:pStyle w:val="TableTextRight"/>
            </w:pPr>
            <w:r w:rsidRPr="00946B4F">
              <w:rPr>
                <w:lang w:val="en-US"/>
              </w:rPr>
              <w:t>280</w:t>
            </w:r>
          </w:p>
        </w:tc>
        <w:tc>
          <w:tcPr>
            <w:tcW w:w="1275" w:type="dxa"/>
            <w:hideMark/>
          </w:tcPr>
          <w:p w14:paraId="7405E125" w14:textId="720F3CDD" w:rsidR="00946B4F" w:rsidRPr="00946B4F" w:rsidRDefault="00946B4F" w:rsidP="00196649">
            <w:pPr>
              <w:pStyle w:val="TableTextRight"/>
            </w:pPr>
            <w:r w:rsidRPr="00946B4F">
              <w:rPr>
                <w:lang w:val="en-US"/>
              </w:rPr>
              <w:t>162</w:t>
            </w:r>
          </w:p>
        </w:tc>
        <w:tc>
          <w:tcPr>
            <w:tcW w:w="1276" w:type="dxa"/>
            <w:hideMark/>
          </w:tcPr>
          <w:p w14:paraId="209B4AAB" w14:textId="7558ACF8" w:rsidR="00946B4F" w:rsidRPr="00946B4F" w:rsidRDefault="00946B4F" w:rsidP="00196649">
            <w:pPr>
              <w:pStyle w:val="TableTextRight"/>
            </w:pPr>
            <w:r w:rsidRPr="00946B4F">
              <w:rPr>
                <w:lang w:val="en-US"/>
              </w:rPr>
              <w:t>737</w:t>
            </w:r>
          </w:p>
        </w:tc>
      </w:tr>
      <w:tr w:rsidR="00946B4F" w:rsidRPr="00946B4F" w14:paraId="4CAC523C" w14:textId="77777777" w:rsidTr="00A604D5">
        <w:trPr>
          <w:cnfStyle w:val="000000100000" w:firstRow="0" w:lastRow="0" w:firstColumn="0" w:lastColumn="0" w:oddVBand="0" w:evenVBand="0" w:oddHBand="1" w:evenHBand="0" w:firstRowFirstColumn="0" w:firstRowLastColumn="0" w:lastRowFirstColumn="0" w:lastRowLastColumn="0"/>
          <w:trHeight w:val="300"/>
        </w:trPr>
        <w:tc>
          <w:tcPr>
            <w:tcW w:w="3969" w:type="dxa"/>
            <w:hideMark/>
          </w:tcPr>
          <w:p w14:paraId="21F05237" w14:textId="665766DA" w:rsidR="00946B4F" w:rsidRPr="00946B4F" w:rsidRDefault="00946B4F" w:rsidP="00AF37B6">
            <w:pPr>
              <w:pStyle w:val="TableTextLeft"/>
            </w:pPr>
            <w:r w:rsidRPr="00946B4F">
              <w:rPr>
                <w:lang w:val="en-US"/>
              </w:rPr>
              <w:t>Q</w:t>
            </w:r>
            <w:r w:rsidR="00CF533A">
              <w:rPr>
                <w:lang w:val="en-US"/>
              </w:rPr>
              <w:t>ueensland</w:t>
            </w:r>
            <w:r w:rsidRPr="00946B4F">
              <w:rPr>
                <w:lang w:val="en-US"/>
              </w:rPr>
              <w:t xml:space="preserve"> Small Business Commissioner </w:t>
            </w:r>
            <w:r w:rsidRPr="00946B4F">
              <w:t> </w:t>
            </w:r>
          </w:p>
        </w:tc>
        <w:tc>
          <w:tcPr>
            <w:tcW w:w="1275" w:type="dxa"/>
            <w:hideMark/>
          </w:tcPr>
          <w:p w14:paraId="1B8ED815" w14:textId="016CFB21" w:rsidR="00946B4F" w:rsidRPr="00946B4F" w:rsidRDefault="00946B4F" w:rsidP="00196649">
            <w:pPr>
              <w:pStyle w:val="TableTextRight"/>
            </w:pPr>
            <w:r w:rsidRPr="00946B4F">
              <w:rPr>
                <w:lang w:val="en-US"/>
              </w:rPr>
              <w:t>20</w:t>
            </w:r>
          </w:p>
        </w:tc>
        <w:tc>
          <w:tcPr>
            <w:tcW w:w="1275" w:type="dxa"/>
            <w:hideMark/>
          </w:tcPr>
          <w:p w14:paraId="52046346" w14:textId="3C77B367" w:rsidR="00946B4F" w:rsidRPr="00946B4F" w:rsidRDefault="00946B4F" w:rsidP="00196649">
            <w:pPr>
              <w:pStyle w:val="TableTextRight"/>
            </w:pPr>
            <w:r w:rsidRPr="00946B4F">
              <w:rPr>
                <w:lang w:val="en-US"/>
              </w:rPr>
              <w:t>26</w:t>
            </w:r>
          </w:p>
        </w:tc>
        <w:tc>
          <w:tcPr>
            <w:tcW w:w="1275" w:type="dxa"/>
            <w:hideMark/>
          </w:tcPr>
          <w:p w14:paraId="0D615B1F" w14:textId="5EA51B5E" w:rsidR="00946B4F" w:rsidRPr="00946B4F" w:rsidRDefault="00946B4F" w:rsidP="00196649">
            <w:pPr>
              <w:pStyle w:val="TableTextRight"/>
            </w:pPr>
            <w:r w:rsidRPr="00946B4F">
              <w:rPr>
                <w:lang w:val="en-US"/>
              </w:rPr>
              <w:t>50</w:t>
            </w:r>
          </w:p>
        </w:tc>
        <w:tc>
          <w:tcPr>
            <w:tcW w:w="1276" w:type="dxa"/>
            <w:hideMark/>
          </w:tcPr>
          <w:p w14:paraId="6AF17898" w14:textId="10009C98" w:rsidR="00946B4F" w:rsidRPr="00946B4F" w:rsidRDefault="00946B4F" w:rsidP="00196649">
            <w:pPr>
              <w:pStyle w:val="TableTextRight"/>
            </w:pPr>
            <w:r w:rsidRPr="00946B4F">
              <w:rPr>
                <w:lang w:val="en-US"/>
              </w:rPr>
              <w:t>96</w:t>
            </w:r>
          </w:p>
        </w:tc>
      </w:tr>
      <w:tr w:rsidR="00946B4F" w:rsidRPr="00946B4F" w14:paraId="036E4185" w14:textId="77777777" w:rsidTr="00A604D5">
        <w:trPr>
          <w:cnfStyle w:val="000000010000" w:firstRow="0" w:lastRow="0" w:firstColumn="0" w:lastColumn="0" w:oddVBand="0" w:evenVBand="0" w:oddHBand="0" w:evenHBand="1" w:firstRowFirstColumn="0" w:firstRowLastColumn="0" w:lastRowFirstColumn="0" w:lastRowLastColumn="0"/>
          <w:trHeight w:val="300"/>
        </w:trPr>
        <w:tc>
          <w:tcPr>
            <w:tcW w:w="3969" w:type="dxa"/>
            <w:hideMark/>
          </w:tcPr>
          <w:p w14:paraId="09DB9ABF" w14:textId="42119DDD" w:rsidR="00946B4F" w:rsidRPr="00946B4F" w:rsidRDefault="00CF533A" w:rsidP="00AF37B6">
            <w:pPr>
              <w:pStyle w:val="TableTextLeft"/>
            </w:pPr>
            <w:r>
              <w:rPr>
                <w:lang w:val="en-US"/>
              </w:rPr>
              <w:t xml:space="preserve">South </w:t>
            </w:r>
            <w:r w:rsidR="006A007E">
              <w:rPr>
                <w:lang w:val="en-US"/>
              </w:rPr>
              <w:t>Australia</w:t>
            </w:r>
            <w:r w:rsidR="00265EF1">
              <w:rPr>
                <w:lang w:val="en-US"/>
              </w:rPr>
              <w:t>n</w:t>
            </w:r>
            <w:r w:rsidR="00946B4F" w:rsidRPr="00946B4F">
              <w:rPr>
                <w:lang w:val="en-US"/>
              </w:rPr>
              <w:t xml:space="preserve"> Small Business Commissioner </w:t>
            </w:r>
            <w:r w:rsidR="00946B4F" w:rsidRPr="00946B4F">
              <w:t> </w:t>
            </w:r>
          </w:p>
        </w:tc>
        <w:tc>
          <w:tcPr>
            <w:tcW w:w="1275" w:type="dxa"/>
            <w:hideMark/>
          </w:tcPr>
          <w:p w14:paraId="48CC47C9" w14:textId="61C447B7" w:rsidR="00946B4F" w:rsidRPr="00946B4F" w:rsidRDefault="00946B4F" w:rsidP="00196649">
            <w:pPr>
              <w:pStyle w:val="TableTextRight"/>
            </w:pPr>
            <w:r w:rsidRPr="00946B4F">
              <w:rPr>
                <w:lang w:val="en-US"/>
              </w:rPr>
              <w:t>63</w:t>
            </w:r>
          </w:p>
        </w:tc>
        <w:tc>
          <w:tcPr>
            <w:tcW w:w="1275" w:type="dxa"/>
            <w:hideMark/>
          </w:tcPr>
          <w:p w14:paraId="5FEABEE9" w14:textId="2ADA5CA3" w:rsidR="00946B4F" w:rsidRPr="00946B4F" w:rsidRDefault="00946B4F" w:rsidP="00196649">
            <w:pPr>
              <w:pStyle w:val="TableTextRight"/>
            </w:pPr>
            <w:r w:rsidRPr="00946B4F">
              <w:rPr>
                <w:lang w:val="en-US"/>
              </w:rPr>
              <w:t>55</w:t>
            </w:r>
          </w:p>
        </w:tc>
        <w:tc>
          <w:tcPr>
            <w:tcW w:w="1275" w:type="dxa"/>
            <w:hideMark/>
          </w:tcPr>
          <w:p w14:paraId="4BAAE921" w14:textId="1539CEAE" w:rsidR="00946B4F" w:rsidRPr="00946B4F" w:rsidRDefault="00946B4F" w:rsidP="00196649">
            <w:pPr>
              <w:pStyle w:val="TableTextRight"/>
            </w:pPr>
            <w:r w:rsidRPr="00946B4F">
              <w:rPr>
                <w:lang w:val="en-US"/>
              </w:rPr>
              <w:t>26</w:t>
            </w:r>
          </w:p>
        </w:tc>
        <w:tc>
          <w:tcPr>
            <w:tcW w:w="1276" w:type="dxa"/>
            <w:hideMark/>
          </w:tcPr>
          <w:p w14:paraId="76BE73D2" w14:textId="62FE6733" w:rsidR="00946B4F" w:rsidRPr="00946B4F" w:rsidRDefault="00946B4F" w:rsidP="00196649">
            <w:pPr>
              <w:pStyle w:val="TableTextRight"/>
            </w:pPr>
            <w:r w:rsidRPr="00946B4F">
              <w:rPr>
                <w:lang w:val="en-US"/>
              </w:rPr>
              <w:t>144</w:t>
            </w:r>
          </w:p>
        </w:tc>
      </w:tr>
      <w:tr w:rsidR="00946B4F" w:rsidRPr="00946B4F" w14:paraId="05A0658A" w14:textId="77777777" w:rsidTr="00A604D5">
        <w:trPr>
          <w:cnfStyle w:val="000000100000" w:firstRow="0" w:lastRow="0" w:firstColumn="0" w:lastColumn="0" w:oddVBand="0" w:evenVBand="0" w:oddHBand="1" w:evenHBand="0" w:firstRowFirstColumn="0" w:firstRowLastColumn="0" w:lastRowFirstColumn="0" w:lastRowLastColumn="0"/>
          <w:trHeight w:val="300"/>
        </w:trPr>
        <w:tc>
          <w:tcPr>
            <w:tcW w:w="3969" w:type="dxa"/>
            <w:hideMark/>
          </w:tcPr>
          <w:p w14:paraId="37D4331B" w14:textId="38E1EF38" w:rsidR="00946B4F" w:rsidRPr="00946B4F" w:rsidRDefault="00946B4F" w:rsidP="00AF37B6">
            <w:pPr>
              <w:pStyle w:val="TableTextLeft"/>
            </w:pPr>
            <w:r w:rsidRPr="00946B4F">
              <w:rPr>
                <w:lang w:val="en-US"/>
              </w:rPr>
              <w:t>V</w:t>
            </w:r>
            <w:r w:rsidR="00265EF1">
              <w:rPr>
                <w:lang w:val="en-US"/>
              </w:rPr>
              <w:t>ictorian</w:t>
            </w:r>
            <w:r w:rsidRPr="00946B4F">
              <w:rPr>
                <w:lang w:val="en-US"/>
              </w:rPr>
              <w:t xml:space="preserve"> Small Business Commissioner </w:t>
            </w:r>
            <w:r w:rsidRPr="00946B4F">
              <w:t> </w:t>
            </w:r>
          </w:p>
        </w:tc>
        <w:tc>
          <w:tcPr>
            <w:tcW w:w="1275" w:type="dxa"/>
            <w:hideMark/>
          </w:tcPr>
          <w:p w14:paraId="62B95797" w14:textId="1EFD869E" w:rsidR="00946B4F" w:rsidRPr="00946B4F" w:rsidRDefault="00946B4F" w:rsidP="00196649">
            <w:pPr>
              <w:pStyle w:val="TableTextRight"/>
            </w:pPr>
            <w:r w:rsidRPr="00946B4F">
              <w:rPr>
                <w:lang w:val="en-US"/>
              </w:rPr>
              <w:t>286</w:t>
            </w:r>
          </w:p>
        </w:tc>
        <w:tc>
          <w:tcPr>
            <w:tcW w:w="1275" w:type="dxa"/>
            <w:hideMark/>
          </w:tcPr>
          <w:p w14:paraId="7B623250" w14:textId="5C555A77" w:rsidR="00946B4F" w:rsidRPr="00946B4F" w:rsidRDefault="00946B4F" w:rsidP="00196649">
            <w:pPr>
              <w:pStyle w:val="TableTextRight"/>
            </w:pPr>
            <w:r w:rsidRPr="00946B4F">
              <w:rPr>
                <w:lang w:val="en-US"/>
              </w:rPr>
              <w:t>285</w:t>
            </w:r>
          </w:p>
        </w:tc>
        <w:tc>
          <w:tcPr>
            <w:tcW w:w="1275" w:type="dxa"/>
            <w:hideMark/>
          </w:tcPr>
          <w:p w14:paraId="01312DF0" w14:textId="541DFD2D" w:rsidR="00946B4F" w:rsidRPr="00946B4F" w:rsidRDefault="00946B4F" w:rsidP="00196649">
            <w:pPr>
              <w:pStyle w:val="TableTextRight"/>
            </w:pPr>
            <w:r w:rsidRPr="00946B4F">
              <w:rPr>
                <w:lang w:val="en-US"/>
              </w:rPr>
              <w:t>125</w:t>
            </w:r>
          </w:p>
        </w:tc>
        <w:tc>
          <w:tcPr>
            <w:tcW w:w="1276" w:type="dxa"/>
            <w:hideMark/>
          </w:tcPr>
          <w:p w14:paraId="56BC01DD" w14:textId="6D287796" w:rsidR="00946B4F" w:rsidRPr="00946B4F" w:rsidRDefault="00946B4F" w:rsidP="00196649">
            <w:pPr>
              <w:pStyle w:val="TableTextRight"/>
            </w:pPr>
            <w:r w:rsidRPr="00946B4F">
              <w:rPr>
                <w:lang w:val="en-US"/>
              </w:rPr>
              <w:t>696</w:t>
            </w:r>
          </w:p>
        </w:tc>
      </w:tr>
      <w:tr w:rsidR="00946B4F" w:rsidRPr="00946B4F" w14:paraId="4A700716" w14:textId="77777777" w:rsidTr="00A604D5">
        <w:trPr>
          <w:cnfStyle w:val="000000010000" w:firstRow="0" w:lastRow="0" w:firstColumn="0" w:lastColumn="0" w:oddVBand="0" w:evenVBand="0" w:oddHBand="0" w:evenHBand="1" w:firstRowFirstColumn="0" w:firstRowLastColumn="0" w:lastRowFirstColumn="0" w:lastRowLastColumn="0"/>
          <w:trHeight w:val="300"/>
        </w:trPr>
        <w:tc>
          <w:tcPr>
            <w:tcW w:w="3969" w:type="dxa"/>
            <w:hideMark/>
          </w:tcPr>
          <w:p w14:paraId="75640D70" w14:textId="4EA2F935" w:rsidR="00946B4F" w:rsidRPr="00946B4F" w:rsidRDefault="00946B4F" w:rsidP="00AF37B6">
            <w:pPr>
              <w:pStyle w:val="TableTextLeft"/>
            </w:pPr>
            <w:r w:rsidRPr="00946B4F">
              <w:rPr>
                <w:lang w:val="en-US"/>
              </w:rPr>
              <w:t>W</w:t>
            </w:r>
            <w:r w:rsidR="005F08B5">
              <w:rPr>
                <w:lang w:val="en-US"/>
              </w:rPr>
              <w:t>estern Australia</w:t>
            </w:r>
            <w:r w:rsidRPr="00946B4F">
              <w:rPr>
                <w:lang w:val="en-US"/>
              </w:rPr>
              <w:t xml:space="preserve"> Small Business Development Corporation </w:t>
            </w:r>
            <w:r w:rsidRPr="00946B4F">
              <w:t> </w:t>
            </w:r>
          </w:p>
        </w:tc>
        <w:tc>
          <w:tcPr>
            <w:tcW w:w="1275" w:type="dxa"/>
            <w:hideMark/>
          </w:tcPr>
          <w:p w14:paraId="1A646545" w14:textId="51C09E0D" w:rsidR="00946B4F" w:rsidRPr="00946B4F" w:rsidRDefault="00946B4F" w:rsidP="00196649">
            <w:pPr>
              <w:pStyle w:val="TableTextRight"/>
            </w:pPr>
            <w:r w:rsidRPr="00946B4F">
              <w:rPr>
                <w:lang w:val="en-US"/>
              </w:rPr>
              <w:t>73</w:t>
            </w:r>
          </w:p>
        </w:tc>
        <w:tc>
          <w:tcPr>
            <w:tcW w:w="1275" w:type="dxa"/>
            <w:hideMark/>
          </w:tcPr>
          <w:p w14:paraId="188DCAFB" w14:textId="247113A4" w:rsidR="00946B4F" w:rsidRPr="00946B4F" w:rsidRDefault="00946B4F" w:rsidP="00196649">
            <w:pPr>
              <w:pStyle w:val="TableTextRight"/>
            </w:pPr>
            <w:r w:rsidRPr="00946B4F">
              <w:rPr>
                <w:lang w:val="en-US"/>
              </w:rPr>
              <w:t>82</w:t>
            </w:r>
          </w:p>
        </w:tc>
        <w:tc>
          <w:tcPr>
            <w:tcW w:w="1275" w:type="dxa"/>
            <w:hideMark/>
          </w:tcPr>
          <w:p w14:paraId="12B0BA88" w14:textId="40008B77" w:rsidR="00946B4F" w:rsidRPr="00946B4F" w:rsidRDefault="00946B4F" w:rsidP="00196649">
            <w:pPr>
              <w:pStyle w:val="TableTextRight"/>
            </w:pPr>
            <w:r w:rsidRPr="00946B4F">
              <w:rPr>
                <w:lang w:val="en-US"/>
              </w:rPr>
              <w:t>34</w:t>
            </w:r>
          </w:p>
        </w:tc>
        <w:tc>
          <w:tcPr>
            <w:tcW w:w="1276" w:type="dxa"/>
            <w:hideMark/>
          </w:tcPr>
          <w:p w14:paraId="20F0A17D" w14:textId="2F311767" w:rsidR="00946B4F" w:rsidRPr="00946B4F" w:rsidRDefault="00946B4F" w:rsidP="00196649">
            <w:pPr>
              <w:pStyle w:val="TableTextRight"/>
            </w:pPr>
            <w:r w:rsidRPr="00946B4F">
              <w:rPr>
                <w:lang w:val="en-US"/>
              </w:rPr>
              <w:t>189</w:t>
            </w:r>
          </w:p>
        </w:tc>
      </w:tr>
      <w:tr w:rsidR="00946B4F" w:rsidRPr="00946B4F" w14:paraId="57CAB939" w14:textId="77777777" w:rsidTr="00A604D5">
        <w:trPr>
          <w:cnfStyle w:val="000000100000" w:firstRow="0" w:lastRow="0" w:firstColumn="0" w:lastColumn="0" w:oddVBand="0" w:evenVBand="0" w:oddHBand="1" w:evenHBand="0" w:firstRowFirstColumn="0" w:firstRowLastColumn="0" w:lastRowFirstColumn="0" w:lastRowLastColumn="0"/>
          <w:trHeight w:val="300"/>
        </w:trPr>
        <w:tc>
          <w:tcPr>
            <w:tcW w:w="3969" w:type="dxa"/>
            <w:hideMark/>
          </w:tcPr>
          <w:p w14:paraId="46CCA631" w14:textId="77777777" w:rsidR="00946B4F" w:rsidRPr="00572213" w:rsidRDefault="00946B4F" w:rsidP="00AF37B6">
            <w:pPr>
              <w:pStyle w:val="TableTextLeft"/>
              <w:rPr>
                <w:rStyle w:val="Strong"/>
              </w:rPr>
            </w:pPr>
            <w:r w:rsidRPr="00572213">
              <w:rPr>
                <w:rStyle w:val="Strong"/>
              </w:rPr>
              <w:t>Total Referrals  </w:t>
            </w:r>
          </w:p>
        </w:tc>
        <w:tc>
          <w:tcPr>
            <w:tcW w:w="1275" w:type="dxa"/>
            <w:hideMark/>
          </w:tcPr>
          <w:p w14:paraId="34107F6B" w14:textId="64A9FE01" w:rsidR="00946B4F" w:rsidRPr="00572213" w:rsidRDefault="00946B4F" w:rsidP="00196649">
            <w:pPr>
              <w:pStyle w:val="TableTextRight"/>
              <w:rPr>
                <w:rStyle w:val="Strong"/>
              </w:rPr>
            </w:pPr>
            <w:r w:rsidRPr="00572213">
              <w:rPr>
                <w:rStyle w:val="Strong"/>
              </w:rPr>
              <w:t>751</w:t>
            </w:r>
          </w:p>
        </w:tc>
        <w:tc>
          <w:tcPr>
            <w:tcW w:w="1275" w:type="dxa"/>
            <w:hideMark/>
          </w:tcPr>
          <w:p w14:paraId="77F4E8A3" w14:textId="2EB2D591" w:rsidR="00946B4F" w:rsidRPr="00572213" w:rsidRDefault="00946B4F" w:rsidP="00196649">
            <w:pPr>
              <w:pStyle w:val="TableTextRight"/>
              <w:rPr>
                <w:rStyle w:val="Strong"/>
              </w:rPr>
            </w:pPr>
            <w:r w:rsidRPr="00572213">
              <w:rPr>
                <w:rStyle w:val="Strong"/>
              </w:rPr>
              <w:t>740</w:t>
            </w:r>
          </w:p>
        </w:tc>
        <w:tc>
          <w:tcPr>
            <w:tcW w:w="1275" w:type="dxa"/>
            <w:hideMark/>
          </w:tcPr>
          <w:p w14:paraId="098D9AF9" w14:textId="25EBDFD9" w:rsidR="00946B4F" w:rsidRPr="00572213" w:rsidRDefault="00946B4F" w:rsidP="00196649">
            <w:pPr>
              <w:pStyle w:val="TableTextRight"/>
              <w:rPr>
                <w:rStyle w:val="Strong"/>
              </w:rPr>
            </w:pPr>
            <w:r w:rsidRPr="00572213">
              <w:rPr>
                <w:rStyle w:val="Strong"/>
              </w:rPr>
              <w:t>401</w:t>
            </w:r>
          </w:p>
        </w:tc>
        <w:tc>
          <w:tcPr>
            <w:tcW w:w="1276" w:type="dxa"/>
            <w:hideMark/>
          </w:tcPr>
          <w:p w14:paraId="187EE959" w14:textId="66DD2A84" w:rsidR="00946B4F" w:rsidRPr="00572213" w:rsidRDefault="00946B4F" w:rsidP="00196649">
            <w:pPr>
              <w:pStyle w:val="TableTextRight"/>
              <w:rPr>
                <w:rStyle w:val="Strong"/>
              </w:rPr>
            </w:pPr>
            <w:r w:rsidRPr="00572213">
              <w:rPr>
                <w:rStyle w:val="Strong"/>
              </w:rPr>
              <w:t>1</w:t>
            </w:r>
            <w:r w:rsidR="005D2611">
              <w:rPr>
                <w:rStyle w:val="Strong"/>
              </w:rPr>
              <w:t>,</w:t>
            </w:r>
            <w:r w:rsidRPr="00572213">
              <w:rPr>
                <w:rStyle w:val="Strong"/>
              </w:rPr>
              <w:t>892</w:t>
            </w:r>
          </w:p>
        </w:tc>
      </w:tr>
    </w:tbl>
    <w:p w14:paraId="355ADCF1" w14:textId="177275ED" w:rsidR="00BB7A86" w:rsidRPr="004D4530" w:rsidRDefault="00BB7A86" w:rsidP="00BB7A86">
      <w:pPr>
        <w:pStyle w:val="ChartorTablenoteandsource"/>
      </w:pPr>
      <w:r>
        <w:t>Please refer to Appendix I for table notes and sources</w:t>
      </w:r>
      <w:r w:rsidR="00407337">
        <w:t>.</w:t>
      </w:r>
    </w:p>
    <w:p w14:paraId="61BC34B2" w14:textId="77777777" w:rsidR="00572213" w:rsidRDefault="00572213">
      <w:pPr>
        <w:spacing w:before="0" w:after="160" w:line="259" w:lineRule="auto"/>
        <w:rPr>
          <w:rFonts w:asciiTheme="majorHAnsi" w:hAnsiTheme="majorHAnsi" w:cs="Arial"/>
          <w:b/>
          <w:color w:val="auto"/>
          <w:kern w:val="32"/>
          <w:sz w:val="26"/>
          <w:szCs w:val="26"/>
          <w:lang w:val="en-US"/>
        </w:rPr>
      </w:pPr>
      <w:r>
        <w:rPr>
          <w:lang w:val="en-US"/>
        </w:rPr>
        <w:br w:type="page"/>
      </w:r>
    </w:p>
    <w:p w14:paraId="78C0E9D3" w14:textId="339DEDC1" w:rsidR="00946B4F" w:rsidRPr="00617DA9" w:rsidRDefault="00AC3633" w:rsidP="00914193">
      <w:pPr>
        <w:pStyle w:val="TableMainHeading"/>
        <w:rPr>
          <w:lang w:val="en-US"/>
        </w:rPr>
      </w:pPr>
      <w:r>
        <w:rPr>
          <w:lang w:val="en-US"/>
        </w:rPr>
        <w:lastRenderedPageBreak/>
        <w:t>Table 4.4</w:t>
      </w:r>
      <w:r w:rsidR="009C503A">
        <w:rPr>
          <w:lang w:val="en-US"/>
        </w:rPr>
        <w:t>:</w:t>
      </w:r>
      <w:r>
        <w:rPr>
          <w:lang w:val="en-US"/>
        </w:rPr>
        <w:t xml:space="preserve"> </w:t>
      </w:r>
      <w:r w:rsidRPr="00946B4F">
        <w:rPr>
          <w:lang w:val="en-US"/>
        </w:rPr>
        <w:t xml:space="preserve">Destination of </w:t>
      </w:r>
      <w:r w:rsidR="0030368A">
        <w:rPr>
          <w:lang w:val="en-US"/>
        </w:rPr>
        <w:t>r</w:t>
      </w:r>
      <w:r w:rsidRPr="00946B4F">
        <w:rPr>
          <w:lang w:val="en-US"/>
        </w:rPr>
        <w:t>eferrals by ASBFEO Case Managers</w:t>
      </w:r>
      <w:r w:rsidRPr="00617DA9">
        <w:rPr>
          <w:lang w:val="en-US"/>
        </w:rPr>
        <w:t> </w:t>
      </w:r>
      <w:r w:rsidRPr="00946B4F">
        <w:rPr>
          <w:lang w:val="en-US"/>
        </w:rPr>
        <w:t xml:space="preserve"> </w:t>
      </w:r>
    </w:p>
    <w:tbl>
      <w:tblPr>
        <w:tblStyle w:val="TableGrid"/>
        <w:tblW w:w="5001" w:type="pct"/>
        <w:jc w:val="center"/>
        <w:tblLook w:val="04A0" w:firstRow="1" w:lastRow="0" w:firstColumn="1" w:lastColumn="0" w:noHBand="0" w:noVBand="1"/>
      </w:tblPr>
      <w:tblGrid>
        <w:gridCol w:w="4241"/>
        <w:gridCol w:w="1110"/>
        <w:gridCol w:w="1110"/>
        <w:gridCol w:w="1110"/>
        <w:gridCol w:w="1501"/>
      </w:tblGrid>
      <w:tr w:rsidR="00496B02" w:rsidRPr="00946B4F" w14:paraId="40DF3155" w14:textId="77777777" w:rsidTr="000B14EF">
        <w:trPr>
          <w:cnfStyle w:val="100000000000" w:firstRow="1" w:lastRow="0" w:firstColumn="0" w:lastColumn="0" w:oddVBand="0" w:evenVBand="0" w:oddHBand="0" w:evenHBand="0" w:firstRowFirstColumn="0" w:firstRowLastColumn="0" w:lastRowFirstColumn="0" w:lastRowLastColumn="0"/>
          <w:trHeight w:val="300"/>
          <w:jc w:val="center"/>
        </w:trPr>
        <w:tc>
          <w:tcPr>
            <w:tcW w:w="4241" w:type="dxa"/>
          </w:tcPr>
          <w:p w14:paraId="11716E48" w14:textId="77777777" w:rsidR="00496B02" w:rsidRPr="00946B4F" w:rsidRDefault="00496B02" w:rsidP="00496B02">
            <w:pPr>
              <w:pStyle w:val="TableTextLeft"/>
              <w:rPr>
                <w:lang w:val="en-US"/>
              </w:rPr>
            </w:pPr>
          </w:p>
        </w:tc>
        <w:tc>
          <w:tcPr>
            <w:tcW w:w="1110" w:type="dxa"/>
          </w:tcPr>
          <w:p w14:paraId="47A06E3D" w14:textId="5B29B4B0" w:rsidR="00496B02" w:rsidRPr="007860D6" w:rsidRDefault="00496B02" w:rsidP="00196649">
            <w:pPr>
              <w:pStyle w:val="TableColumnHeadingRight"/>
            </w:pPr>
            <w:r w:rsidRPr="007860D6">
              <w:rPr>
                <w:rStyle w:val="Strong"/>
                <w:b/>
              </w:rPr>
              <w:t>2021–</w:t>
            </w:r>
            <w:r w:rsidRPr="007860D6">
              <w:rPr>
                <w:rStyle w:val="Strong"/>
                <w:b/>
                <w:bCs w:val="0"/>
              </w:rPr>
              <w:t>22 </w:t>
            </w:r>
          </w:p>
        </w:tc>
        <w:tc>
          <w:tcPr>
            <w:tcW w:w="1110" w:type="dxa"/>
          </w:tcPr>
          <w:p w14:paraId="70B1E8D5" w14:textId="0CB4ADB9" w:rsidR="00496B02" w:rsidRPr="007860D6" w:rsidRDefault="00496B02" w:rsidP="00196649">
            <w:pPr>
              <w:pStyle w:val="TableColumnHeadingRight"/>
            </w:pPr>
            <w:r w:rsidRPr="007860D6">
              <w:rPr>
                <w:rStyle w:val="Strong"/>
                <w:b/>
              </w:rPr>
              <w:t>2022–</w:t>
            </w:r>
            <w:r w:rsidRPr="007860D6">
              <w:rPr>
                <w:rStyle w:val="Strong"/>
                <w:b/>
                <w:bCs w:val="0"/>
              </w:rPr>
              <w:t>23</w:t>
            </w:r>
          </w:p>
        </w:tc>
        <w:tc>
          <w:tcPr>
            <w:tcW w:w="1110" w:type="dxa"/>
          </w:tcPr>
          <w:p w14:paraId="743E28F0" w14:textId="7B23ED29" w:rsidR="00496B02" w:rsidRPr="007860D6" w:rsidRDefault="00496B02" w:rsidP="00196649">
            <w:pPr>
              <w:pStyle w:val="TableColumnHeadingRight"/>
            </w:pPr>
            <w:r w:rsidRPr="007860D6">
              <w:rPr>
                <w:rStyle w:val="Strong"/>
                <w:b/>
              </w:rPr>
              <w:t>2023–</w:t>
            </w:r>
            <w:r w:rsidRPr="007860D6">
              <w:rPr>
                <w:rStyle w:val="Strong"/>
                <w:b/>
                <w:bCs w:val="0"/>
              </w:rPr>
              <w:t>24</w:t>
            </w:r>
          </w:p>
        </w:tc>
        <w:tc>
          <w:tcPr>
            <w:tcW w:w="1499" w:type="dxa"/>
          </w:tcPr>
          <w:p w14:paraId="0FB57F3E" w14:textId="0C4C07D2" w:rsidR="00496B02" w:rsidRPr="007860D6" w:rsidRDefault="00496B02" w:rsidP="00196649">
            <w:pPr>
              <w:pStyle w:val="TableColumnHeadingRight"/>
            </w:pPr>
            <w:r w:rsidRPr="007860D6">
              <w:rPr>
                <w:rStyle w:val="Strong"/>
                <w:b/>
              </w:rPr>
              <w:t>3</w:t>
            </w:r>
            <w:r w:rsidR="003A0D5E">
              <w:rPr>
                <w:rStyle w:val="Strong"/>
                <w:b/>
                <w:bCs w:val="0"/>
              </w:rPr>
              <w:noBreakHyphen/>
            </w:r>
            <w:r w:rsidRPr="007860D6">
              <w:rPr>
                <w:rStyle w:val="Strong"/>
                <w:b/>
              </w:rPr>
              <w:t>year total</w:t>
            </w:r>
          </w:p>
        </w:tc>
      </w:tr>
      <w:tr w:rsidR="00946B4F" w:rsidRPr="00946B4F" w14:paraId="2E3E7267" w14:textId="77777777" w:rsidTr="000B14EF">
        <w:trPr>
          <w:cnfStyle w:val="000000100000" w:firstRow="0" w:lastRow="0" w:firstColumn="0" w:lastColumn="0" w:oddVBand="0" w:evenVBand="0" w:oddHBand="1" w:evenHBand="0" w:firstRowFirstColumn="0" w:firstRowLastColumn="0" w:lastRowFirstColumn="0" w:lastRowLastColumn="0"/>
          <w:trHeight w:val="300"/>
          <w:jc w:val="center"/>
        </w:trPr>
        <w:tc>
          <w:tcPr>
            <w:tcW w:w="4241" w:type="dxa"/>
            <w:hideMark/>
          </w:tcPr>
          <w:p w14:paraId="14593A25" w14:textId="3E43DF30" w:rsidR="00946B4F" w:rsidRPr="00946B4F" w:rsidRDefault="00946B4F" w:rsidP="00914193">
            <w:pPr>
              <w:pStyle w:val="TableTextLeft"/>
            </w:pPr>
            <w:r w:rsidRPr="00946B4F">
              <w:rPr>
                <w:lang w:val="en-US"/>
              </w:rPr>
              <w:t>Small Business Commissioner (or equivalent) </w:t>
            </w:r>
            <w:r w:rsidRPr="00946B4F">
              <w:t> </w:t>
            </w:r>
          </w:p>
        </w:tc>
        <w:tc>
          <w:tcPr>
            <w:tcW w:w="1110" w:type="dxa"/>
            <w:hideMark/>
          </w:tcPr>
          <w:p w14:paraId="3E185F4E" w14:textId="77777777" w:rsidR="00946B4F" w:rsidRPr="00946B4F" w:rsidRDefault="00946B4F" w:rsidP="00196649">
            <w:pPr>
              <w:pStyle w:val="TableTextRight"/>
            </w:pPr>
            <w:r w:rsidRPr="00946B4F">
              <w:rPr>
                <w:lang w:val="en-US"/>
              </w:rPr>
              <w:t>235  </w:t>
            </w:r>
            <w:r w:rsidRPr="00946B4F">
              <w:t> </w:t>
            </w:r>
          </w:p>
        </w:tc>
        <w:tc>
          <w:tcPr>
            <w:tcW w:w="1110" w:type="dxa"/>
            <w:hideMark/>
          </w:tcPr>
          <w:p w14:paraId="480D0036" w14:textId="77777777" w:rsidR="00946B4F" w:rsidRPr="00946B4F" w:rsidRDefault="00946B4F" w:rsidP="00196649">
            <w:pPr>
              <w:pStyle w:val="TableTextRight"/>
            </w:pPr>
            <w:r w:rsidRPr="00946B4F">
              <w:rPr>
                <w:lang w:val="en-US"/>
              </w:rPr>
              <w:t>246  </w:t>
            </w:r>
            <w:r w:rsidRPr="00946B4F">
              <w:t> </w:t>
            </w:r>
          </w:p>
        </w:tc>
        <w:tc>
          <w:tcPr>
            <w:tcW w:w="1110" w:type="dxa"/>
            <w:hideMark/>
          </w:tcPr>
          <w:p w14:paraId="35CDFF65" w14:textId="77777777" w:rsidR="00946B4F" w:rsidRPr="00946B4F" w:rsidRDefault="00946B4F" w:rsidP="00196649">
            <w:pPr>
              <w:pStyle w:val="TableTextRight"/>
            </w:pPr>
            <w:r w:rsidRPr="00946B4F">
              <w:rPr>
                <w:lang w:val="en-US"/>
              </w:rPr>
              <w:t>309  </w:t>
            </w:r>
            <w:r w:rsidRPr="00946B4F">
              <w:t> </w:t>
            </w:r>
          </w:p>
        </w:tc>
        <w:tc>
          <w:tcPr>
            <w:tcW w:w="1501" w:type="dxa"/>
            <w:hideMark/>
          </w:tcPr>
          <w:p w14:paraId="3ACB8F1F" w14:textId="77777777" w:rsidR="00946B4F" w:rsidRPr="00946B4F" w:rsidRDefault="00946B4F" w:rsidP="00196649">
            <w:pPr>
              <w:pStyle w:val="TableTextRight"/>
            </w:pPr>
            <w:r w:rsidRPr="00946B4F">
              <w:rPr>
                <w:lang w:val="en-US"/>
              </w:rPr>
              <w:t>790  </w:t>
            </w:r>
            <w:r w:rsidRPr="00946B4F">
              <w:t> </w:t>
            </w:r>
          </w:p>
        </w:tc>
      </w:tr>
      <w:tr w:rsidR="003157C7" w:rsidRPr="00946B4F" w14:paraId="58764D67" w14:textId="77777777" w:rsidTr="000B14EF">
        <w:trPr>
          <w:cnfStyle w:val="000000010000" w:firstRow="0" w:lastRow="0" w:firstColumn="0" w:lastColumn="0" w:oddVBand="0" w:evenVBand="0" w:oddHBand="0" w:evenHBand="1" w:firstRowFirstColumn="0" w:firstRowLastColumn="0" w:lastRowFirstColumn="0" w:lastRowLastColumn="0"/>
          <w:trHeight w:val="300"/>
          <w:jc w:val="center"/>
        </w:trPr>
        <w:tc>
          <w:tcPr>
            <w:tcW w:w="4241" w:type="dxa"/>
            <w:hideMark/>
          </w:tcPr>
          <w:p w14:paraId="2CB7A09A" w14:textId="77777777" w:rsidR="00946B4F" w:rsidRPr="00946B4F" w:rsidRDefault="00946B4F" w:rsidP="00914193">
            <w:pPr>
              <w:pStyle w:val="TableTextLeft"/>
            </w:pPr>
            <w:r w:rsidRPr="00946B4F">
              <w:rPr>
                <w:lang w:val="en-US"/>
              </w:rPr>
              <w:t>Fair Trading/Consumer Affairs  </w:t>
            </w:r>
            <w:r w:rsidRPr="00946B4F">
              <w:t> </w:t>
            </w:r>
          </w:p>
        </w:tc>
        <w:tc>
          <w:tcPr>
            <w:tcW w:w="1110" w:type="dxa"/>
            <w:hideMark/>
          </w:tcPr>
          <w:p w14:paraId="1B98FCDA" w14:textId="77777777" w:rsidR="00946B4F" w:rsidRPr="00946B4F" w:rsidRDefault="00946B4F" w:rsidP="00196649">
            <w:pPr>
              <w:pStyle w:val="TableTextRight"/>
            </w:pPr>
            <w:r w:rsidRPr="00946B4F">
              <w:rPr>
                <w:lang w:val="en-US"/>
              </w:rPr>
              <w:t>53  </w:t>
            </w:r>
            <w:r w:rsidRPr="00946B4F">
              <w:t> </w:t>
            </w:r>
          </w:p>
        </w:tc>
        <w:tc>
          <w:tcPr>
            <w:tcW w:w="1110" w:type="dxa"/>
            <w:hideMark/>
          </w:tcPr>
          <w:p w14:paraId="572906EB" w14:textId="77777777" w:rsidR="00946B4F" w:rsidRPr="00946B4F" w:rsidRDefault="00946B4F" w:rsidP="00196649">
            <w:pPr>
              <w:pStyle w:val="TableTextRight"/>
            </w:pPr>
            <w:r w:rsidRPr="00946B4F">
              <w:rPr>
                <w:lang w:val="en-US"/>
              </w:rPr>
              <w:t>25  </w:t>
            </w:r>
            <w:r w:rsidRPr="00946B4F">
              <w:t> </w:t>
            </w:r>
          </w:p>
        </w:tc>
        <w:tc>
          <w:tcPr>
            <w:tcW w:w="1110" w:type="dxa"/>
            <w:hideMark/>
          </w:tcPr>
          <w:p w14:paraId="5BFB4966" w14:textId="77777777" w:rsidR="00946B4F" w:rsidRPr="00946B4F" w:rsidRDefault="00946B4F" w:rsidP="00196649">
            <w:pPr>
              <w:pStyle w:val="TableTextRight"/>
            </w:pPr>
            <w:r w:rsidRPr="00946B4F">
              <w:rPr>
                <w:lang w:val="en-US"/>
              </w:rPr>
              <w:t>7  </w:t>
            </w:r>
            <w:r w:rsidRPr="00946B4F">
              <w:t> </w:t>
            </w:r>
          </w:p>
        </w:tc>
        <w:tc>
          <w:tcPr>
            <w:tcW w:w="1501" w:type="dxa"/>
            <w:hideMark/>
          </w:tcPr>
          <w:p w14:paraId="523BBAB3" w14:textId="77777777" w:rsidR="00946B4F" w:rsidRPr="00946B4F" w:rsidRDefault="00946B4F" w:rsidP="00196649">
            <w:pPr>
              <w:pStyle w:val="TableTextRight"/>
            </w:pPr>
            <w:r w:rsidRPr="00946B4F">
              <w:rPr>
                <w:lang w:val="en-US"/>
              </w:rPr>
              <w:t>85  </w:t>
            </w:r>
            <w:r w:rsidRPr="00946B4F">
              <w:t> </w:t>
            </w:r>
          </w:p>
        </w:tc>
      </w:tr>
      <w:tr w:rsidR="00946B4F" w:rsidRPr="00946B4F" w14:paraId="398329E4" w14:textId="77777777" w:rsidTr="000B14EF">
        <w:trPr>
          <w:cnfStyle w:val="000000100000" w:firstRow="0" w:lastRow="0" w:firstColumn="0" w:lastColumn="0" w:oddVBand="0" w:evenVBand="0" w:oddHBand="1" w:evenHBand="0" w:firstRowFirstColumn="0" w:firstRowLastColumn="0" w:lastRowFirstColumn="0" w:lastRowLastColumn="0"/>
          <w:trHeight w:val="300"/>
          <w:jc w:val="center"/>
        </w:trPr>
        <w:tc>
          <w:tcPr>
            <w:tcW w:w="4241" w:type="dxa"/>
            <w:hideMark/>
          </w:tcPr>
          <w:p w14:paraId="4D84433B" w14:textId="77777777" w:rsidR="00946B4F" w:rsidRPr="00946B4F" w:rsidRDefault="00946B4F" w:rsidP="00914193">
            <w:pPr>
              <w:pStyle w:val="TableTextLeft"/>
            </w:pPr>
            <w:r w:rsidRPr="00946B4F">
              <w:rPr>
                <w:lang w:val="en-US"/>
              </w:rPr>
              <w:t>Australian Financial Complaints Authority (AFCA) </w:t>
            </w:r>
            <w:r w:rsidRPr="00946B4F">
              <w:t> </w:t>
            </w:r>
          </w:p>
        </w:tc>
        <w:tc>
          <w:tcPr>
            <w:tcW w:w="1110" w:type="dxa"/>
            <w:hideMark/>
          </w:tcPr>
          <w:p w14:paraId="66140DF7" w14:textId="77777777" w:rsidR="00946B4F" w:rsidRPr="00946B4F" w:rsidRDefault="00946B4F" w:rsidP="00196649">
            <w:pPr>
              <w:pStyle w:val="TableTextRight"/>
            </w:pPr>
            <w:r w:rsidRPr="00946B4F">
              <w:rPr>
                <w:lang w:val="en-US"/>
              </w:rPr>
              <w:t>17  </w:t>
            </w:r>
            <w:r w:rsidRPr="00946B4F">
              <w:t> </w:t>
            </w:r>
          </w:p>
        </w:tc>
        <w:tc>
          <w:tcPr>
            <w:tcW w:w="1110" w:type="dxa"/>
            <w:hideMark/>
          </w:tcPr>
          <w:p w14:paraId="2A68AD46" w14:textId="77777777" w:rsidR="00946B4F" w:rsidRPr="00946B4F" w:rsidRDefault="00946B4F" w:rsidP="00196649">
            <w:pPr>
              <w:pStyle w:val="TableTextRight"/>
            </w:pPr>
            <w:r w:rsidRPr="00946B4F">
              <w:rPr>
                <w:lang w:val="en-US"/>
              </w:rPr>
              <w:t>2  </w:t>
            </w:r>
            <w:r w:rsidRPr="00946B4F">
              <w:t> </w:t>
            </w:r>
          </w:p>
        </w:tc>
        <w:tc>
          <w:tcPr>
            <w:tcW w:w="1110" w:type="dxa"/>
            <w:hideMark/>
          </w:tcPr>
          <w:p w14:paraId="0CCC2987" w14:textId="77777777" w:rsidR="00946B4F" w:rsidRPr="00946B4F" w:rsidRDefault="00946B4F" w:rsidP="00196649">
            <w:pPr>
              <w:pStyle w:val="TableTextRight"/>
            </w:pPr>
            <w:r w:rsidRPr="00946B4F">
              <w:rPr>
                <w:lang w:val="en-US"/>
              </w:rPr>
              <w:t>0  </w:t>
            </w:r>
            <w:r w:rsidRPr="00946B4F">
              <w:t> </w:t>
            </w:r>
          </w:p>
        </w:tc>
        <w:tc>
          <w:tcPr>
            <w:tcW w:w="1501" w:type="dxa"/>
            <w:hideMark/>
          </w:tcPr>
          <w:p w14:paraId="0F61E462" w14:textId="77777777" w:rsidR="00946B4F" w:rsidRPr="00946B4F" w:rsidRDefault="00946B4F" w:rsidP="00196649">
            <w:pPr>
              <w:pStyle w:val="TableTextRight"/>
            </w:pPr>
            <w:r w:rsidRPr="00946B4F">
              <w:rPr>
                <w:lang w:val="en-US"/>
              </w:rPr>
              <w:t>19  </w:t>
            </w:r>
            <w:r w:rsidRPr="00946B4F">
              <w:t> </w:t>
            </w:r>
          </w:p>
        </w:tc>
      </w:tr>
      <w:tr w:rsidR="003157C7" w:rsidRPr="00946B4F" w14:paraId="58CFDE37" w14:textId="77777777" w:rsidTr="000B14EF">
        <w:trPr>
          <w:cnfStyle w:val="000000010000" w:firstRow="0" w:lastRow="0" w:firstColumn="0" w:lastColumn="0" w:oddVBand="0" w:evenVBand="0" w:oddHBand="0" w:evenHBand="1" w:firstRowFirstColumn="0" w:firstRowLastColumn="0" w:lastRowFirstColumn="0" w:lastRowLastColumn="0"/>
          <w:trHeight w:val="300"/>
          <w:jc w:val="center"/>
        </w:trPr>
        <w:tc>
          <w:tcPr>
            <w:tcW w:w="4241" w:type="dxa"/>
            <w:hideMark/>
          </w:tcPr>
          <w:p w14:paraId="77EAE2B2" w14:textId="77777777" w:rsidR="00946B4F" w:rsidRPr="00946B4F" w:rsidRDefault="00946B4F" w:rsidP="00914193">
            <w:pPr>
              <w:pStyle w:val="TableTextLeft"/>
            </w:pPr>
            <w:r w:rsidRPr="00946B4F">
              <w:rPr>
                <w:lang w:val="en-US"/>
              </w:rPr>
              <w:t>Australian Taxation Office (ATO) </w:t>
            </w:r>
            <w:r w:rsidRPr="00946B4F">
              <w:t> </w:t>
            </w:r>
          </w:p>
        </w:tc>
        <w:tc>
          <w:tcPr>
            <w:tcW w:w="1110" w:type="dxa"/>
            <w:hideMark/>
          </w:tcPr>
          <w:p w14:paraId="0907C2D3" w14:textId="77777777" w:rsidR="00946B4F" w:rsidRPr="00946B4F" w:rsidRDefault="00946B4F" w:rsidP="00196649">
            <w:pPr>
              <w:pStyle w:val="TableTextRight"/>
            </w:pPr>
            <w:r w:rsidRPr="00946B4F">
              <w:rPr>
                <w:lang w:val="en-US"/>
              </w:rPr>
              <w:t>17  </w:t>
            </w:r>
            <w:r w:rsidRPr="00946B4F">
              <w:t> </w:t>
            </w:r>
          </w:p>
        </w:tc>
        <w:tc>
          <w:tcPr>
            <w:tcW w:w="1110" w:type="dxa"/>
            <w:hideMark/>
          </w:tcPr>
          <w:p w14:paraId="09C9CB62" w14:textId="77777777" w:rsidR="00946B4F" w:rsidRPr="00946B4F" w:rsidRDefault="00946B4F" w:rsidP="00196649">
            <w:pPr>
              <w:pStyle w:val="TableTextRight"/>
            </w:pPr>
            <w:r w:rsidRPr="00946B4F">
              <w:rPr>
                <w:lang w:val="en-US"/>
              </w:rPr>
              <w:t>0  </w:t>
            </w:r>
            <w:r w:rsidRPr="00946B4F">
              <w:t> </w:t>
            </w:r>
          </w:p>
        </w:tc>
        <w:tc>
          <w:tcPr>
            <w:tcW w:w="1110" w:type="dxa"/>
            <w:hideMark/>
          </w:tcPr>
          <w:p w14:paraId="1D8C20F5" w14:textId="77777777" w:rsidR="00946B4F" w:rsidRPr="00946B4F" w:rsidRDefault="00946B4F" w:rsidP="00196649">
            <w:pPr>
              <w:pStyle w:val="TableTextRight"/>
            </w:pPr>
            <w:r w:rsidRPr="00946B4F">
              <w:rPr>
                <w:lang w:val="en-US"/>
              </w:rPr>
              <w:t>0  </w:t>
            </w:r>
            <w:r w:rsidRPr="00946B4F">
              <w:t> </w:t>
            </w:r>
          </w:p>
        </w:tc>
        <w:tc>
          <w:tcPr>
            <w:tcW w:w="1501" w:type="dxa"/>
            <w:hideMark/>
          </w:tcPr>
          <w:p w14:paraId="23D90CE1" w14:textId="77777777" w:rsidR="00946B4F" w:rsidRPr="00946B4F" w:rsidRDefault="00946B4F" w:rsidP="00196649">
            <w:pPr>
              <w:pStyle w:val="TableTextRight"/>
            </w:pPr>
            <w:r w:rsidRPr="00946B4F">
              <w:rPr>
                <w:lang w:val="en-US"/>
              </w:rPr>
              <w:t>17  </w:t>
            </w:r>
            <w:r w:rsidRPr="00946B4F">
              <w:t> </w:t>
            </w:r>
          </w:p>
        </w:tc>
      </w:tr>
      <w:tr w:rsidR="00946B4F" w:rsidRPr="00946B4F" w14:paraId="176F9C0A" w14:textId="77777777" w:rsidTr="000B14EF">
        <w:trPr>
          <w:cnfStyle w:val="000000100000" w:firstRow="0" w:lastRow="0" w:firstColumn="0" w:lastColumn="0" w:oddVBand="0" w:evenVBand="0" w:oddHBand="1" w:evenHBand="0" w:firstRowFirstColumn="0" w:firstRowLastColumn="0" w:lastRowFirstColumn="0" w:lastRowLastColumn="0"/>
          <w:trHeight w:val="300"/>
          <w:jc w:val="center"/>
        </w:trPr>
        <w:tc>
          <w:tcPr>
            <w:tcW w:w="4241" w:type="dxa"/>
            <w:hideMark/>
          </w:tcPr>
          <w:p w14:paraId="398CD2F3" w14:textId="4CD5F70C" w:rsidR="00946B4F" w:rsidRPr="00946B4F" w:rsidRDefault="00946B4F" w:rsidP="00914193">
            <w:pPr>
              <w:pStyle w:val="TableTextLeft"/>
            </w:pPr>
            <w:r w:rsidRPr="00946B4F">
              <w:rPr>
                <w:lang w:val="en-US"/>
              </w:rPr>
              <w:t>Security of Payments (Construction and Building)  </w:t>
            </w:r>
          </w:p>
        </w:tc>
        <w:tc>
          <w:tcPr>
            <w:tcW w:w="1110" w:type="dxa"/>
            <w:hideMark/>
          </w:tcPr>
          <w:p w14:paraId="6A858E7D" w14:textId="77777777" w:rsidR="00946B4F" w:rsidRPr="00946B4F" w:rsidRDefault="00946B4F" w:rsidP="00196649">
            <w:pPr>
              <w:pStyle w:val="TableTextRight"/>
            </w:pPr>
            <w:r w:rsidRPr="00946B4F">
              <w:rPr>
                <w:lang w:val="en-US"/>
              </w:rPr>
              <w:t>5  </w:t>
            </w:r>
            <w:r w:rsidRPr="00946B4F">
              <w:t> </w:t>
            </w:r>
          </w:p>
        </w:tc>
        <w:tc>
          <w:tcPr>
            <w:tcW w:w="1110" w:type="dxa"/>
            <w:hideMark/>
          </w:tcPr>
          <w:p w14:paraId="20B845ED" w14:textId="77777777" w:rsidR="00946B4F" w:rsidRPr="00946B4F" w:rsidRDefault="00946B4F" w:rsidP="00196649">
            <w:pPr>
              <w:pStyle w:val="TableTextRight"/>
            </w:pPr>
            <w:r w:rsidRPr="00946B4F">
              <w:rPr>
                <w:lang w:val="en-US"/>
              </w:rPr>
              <w:t>0  </w:t>
            </w:r>
            <w:r w:rsidRPr="00946B4F">
              <w:t> </w:t>
            </w:r>
          </w:p>
        </w:tc>
        <w:tc>
          <w:tcPr>
            <w:tcW w:w="1110" w:type="dxa"/>
            <w:hideMark/>
          </w:tcPr>
          <w:p w14:paraId="585F59E1" w14:textId="77777777" w:rsidR="00946B4F" w:rsidRPr="00946B4F" w:rsidRDefault="00946B4F" w:rsidP="00196649">
            <w:pPr>
              <w:pStyle w:val="TableTextRight"/>
            </w:pPr>
            <w:r w:rsidRPr="00946B4F">
              <w:rPr>
                <w:lang w:val="en-US"/>
              </w:rPr>
              <w:t>4  </w:t>
            </w:r>
            <w:r w:rsidRPr="00946B4F">
              <w:t> </w:t>
            </w:r>
          </w:p>
        </w:tc>
        <w:tc>
          <w:tcPr>
            <w:tcW w:w="1501" w:type="dxa"/>
            <w:hideMark/>
          </w:tcPr>
          <w:p w14:paraId="5D080333" w14:textId="77777777" w:rsidR="00946B4F" w:rsidRPr="00946B4F" w:rsidRDefault="00946B4F" w:rsidP="00196649">
            <w:pPr>
              <w:pStyle w:val="TableTextRight"/>
            </w:pPr>
            <w:r w:rsidRPr="00946B4F">
              <w:rPr>
                <w:lang w:val="en-US"/>
              </w:rPr>
              <w:t>9  </w:t>
            </w:r>
            <w:r w:rsidRPr="00946B4F">
              <w:t> </w:t>
            </w:r>
          </w:p>
        </w:tc>
      </w:tr>
      <w:tr w:rsidR="003157C7" w:rsidRPr="00946B4F" w14:paraId="6B21CC2B" w14:textId="77777777" w:rsidTr="000B14EF">
        <w:trPr>
          <w:cnfStyle w:val="000000010000" w:firstRow="0" w:lastRow="0" w:firstColumn="0" w:lastColumn="0" w:oddVBand="0" w:evenVBand="0" w:oddHBand="0" w:evenHBand="1" w:firstRowFirstColumn="0" w:firstRowLastColumn="0" w:lastRowFirstColumn="0" w:lastRowLastColumn="0"/>
          <w:trHeight w:val="300"/>
          <w:jc w:val="center"/>
        </w:trPr>
        <w:tc>
          <w:tcPr>
            <w:tcW w:w="4241" w:type="dxa"/>
            <w:hideMark/>
          </w:tcPr>
          <w:p w14:paraId="2FC1DD50" w14:textId="392EEC04" w:rsidR="00946B4F" w:rsidRPr="00946B4F" w:rsidRDefault="00946B4F" w:rsidP="00914193">
            <w:pPr>
              <w:pStyle w:val="TableTextLeft"/>
            </w:pPr>
            <w:r w:rsidRPr="00946B4F">
              <w:rPr>
                <w:lang w:val="en-US"/>
              </w:rPr>
              <w:t>Australian Competition and Consumer Commission (ACCC)</w:t>
            </w:r>
          </w:p>
        </w:tc>
        <w:tc>
          <w:tcPr>
            <w:tcW w:w="1110" w:type="dxa"/>
            <w:hideMark/>
          </w:tcPr>
          <w:p w14:paraId="3B5409F3" w14:textId="77777777" w:rsidR="00946B4F" w:rsidRPr="00946B4F" w:rsidRDefault="00946B4F" w:rsidP="00196649">
            <w:pPr>
              <w:pStyle w:val="TableTextRight"/>
            </w:pPr>
            <w:r w:rsidRPr="00946B4F">
              <w:rPr>
                <w:lang w:val="en-US"/>
              </w:rPr>
              <w:t>6  </w:t>
            </w:r>
            <w:r w:rsidRPr="00946B4F">
              <w:t> </w:t>
            </w:r>
          </w:p>
        </w:tc>
        <w:tc>
          <w:tcPr>
            <w:tcW w:w="1110" w:type="dxa"/>
            <w:hideMark/>
          </w:tcPr>
          <w:p w14:paraId="220E787C" w14:textId="77777777" w:rsidR="00946B4F" w:rsidRPr="00946B4F" w:rsidRDefault="00946B4F" w:rsidP="00196649">
            <w:pPr>
              <w:pStyle w:val="TableTextRight"/>
            </w:pPr>
            <w:r w:rsidRPr="00946B4F">
              <w:rPr>
                <w:lang w:val="en-US"/>
              </w:rPr>
              <w:t>1  </w:t>
            </w:r>
            <w:r w:rsidRPr="00946B4F">
              <w:t> </w:t>
            </w:r>
          </w:p>
        </w:tc>
        <w:tc>
          <w:tcPr>
            <w:tcW w:w="1110" w:type="dxa"/>
            <w:hideMark/>
          </w:tcPr>
          <w:p w14:paraId="2030F248" w14:textId="77777777" w:rsidR="00946B4F" w:rsidRPr="00946B4F" w:rsidRDefault="00946B4F" w:rsidP="00196649">
            <w:pPr>
              <w:pStyle w:val="TableTextRight"/>
            </w:pPr>
            <w:r w:rsidRPr="00946B4F">
              <w:rPr>
                <w:lang w:val="en-US"/>
              </w:rPr>
              <w:t>0  </w:t>
            </w:r>
            <w:r w:rsidRPr="00946B4F">
              <w:t> </w:t>
            </w:r>
          </w:p>
        </w:tc>
        <w:tc>
          <w:tcPr>
            <w:tcW w:w="1501" w:type="dxa"/>
            <w:hideMark/>
          </w:tcPr>
          <w:p w14:paraId="10CB87B4" w14:textId="77777777" w:rsidR="00946B4F" w:rsidRPr="00946B4F" w:rsidRDefault="00946B4F" w:rsidP="00196649">
            <w:pPr>
              <w:pStyle w:val="TableTextRight"/>
            </w:pPr>
            <w:r w:rsidRPr="00946B4F">
              <w:rPr>
                <w:lang w:val="en-US"/>
              </w:rPr>
              <w:t>7  </w:t>
            </w:r>
            <w:r w:rsidRPr="00946B4F">
              <w:t> </w:t>
            </w:r>
          </w:p>
        </w:tc>
      </w:tr>
      <w:tr w:rsidR="00946B4F" w:rsidRPr="00946B4F" w14:paraId="47709E27" w14:textId="77777777" w:rsidTr="000B14EF">
        <w:trPr>
          <w:cnfStyle w:val="000000100000" w:firstRow="0" w:lastRow="0" w:firstColumn="0" w:lastColumn="0" w:oddVBand="0" w:evenVBand="0" w:oddHBand="1" w:evenHBand="0" w:firstRowFirstColumn="0" w:firstRowLastColumn="0" w:lastRowFirstColumn="0" w:lastRowLastColumn="0"/>
          <w:trHeight w:val="300"/>
          <w:jc w:val="center"/>
        </w:trPr>
        <w:tc>
          <w:tcPr>
            <w:tcW w:w="4241" w:type="dxa"/>
            <w:hideMark/>
          </w:tcPr>
          <w:p w14:paraId="0AA28E47" w14:textId="77777777" w:rsidR="00946B4F" w:rsidRPr="00946B4F" w:rsidRDefault="00946B4F" w:rsidP="00914193">
            <w:pPr>
              <w:pStyle w:val="TableTextLeft"/>
            </w:pPr>
            <w:r w:rsidRPr="00946B4F">
              <w:rPr>
                <w:lang w:val="en-US"/>
              </w:rPr>
              <w:t>Telecommunications Industry Ombudsman (TIO) </w:t>
            </w:r>
            <w:r w:rsidRPr="00946B4F">
              <w:t> </w:t>
            </w:r>
          </w:p>
        </w:tc>
        <w:tc>
          <w:tcPr>
            <w:tcW w:w="1110" w:type="dxa"/>
            <w:hideMark/>
          </w:tcPr>
          <w:p w14:paraId="1938E8A0" w14:textId="77777777" w:rsidR="00946B4F" w:rsidRPr="00946B4F" w:rsidRDefault="00946B4F" w:rsidP="00196649">
            <w:pPr>
              <w:pStyle w:val="TableTextRight"/>
            </w:pPr>
            <w:r w:rsidRPr="00946B4F">
              <w:rPr>
                <w:lang w:val="en-US"/>
              </w:rPr>
              <w:t>3  </w:t>
            </w:r>
            <w:r w:rsidRPr="00946B4F">
              <w:t> </w:t>
            </w:r>
          </w:p>
        </w:tc>
        <w:tc>
          <w:tcPr>
            <w:tcW w:w="1110" w:type="dxa"/>
            <w:hideMark/>
          </w:tcPr>
          <w:p w14:paraId="374109C2" w14:textId="77777777" w:rsidR="00946B4F" w:rsidRPr="00946B4F" w:rsidRDefault="00946B4F" w:rsidP="00196649">
            <w:pPr>
              <w:pStyle w:val="TableTextRight"/>
            </w:pPr>
            <w:r w:rsidRPr="00946B4F">
              <w:rPr>
                <w:lang w:val="en-US"/>
              </w:rPr>
              <w:t>2  </w:t>
            </w:r>
            <w:r w:rsidRPr="00946B4F">
              <w:t> </w:t>
            </w:r>
          </w:p>
        </w:tc>
        <w:tc>
          <w:tcPr>
            <w:tcW w:w="1110" w:type="dxa"/>
            <w:hideMark/>
          </w:tcPr>
          <w:p w14:paraId="552023D4" w14:textId="77777777" w:rsidR="00946B4F" w:rsidRPr="00946B4F" w:rsidRDefault="00946B4F" w:rsidP="00196649">
            <w:pPr>
              <w:pStyle w:val="TableTextRight"/>
            </w:pPr>
            <w:r w:rsidRPr="00946B4F">
              <w:rPr>
                <w:lang w:val="en-US"/>
              </w:rPr>
              <w:t>0  </w:t>
            </w:r>
            <w:r w:rsidRPr="00946B4F">
              <w:t> </w:t>
            </w:r>
          </w:p>
        </w:tc>
        <w:tc>
          <w:tcPr>
            <w:tcW w:w="1501" w:type="dxa"/>
            <w:hideMark/>
          </w:tcPr>
          <w:p w14:paraId="4D0B5960" w14:textId="77777777" w:rsidR="00946B4F" w:rsidRPr="00946B4F" w:rsidRDefault="00946B4F" w:rsidP="00196649">
            <w:pPr>
              <w:pStyle w:val="TableTextRight"/>
            </w:pPr>
            <w:r w:rsidRPr="00946B4F">
              <w:rPr>
                <w:lang w:val="en-US"/>
              </w:rPr>
              <w:t>5  </w:t>
            </w:r>
            <w:r w:rsidRPr="00946B4F">
              <w:t> </w:t>
            </w:r>
          </w:p>
        </w:tc>
      </w:tr>
      <w:tr w:rsidR="003157C7" w:rsidRPr="00946B4F" w14:paraId="73C06CA0" w14:textId="77777777" w:rsidTr="000B14EF">
        <w:trPr>
          <w:cnfStyle w:val="000000010000" w:firstRow="0" w:lastRow="0" w:firstColumn="0" w:lastColumn="0" w:oddVBand="0" w:evenVBand="0" w:oddHBand="0" w:evenHBand="1" w:firstRowFirstColumn="0" w:firstRowLastColumn="0" w:lastRowFirstColumn="0" w:lastRowLastColumn="0"/>
          <w:trHeight w:val="300"/>
          <w:jc w:val="center"/>
        </w:trPr>
        <w:tc>
          <w:tcPr>
            <w:tcW w:w="4241" w:type="dxa"/>
            <w:hideMark/>
          </w:tcPr>
          <w:p w14:paraId="467015AF" w14:textId="6C8A563C" w:rsidR="00946B4F" w:rsidRPr="00946B4F" w:rsidRDefault="00946B4F" w:rsidP="00914193">
            <w:pPr>
              <w:pStyle w:val="TableTextLeft"/>
            </w:pPr>
            <w:r w:rsidRPr="00946B4F">
              <w:rPr>
                <w:lang w:val="en-US"/>
              </w:rPr>
              <w:t>Australian Securities and Investment Commission (ASIC) </w:t>
            </w:r>
          </w:p>
        </w:tc>
        <w:tc>
          <w:tcPr>
            <w:tcW w:w="1110" w:type="dxa"/>
            <w:hideMark/>
          </w:tcPr>
          <w:p w14:paraId="54FCBA68" w14:textId="77777777" w:rsidR="00946B4F" w:rsidRPr="00946B4F" w:rsidRDefault="00946B4F" w:rsidP="00196649">
            <w:pPr>
              <w:pStyle w:val="TableTextRight"/>
            </w:pPr>
            <w:r w:rsidRPr="00946B4F">
              <w:rPr>
                <w:lang w:val="en-US"/>
              </w:rPr>
              <w:t>2  </w:t>
            </w:r>
            <w:r w:rsidRPr="00946B4F">
              <w:t> </w:t>
            </w:r>
          </w:p>
        </w:tc>
        <w:tc>
          <w:tcPr>
            <w:tcW w:w="1110" w:type="dxa"/>
            <w:hideMark/>
          </w:tcPr>
          <w:p w14:paraId="7E880DD5" w14:textId="77777777" w:rsidR="00946B4F" w:rsidRPr="00946B4F" w:rsidRDefault="00946B4F" w:rsidP="00196649">
            <w:pPr>
              <w:pStyle w:val="TableTextRight"/>
            </w:pPr>
            <w:r w:rsidRPr="00946B4F">
              <w:rPr>
                <w:lang w:val="en-US"/>
              </w:rPr>
              <w:t>1  </w:t>
            </w:r>
            <w:r w:rsidRPr="00946B4F">
              <w:t> </w:t>
            </w:r>
          </w:p>
        </w:tc>
        <w:tc>
          <w:tcPr>
            <w:tcW w:w="1110" w:type="dxa"/>
            <w:hideMark/>
          </w:tcPr>
          <w:p w14:paraId="44878D5A" w14:textId="77777777" w:rsidR="00946B4F" w:rsidRPr="00946B4F" w:rsidRDefault="00946B4F" w:rsidP="00196649">
            <w:pPr>
              <w:pStyle w:val="TableTextRight"/>
            </w:pPr>
            <w:r w:rsidRPr="00946B4F">
              <w:rPr>
                <w:lang w:val="en-US"/>
              </w:rPr>
              <w:t>1  </w:t>
            </w:r>
            <w:r w:rsidRPr="00946B4F">
              <w:t> </w:t>
            </w:r>
          </w:p>
        </w:tc>
        <w:tc>
          <w:tcPr>
            <w:tcW w:w="1501" w:type="dxa"/>
            <w:hideMark/>
          </w:tcPr>
          <w:p w14:paraId="1F46A1F8" w14:textId="77777777" w:rsidR="00946B4F" w:rsidRPr="00946B4F" w:rsidRDefault="00946B4F" w:rsidP="00196649">
            <w:pPr>
              <w:pStyle w:val="TableTextRight"/>
            </w:pPr>
            <w:r w:rsidRPr="00946B4F">
              <w:rPr>
                <w:lang w:val="en-US"/>
              </w:rPr>
              <w:t>4  </w:t>
            </w:r>
            <w:r w:rsidRPr="00946B4F">
              <w:t> </w:t>
            </w:r>
          </w:p>
        </w:tc>
      </w:tr>
      <w:tr w:rsidR="00946B4F" w:rsidRPr="00946B4F" w14:paraId="6AC5F0D2" w14:textId="77777777" w:rsidTr="000B14EF">
        <w:trPr>
          <w:cnfStyle w:val="000000100000" w:firstRow="0" w:lastRow="0" w:firstColumn="0" w:lastColumn="0" w:oddVBand="0" w:evenVBand="0" w:oddHBand="1" w:evenHBand="0" w:firstRowFirstColumn="0" w:firstRowLastColumn="0" w:lastRowFirstColumn="0" w:lastRowLastColumn="0"/>
          <w:trHeight w:val="300"/>
          <w:jc w:val="center"/>
        </w:trPr>
        <w:tc>
          <w:tcPr>
            <w:tcW w:w="4241" w:type="dxa"/>
            <w:hideMark/>
          </w:tcPr>
          <w:p w14:paraId="3814258B" w14:textId="6B99A2EE" w:rsidR="00946B4F" w:rsidRPr="00946B4F" w:rsidRDefault="00946B4F" w:rsidP="00914193">
            <w:pPr>
              <w:pStyle w:val="TableTextLeft"/>
            </w:pPr>
            <w:r w:rsidRPr="00946B4F">
              <w:rPr>
                <w:lang w:val="en-US"/>
              </w:rPr>
              <w:t>Administrative Review Tribunal (ART) </w:t>
            </w:r>
            <w:r w:rsidRPr="00946B4F">
              <w:t> </w:t>
            </w:r>
          </w:p>
        </w:tc>
        <w:tc>
          <w:tcPr>
            <w:tcW w:w="1110" w:type="dxa"/>
            <w:hideMark/>
          </w:tcPr>
          <w:p w14:paraId="77F1233A" w14:textId="77777777" w:rsidR="00946B4F" w:rsidRPr="00946B4F" w:rsidRDefault="00946B4F" w:rsidP="00196649">
            <w:pPr>
              <w:pStyle w:val="TableTextRight"/>
            </w:pPr>
            <w:r w:rsidRPr="00946B4F">
              <w:rPr>
                <w:lang w:val="en-US"/>
              </w:rPr>
              <w:t>3  </w:t>
            </w:r>
            <w:r w:rsidRPr="00946B4F">
              <w:t> </w:t>
            </w:r>
          </w:p>
        </w:tc>
        <w:tc>
          <w:tcPr>
            <w:tcW w:w="1110" w:type="dxa"/>
            <w:hideMark/>
          </w:tcPr>
          <w:p w14:paraId="78E17130" w14:textId="77777777" w:rsidR="00946B4F" w:rsidRPr="00946B4F" w:rsidRDefault="00946B4F" w:rsidP="00196649">
            <w:pPr>
              <w:pStyle w:val="TableTextRight"/>
            </w:pPr>
            <w:r w:rsidRPr="00946B4F">
              <w:rPr>
                <w:lang w:val="en-US"/>
              </w:rPr>
              <w:t>0  </w:t>
            </w:r>
            <w:r w:rsidRPr="00946B4F">
              <w:t> </w:t>
            </w:r>
          </w:p>
        </w:tc>
        <w:tc>
          <w:tcPr>
            <w:tcW w:w="1110" w:type="dxa"/>
            <w:hideMark/>
          </w:tcPr>
          <w:p w14:paraId="7BC027DC" w14:textId="77777777" w:rsidR="00946B4F" w:rsidRPr="00946B4F" w:rsidRDefault="00946B4F" w:rsidP="00196649">
            <w:pPr>
              <w:pStyle w:val="TableTextRight"/>
            </w:pPr>
            <w:r w:rsidRPr="00946B4F">
              <w:rPr>
                <w:lang w:val="en-US"/>
              </w:rPr>
              <w:t>0  </w:t>
            </w:r>
            <w:r w:rsidRPr="00946B4F">
              <w:t> </w:t>
            </w:r>
          </w:p>
        </w:tc>
        <w:tc>
          <w:tcPr>
            <w:tcW w:w="1501" w:type="dxa"/>
            <w:hideMark/>
          </w:tcPr>
          <w:p w14:paraId="15C612A5" w14:textId="77777777" w:rsidR="00946B4F" w:rsidRPr="00946B4F" w:rsidRDefault="00946B4F" w:rsidP="00196649">
            <w:pPr>
              <w:pStyle w:val="TableTextRight"/>
            </w:pPr>
            <w:r w:rsidRPr="00946B4F">
              <w:rPr>
                <w:lang w:val="en-US"/>
              </w:rPr>
              <w:t>3  </w:t>
            </w:r>
            <w:r w:rsidRPr="00946B4F">
              <w:t> </w:t>
            </w:r>
          </w:p>
        </w:tc>
      </w:tr>
      <w:tr w:rsidR="003157C7" w:rsidRPr="00946B4F" w14:paraId="7EE5C2D6" w14:textId="77777777" w:rsidTr="000B14EF">
        <w:trPr>
          <w:cnfStyle w:val="000000010000" w:firstRow="0" w:lastRow="0" w:firstColumn="0" w:lastColumn="0" w:oddVBand="0" w:evenVBand="0" w:oddHBand="0" w:evenHBand="1" w:firstRowFirstColumn="0" w:firstRowLastColumn="0" w:lastRowFirstColumn="0" w:lastRowLastColumn="0"/>
          <w:trHeight w:val="300"/>
          <w:jc w:val="center"/>
        </w:trPr>
        <w:tc>
          <w:tcPr>
            <w:tcW w:w="4241" w:type="dxa"/>
            <w:hideMark/>
          </w:tcPr>
          <w:p w14:paraId="46B4A0EC" w14:textId="77777777" w:rsidR="00946B4F" w:rsidRPr="00946B4F" w:rsidRDefault="00946B4F" w:rsidP="00914193">
            <w:pPr>
              <w:pStyle w:val="TableTextLeft"/>
            </w:pPr>
            <w:r w:rsidRPr="00946B4F">
              <w:rPr>
                <w:lang w:val="en-US"/>
              </w:rPr>
              <w:t>Energy &amp; Water Ombudsman  </w:t>
            </w:r>
            <w:r w:rsidRPr="00946B4F">
              <w:t> </w:t>
            </w:r>
          </w:p>
        </w:tc>
        <w:tc>
          <w:tcPr>
            <w:tcW w:w="1110" w:type="dxa"/>
            <w:hideMark/>
          </w:tcPr>
          <w:p w14:paraId="1A8E68A9" w14:textId="77777777" w:rsidR="00946B4F" w:rsidRPr="00946B4F" w:rsidRDefault="00946B4F" w:rsidP="00196649">
            <w:pPr>
              <w:pStyle w:val="TableTextRight"/>
            </w:pPr>
            <w:r w:rsidRPr="00946B4F">
              <w:rPr>
                <w:lang w:val="en-US"/>
              </w:rPr>
              <w:t>3  </w:t>
            </w:r>
            <w:r w:rsidRPr="00946B4F">
              <w:t> </w:t>
            </w:r>
          </w:p>
        </w:tc>
        <w:tc>
          <w:tcPr>
            <w:tcW w:w="1110" w:type="dxa"/>
            <w:hideMark/>
          </w:tcPr>
          <w:p w14:paraId="6451D696" w14:textId="77777777" w:rsidR="00946B4F" w:rsidRPr="00946B4F" w:rsidRDefault="00946B4F" w:rsidP="00196649">
            <w:pPr>
              <w:pStyle w:val="TableTextRight"/>
            </w:pPr>
            <w:r w:rsidRPr="00946B4F">
              <w:rPr>
                <w:lang w:val="en-US"/>
              </w:rPr>
              <w:t>0  </w:t>
            </w:r>
            <w:r w:rsidRPr="00946B4F">
              <w:t> </w:t>
            </w:r>
          </w:p>
        </w:tc>
        <w:tc>
          <w:tcPr>
            <w:tcW w:w="1110" w:type="dxa"/>
            <w:hideMark/>
          </w:tcPr>
          <w:p w14:paraId="32A2255D" w14:textId="77777777" w:rsidR="00946B4F" w:rsidRPr="00946B4F" w:rsidRDefault="00946B4F" w:rsidP="00196649">
            <w:pPr>
              <w:pStyle w:val="TableTextRight"/>
            </w:pPr>
            <w:r w:rsidRPr="00946B4F">
              <w:rPr>
                <w:lang w:val="en-US"/>
              </w:rPr>
              <w:t>0  </w:t>
            </w:r>
            <w:r w:rsidRPr="00946B4F">
              <w:t> </w:t>
            </w:r>
          </w:p>
        </w:tc>
        <w:tc>
          <w:tcPr>
            <w:tcW w:w="1501" w:type="dxa"/>
            <w:hideMark/>
          </w:tcPr>
          <w:p w14:paraId="118037B5" w14:textId="77777777" w:rsidR="00946B4F" w:rsidRPr="00946B4F" w:rsidRDefault="00946B4F" w:rsidP="00196649">
            <w:pPr>
              <w:pStyle w:val="TableTextRight"/>
            </w:pPr>
            <w:r w:rsidRPr="00946B4F">
              <w:rPr>
                <w:lang w:val="en-US"/>
              </w:rPr>
              <w:t>3  </w:t>
            </w:r>
            <w:r w:rsidRPr="00946B4F">
              <w:t> </w:t>
            </w:r>
          </w:p>
        </w:tc>
      </w:tr>
      <w:tr w:rsidR="00946B4F" w:rsidRPr="00946B4F" w14:paraId="696AB344" w14:textId="77777777" w:rsidTr="000B14EF">
        <w:trPr>
          <w:cnfStyle w:val="000000100000" w:firstRow="0" w:lastRow="0" w:firstColumn="0" w:lastColumn="0" w:oddVBand="0" w:evenVBand="0" w:oddHBand="1" w:evenHBand="0" w:firstRowFirstColumn="0" w:firstRowLastColumn="0" w:lastRowFirstColumn="0" w:lastRowLastColumn="0"/>
          <w:trHeight w:val="319"/>
          <w:jc w:val="center"/>
        </w:trPr>
        <w:tc>
          <w:tcPr>
            <w:tcW w:w="4241" w:type="dxa"/>
            <w:hideMark/>
          </w:tcPr>
          <w:p w14:paraId="4F7092C3" w14:textId="09353D3C" w:rsidR="00946B4F" w:rsidRPr="00946B4F" w:rsidRDefault="009D00A6" w:rsidP="00914193">
            <w:pPr>
              <w:pStyle w:val="TableTextLeft"/>
            </w:pPr>
            <w:r w:rsidRPr="00916FA5" w:rsidDel="00FC5F26">
              <w:rPr>
                <w:rFonts w:eastAsia="Calibri"/>
              </w:rPr>
              <w:t>Inspector</w:t>
            </w:r>
            <w:r w:rsidR="003A0D5E">
              <w:rPr>
                <w:rFonts w:eastAsia="Calibri"/>
              </w:rPr>
              <w:noBreakHyphen/>
            </w:r>
            <w:r w:rsidRPr="00916FA5" w:rsidDel="00FC5F26">
              <w:rPr>
                <w:rFonts w:eastAsia="Calibri"/>
              </w:rPr>
              <w:t>General of Taxation</w:t>
            </w:r>
            <w:r w:rsidRPr="00916FA5" w:rsidDel="00FC5F26">
              <w:rPr>
                <w:rFonts w:ascii="Arial" w:eastAsia="Calibri" w:hAnsi="Arial" w:cs="Arial"/>
              </w:rPr>
              <w:t> </w:t>
            </w:r>
            <w:r w:rsidRPr="00916FA5">
              <w:rPr>
                <w:rFonts w:eastAsia="Calibri"/>
              </w:rPr>
              <w:t>and Taxation</w:t>
            </w:r>
            <w:r w:rsidRPr="00916FA5" w:rsidDel="00FC5F26">
              <w:rPr>
                <w:rFonts w:eastAsia="Calibri"/>
              </w:rPr>
              <w:t xml:space="preserve"> Ombudsman</w:t>
            </w:r>
            <w:r w:rsidRPr="00916FA5" w:rsidDel="009D00A6">
              <w:rPr>
                <w:rFonts w:ascii="Aptos" w:eastAsia="Calibri" w:hAnsi="Aptos" w:cs="Aptos"/>
              </w:rPr>
              <w:t xml:space="preserve"> </w:t>
            </w:r>
            <w:r w:rsidR="00946B4F" w:rsidRPr="00916FA5">
              <w:rPr>
                <w:rFonts w:ascii="Aptos" w:eastAsia="Calibri" w:hAnsi="Aptos" w:cs="Aptos"/>
              </w:rPr>
              <w:t>(</w:t>
            </w:r>
            <w:r w:rsidR="00946B4F" w:rsidRPr="00946B4F">
              <w:rPr>
                <w:lang w:val="en-US"/>
              </w:rPr>
              <w:t>IGTO) </w:t>
            </w:r>
            <w:r w:rsidR="00946B4F" w:rsidRPr="00946B4F">
              <w:t> </w:t>
            </w:r>
          </w:p>
        </w:tc>
        <w:tc>
          <w:tcPr>
            <w:tcW w:w="1110" w:type="dxa"/>
            <w:hideMark/>
          </w:tcPr>
          <w:p w14:paraId="2CBB28F8" w14:textId="77777777" w:rsidR="00946B4F" w:rsidRPr="00946B4F" w:rsidRDefault="00946B4F" w:rsidP="00196649">
            <w:pPr>
              <w:pStyle w:val="TableTextRight"/>
            </w:pPr>
            <w:r w:rsidRPr="00946B4F">
              <w:rPr>
                <w:lang w:val="en-US"/>
              </w:rPr>
              <w:t>2  </w:t>
            </w:r>
            <w:r w:rsidRPr="00946B4F">
              <w:t> </w:t>
            </w:r>
          </w:p>
        </w:tc>
        <w:tc>
          <w:tcPr>
            <w:tcW w:w="1110" w:type="dxa"/>
            <w:hideMark/>
          </w:tcPr>
          <w:p w14:paraId="231F7BAD" w14:textId="77777777" w:rsidR="00946B4F" w:rsidRPr="00946B4F" w:rsidRDefault="00946B4F" w:rsidP="00196649">
            <w:pPr>
              <w:pStyle w:val="TableTextRight"/>
            </w:pPr>
            <w:r w:rsidRPr="00946B4F">
              <w:rPr>
                <w:lang w:val="en-US"/>
              </w:rPr>
              <w:t>0  </w:t>
            </w:r>
            <w:r w:rsidRPr="00946B4F">
              <w:t> </w:t>
            </w:r>
          </w:p>
        </w:tc>
        <w:tc>
          <w:tcPr>
            <w:tcW w:w="1110" w:type="dxa"/>
            <w:hideMark/>
          </w:tcPr>
          <w:p w14:paraId="09D85D90" w14:textId="77777777" w:rsidR="00946B4F" w:rsidRPr="00946B4F" w:rsidRDefault="00946B4F" w:rsidP="00196649">
            <w:pPr>
              <w:pStyle w:val="TableTextRight"/>
            </w:pPr>
            <w:r w:rsidRPr="00946B4F">
              <w:rPr>
                <w:lang w:val="en-US"/>
              </w:rPr>
              <w:t>0  </w:t>
            </w:r>
            <w:r w:rsidRPr="00946B4F">
              <w:t> </w:t>
            </w:r>
          </w:p>
        </w:tc>
        <w:tc>
          <w:tcPr>
            <w:tcW w:w="1501" w:type="dxa"/>
            <w:hideMark/>
          </w:tcPr>
          <w:p w14:paraId="4C8A1C40" w14:textId="77777777" w:rsidR="00946B4F" w:rsidRPr="00946B4F" w:rsidRDefault="00946B4F" w:rsidP="00196649">
            <w:pPr>
              <w:pStyle w:val="TableTextRight"/>
            </w:pPr>
            <w:r w:rsidRPr="00946B4F">
              <w:rPr>
                <w:lang w:val="en-US"/>
              </w:rPr>
              <w:t>2  </w:t>
            </w:r>
            <w:r w:rsidRPr="00946B4F">
              <w:t> </w:t>
            </w:r>
          </w:p>
        </w:tc>
      </w:tr>
      <w:tr w:rsidR="003157C7" w:rsidRPr="00946B4F" w14:paraId="57D03D36" w14:textId="77777777" w:rsidTr="000B14EF">
        <w:trPr>
          <w:cnfStyle w:val="000000010000" w:firstRow="0" w:lastRow="0" w:firstColumn="0" w:lastColumn="0" w:oddVBand="0" w:evenVBand="0" w:oddHBand="0" w:evenHBand="1" w:firstRowFirstColumn="0" w:firstRowLastColumn="0" w:lastRowFirstColumn="0" w:lastRowLastColumn="0"/>
          <w:trHeight w:val="300"/>
          <w:jc w:val="center"/>
        </w:trPr>
        <w:tc>
          <w:tcPr>
            <w:tcW w:w="4241" w:type="dxa"/>
            <w:hideMark/>
          </w:tcPr>
          <w:p w14:paraId="3D6C26BF" w14:textId="086FBB47" w:rsidR="00946B4F" w:rsidRPr="00946B4F" w:rsidRDefault="00946B4F" w:rsidP="00914193">
            <w:pPr>
              <w:pStyle w:val="TableTextLeft"/>
            </w:pPr>
            <w:r w:rsidRPr="00946B4F">
              <w:rPr>
                <w:lang w:val="en-US"/>
              </w:rPr>
              <w:t>Other (including Ombudsman, Tribunal)  </w:t>
            </w:r>
          </w:p>
        </w:tc>
        <w:tc>
          <w:tcPr>
            <w:tcW w:w="1110" w:type="dxa"/>
            <w:hideMark/>
          </w:tcPr>
          <w:p w14:paraId="79174E91" w14:textId="77777777" w:rsidR="00946B4F" w:rsidRPr="00946B4F" w:rsidRDefault="00946B4F" w:rsidP="00196649">
            <w:pPr>
              <w:pStyle w:val="TableTextRight"/>
            </w:pPr>
            <w:r w:rsidRPr="00946B4F">
              <w:rPr>
                <w:lang w:val="en-US"/>
              </w:rPr>
              <w:t>131  </w:t>
            </w:r>
            <w:r w:rsidRPr="00946B4F">
              <w:t> </w:t>
            </w:r>
          </w:p>
        </w:tc>
        <w:tc>
          <w:tcPr>
            <w:tcW w:w="1110" w:type="dxa"/>
            <w:hideMark/>
          </w:tcPr>
          <w:p w14:paraId="0E2E0112" w14:textId="77777777" w:rsidR="00946B4F" w:rsidRPr="00946B4F" w:rsidRDefault="00946B4F" w:rsidP="00196649">
            <w:pPr>
              <w:pStyle w:val="TableTextRight"/>
            </w:pPr>
            <w:r w:rsidRPr="00946B4F">
              <w:rPr>
                <w:lang w:val="en-US"/>
              </w:rPr>
              <w:t>26  </w:t>
            </w:r>
            <w:r w:rsidRPr="00946B4F">
              <w:t> </w:t>
            </w:r>
          </w:p>
        </w:tc>
        <w:tc>
          <w:tcPr>
            <w:tcW w:w="1110" w:type="dxa"/>
            <w:hideMark/>
          </w:tcPr>
          <w:p w14:paraId="15EBD4B3" w14:textId="77777777" w:rsidR="00946B4F" w:rsidRPr="00946B4F" w:rsidRDefault="00946B4F" w:rsidP="00196649">
            <w:pPr>
              <w:pStyle w:val="TableTextRight"/>
            </w:pPr>
            <w:r w:rsidRPr="00946B4F">
              <w:rPr>
                <w:lang w:val="en-US"/>
              </w:rPr>
              <w:t>10  </w:t>
            </w:r>
            <w:r w:rsidRPr="00946B4F">
              <w:t> </w:t>
            </w:r>
          </w:p>
        </w:tc>
        <w:tc>
          <w:tcPr>
            <w:tcW w:w="1501" w:type="dxa"/>
            <w:hideMark/>
          </w:tcPr>
          <w:p w14:paraId="134BA39B" w14:textId="77777777" w:rsidR="00946B4F" w:rsidRPr="00946B4F" w:rsidRDefault="00946B4F" w:rsidP="00196649">
            <w:pPr>
              <w:pStyle w:val="TableTextRight"/>
            </w:pPr>
            <w:r w:rsidRPr="00946B4F">
              <w:rPr>
                <w:lang w:val="en-US"/>
              </w:rPr>
              <w:t>167  </w:t>
            </w:r>
            <w:r w:rsidRPr="00946B4F">
              <w:t> </w:t>
            </w:r>
          </w:p>
        </w:tc>
      </w:tr>
      <w:tr w:rsidR="00946B4F" w:rsidRPr="00946B4F" w14:paraId="652FF26E" w14:textId="77777777" w:rsidTr="000B14EF">
        <w:trPr>
          <w:cnfStyle w:val="000000100000" w:firstRow="0" w:lastRow="0" w:firstColumn="0" w:lastColumn="0" w:oddVBand="0" w:evenVBand="0" w:oddHBand="1" w:evenHBand="0" w:firstRowFirstColumn="0" w:firstRowLastColumn="0" w:lastRowFirstColumn="0" w:lastRowLastColumn="0"/>
          <w:trHeight w:val="220"/>
          <w:jc w:val="center"/>
        </w:trPr>
        <w:tc>
          <w:tcPr>
            <w:tcW w:w="4241" w:type="dxa"/>
            <w:hideMark/>
          </w:tcPr>
          <w:p w14:paraId="6AC91A87" w14:textId="77777777" w:rsidR="00946B4F" w:rsidRPr="00885A02" w:rsidRDefault="00946B4F" w:rsidP="00914193">
            <w:pPr>
              <w:pStyle w:val="TableTextLeft"/>
              <w:rPr>
                <w:rStyle w:val="Strong"/>
              </w:rPr>
            </w:pPr>
            <w:r w:rsidRPr="00885A02">
              <w:rPr>
                <w:rStyle w:val="Strong"/>
              </w:rPr>
              <w:t>TOTAL   </w:t>
            </w:r>
          </w:p>
        </w:tc>
        <w:tc>
          <w:tcPr>
            <w:tcW w:w="1110" w:type="dxa"/>
            <w:hideMark/>
          </w:tcPr>
          <w:p w14:paraId="400BAC0C" w14:textId="77777777" w:rsidR="00946B4F" w:rsidRPr="00885A02" w:rsidRDefault="00946B4F" w:rsidP="00196649">
            <w:pPr>
              <w:pStyle w:val="TableTextRight"/>
              <w:rPr>
                <w:rStyle w:val="Strong"/>
              </w:rPr>
            </w:pPr>
            <w:r w:rsidRPr="00885A02">
              <w:rPr>
                <w:rStyle w:val="Strong"/>
              </w:rPr>
              <w:t>477   </w:t>
            </w:r>
          </w:p>
        </w:tc>
        <w:tc>
          <w:tcPr>
            <w:tcW w:w="1110" w:type="dxa"/>
            <w:hideMark/>
          </w:tcPr>
          <w:p w14:paraId="1AD41DB5" w14:textId="77777777" w:rsidR="00946B4F" w:rsidRPr="00885A02" w:rsidRDefault="00946B4F" w:rsidP="00196649">
            <w:pPr>
              <w:pStyle w:val="TableTextRight"/>
              <w:rPr>
                <w:rStyle w:val="Strong"/>
              </w:rPr>
            </w:pPr>
            <w:r w:rsidRPr="00885A02">
              <w:rPr>
                <w:rStyle w:val="Strong"/>
              </w:rPr>
              <w:t>303   </w:t>
            </w:r>
          </w:p>
        </w:tc>
        <w:tc>
          <w:tcPr>
            <w:tcW w:w="1110" w:type="dxa"/>
            <w:hideMark/>
          </w:tcPr>
          <w:p w14:paraId="568457F5" w14:textId="77777777" w:rsidR="00946B4F" w:rsidRPr="00885A02" w:rsidRDefault="00946B4F" w:rsidP="00196649">
            <w:pPr>
              <w:pStyle w:val="TableTextRight"/>
              <w:rPr>
                <w:rStyle w:val="Strong"/>
              </w:rPr>
            </w:pPr>
            <w:r w:rsidRPr="00885A02">
              <w:rPr>
                <w:rStyle w:val="Strong"/>
              </w:rPr>
              <w:t>331   </w:t>
            </w:r>
          </w:p>
        </w:tc>
        <w:tc>
          <w:tcPr>
            <w:tcW w:w="1501" w:type="dxa"/>
            <w:hideMark/>
          </w:tcPr>
          <w:p w14:paraId="2E2F3C7A" w14:textId="77777777" w:rsidR="00946B4F" w:rsidRPr="00885A02" w:rsidRDefault="00946B4F" w:rsidP="00196649">
            <w:pPr>
              <w:pStyle w:val="TableTextRight"/>
              <w:rPr>
                <w:rStyle w:val="Strong"/>
              </w:rPr>
            </w:pPr>
            <w:r w:rsidRPr="00885A02">
              <w:rPr>
                <w:rStyle w:val="Strong"/>
              </w:rPr>
              <w:t>1,111   </w:t>
            </w:r>
          </w:p>
        </w:tc>
      </w:tr>
    </w:tbl>
    <w:p w14:paraId="27708E19" w14:textId="20C46DDF" w:rsidR="00BB7A86" w:rsidRPr="004D4530" w:rsidRDefault="00BB7A86" w:rsidP="00BB7A86">
      <w:pPr>
        <w:pStyle w:val="ChartorTablenoteandsource"/>
      </w:pPr>
      <w:r>
        <w:t>Please refer to Appendix I for table notes and sources</w:t>
      </w:r>
      <w:r w:rsidR="00033BCB">
        <w:t>.</w:t>
      </w:r>
    </w:p>
    <w:p w14:paraId="7B744531" w14:textId="7B6481CC" w:rsidR="00946B4F" w:rsidRPr="00946B4F" w:rsidRDefault="00946B4F" w:rsidP="00885A02">
      <w:pPr>
        <w:pStyle w:val="Heading3"/>
      </w:pPr>
      <w:bookmarkStart w:id="54" w:name="_Toc199940963"/>
      <w:r w:rsidRPr="00946B4F">
        <w:rPr>
          <w:lang w:val="en-US"/>
        </w:rPr>
        <w:t xml:space="preserve">Stakeholder </w:t>
      </w:r>
      <w:r w:rsidR="0030368A">
        <w:rPr>
          <w:lang w:val="en-US"/>
        </w:rPr>
        <w:t>v</w:t>
      </w:r>
      <w:r w:rsidRPr="00946B4F">
        <w:rPr>
          <w:lang w:val="en-US"/>
        </w:rPr>
        <w:t>iews</w:t>
      </w:r>
      <w:bookmarkEnd w:id="54"/>
      <w:r w:rsidRPr="00946B4F">
        <w:t> </w:t>
      </w:r>
    </w:p>
    <w:p w14:paraId="368F63D5" w14:textId="7ECF30FA" w:rsidR="00946B4F" w:rsidRPr="00946B4F" w:rsidRDefault="00946B4F" w:rsidP="00572213">
      <w:r w:rsidRPr="00572213">
        <w:rPr>
          <w:rStyle w:val="Strong"/>
        </w:rPr>
        <w:t>State SBCs indicated that ASBFEO</w:t>
      </w:r>
      <w:r w:rsidR="00916FA5" w:rsidRPr="00572213">
        <w:rPr>
          <w:rStyle w:val="Strong"/>
        </w:rPr>
        <w:t>’</w:t>
      </w:r>
      <w:r w:rsidRPr="00572213">
        <w:rPr>
          <w:rStyle w:val="Strong"/>
        </w:rPr>
        <w:t>s referral process works well, although there can be delays in transferring a case.</w:t>
      </w:r>
      <w:r w:rsidRPr="00946B4F">
        <w:rPr>
          <w:b/>
          <w:bCs/>
          <w:lang w:val="en-US"/>
        </w:rPr>
        <w:t xml:space="preserve"> </w:t>
      </w:r>
      <w:r w:rsidRPr="00946B4F">
        <w:rPr>
          <w:lang w:val="en-US"/>
        </w:rPr>
        <w:t xml:space="preserve">ASBFEO has </w:t>
      </w:r>
      <w:r w:rsidR="00757E28">
        <w:rPr>
          <w:lang w:val="en-US"/>
        </w:rPr>
        <w:t xml:space="preserve">regular contact </w:t>
      </w:r>
      <w:r w:rsidR="00422E34">
        <w:rPr>
          <w:lang w:val="en-US"/>
        </w:rPr>
        <w:t>and</w:t>
      </w:r>
      <w:r w:rsidR="00757E28">
        <w:rPr>
          <w:lang w:val="en-US"/>
        </w:rPr>
        <w:t xml:space="preserve"> </w:t>
      </w:r>
      <w:r w:rsidR="00422E34" w:rsidRPr="00946B4F">
        <w:rPr>
          <w:lang w:val="en-US"/>
        </w:rPr>
        <w:t xml:space="preserve">established protocols </w:t>
      </w:r>
      <w:r w:rsidRPr="00946B4F">
        <w:rPr>
          <w:lang w:val="en-US"/>
        </w:rPr>
        <w:t xml:space="preserve">with </w:t>
      </w:r>
      <w:r w:rsidR="00087B2C">
        <w:rPr>
          <w:lang w:val="en-US"/>
        </w:rPr>
        <w:t>SBC</w:t>
      </w:r>
      <w:r w:rsidR="00D63E9B">
        <w:rPr>
          <w:lang w:val="en-US"/>
        </w:rPr>
        <w:t>s</w:t>
      </w:r>
      <w:r w:rsidR="00422E34">
        <w:rPr>
          <w:lang w:val="en-US"/>
        </w:rPr>
        <w:t>.</w:t>
      </w:r>
    </w:p>
    <w:p w14:paraId="35F5C61C" w14:textId="38531810" w:rsidR="00946B4F" w:rsidRPr="00946B4F" w:rsidRDefault="00283272" w:rsidP="00572213">
      <w:r>
        <w:rPr>
          <w:rStyle w:val="Emphasis"/>
        </w:rPr>
        <w:t>‘</w:t>
      </w:r>
      <w:r w:rsidR="00946B4F" w:rsidRPr="006D1AC1">
        <w:rPr>
          <w:rStyle w:val="Emphasis"/>
        </w:rPr>
        <w:t>ASBFEO and SBDC have a well</w:t>
      </w:r>
      <w:r w:rsidR="00916FA5">
        <w:rPr>
          <w:rStyle w:val="Emphasis"/>
        </w:rPr>
        <w:noBreakHyphen/>
      </w:r>
      <w:r w:rsidR="00946B4F" w:rsidRPr="006D1AC1">
        <w:rPr>
          <w:rStyle w:val="Emphasis"/>
        </w:rPr>
        <w:t>established dispute referral mechanism and co</w:t>
      </w:r>
      <w:r w:rsidR="00916FA5">
        <w:rPr>
          <w:rStyle w:val="Emphasis"/>
        </w:rPr>
        <w:noBreakHyphen/>
      </w:r>
      <w:r w:rsidR="00946B4F" w:rsidRPr="006D1AC1">
        <w:rPr>
          <w:rStyle w:val="Emphasis"/>
        </w:rPr>
        <w:t>operative approach to managing disputes.</w:t>
      </w:r>
      <w:r w:rsidR="003A0D5E">
        <w:rPr>
          <w:rStyle w:val="Emphasis"/>
        </w:rPr>
        <w:t>’</w:t>
      </w:r>
      <w:r w:rsidR="00065357">
        <w:rPr>
          <w:rStyle w:val="Emphasis"/>
          <w:rFonts w:ascii="ZWAdobeF" w:hAnsi="ZWAdobeF" w:cs="ZWAdobeF"/>
          <w:i w:val="0"/>
          <w:color w:val="auto"/>
          <w:sz w:val="2"/>
          <w:szCs w:val="2"/>
        </w:rPr>
        <w:t>66F</w:t>
      </w:r>
      <w:r w:rsidR="00EC2207">
        <w:rPr>
          <w:rStyle w:val="FootnoteReference"/>
          <w:vertAlign w:val="superscript"/>
          <w:lang w:val="en-US"/>
        </w:rPr>
        <w:footnoteReference w:id="68"/>
      </w:r>
    </w:p>
    <w:p w14:paraId="30BDF0F2" w14:textId="6F02D3DE" w:rsidR="00946B4F" w:rsidRPr="00946B4F" w:rsidRDefault="00946B4F" w:rsidP="00572213">
      <w:r w:rsidRPr="00946B4F">
        <w:rPr>
          <w:lang w:val="en-US"/>
        </w:rPr>
        <w:t xml:space="preserve">A couple of </w:t>
      </w:r>
      <w:r w:rsidR="00D63E9B">
        <w:rPr>
          <w:lang w:val="en-US"/>
        </w:rPr>
        <w:t>SBCs</w:t>
      </w:r>
      <w:r w:rsidRPr="00946B4F">
        <w:rPr>
          <w:lang w:val="en-US"/>
        </w:rPr>
        <w:t xml:space="preserve"> provided feedback that ASBFEO is slow transferring cases to them, and the dispute had often escalated within that timeframe</w:t>
      </w:r>
      <w:r w:rsidR="00916FA5">
        <w:rPr>
          <w:lang w:val="en-US"/>
        </w:rPr>
        <w:t xml:space="preserve">. </w:t>
      </w:r>
    </w:p>
    <w:p w14:paraId="0C2E5ED7" w14:textId="23AE287B" w:rsidR="00AD06B4" w:rsidRPr="006D1AC1" w:rsidRDefault="00AD06B4" w:rsidP="006D1AC1">
      <w:r w:rsidRPr="006D1AC1">
        <w:rPr>
          <w:rStyle w:val="Strong"/>
        </w:rPr>
        <w:t>Some agencies are unaware of ASBFEO</w:t>
      </w:r>
      <w:r w:rsidR="003A0D5E">
        <w:rPr>
          <w:rStyle w:val="Strong"/>
        </w:rPr>
        <w:t>’</w:t>
      </w:r>
      <w:r w:rsidRPr="006D1AC1">
        <w:rPr>
          <w:rStyle w:val="Strong"/>
        </w:rPr>
        <w:t>s role in the broader dispute resolution ecosystem</w:t>
      </w:r>
      <w:r w:rsidRPr="0010234A">
        <w:rPr>
          <w:szCs w:val="22"/>
          <w:lang w:val="en-US"/>
        </w:rPr>
        <w:t xml:space="preserve">. </w:t>
      </w:r>
      <w:r w:rsidR="001370AC">
        <w:rPr>
          <w:szCs w:val="22"/>
          <w:lang w:val="en-US"/>
        </w:rPr>
        <w:t xml:space="preserve">An </w:t>
      </w:r>
      <w:proofErr w:type="spellStart"/>
      <w:r w:rsidR="001370AC">
        <w:rPr>
          <w:szCs w:val="22"/>
          <w:lang w:val="en-US"/>
        </w:rPr>
        <w:t>organi</w:t>
      </w:r>
      <w:r w:rsidR="004D2DD7">
        <w:rPr>
          <w:szCs w:val="22"/>
          <w:lang w:val="en-US"/>
        </w:rPr>
        <w:t>s</w:t>
      </w:r>
      <w:r w:rsidR="001370AC">
        <w:rPr>
          <w:szCs w:val="22"/>
          <w:lang w:val="en-US"/>
        </w:rPr>
        <w:t>ation</w:t>
      </w:r>
      <w:proofErr w:type="spellEnd"/>
      <w:r w:rsidR="001370AC">
        <w:rPr>
          <w:szCs w:val="22"/>
          <w:lang w:val="en-US"/>
        </w:rPr>
        <w:t xml:space="preserve"> that supports small businesses</w:t>
      </w:r>
      <w:r w:rsidRPr="0010234A">
        <w:rPr>
          <w:szCs w:val="22"/>
          <w:lang w:val="en-US"/>
        </w:rPr>
        <w:t xml:space="preserve"> </w:t>
      </w:r>
      <w:r w:rsidR="00123CCC">
        <w:rPr>
          <w:szCs w:val="22"/>
          <w:lang w:val="en-US"/>
        </w:rPr>
        <w:t>and</w:t>
      </w:r>
      <w:r w:rsidRPr="0010234A">
        <w:rPr>
          <w:szCs w:val="22"/>
          <w:lang w:val="en-US"/>
        </w:rPr>
        <w:t xml:space="preserve"> frequently refers disputes to ASBFEO</w:t>
      </w:r>
      <w:r w:rsidR="00123CCC">
        <w:rPr>
          <w:szCs w:val="22"/>
          <w:lang w:val="en-US"/>
        </w:rPr>
        <w:t>,</w:t>
      </w:r>
      <w:r w:rsidRPr="0010234A">
        <w:rPr>
          <w:szCs w:val="22"/>
          <w:lang w:val="en-US"/>
        </w:rPr>
        <w:t xml:space="preserve"> was unaware that SBCs could often manage these disputes more effectively. This resulted in delays in transferring the case to the correct agency and unnecessary duplication. </w:t>
      </w:r>
      <w:r w:rsidR="0032505E">
        <w:rPr>
          <w:szCs w:val="22"/>
          <w:lang w:val="en-US"/>
        </w:rPr>
        <w:t>Better consultation</w:t>
      </w:r>
      <w:r w:rsidR="0032505E" w:rsidRPr="0010234A">
        <w:rPr>
          <w:szCs w:val="22"/>
          <w:lang w:val="en-US"/>
        </w:rPr>
        <w:t xml:space="preserve"> </w:t>
      </w:r>
      <w:r w:rsidR="0032505E">
        <w:rPr>
          <w:szCs w:val="22"/>
          <w:lang w:val="en-US"/>
        </w:rPr>
        <w:t xml:space="preserve">with </w:t>
      </w:r>
      <w:r w:rsidR="0032505E" w:rsidRPr="0010234A">
        <w:rPr>
          <w:szCs w:val="22"/>
          <w:lang w:val="en-US"/>
        </w:rPr>
        <w:t xml:space="preserve">agencies about </w:t>
      </w:r>
      <w:r w:rsidR="0032505E">
        <w:rPr>
          <w:szCs w:val="22"/>
          <w:lang w:val="en-US"/>
        </w:rPr>
        <w:t>when to refer a dispute to ASBFEO could</w:t>
      </w:r>
      <w:r w:rsidR="0032505E" w:rsidRPr="0010234A">
        <w:rPr>
          <w:szCs w:val="22"/>
          <w:lang w:val="en-US"/>
        </w:rPr>
        <w:t xml:space="preserve"> avoid </w:t>
      </w:r>
      <w:r w:rsidR="0032505E">
        <w:rPr>
          <w:szCs w:val="22"/>
          <w:lang w:val="en-US"/>
        </w:rPr>
        <w:t>cases being delayed.</w:t>
      </w:r>
    </w:p>
    <w:p w14:paraId="0E0C95F3" w14:textId="77777777" w:rsidR="001C3807" w:rsidRDefault="001C3807">
      <w:pPr>
        <w:spacing w:before="0" w:after="160" w:line="259" w:lineRule="auto"/>
      </w:pPr>
      <w:r>
        <w:br w:type="page"/>
      </w:r>
    </w:p>
    <w:p w14:paraId="54870375" w14:textId="46D71672" w:rsidR="00946B4F" w:rsidRPr="00946B4F" w:rsidRDefault="00946B4F" w:rsidP="00D4519D">
      <w:pPr>
        <w:pStyle w:val="Heading3"/>
      </w:pPr>
      <w:bookmarkStart w:id="55" w:name="_Toc199940964"/>
      <w:r w:rsidRPr="00946B4F">
        <w:rPr>
          <w:lang w:val="en-US"/>
        </w:rPr>
        <w:lastRenderedPageBreak/>
        <w:t xml:space="preserve">Previous </w:t>
      </w:r>
      <w:r w:rsidR="00BE6FF8">
        <w:rPr>
          <w:lang w:val="en-US"/>
        </w:rPr>
        <w:t>r</w:t>
      </w:r>
      <w:r w:rsidRPr="00946B4F">
        <w:rPr>
          <w:lang w:val="en-US"/>
        </w:rPr>
        <w:t>eviews</w:t>
      </w:r>
      <w:bookmarkEnd w:id="55"/>
      <w:r w:rsidRPr="00946B4F">
        <w:t> </w:t>
      </w:r>
    </w:p>
    <w:p w14:paraId="5A9C8D20" w14:textId="5CC75570" w:rsidR="00946B4F" w:rsidRPr="00946B4F" w:rsidRDefault="00946B4F" w:rsidP="001C3807">
      <w:r w:rsidRPr="001C3807">
        <w:rPr>
          <w:rStyle w:val="Strong"/>
        </w:rPr>
        <w:t xml:space="preserve">The McCluskey </w:t>
      </w:r>
      <w:r w:rsidR="00C67165">
        <w:rPr>
          <w:rStyle w:val="Strong"/>
        </w:rPr>
        <w:t>R</w:t>
      </w:r>
      <w:r w:rsidRPr="001C3807">
        <w:rPr>
          <w:rStyle w:val="Strong"/>
        </w:rPr>
        <w:t xml:space="preserve">eview </w:t>
      </w:r>
      <w:r w:rsidR="00CC0E2A">
        <w:rPr>
          <w:rStyle w:val="Strong"/>
        </w:rPr>
        <w:t>recommended</w:t>
      </w:r>
      <w:r w:rsidRPr="001C3807" w:rsidDel="00CC0E2A">
        <w:rPr>
          <w:rStyle w:val="Strong"/>
        </w:rPr>
        <w:t xml:space="preserve"> </w:t>
      </w:r>
      <w:r w:rsidRPr="001C3807">
        <w:rPr>
          <w:rStyle w:val="Strong"/>
        </w:rPr>
        <w:t>that ASBFEO should work with states that do not have small business commissioners to establish clear protocols for its referrals.</w:t>
      </w:r>
      <w:r w:rsidR="00065357">
        <w:rPr>
          <w:rStyle w:val="Strong"/>
          <w:rFonts w:ascii="ZWAdobeF" w:hAnsi="ZWAdobeF" w:cs="ZWAdobeF"/>
          <w:b w:val="0"/>
          <w:color w:val="auto"/>
          <w:sz w:val="2"/>
          <w:szCs w:val="2"/>
        </w:rPr>
        <w:t>67F</w:t>
      </w:r>
      <w:r w:rsidR="00F10E87" w:rsidRPr="0000335C">
        <w:rPr>
          <w:rStyle w:val="FootnoteReference"/>
          <w:b/>
          <w:vertAlign w:val="superscript"/>
        </w:rPr>
        <w:footnoteReference w:id="69"/>
      </w:r>
      <w:r w:rsidRPr="001C3807">
        <w:rPr>
          <w:rStyle w:val="Strong"/>
        </w:rPr>
        <w:t xml:space="preserve"> </w:t>
      </w:r>
      <w:r w:rsidR="009A3C0B" w:rsidRPr="00946B4F">
        <w:rPr>
          <w:lang w:val="en-US"/>
        </w:rPr>
        <w:t>The MacGregor</w:t>
      </w:r>
      <w:r w:rsidRPr="00946B4F">
        <w:rPr>
          <w:lang w:val="en-US"/>
        </w:rPr>
        <w:t xml:space="preserve"> </w:t>
      </w:r>
      <w:r w:rsidR="00C67165">
        <w:rPr>
          <w:lang w:val="en-US"/>
        </w:rPr>
        <w:t>R</w:t>
      </w:r>
      <w:r w:rsidRPr="00946B4F">
        <w:rPr>
          <w:lang w:val="en-US"/>
        </w:rPr>
        <w:t xml:space="preserve">eview considered the recommendation and concluded that there was a gap in the coverage of NT, </w:t>
      </w:r>
      <w:r w:rsidR="001904B5">
        <w:rPr>
          <w:rFonts w:eastAsia="Calibri"/>
          <w:iCs/>
        </w:rPr>
        <w:t>ACT</w:t>
      </w:r>
      <w:r w:rsidRPr="00946B4F">
        <w:rPr>
          <w:lang w:val="en-US"/>
        </w:rPr>
        <w:t xml:space="preserve"> and Tasmania and that more communication and outreach with these jurisdictions would be beneficial</w:t>
      </w:r>
      <w:r w:rsidR="00916FA5">
        <w:rPr>
          <w:lang w:val="en-US"/>
        </w:rPr>
        <w:t>.</w:t>
      </w:r>
      <w:r w:rsidR="00065357">
        <w:rPr>
          <w:rFonts w:ascii="ZWAdobeF" w:hAnsi="ZWAdobeF" w:cs="ZWAdobeF"/>
          <w:color w:val="auto"/>
          <w:sz w:val="2"/>
          <w:szCs w:val="2"/>
          <w:lang w:val="en-US"/>
        </w:rPr>
        <w:t>68F</w:t>
      </w:r>
      <w:r w:rsidR="0097234F" w:rsidRPr="0000335C">
        <w:rPr>
          <w:rStyle w:val="FootnoteReference"/>
          <w:vertAlign w:val="superscript"/>
          <w:lang w:val="en-US"/>
        </w:rPr>
        <w:footnoteReference w:id="70"/>
      </w:r>
      <w:r w:rsidR="00916FA5" w:rsidRPr="0000335C">
        <w:rPr>
          <w:vertAlign w:val="superscript"/>
          <w:lang w:val="en-US"/>
        </w:rPr>
        <w:t xml:space="preserve"> </w:t>
      </w:r>
    </w:p>
    <w:p w14:paraId="42DEEB80" w14:textId="0551A5F3" w:rsidR="00946B4F" w:rsidRPr="00613CC9" w:rsidRDefault="00946B4F" w:rsidP="001C3807">
      <w:pPr>
        <w:rPr>
          <w:rFonts w:eastAsia="Calibri"/>
        </w:rPr>
      </w:pPr>
      <w:r w:rsidRPr="001C3807">
        <w:rPr>
          <w:rStyle w:val="Strong"/>
        </w:rPr>
        <w:t xml:space="preserve">ASBFEO has conducted more outreach and communication </w:t>
      </w:r>
      <w:r w:rsidR="00416DA3">
        <w:rPr>
          <w:rStyle w:val="Strong"/>
        </w:rPr>
        <w:t xml:space="preserve">since 2021 which </w:t>
      </w:r>
      <w:r w:rsidRPr="001C3807">
        <w:rPr>
          <w:rStyle w:val="Strong"/>
        </w:rPr>
        <w:t>should continue.</w:t>
      </w:r>
      <w:r w:rsidRPr="00946B4F">
        <w:rPr>
          <w:lang w:val="en-US"/>
        </w:rPr>
        <w:t xml:space="preserve"> </w:t>
      </w:r>
      <w:r w:rsidR="00CC0E2A" w:rsidRPr="0010234A">
        <w:rPr>
          <w:rStyle w:val="Strong"/>
          <w:b w:val="0"/>
        </w:rPr>
        <w:t xml:space="preserve">The relevant </w:t>
      </w:r>
      <w:r w:rsidR="001904B5">
        <w:rPr>
          <w:rStyle w:val="Strong"/>
          <w:b w:val="0"/>
        </w:rPr>
        <w:t>NT</w:t>
      </w:r>
      <w:r w:rsidR="00CC0E2A" w:rsidRPr="0010234A">
        <w:rPr>
          <w:rStyle w:val="Strong"/>
          <w:b w:val="0"/>
        </w:rPr>
        <w:t xml:space="preserve">, </w:t>
      </w:r>
      <w:r w:rsidR="001904B5">
        <w:rPr>
          <w:rFonts w:eastAsia="Calibri"/>
          <w:iCs/>
        </w:rPr>
        <w:t>ACT</w:t>
      </w:r>
      <w:r w:rsidR="00CC0E2A" w:rsidRPr="0010234A">
        <w:rPr>
          <w:rStyle w:val="Strong"/>
          <w:b w:val="0"/>
        </w:rPr>
        <w:t xml:space="preserve"> and Tasmania government agencies were interviewed</w:t>
      </w:r>
      <w:r w:rsidR="00CC0E2A">
        <w:rPr>
          <w:rStyle w:val="Strong"/>
          <w:b w:val="0"/>
          <w:bCs w:val="0"/>
        </w:rPr>
        <w:t>.</w:t>
      </w:r>
      <w:r w:rsidR="00CC0E2A" w:rsidRPr="001C3807">
        <w:rPr>
          <w:rStyle w:val="Strong"/>
        </w:rPr>
        <w:t xml:space="preserve"> </w:t>
      </w:r>
      <w:r w:rsidRPr="00946B4F">
        <w:rPr>
          <w:lang w:val="en-US"/>
        </w:rPr>
        <w:t>Both the Tasmanian Small Business Advocate and the N</w:t>
      </w:r>
      <w:r w:rsidR="00C32D25">
        <w:rPr>
          <w:lang w:val="en-US"/>
        </w:rPr>
        <w:t xml:space="preserve">orthern </w:t>
      </w:r>
      <w:r w:rsidR="00EA1920">
        <w:rPr>
          <w:lang w:val="en-US"/>
        </w:rPr>
        <w:t>Territory</w:t>
      </w:r>
      <w:r w:rsidRPr="00946B4F">
        <w:rPr>
          <w:lang w:val="en-US"/>
        </w:rPr>
        <w:t xml:space="preserve"> Department of Trade, Business and Asian Relations were satisfied with ASBFEO</w:t>
      </w:r>
      <w:r w:rsidR="00916FA5">
        <w:rPr>
          <w:lang w:val="en-US"/>
        </w:rPr>
        <w:t>’</w:t>
      </w:r>
      <w:r w:rsidRPr="00946B4F">
        <w:rPr>
          <w:lang w:val="en-US"/>
        </w:rPr>
        <w:t xml:space="preserve">s referral process, stating that </w:t>
      </w:r>
      <w:r w:rsidR="009A479B">
        <w:rPr>
          <w:lang w:val="en-US"/>
        </w:rPr>
        <w:t xml:space="preserve">the </w:t>
      </w:r>
      <w:r w:rsidRPr="00946B4F">
        <w:rPr>
          <w:lang w:val="en-US"/>
        </w:rPr>
        <w:t xml:space="preserve">ASBFEO </w:t>
      </w:r>
      <w:r w:rsidR="009A479B">
        <w:rPr>
          <w:lang w:val="en-US"/>
        </w:rPr>
        <w:t>conducts</w:t>
      </w:r>
      <w:r w:rsidR="009A479B" w:rsidRPr="00946B4F">
        <w:rPr>
          <w:lang w:val="en-US"/>
        </w:rPr>
        <w:t xml:space="preserve"> </w:t>
      </w:r>
      <w:r w:rsidRPr="00946B4F">
        <w:rPr>
          <w:lang w:val="en-US"/>
        </w:rPr>
        <w:t>a warm handover when referring cases and provide</w:t>
      </w:r>
      <w:r w:rsidR="009A479B">
        <w:rPr>
          <w:lang w:val="en-US"/>
        </w:rPr>
        <w:t>s</w:t>
      </w:r>
      <w:r w:rsidRPr="00946B4F">
        <w:rPr>
          <w:lang w:val="en-US"/>
        </w:rPr>
        <w:t xml:space="preserve"> a comprehensive file on each case</w:t>
      </w:r>
      <w:r w:rsidR="00916FA5">
        <w:rPr>
          <w:lang w:val="en-US"/>
        </w:rPr>
        <w:t xml:space="preserve">. </w:t>
      </w:r>
    </w:p>
    <w:p w14:paraId="7CFD7665" w14:textId="77777777" w:rsidR="00946B4F" w:rsidRPr="00946B4F" w:rsidRDefault="00946B4F" w:rsidP="00885A02">
      <w:pPr>
        <w:pStyle w:val="Heading3"/>
      </w:pPr>
      <w:bookmarkStart w:id="56" w:name="_Toc199940965"/>
      <w:r w:rsidRPr="00946B4F">
        <w:rPr>
          <w:lang w:val="en-US"/>
        </w:rPr>
        <w:t>Analysis</w:t>
      </w:r>
      <w:bookmarkEnd w:id="56"/>
      <w:r w:rsidRPr="00946B4F">
        <w:t> </w:t>
      </w:r>
    </w:p>
    <w:p w14:paraId="22B40C49" w14:textId="457ED78C" w:rsidR="00946B4F" w:rsidRPr="00946B4F" w:rsidRDefault="00946B4F" w:rsidP="001C3807">
      <w:r w:rsidRPr="001C3807">
        <w:rPr>
          <w:rStyle w:val="Strong"/>
        </w:rPr>
        <w:t xml:space="preserve">Referrals to other agencies constitute </w:t>
      </w:r>
      <w:r w:rsidR="003518E3">
        <w:rPr>
          <w:rStyle w:val="Strong"/>
        </w:rPr>
        <w:t xml:space="preserve">an average of </w:t>
      </w:r>
      <w:r w:rsidRPr="001C3807">
        <w:rPr>
          <w:rStyle w:val="Strong"/>
        </w:rPr>
        <w:t>25</w:t>
      </w:r>
      <w:r w:rsidR="001C3807">
        <w:rPr>
          <w:rStyle w:val="Strong"/>
        </w:rPr>
        <w:t> </w:t>
      </w:r>
      <w:r w:rsidRPr="001C3807">
        <w:rPr>
          <w:rStyle w:val="Strong"/>
        </w:rPr>
        <w:t>per cent of the Case Management team</w:t>
      </w:r>
      <w:r w:rsidR="00916FA5" w:rsidRPr="001C3807">
        <w:rPr>
          <w:rStyle w:val="Strong"/>
        </w:rPr>
        <w:t>’</w:t>
      </w:r>
      <w:r w:rsidRPr="001C3807">
        <w:rPr>
          <w:rStyle w:val="Strong"/>
        </w:rPr>
        <w:t xml:space="preserve">s </w:t>
      </w:r>
      <w:r w:rsidR="003518E3">
        <w:rPr>
          <w:rStyle w:val="Strong"/>
        </w:rPr>
        <w:t xml:space="preserve">annual </w:t>
      </w:r>
      <w:r w:rsidRPr="001C3807">
        <w:rPr>
          <w:rStyle w:val="Strong"/>
        </w:rPr>
        <w:t>workload</w:t>
      </w:r>
      <w:r w:rsidR="003518E3">
        <w:rPr>
          <w:rStyle w:val="Strong"/>
        </w:rPr>
        <w:t xml:space="preserve"> over the last three years</w:t>
      </w:r>
      <w:r w:rsidR="00C06C5C">
        <w:rPr>
          <w:rStyle w:val="Strong"/>
        </w:rPr>
        <w:t>,</w:t>
      </w:r>
      <w:r w:rsidRPr="001C3807">
        <w:rPr>
          <w:rStyle w:val="Strong"/>
        </w:rPr>
        <w:t xml:space="preserve"> suggesting a review of the process is necessary.</w:t>
      </w:r>
      <w:r w:rsidRPr="00946B4F">
        <w:rPr>
          <w:lang w:val="en-US"/>
        </w:rPr>
        <w:t xml:space="preserve"> Many requests for assistance are referred to another agency by the </w:t>
      </w:r>
      <w:r w:rsidR="00CE4453">
        <w:rPr>
          <w:lang w:val="en-US"/>
        </w:rPr>
        <w:t>C</w:t>
      </w:r>
      <w:r w:rsidRPr="00946B4F">
        <w:rPr>
          <w:lang w:val="en-US"/>
        </w:rPr>
        <w:t>ontact Cent</w:t>
      </w:r>
      <w:r w:rsidR="00CE4453">
        <w:rPr>
          <w:lang w:val="en-US"/>
        </w:rPr>
        <w:t>re</w:t>
      </w:r>
      <w:r w:rsidRPr="00946B4F">
        <w:rPr>
          <w:lang w:val="en-US"/>
        </w:rPr>
        <w:t>, however</w:t>
      </w:r>
      <w:r w:rsidR="00CE4453">
        <w:rPr>
          <w:lang w:val="en-US"/>
        </w:rPr>
        <w:t>,</w:t>
      </w:r>
      <w:r w:rsidRPr="00946B4F">
        <w:rPr>
          <w:lang w:val="en-US"/>
        </w:rPr>
        <w:t xml:space="preserve"> </w:t>
      </w:r>
      <w:r w:rsidR="00EA1BAF">
        <w:rPr>
          <w:lang w:val="en-US"/>
        </w:rPr>
        <w:t xml:space="preserve">Case Managers also referred </w:t>
      </w:r>
      <w:r w:rsidRPr="00946B4F">
        <w:rPr>
          <w:lang w:val="en-US"/>
        </w:rPr>
        <w:t>an additional 1</w:t>
      </w:r>
      <w:r w:rsidR="00D61910">
        <w:rPr>
          <w:lang w:val="en-US"/>
        </w:rPr>
        <w:t>,</w:t>
      </w:r>
      <w:r w:rsidRPr="00946B4F">
        <w:rPr>
          <w:lang w:val="en-US"/>
        </w:rPr>
        <w:t>111 cases</w:t>
      </w:r>
      <w:r w:rsidR="00EA1BAF">
        <w:rPr>
          <w:lang w:val="en-US"/>
        </w:rPr>
        <w:t xml:space="preserve"> to another agency</w:t>
      </w:r>
      <w:r w:rsidRPr="00946B4F">
        <w:rPr>
          <w:lang w:val="en-US"/>
        </w:rPr>
        <w:t xml:space="preserve">. Not all referrals involve </w:t>
      </w:r>
      <w:r w:rsidR="007F4879">
        <w:rPr>
          <w:lang w:val="en-US"/>
        </w:rPr>
        <w:t>2</w:t>
      </w:r>
      <w:r w:rsidR="006D1AC1">
        <w:rPr>
          <w:lang w:val="en-US"/>
        </w:rPr>
        <w:t> </w:t>
      </w:r>
      <w:r w:rsidRPr="00946B4F">
        <w:rPr>
          <w:lang w:val="en-US"/>
        </w:rPr>
        <w:t>points of contact within ASBFEO. Case managers undertake initial triage on emails, website forms and some direct calls, however the large number of referrals does warrant further review.</w:t>
      </w:r>
      <w:r w:rsidRPr="00946B4F">
        <w:t> </w:t>
      </w:r>
    </w:p>
    <w:p w14:paraId="177F10EE" w14:textId="686D9495" w:rsidR="00946B4F" w:rsidRPr="00946B4F" w:rsidRDefault="0049348D" w:rsidP="001C3807">
      <w:r>
        <w:rPr>
          <w:rStyle w:val="Strong"/>
        </w:rPr>
        <w:t xml:space="preserve">As mentioned by stakeholders, </w:t>
      </w:r>
      <w:r w:rsidRPr="001C3807">
        <w:rPr>
          <w:rStyle w:val="Strong"/>
        </w:rPr>
        <w:t>delays</w:t>
      </w:r>
      <w:r>
        <w:rPr>
          <w:rStyle w:val="Strong"/>
        </w:rPr>
        <w:t xml:space="preserve"> often </w:t>
      </w:r>
      <w:r w:rsidRPr="001C3807">
        <w:rPr>
          <w:rStyle w:val="Strong"/>
        </w:rPr>
        <w:t>occur in providing a warm handover when transferring a case to the appropriate agency</w:t>
      </w:r>
      <w:r w:rsidR="00946B4F" w:rsidRPr="001C3807">
        <w:rPr>
          <w:rStyle w:val="Strong"/>
        </w:rPr>
        <w:t>.</w:t>
      </w:r>
      <w:r w:rsidR="00946B4F" w:rsidRPr="00946B4F">
        <w:rPr>
          <w:b/>
          <w:bCs/>
          <w:lang w:val="en-US"/>
        </w:rPr>
        <w:t xml:space="preserve"> </w:t>
      </w:r>
      <w:r w:rsidR="00506701">
        <w:rPr>
          <w:lang w:val="en-US"/>
        </w:rPr>
        <w:t xml:space="preserve">The </w:t>
      </w:r>
      <w:r w:rsidR="00506701" w:rsidRPr="00946B4F">
        <w:rPr>
          <w:lang w:val="en-US"/>
        </w:rPr>
        <w:t xml:space="preserve">ASBFEO is required to provide agencies </w:t>
      </w:r>
      <w:r w:rsidR="00506701">
        <w:rPr>
          <w:lang w:val="en-US"/>
        </w:rPr>
        <w:t>with any information or documents relating to a request. ASBFEO have coined this ‘</w:t>
      </w:r>
      <w:r w:rsidR="00506701" w:rsidRPr="00946B4F">
        <w:rPr>
          <w:lang w:val="en-US"/>
        </w:rPr>
        <w:t>a warm handover referral</w:t>
      </w:r>
      <w:r w:rsidR="00506701">
        <w:rPr>
          <w:lang w:val="en-US"/>
        </w:rPr>
        <w:t>’</w:t>
      </w:r>
      <w:r w:rsidR="00506701" w:rsidRPr="00946B4F">
        <w:rPr>
          <w:lang w:val="en-US"/>
        </w:rPr>
        <w:t xml:space="preserve">. </w:t>
      </w:r>
      <w:r w:rsidR="00506701">
        <w:rPr>
          <w:lang w:val="en-US"/>
        </w:rPr>
        <w:t>These r</w:t>
      </w:r>
      <w:r w:rsidR="00506701" w:rsidRPr="00946B4F">
        <w:rPr>
          <w:lang w:val="en-US"/>
        </w:rPr>
        <w:t>equirements are set out in paragraph 69(5)(b) of the ASBFEO Act as follows:</w:t>
      </w:r>
    </w:p>
    <w:p w14:paraId="00B930F0" w14:textId="77F0DC49" w:rsidR="00946B4F" w:rsidRPr="001C3807" w:rsidRDefault="001C3807" w:rsidP="00F94448">
      <w:pPr>
        <w:rPr>
          <w:rStyle w:val="Emphasis"/>
        </w:rPr>
      </w:pPr>
      <w:r w:rsidRPr="001C3807">
        <w:rPr>
          <w:rStyle w:val="Emphasis"/>
        </w:rPr>
        <w:t>‘</w:t>
      </w:r>
      <w:r w:rsidR="003150E6">
        <w:rPr>
          <w:rStyle w:val="Emphasis"/>
        </w:rPr>
        <w:t xml:space="preserve">… </w:t>
      </w:r>
      <w:r w:rsidR="00946B4F" w:rsidRPr="001C3807">
        <w:rPr>
          <w:rStyle w:val="Emphasis"/>
        </w:rPr>
        <w:t xml:space="preserve">give the other agency any information or documents relating to the request, or the relevant aspect of the request, that are in the </w:t>
      </w:r>
      <w:r w:rsidR="00946B4F" w:rsidRPr="00EA6DA8">
        <w:rPr>
          <w:rStyle w:val="Strong"/>
          <w:b w:val="0"/>
          <w:i/>
        </w:rPr>
        <w:t>possession, or under the control</w:t>
      </w:r>
      <w:r w:rsidR="00946B4F" w:rsidRPr="001C3807">
        <w:rPr>
          <w:rStyle w:val="Emphasis"/>
        </w:rPr>
        <w:t xml:space="preserve">, of the </w:t>
      </w:r>
      <w:r w:rsidR="00946B4F" w:rsidRPr="008740AD">
        <w:rPr>
          <w:rStyle w:val="Emphasis"/>
        </w:rPr>
        <w:t>Ombudsman</w:t>
      </w:r>
      <w:r w:rsidR="003A0D5E">
        <w:rPr>
          <w:rStyle w:val="Emphasis"/>
        </w:rPr>
        <w:t>’</w:t>
      </w:r>
      <w:r w:rsidR="00065357">
        <w:rPr>
          <w:rStyle w:val="Emphasis"/>
          <w:rFonts w:ascii="ZWAdobeF" w:hAnsi="ZWAdobeF" w:cs="ZWAdobeF"/>
          <w:i w:val="0"/>
          <w:color w:val="auto"/>
          <w:sz w:val="2"/>
          <w:szCs w:val="2"/>
        </w:rPr>
        <w:t>69F</w:t>
      </w:r>
      <w:r w:rsidR="00EA6DA8" w:rsidRPr="00FD0878">
        <w:rPr>
          <w:rStyle w:val="FootnoteReference"/>
          <w:sz w:val="22"/>
          <w:szCs w:val="24"/>
          <w:vertAlign w:val="superscript"/>
        </w:rPr>
        <w:footnoteReference w:id="71"/>
      </w:r>
      <w:r w:rsidR="00946B4F" w:rsidRPr="001C3807">
        <w:rPr>
          <w:rStyle w:val="Emphasis"/>
        </w:rPr>
        <w:t> </w:t>
      </w:r>
    </w:p>
    <w:p w14:paraId="5B971CAF" w14:textId="0138E83B" w:rsidR="00946B4F" w:rsidRPr="00946B4F" w:rsidRDefault="00F146E5" w:rsidP="009C2A13">
      <w:r w:rsidRPr="006D1AC1">
        <w:rPr>
          <w:rStyle w:val="Strong"/>
        </w:rPr>
        <w:t>Under the ASBFEO Act</w:t>
      </w:r>
      <w:r w:rsidR="00146AF3" w:rsidRPr="006D1AC1">
        <w:rPr>
          <w:rStyle w:val="Strong"/>
        </w:rPr>
        <w:t>,</w:t>
      </w:r>
      <w:r w:rsidRPr="006D1AC1">
        <w:rPr>
          <w:rStyle w:val="Strong"/>
        </w:rPr>
        <w:t xml:space="preserve"> </w:t>
      </w:r>
      <w:r w:rsidR="00946B4F" w:rsidRPr="006D1AC1">
        <w:rPr>
          <w:rStyle w:val="Strong"/>
        </w:rPr>
        <w:t xml:space="preserve">ASBFEO should only collect additional information to enable </w:t>
      </w:r>
      <w:r w:rsidR="00DE6DE6" w:rsidRPr="006D1AC1">
        <w:rPr>
          <w:rStyle w:val="Strong"/>
        </w:rPr>
        <w:t xml:space="preserve">it </w:t>
      </w:r>
      <w:r w:rsidR="00946B4F" w:rsidRPr="006D1AC1">
        <w:rPr>
          <w:rStyle w:val="Strong"/>
        </w:rPr>
        <w:t xml:space="preserve">to form a reasonable belief </w:t>
      </w:r>
      <w:r w:rsidR="00946B4F" w:rsidRPr="006D1AC1" w:rsidDel="00A343F3">
        <w:rPr>
          <w:rStyle w:val="Strong"/>
        </w:rPr>
        <w:t>another agency</w:t>
      </w:r>
      <w:r w:rsidR="00A343F3" w:rsidRPr="006D1AC1">
        <w:rPr>
          <w:rStyle w:val="Strong"/>
        </w:rPr>
        <w:t xml:space="preserve"> would more conveniently and effectively deal with the request</w:t>
      </w:r>
      <w:r w:rsidR="00946B4F" w:rsidRPr="006D1AC1">
        <w:rPr>
          <w:rStyle w:val="Strong"/>
        </w:rPr>
        <w:t>.</w:t>
      </w:r>
      <w:r w:rsidR="00946B4F" w:rsidRPr="00946B4F">
        <w:rPr>
          <w:lang w:val="en-US"/>
        </w:rPr>
        <w:t xml:space="preserve"> A warm handover does not require ASBFEO to collect additional relevant documents or information not in </w:t>
      </w:r>
      <w:r w:rsidR="00DE6DE6">
        <w:rPr>
          <w:lang w:val="en-US"/>
        </w:rPr>
        <w:t>its</w:t>
      </w:r>
      <w:r w:rsidR="00DE6DE6" w:rsidRPr="00946B4F">
        <w:rPr>
          <w:lang w:val="en-US"/>
        </w:rPr>
        <w:t xml:space="preserve"> </w:t>
      </w:r>
      <w:r w:rsidR="00946B4F" w:rsidRPr="00946B4F">
        <w:rPr>
          <w:lang w:val="en-US"/>
        </w:rPr>
        <w:t>possession or control</w:t>
      </w:r>
      <w:r w:rsidR="00916FA5">
        <w:rPr>
          <w:b/>
          <w:bCs/>
          <w:lang w:val="en-US"/>
        </w:rPr>
        <w:t xml:space="preserve">. </w:t>
      </w:r>
    </w:p>
    <w:p w14:paraId="24A84E69" w14:textId="4E8ADE3E" w:rsidR="00EA42DF" w:rsidRDefault="00E250C3" w:rsidP="009C2A13">
      <w:pPr>
        <w:rPr>
          <w:rStyle w:val="Strong"/>
        </w:rPr>
      </w:pPr>
      <w:r>
        <w:rPr>
          <w:rStyle w:val="Strong"/>
        </w:rPr>
        <w:t>A</w:t>
      </w:r>
      <w:r w:rsidR="00EA42DF" w:rsidRPr="009C2A13">
        <w:rPr>
          <w:rStyle w:val="Strong"/>
        </w:rPr>
        <w:t xml:space="preserve"> sample of cases received from the Contact Centre </w:t>
      </w:r>
      <w:r>
        <w:rPr>
          <w:rStyle w:val="Strong"/>
        </w:rPr>
        <w:t>and</w:t>
      </w:r>
      <w:r w:rsidR="00EA42DF" w:rsidRPr="009C2A13">
        <w:rPr>
          <w:rStyle w:val="Strong"/>
        </w:rPr>
        <w:t xml:space="preserve"> consequently referred to other agencies by the Case Management team </w:t>
      </w:r>
      <w:r w:rsidR="00EA42DF">
        <w:rPr>
          <w:rStyle w:val="Strong"/>
        </w:rPr>
        <w:t>sh</w:t>
      </w:r>
      <w:r w:rsidR="00EA42DF" w:rsidRPr="009C2A13">
        <w:rPr>
          <w:rStyle w:val="Strong"/>
        </w:rPr>
        <w:t>ould be analysed</w:t>
      </w:r>
      <w:r w:rsidRPr="00E250C3">
        <w:rPr>
          <w:rStyle w:val="Strong"/>
        </w:rPr>
        <w:t xml:space="preserve"> </w:t>
      </w:r>
      <w:r>
        <w:rPr>
          <w:rStyle w:val="Strong"/>
        </w:rPr>
        <w:t>t</w:t>
      </w:r>
      <w:r w:rsidRPr="009C2A13">
        <w:rPr>
          <w:rStyle w:val="Strong"/>
        </w:rPr>
        <w:t>o improve the referral process</w:t>
      </w:r>
      <w:r w:rsidR="00EA42DF" w:rsidRPr="009C2A13">
        <w:rPr>
          <w:rStyle w:val="Strong"/>
        </w:rPr>
        <w:t>.</w:t>
      </w:r>
      <w:r w:rsidR="00EA42DF" w:rsidRPr="00946B4F">
        <w:rPr>
          <w:lang w:val="en-US"/>
        </w:rPr>
        <w:t xml:space="preserve"> Th</w:t>
      </w:r>
      <w:r w:rsidR="00EA42DF">
        <w:rPr>
          <w:lang w:val="en-US"/>
        </w:rPr>
        <w:t>e</w:t>
      </w:r>
      <w:r w:rsidR="00EA42DF" w:rsidRPr="00946B4F">
        <w:rPr>
          <w:lang w:val="en-US"/>
        </w:rPr>
        <w:t xml:space="preserve"> </w:t>
      </w:r>
      <w:r w:rsidR="00EA42DF">
        <w:rPr>
          <w:lang w:val="en-US"/>
        </w:rPr>
        <w:t>sample would</w:t>
      </w:r>
      <w:r w:rsidR="00EA42DF" w:rsidRPr="00946B4F">
        <w:rPr>
          <w:lang w:val="en-US"/>
        </w:rPr>
        <w:t xml:space="preserve"> </w:t>
      </w:r>
      <w:r w:rsidR="00EA42DF">
        <w:rPr>
          <w:lang w:val="en-US"/>
        </w:rPr>
        <w:t xml:space="preserve">enable </w:t>
      </w:r>
      <w:r w:rsidR="00EA42DF" w:rsidRPr="00946B4F">
        <w:rPr>
          <w:lang w:val="en-US"/>
        </w:rPr>
        <w:t xml:space="preserve">a better understanding of why cases are allocated to a </w:t>
      </w:r>
      <w:r w:rsidR="00EA42DF">
        <w:rPr>
          <w:lang w:val="en-US"/>
        </w:rPr>
        <w:t>C</w:t>
      </w:r>
      <w:r w:rsidR="00EA42DF" w:rsidRPr="00946B4F">
        <w:rPr>
          <w:lang w:val="en-US"/>
        </w:rPr>
        <w:t xml:space="preserve">ase </w:t>
      </w:r>
      <w:r w:rsidR="00EA42DF">
        <w:rPr>
          <w:lang w:val="en-US"/>
        </w:rPr>
        <w:t>M</w:t>
      </w:r>
      <w:r w:rsidR="00EA42DF" w:rsidRPr="00946B4F">
        <w:rPr>
          <w:lang w:val="en-US"/>
        </w:rPr>
        <w:t xml:space="preserve">anager rather than referred directly from the Contact Centre or the website dispute resolution tool. </w:t>
      </w:r>
      <w:r w:rsidR="0092660F">
        <w:rPr>
          <w:lang w:val="en-US"/>
        </w:rPr>
        <w:t>In</w:t>
      </w:r>
      <w:r w:rsidR="00EA42DF">
        <w:rPr>
          <w:lang w:val="en-US"/>
        </w:rPr>
        <w:t xml:space="preserve"> evaluating the sample</w:t>
      </w:r>
      <w:r w:rsidR="003150E6">
        <w:rPr>
          <w:lang w:val="en-US"/>
        </w:rPr>
        <w:t>,</w:t>
      </w:r>
      <w:r w:rsidR="0092660F" w:rsidDel="003150E6">
        <w:rPr>
          <w:lang w:val="en-US"/>
        </w:rPr>
        <w:t xml:space="preserve"> </w:t>
      </w:r>
      <w:r w:rsidR="00EA42DF" w:rsidRPr="004C749D">
        <w:rPr>
          <w:rStyle w:val="Strong"/>
          <w:b w:val="0"/>
          <w:bCs w:val="0"/>
        </w:rPr>
        <w:t>ASBFEO should track and record the number of contacts and timeframes required to transfer</w:t>
      </w:r>
      <w:r w:rsidR="00EA42DF" w:rsidRPr="004C749D" w:rsidDel="00CD19BB">
        <w:rPr>
          <w:rStyle w:val="Strong"/>
          <w:b w:val="0"/>
          <w:bCs w:val="0"/>
        </w:rPr>
        <w:t xml:space="preserve"> </w:t>
      </w:r>
      <w:r w:rsidR="00EA42DF" w:rsidRPr="004C749D">
        <w:rPr>
          <w:rStyle w:val="Strong"/>
          <w:b w:val="0"/>
          <w:bCs w:val="0"/>
        </w:rPr>
        <w:lastRenderedPageBreak/>
        <w:t>a disputant to another agency.</w:t>
      </w:r>
      <w:r w:rsidR="00EA42DF" w:rsidRPr="00946B4F">
        <w:rPr>
          <w:lang w:val="en-US"/>
        </w:rPr>
        <w:t xml:space="preserve"> This will help improve the experience for small businesses and allow ASBFEO to direct </w:t>
      </w:r>
      <w:r w:rsidR="00EA42DF">
        <w:rPr>
          <w:lang w:val="en-US"/>
        </w:rPr>
        <w:t xml:space="preserve">its </w:t>
      </w:r>
      <w:r w:rsidR="00EA42DF" w:rsidRPr="00946B4F">
        <w:rPr>
          <w:lang w:val="en-US"/>
        </w:rPr>
        <w:t>efforts to</w:t>
      </w:r>
      <w:r w:rsidR="00EA42DF">
        <w:rPr>
          <w:lang w:val="en-US"/>
        </w:rPr>
        <w:t>wards</w:t>
      </w:r>
      <w:r w:rsidR="00EA42DF" w:rsidRPr="00946B4F">
        <w:rPr>
          <w:lang w:val="en-US"/>
        </w:rPr>
        <w:t xml:space="preserve"> resolving barriers in the triaging process</w:t>
      </w:r>
      <w:r w:rsidR="00EA42DF">
        <w:rPr>
          <w:lang w:val="en-US"/>
        </w:rPr>
        <w:t>.</w:t>
      </w:r>
    </w:p>
    <w:p w14:paraId="601BE2E1" w14:textId="407CD826" w:rsidR="00D91977" w:rsidRPr="00946B4F" w:rsidRDefault="00946B4F" w:rsidP="009C2A13">
      <w:r w:rsidRPr="00946B4F">
        <w:rPr>
          <w:lang w:val="en-US"/>
        </w:rPr>
        <w:t xml:space="preserve">ASBFEO should also determine if additional training </w:t>
      </w:r>
      <w:r w:rsidR="00222230" w:rsidRPr="00946B4F">
        <w:rPr>
          <w:lang w:val="en-US"/>
        </w:rPr>
        <w:t xml:space="preserve">is necessary </w:t>
      </w:r>
      <w:r w:rsidRPr="00946B4F">
        <w:rPr>
          <w:lang w:val="en-US"/>
        </w:rPr>
        <w:t>for the Contact Centre staff aimed at seeking further information to navigate the correct path for the dispute case</w:t>
      </w:r>
      <w:r w:rsidR="00916FA5">
        <w:rPr>
          <w:lang w:val="en-US"/>
        </w:rPr>
        <w:t xml:space="preserve">. </w:t>
      </w:r>
    </w:p>
    <w:p w14:paraId="26E49E59" w14:textId="6028C531" w:rsidR="00946B4F" w:rsidRPr="00946B4F" w:rsidRDefault="00AF4D3E" w:rsidP="0043228F">
      <w:r w:rsidRPr="00D22DB7">
        <w:rPr>
          <w:rStyle w:val="Strong"/>
        </w:rPr>
        <w:t xml:space="preserve">The website dispute resolution tool should be reviewed to ensure it </w:t>
      </w:r>
      <w:r w:rsidR="00222230" w:rsidRPr="00D22DB7">
        <w:rPr>
          <w:rStyle w:val="Strong"/>
        </w:rPr>
        <w:t xml:space="preserve">effectively </w:t>
      </w:r>
      <w:r w:rsidRPr="00D22DB7">
        <w:rPr>
          <w:rStyle w:val="Strong"/>
        </w:rPr>
        <w:t>meets users</w:t>
      </w:r>
      <w:r w:rsidR="003A0D5E">
        <w:rPr>
          <w:rStyle w:val="Strong"/>
        </w:rPr>
        <w:t>’</w:t>
      </w:r>
      <w:r w:rsidRPr="00D22DB7">
        <w:rPr>
          <w:rStyle w:val="Strong"/>
        </w:rPr>
        <w:t xml:space="preserve"> needs.</w:t>
      </w:r>
      <w:r w:rsidR="00D91977">
        <w:rPr>
          <w:b/>
          <w:lang w:val="en-US"/>
        </w:rPr>
        <w:t xml:space="preserve"> </w:t>
      </w:r>
      <w:r w:rsidR="00B91E6E" w:rsidRPr="00B91E6E">
        <w:rPr>
          <w:lang w:val="en-US"/>
        </w:rPr>
        <w:t xml:space="preserve">The ASBFEO website’s dispute support online reference tool </w:t>
      </w:r>
      <w:r w:rsidR="00222230">
        <w:rPr>
          <w:lang w:val="en-US"/>
        </w:rPr>
        <w:t>‘</w:t>
      </w:r>
      <w:r w:rsidR="00B91E6E" w:rsidRPr="00B91E6E">
        <w:rPr>
          <w:lang w:val="en-US"/>
        </w:rPr>
        <w:t>Dispute support | ASBFEO</w:t>
      </w:r>
      <w:r w:rsidR="00222230">
        <w:rPr>
          <w:lang w:val="en-US"/>
        </w:rPr>
        <w:t>’</w:t>
      </w:r>
      <w:r w:rsidR="00B91E6E" w:rsidRPr="00B91E6E">
        <w:rPr>
          <w:lang w:val="en-US"/>
        </w:rPr>
        <w:t xml:space="preserve"> may sometimes be challenging to navigate. For instance, when dealing with a digital platform dispute, users need to go through several paragraphs of information before reaching the contact details. Additionally, they might need to access different sections of the site to gather all necessary information before submitting their dispute application form.</w:t>
      </w:r>
      <w:r w:rsidR="00222230">
        <w:rPr>
          <w:lang w:val="en-US"/>
        </w:rPr>
        <w:t xml:space="preserve"> </w:t>
      </w:r>
    </w:p>
    <w:p w14:paraId="2B9B76DA" w14:textId="2A788E22" w:rsidR="00946B4F" w:rsidRPr="00714A6E" w:rsidRDefault="00714A6E" w:rsidP="00714A6E">
      <w:pPr>
        <w:rPr>
          <w:rStyle w:val="Emphasis"/>
        </w:rPr>
      </w:pPr>
      <w:r>
        <w:rPr>
          <w:rStyle w:val="Emphasis"/>
        </w:rPr>
        <w:t>‘</w:t>
      </w:r>
      <w:r w:rsidR="00946B4F" w:rsidRPr="00714A6E">
        <w:rPr>
          <w:rStyle w:val="Emphasis"/>
        </w:rPr>
        <w:t>If your issue does not fall within the IDCARE service (for example, your issue is not about a cyber incident like a scam or hack, or cyber resilience), you can contact us by submitting an online form, and one of our case managers will contact you. Before completing this form, please refer to the Assistance Charter that outlines the services we offer and explains what we can both expect in our dealings with each other</w:t>
      </w:r>
      <w:r w:rsidR="008E45D7">
        <w:rPr>
          <w:rStyle w:val="Emphasis"/>
        </w:rPr>
        <w:t>.</w:t>
      </w:r>
      <w:r>
        <w:rPr>
          <w:rStyle w:val="Emphasis"/>
        </w:rPr>
        <w:t>’</w:t>
      </w:r>
      <w:r w:rsidR="00916FA5" w:rsidRPr="00714A6E">
        <w:rPr>
          <w:rStyle w:val="Emphasis"/>
        </w:rPr>
        <w:t xml:space="preserve"> </w:t>
      </w:r>
      <w:r w:rsidR="00946B4F" w:rsidRPr="00714A6E">
        <w:rPr>
          <w:rStyle w:val="Emphasis"/>
        </w:rPr>
        <w:t> </w:t>
      </w:r>
    </w:p>
    <w:p w14:paraId="062B5DB8" w14:textId="211B0AB5" w:rsidR="00946B4F" w:rsidRPr="00946B4F" w:rsidRDefault="00946B4F" w:rsidP="00291935">
      <w:r w:rsidRPr="00946B4F">
        <w:rPr>
          <w:lang w:val="en-US"/>
        </w:rPr>
        <w:t>A more intuitive decision support tool, tested by small businesses owners, is needed to effectively guide small businesses to the correct agency to lodge their dispute application</w:t>
      </w:r>
      <w:r w:rsidR="00916FA5">
        <w:rPr>
          <w:lang w:val="en-US"/>
        </w:rPr>
        <w:t xml:space="preserve">. </w:t>
      </w:r>
    </w:p>
    <w:p w14:paraId="48B70B20" w14:textId="5B92A99A" w:rsidR="00946B4F" w:rsidRPr="00946B4F" w:rsidRDefault="00946B4F" w:rsidP="00291935">
      <w:r w:rsidRPr="00291935">
        <w:rPr>
          <w:rStyle w:val="Strong"/>
        </w:rPr>
        <w:t xml:space="preserve">ASBFEO should only collect small business information once </w:t>
      </w:r>
      <w:r w:rsidR="006865B7">
        <w:rPr>
          <w:rStyle w:val="Strong"/>
        </w:rPr>
        <w:t xml:space="preserve">to ensure the </w:t>
      </w:r>
      <w:r w:rsidRPr="00291935">
        <w:rPr>
          <w:rStyle w:val="Strong"/>
        </w:rPr>
        <w:t>quick and efficient</w:t>
      </w:r>
      <w:r w:rsidR="006865B7">
        <w:rPr>
          <w:rStyle w:val="Strong"/>
        </w:rPr>
        <w:t xml:space="preserve"> transfer of cases</w:t>
      </w:r>
      <w:r w:rsidRPr="00291935">
        <w:rPr>
          <w:rStyle w:val="Strong"/>
        </w:rPr>
        <w:t>.</w:t>
      </w:r>
      <w:r w:rsidRPr="00946B4F">
        <w:rPr>
          <w:lang w:val="en-US"/>
        </w:rPr>
        <w:t xml:space="preserve"> Small businesses are already dealing with the time pressures of running a small business, it is important that these cases are dealt with efficiently without unnecessary phone calls and duplication of requests for information. Therefore,</w:t>
      </w:r>
      <w:r w:rsidRPr="00946B4F" w:rsidDel="00F21ACA">
        <w:rPr>
          <w:lang w:val="en-US"/>
        </w:rPr>
        <w:t xml:space="preserve"> </w:t>
      </w:r>
      <w:r w:rsidRPr="00946B4F">
        <w:rPr>
          <w:lang w:val="en-US"/>
        </w:rPr>
        <w:t xml:space="preserve">ASBFEO should review the referrals </w:t>
      </w:r>
      <w:r w:rsidR="00497C6B">
        <w:rPr>
          <w:lang w:val="en-US"/>
        </w:rPr>
        <w:t xml:space="preserve">process, </w:t>
      </w:r>
      <w:r w:rsidRPr="00946B4F">
        <w:rPr>
          <w:lang w:val="en-US"/>
        </w:rPr>
        <w:t>including questions initially ask</w:t>
      </w:r>
      <w:r w:rsidR="00BA040C">
        <w:rPr>
          <w:lang w:val="en-US"/>
        </w:rPr>
        <w:t>ed</w:t>
      </w:r>
      <w:r w:rsidRPr="00946B4F">
        <w:rPr>
          <w:lang w:val="en-US"/>
        </w:rPr>
        <w:t xml:space="preserve"> by the Contact Centre or dispute tool to ascertain the most appropriate agency</w:t>
      </w:r>
      <w:r w:rsidR="00916FA5">
        <w:rPr>
          <w:lang w:val="en-US"/>
        </w:rPr>
        <w:t>.</w:t>
      </w:r>
    </w:p>
    <w:p w14:paraId="313295B4" w14:textId="235A0241" w:rsidR="00946B4F" w:rsidRPr="00946B4F" w:rsidRDefault="00946B4F" w:rsidP="001B5C09">
      <w:pPr>
        <w:pStyle w:val="Heading3"/>
      </w:pPr>
      <w:bookmarkStart w:id="57" w:name="_Toc199940966"/>
      <w:r w:rsidRPr="00946B4F">
        <w:rPr>
          <w:lang w:val="en-US"/>
        </w:rPr>
        <w:t>Recommendation</w:t>
      </w:r>
      <w:bookmarkEnd w:id="57"/>
      <w:r w:rsidRPr="00946B4F">
        <w:t> </w:t>
      </w:r>
    </w:p>
    <w:tbl>
      <w:tblPr>
        <w:tblStyle w:val="BoxStyle"/>
        <w:tblW w:w="5000" w:type="pct"/>
        <w:shd w:val="clear" w:color="auto" w:fill="F4F0EC"/>
        <w:tblLook w:val="0620" w:firstRow="1" w:lastRow="0" w:firstColumn="0" w:lastColumn="0" w:noHBand="1" w:noVBand="1"/>
      </w:tblPr>
      <w:tblGrid>
        <w:gridCol w:w="9070"/>
      </w:tblGrid>
      <w:tr w:rsidR="00901C44" w14:paraId="1ECEB91D" w14:textId="77777777" w:rsidTr="004C4118">
        <w:tc>
          <w:tcPr>
            <w:tcW w:w="5000" w:type="pct"/>
            <w:shd w:val="clear" w:color="auto" w:fill="F4F0EC"/>
            <w:hideMark/>
          </w:tcPr>
          <w:p w14:paraId="5A28C2FE" w14:textId="40FDAD05" w:rsidR="00663D28" w:rsidRPr="00291935" w:rsidRDefault="004D1C49" w:rsidP="00D22DB7">
            <w:pPr>
              <w:pStyle w:val="BoxText"/>
              <w:rPr>
                <w:rStyle w:val="Strong"/>
              </w:rPr>
            </w:pPr>
            <w:r w:rsidRPr="003813AF">
              <w:rPr>
                <w:rStyle w:val="Strong"/>
              </w:rPr>
              <w:t>Recommendation 6:</w:t>
            </w:r>
            <w:r w:rsidRPr="00291935">
              <w:rPr>
                <w:rStyle w:val="Strong"/>
              </w:rPr>
              <w:t> </w:t>
            </w:r>
            <w:r w:rsidRPr="004D1FDF">
              <w:rPr>
                <w:rStyle w:val="Strong"/>
                <w:b w:val="0"/>
                <w:bCs w:val="0"/>
              </w:rPr>
              <w:t>ASBFEO</w:t>
            </w:r>
            <w:r>
              <w:rPr>
                <w:rStyle w:val="Strong"/>
              </w:rPr>
              <w:t xml:space="preserve"> </w:t>
            </w:r>
            <w:r w:rsidRPr="004D1FDF">
              <w:rPr>
                <w:rStyle w:val="Strong"/>
                <w:b w:val="0"/>
                <w:bCs w:val="0"/>
              </w:rPr>
              <w:t xml:space="preserve">should </w:t>
            </w:r>
            <w:r>
              <w:rPr>
                <w:rStyle w:val="Strong"/>
                <w:b w:val="0"/>
                <w:bCs w:val="0"/>
              </w:rPr>
              <w:t>i</w:t>
            </w:r>
            <w:r w:rsidRPr="003813AF">
              <w:rPr>
                <w:rStyle w:val="Strong"/>
                <w:b w:val="0"/>
                <w:bCs w:val="0"/>
              </w:rPr>
              <w:t xml:space="preserve">mprove the process of transferring </w:t>
            </w:r>
            <w:r>
              <w:rPr>
                <w:rStyle w:val="Strong"/>
                <w:b w:val="0"/>
                <w:bCs w:val="0"/>
              </w:rPr>
              <w:t xml:space="preserve">assistance </w:t>
            </w:r>
            <w:r w:rsidRPr="003813AF">
              <w:rPr>
                <w:rStyle w:val="Strong"/>
                <w:b w:val="0"/>
                <w:bCs w:val="0"/>
              </w:rPr>
              <w:t xml:space="preserve">cases to other agencies </w:t>
            </w:r>
            <w:r w:rsidR="00663D28">
              <w:rPr>
                <w:rStyle w:val="Strong"/>
                <w:b w:val="0"/>
                <w:bCs w:val="0"/>
              </w:rPr>
              <w:t>to reduce the number of cases that ASBFEO double</w:t>
            </w:r>
            <w:r w:rsidR="003A0D5E">
              <w:rPr>
                <w:rStyle w:val="Strong"/>
                <w:b w:val="0"/>
                <w:bCs w:val="0"/>
              </w:rPr>
              <w:noBreakHyphen/>
            </w:r>
            <w:r w:rsidR="00663D28">
              <w:rPr>
                <w:rStyle w:val="Strong"/>
                <w:b w:val="0"/>
                <w:bCs w:val="0"/>
              </w:rPr>
              <w:t>handles</w:t>
            </w:r>
            <w:r w:rsidR="00663D28" w:rsidRPr="003813AF">
              <w:rPr>
                <w:rStyle w:val="Strong"/>
                <w:b w:val="0"/>
                <w:bCs w:val="0"/>
              </w:rPr>
              <w:t xml:space="preserve"> by:</w:t>
            </w:r>
            <w:r w:rsidR="00663D28" w:rsidRPr="00291935">
              <w:rPr>
                <w:rStyle w:val="Strong"/>
              </w:rPr>
              <w:t> </w:t>
            </w:r>
          </w:p>
          <w:p w14:paraId="68CD61B6" w14:textId="77777777" w:rsidR="00663D28" w:rsidRPr="005F3605" w:rsidRDefault="00663D28" w:rsidP="00D22DB7">
            <w:pPr>
              <w:pStyle w:val="Boxbullet"/>
            </w:pPr>
            <w:r>
              <w:t>E</w:t>
            </w:r>
            <w:r w:rsidRPr="003E644F">
              <w:t>valuating a sample of dispute cases the Contact Centre sent to the Case Management team, which were then referred to another agency.</w:t>
            </w:r>
          </w:p>
          <w:p w14:paraId="2A2A8259" w14:textId="77777777" w:rsidR="00663D28" w:rsidRPr="00334789" w:rsidRDefault="00663D28" w:rsidP="00D22DB7">
            <w:pPr>
              <w:pStyle w:val="Boxbullet"/>
            </w:pPr>
            <w:r>
              <w:rPr>
                <w:lang w:val="en-US"/>
              </w:rPr>
              <w:t>R</w:t>
            </w:r>
            <w:r w:rsidRPr="00946B4F">
              <w:rPr>
                <w:lang w:val="en-US"/>
              </w:rPr>
              <w:t xml:space="preserve">eviewing the internal procedures </w:t>
            </w:r>
            <w:r>
              <w:rPr>
                <w:lang w:val="en-US"/>
              </w:rPr>
              <w:t>for the Contact Centre to</w:t>
            </w:r>
            <w:r w:rsidRPr="003813AF">
              <w:rPr>
                <w:lang w:val="en-US"/>
              </w:rPr>
              <w:t xml:space="preserve"> </w:t>
            </w:r>
            <w:r>
              <w:rPr>
                <w:lang w:val="en-US"/>
              </w:rPr>
              <w:t>e</w:t>
            </w:r>
            <w:r w:rsidRPr="003813AF">
              <w:rPr>
                <w:lang w:val="en-US"/>
              </w:rPr>
              <w:t>nsur</w:t>
            </w:r>
            <w:r>
              <w:rPr>
                <w:lang w:val="en-US"/>
              </w:rPr>
              <w:t>e</w:t>
            </w:r>
            <w:r w:rsidRPr="00056E06">
              <w:rPr>
                <w:lang w:val="en-US"/>
              </w:rPr>
              <w:t xml:space="preserve"> </w:t>
            </w:r>
            <w:r w:rsidRPr="00946B4F">
              <w:rPr>
                <w:lang w:val="en-US"/>
              </w:rPr>
              <w:t xml:space="preserve">that </w:t>
            </w:r>
            <w:r>
              <w:rPr>
                <w:lang w:val="en-US"/>
              </w:rPr>
              <w:t xml:space="preserve">most </w:t>
            </w:r>
            <w:r w:rsidRPr="00946B4F">
              <w:rPr>
                <w:lang w:val="en-US"/>
              </w:rPr>
              <w:t xml:space="preserve">cases </w:t>
            </w:r>
            <w:r>
              <w:rPr>
                <w:lang w:val="en-US"/>
              </w:rPr>
              <w:t xml:space="preserve">that should be transferred to other agencies, are sent </w:t>
            </w:r>
            <w:r w:rsidRPr="00946B4F">
              <w:rPr>
                <w:lang w:val="en-US"/>
              </w:rPr>
              <w:t>directly from the Contact Centre</w:t>
            </w:r>
            <w:r>
              <w:rPr>
                <w:lang w:val="en-US"/>
              </w:rPr>
              <w:t xml:space="preserve">. </w:t>
            </w:r>
          </w:p>
          <w:p w14:paraId="3BD75425" w14:textId="77777777" w:rsidR="00663D28" w:rsidRPr="00946B4F" w:rsidRDefault="00663D28" w:rsidP="00D22DB7">
            <w:pPr>
              <w:pStyle w:val="Boxbullet"/>
            </w:pPr>
            <w:r w:rsidRPr="00946B4F">
              <w:rPr>
                <w:lang w:val="en-US"/>
              </w:rPr>
              <w:t>Upgrading the current websites dispute support online reference tool</w:t>
            </w:r>
            <w:r>
              <w:t>.</w:t>
            </w:r>
          </w:p>
          <w:p w14:paraId="17E3F22F" w14:textId="695AA3C1" w:rsidR="00901C44" w:rsidRPr="004D1C49" w:rsidRDefault="00663D28" w:rsidP="00D22DB7">
            <w:pPr>
              <w:pStyle w:val="Boxbullet"/>
            </w:pPr>
            <w:r>
              <w:rPr>
                <w:lang w:val="en-US"/>
              </w:rPr>
              <w:t>E</w:t>
            </w:r>
            <w:r w:rsidRPr="00946B4F">
              <w:rPr>
                <w:lang w:val="en-US"/>
              </w:rPr>
              <w:t xml:space="preserve">ducating agencies </w:t>
            </w:r>
            <w:r>
              <w:rPr>
                <w:lang w:val="en-US"/>
              </w:rPr>
              <w:t>that</w:t>
            </w:r>
            <w:r w:rsidRPr="00946B4F">
              <w:rPr>
                <w:lang w:val="en-US"/>
              </w:rPr>
              <w:t xml:space="preserve"> transfer dispute cases to ASBFEO on the types of cases that ASBFEO can</w:t>
            </w:r>
            <w:r>
              <w:rPr>
                <w:lang w:val="en-US"/>
              </w:rPr>
              <w:t xml:space="preserve"> act on</w:t>
            </w:r>
            <w:r w:rsidRPr="00946B4F">
              <w:rPr>
                <w:lang w:val="en-US"/>
              </w:rPr>
              <w:t>.</w:t>
            </w:r>
          </w:p>
        </w:tc>
      </w:tr>
    </w:tbl>
    <w:p w14:paraId="0372B929" w14:textId="5D73DF1C" w:rsidR="00946B4F" w:rsidRPr="003813AF" w:rsidRDefault="00946B4F" w:rsidP="00833D5F">
      <w:pPr>
        <w:pStyle w:val="Bullet"/>
        <w:numPr>
          <w:ilvl w:val="0"/>
          <w:numId w:val="0"/>
        </w:numPr>
        <w:rPr>
          <w:b/>
        </w:rPr>
      </w:pPr>
    </w:p>
    <w:p w14:paraId="46BA7C70" w14:textId="77777777" w:rsidR="002369B6" w:rsidRPr="003813AF" w:rsidRDefault="002369B6" w:rsidP="00833D5F">
      <w:pPr>
        <w:pStyle w:val="Bullet"/>
        <w:numPr>
          <w:ilvl w:val="0"/>
          <w:numId w:val="0"/>
        </w:numPr>
        <w:rPr>
          <w:b/>
        </w:rPr>
      </w:pPr>
    </w:p>
    <w:p w14:paraId="600E7F2A" w14:textId="63D55535" w:rsidR="00167796" w:rsidRPr="00864F28" w:rsidRDefault="00946B4F" w:rsidP="00864F28">
      <w:pPr>
        <w:pStyle w:val="Heading2"/>
        <w:rPr>
          <w:rStyle w:val="Strong"/>
          <w:rFonts w:eastAsia="Calibri"/>
          <w:b w:val="0"/>
          <w:bCs w:val="0"/>
        </w:rPr>
      </w:pPr>
      <w:bookmarkStart w:id="58" w:name="_Toc199940967"/>
      <w:r w:rsidRPr="00946B4F">
        <w:rPr>
          <w:lang w:val="en-US"/>
        </w:rPr>
        <w:lastRenderedPageBreak/>
        <w:t xml:space="preserve">Notifications </w:t>
      </w:r>
      <w:r w:rsidR="00140CF8">
        <w:rPr>
          <w:lang w:val="en-US"/>
        </w:rPr>
        <w:t>p</w:t>
      </w:r>
      <w:r w:rsidRPr="00946B4F">
        <w:rPr>
          <w:lang w:val="en-US"/>
        </w:rPr>
        <w:t xml:space="preserve">owers and </w:t>
      </w:r>
      <w:r w:rsidR="00140CF8">
        <w:rPr>
          <w:lang w:val="en-US"/>
        </w:rPr>
        <w:t>c</w:t>
      </w:r>
      <w:r w:rsidRPr="00946B4F">
        <w:rPr>
          <w:lang w:val="en-US"/>
        </w:rPr>
        <w:t>ertificates</w:t>
      </w:r>
      <w:bookmarkEnd w:id="58"/>
      <w:r w:rsidRPr="00946B4F">
        <w:t> </w:t>
      </w:r>
    </w:p>
    <w:p w14:paraId="3837322A" w14:textId="0DC6ED4A" w:rsidR="00D653DD" w:rsidRDefault="00D653DD" w:rsidP="00553756">
      <w:r w:rsidRPr="00553756">
        <w:rPr>
          <w:rStyle w:val="Strong"/>
          <w:rFonts w:eastAsia="Calibri"/>
        </w:rPr>
        <w:t xml:space="preserve">Section 75 of the ASBFEO Act allows the Ombudsman to </w:t>
      </w:r>
      <w:r w:rsidR="006E44C4" w:rsidRPr="00553756">
        <w:rPr>
          <w:rStyle w:val="Strong"/>
          <w:rFonts w:eastAsia="Calibri"/>
        </w:rPr>
        <w:t>contact the parties in dispute to determine whether the request for assistance fall</w:t>
      </w:r>
      <w:r w:rsidR="00140CF8" w:rsidRPr="00553756">
        <w:rPr>
          <w:rStyle w:val="Strong"/>
          <w:rFonts w:eastAsia="Calibri"/>
        </w:rPr>
        <w:t>s</w:t>
      </w:r>
      <w:r w:rsidR="006E44C4" w:rsidRPr="00553756">
        <w:rPr>
          <w:rStyle w:val="Strong"/>
          <w:rFonts w:eastAsia="Calibri"/>
        </w:rPr>
        <w:t xml:space="preserve"> within its remit or should be dealt with by another </w:t>
      </w:r>
      <w:r w:rsidR="009A3C0B" w:rsidRPr="00553756">
        <w:rPr>
          <w:rStyle w:val="Strong"/>
          <w:rFonts w:eastAsia="Calibri"/>
        </w:rPr>
        <w:t>agency.</w:t>
      </w:r>
      <w:r w:rsidRPr="00553756">
        <w:rPr>
          <w:rStyle w:val="Strong"/>
          <w:rFonts w:eastAsia="Calibri"/>
        </w:rPr>
        <w:t xml:space="preserve"> </w:t>
      </w:r>
      <w:r w:rsidRPr="00832186">
        <w:t>Under Section 76 of the ASBFEO Act, the Ombudsman can serve a notice in writing to a person to request that they</w:t>
      </w:r>
      <w:r>
        <w:t xml:space="preserve"> obtain</w:t>
      </w:r>
      <w:r w:rsidRPr="00832186">
        <w:t xml:space="preserve"> information or documents which are relevant to inquiries about requests for assistance</w:t>
      </w:r>
      <w:r w:rsidRPr="003432F6">
        <w:t xml:space="preserve">. </w:t>
      </w:r>
      <w:r>
        <w:t xml:space="preserve">Often one party will refuse to respond to that request for information and there is no further action ASBFEO can take to finalise the dispute. </w:t>
      </w:r>
    </w:p>
    <w:p w14:paraId="76312CE0" w14:textId="624B9E79" w:rsidR="00D653DD" w:rsidRPr="0010234A" w:rsidRDefault="00D653DD" w:rsidP="00553756">
      <w:r w:rsidRPr="00553756">
        <w:rPr>
          <w:rStyle w:val="Strong"/>
        </w:rPr>
        <w:t xml:space="preserve">ASBFEO </w:t>
      </w:r>
      <w:r w:rsidR="00CF1754" w:rsidRPr="00553756">
        <w:rPr>
          <w:rStyle w:val="Strong"/>
        </w:rPr>
        <w:t xml:space="preserve">is </w:t>
      </w:r>
      <w:r w:rsidRPr="00553756">
        <w:rPr>
          <w:rStyle w:val="Strong"/>
        </w:rPr>
        <w:t xml:space="preserve">uncertain whether </w:t>
      </w:r>
      <w:r w:rsidR="00CF1754" w:rsidRPr="00553756">
        <w:rPr>
          <w:rStyle w:val="Strong"/>
        </w:rPr>
        <w:t xml:space="preserve">it </w:t>
      </w:r>
      <w:r w:rsidRPr="00553756">
        <w:rPr>
          <w:rStyle w:val="Strong"/>
        </w:rPr>
        <w:t xml:space="preserve">can use </w:t>
      </w:r>
      <w:r w:rsidR="002913A2">
        <w:rPr>
          <w:rStyle w:val="Strong"/>
        </w:rPr>
        <w:t>its</w:t>
      </w:r>
      <w:r w:rsidRPr="00553756">
        <w:rPr>
          <w:rStyle w:val="Strong"/>
        </w:rPr>
        <w:t xml:space="preserve"> coercive information gathering and publication powers </w:t>
      </w:r>
      <w:r w:rsidR="00CF1754" w:rsidRPr="00553756">
        <w:rPr>
          <w:rStyle w:val="Strong"/>
        </w:rPr>
        <w:t xml:space="preserve">when </w:t>
      </w:r>
      <w:r w:rsidRPr="00553756">
        <w:rPr>
          <w:rStyle w:val="Strong"/>
        </w:rPr>
        <w:t>a party is refusing to engage in the ADR process by deliberately avoiding contact.</w:t>
      </w:r>
      <w:r w:rsidRPr="002B743A">
        <w:t xml:space="preserve"> </w:t>
      </w:r>
      <w:r w:rsidRPr="008E0BC8">
        <w:t>For example</w:t>
      </w:r>
      <w:r>
        <w:t>,</w:t>
      </w:r>
      <w:r w:rsidRPr="008E0BC8">
        <w:t xml:space="preserve"> </w:t>
      </w:r>
      <w:r>
        <w:t xml:space="preserve">this may arise where </w:t>
      </w:r>
      <w:r w:rsidRPr="008E0BC8">
        <w:t xml:space="preserve">there has been deliberate ‘ghosting’ or avoidance of calls, emails and written correspondence with one </w:t>
      </w:r>
      <w:r>
        <w:t xml:space="preserve">of the </w:t>
      </w:r>
      <w:r w:rsidRPr="008E0BC8">
        <w:t xml:space="preserve">parties </w:t>
      </w:r>
      <w:r w:rsidR="00C26AB4">
        <w:t>in</w:t>
      </w:r>
      <w:r w:rsidR="00C26AB4" w:rsidRPr="008E0BC8">
        <w:t xml:space="preserve"> </w:t>
      </w:r>
      <w:r w:rsidRPr="008E0BC8">
        <w:t>a disput</w:t>
      </w:r>
      <w:r w:rsidRPr="005F3851">
        <w:t>e</w:t>
      </w:r>
      <w:r w:rsidR="00FC1CAF">
        <w:t>. The Review believes</w:t>
      </w:r>
      <w:r>
        <w:t xml:space="preserve"> </w:t>
      </w:r>
      <w:r w:rsidRPr="00414D0A">
        <w:t xml:space="preserve">ASBFEO could potentially exercise its publication power for parties that deliberately avoid contact by amending the ASBFEO </w:t>
      </w:r>
      <w:r w:rsidR="00CE4C22">
        <w:t>A</w:t>
      </w:r>
      <w:r w:rsidRPr="00414D0A">
        <w:t xml:space="preserve">ct to expressly allow for this. </w:t>
      </w:r>
      <w:r w:rsidRPr="00E47B31">
        <w:t xml:space="preserve">This </w:t>
      </w:r>
      <w:r w:rsidR="00CE4C22">
        <w:t>w</w:t>
      </w:r>
      <w:r w:rsidRPr="00E47B31">
        <w:t xml:space="preserve">ould be subject to the Ombudsman forming a reasonable view that the party is </w:t>
      </w:r>
      <w:r w:rsidR="00920379" w:rsidRPr="00E47B31">
        <w:t xml:space="preserve">deliberately </w:t>
      </w:r>
      <w:r w:rsidRPr="00E47B31">
        <w:t>refusing to engage in the ADR process.</w:t>
      </w:r>
      <w:r w:rsidR="00E71F84">
        <w:t xml:space="preserve"> </w:t>
      </w:r>
      <w:r w:rsidR="00B35219">
        <w:t xml:space="preserve">The </w:t>
      </w:r>
      <w:r w:rsidR="00B35219">
        <w:rPr>
          <w:lang w:val="en-US"/>
        </w:rPr>
        <w:t xml:space="preserve">Government should consider </w:t>
      </w:r>
      <w:r w:rsidR="00B35219" w:rsidRPr="00946B4F">
        <w:rPr>
          <w:lang w:val="en-US"/>
        </w:rPr>
        <w:t>expand</w:t>
      </w:r>
      <w:r w:rsidR="001C6647">
        <w:rPr>
          <w:lang w:val="en-US"/>
        </w:rPr>
        <w:t>ing</w:t>
      </w:r>
      <w:r w:rsidR="00B35219" w:rsidRPr="00946B4F">
        <w:rPr>
          <w:lang w:val="en-US"/>
        </w:rPr>
        <w:t xml:space="preserve"> the usage of</w:t>
      </w:r>
      <w:r w:rsidR="00B35219" w:rsidDel="00F21ACA">
        <w:rPr>
          <w:lang w:val="en-US"/>
        </w:rPr>
        <w:t xml:space="preserve"> </w:t>
      </w:r>
      <w:r w:rsidR="00B35219">
        <w:rPr>
          <w:lang w:val="en-US"/>
        </w:rPr>
        <w:t>ASBFEO’s</w:t>
      </w:r>
      <w:r w:rsidR="00B35219" w:rsidRPr="00946B4F">
        <w:rPr>
          <w:lang w:val="en-US"/>
        </w:rPr>
        <w:t xml:space="preserve"> information powers and notification powers in cases of parties ghosting or avoiding calls, emails and written correspondence</w:t>
      </w:r>
      <w:r w:rsidR="00B35219">
        <w:rPr>
          <w:lang w:val="en-US"/>
        </w:rPr>
        <w:t>.</w:t>
      </w:r>
    </w:p>
    <w:p w14:paraId="5CE8569E" w14:textId="44A77160" w:rsidR="00674EEA" w:rsidRDefault="00D653DD" w:rsidP="00F83E53">
      <w:pPr>
        <w:rPr>
          <w:rStyle w:val="Strong"/>
        </w:rPr>
      </w:pPr>
      <w:r w:rsidRPr="00553756">
        <w:rPr>
          <w:rStyle w:val="Strong"/>
        </w:rPr>
        <w:t xml:space="preserve">When a party refuses to negotiate in good faith at mediation, SBCs </w:t>
      </w:r>
      <w:proofErr w:type="gramStart"/>
      <w:r w:rsidRPr="00553756">
        <w:rPr>
          <w:rStyle w:val="Strong"/>
        </w:rPr>
        <w:t>are able to</w:t>
      </w:r>
      <w:proofErr w:type="gramEnd"/>
      <w:r w:rsidRPr="00553756">
        <w:rPr>
          <w:rStyle w:val="Strong"/>
        </w:rPr>
        <w:t xml:space="preserve"> issue certificates to be presented to the courts.</w:t>
      </w:r>
      <w:r w:rsidRPr="005E6D2F">
        <w:t xml:space="preserve"> In its submission, ASBFEO requested the ability to </w:t>
      </w:r>
      <w:r>
        <w:t xml:space="preserve">issue </w:t>
      </w:r>
      <w:r w:rsidRPr="005E6D2F">
        <w:t xml:space="preserve">certificates </w:t>
      </w:r>
      <w:proofErr w:type="gramStart"/>
      <w:r w:rsidRPr="005E6D2F">
        <w:t>similar to</w:t>
      </w:r>
      <w:proofErr w:type="gramEnd"/>
      <w:r w:rsidRPr="005E6D2F">
        <w:t xml:space="preserve"> the SBC. </w:t>
      </w:r>
      <w:r w:rsidR="00FE5BA3">
        <w:t>T</w:t>
      </w:r>
      <w:r w:rsidR="00FE5BA3" w:rsidRPr="005E6D2F">
        <w:t xml:space="preserve">he </w:t>
      </w:r>
      <w:r w:rsidR="00FE5BA3">
        <w:t xml:space="preserve">Government should consider amending the </w:t>
      </w:r>
      <w:r w:rsidR="00FE5BA3" w:rsidRPr="005E6D2F">
        <w:t xml:space="preserve">ASBFEO </w:t>
      </w:r>
      <w:r w:rsidR="003F23F7" w:rsidRPr="005E6D2F">
        <w:t>Act to</w:t>
      </w:r>
      <w:r w:rsidR="00FE5BA3" w:rsidRPr="005E6D2F">
        <w:t xml:space="preserve"> allow ASBFEO to issue these certificates</w:t>
      </w:r>
      <w:r w:rsidR="00FE5BA3">
        <w:t>. This presupposes that</w:t>
      </w:r>
      <w:r w:rsidR="00FE5BA3" w:rsidRPr="005E6D2F">
        <w:t xml:space="preserve"> amendments are made to allow ASBFEO to </w:t>
      </w:r>
      <w:r w:rsidR="00FE5BA3">
        <w:t xml:space="preserve">procure a </w:t>
      </w:r>
      <w:r w:rsidR="00FE5BA3" w:rsidRPr="005E6D2F">
        <w:t>mediation</w:t>
      </w:r>
      <w:r w:rsidR="00FE5BA3">
        <w:t xml:space="preserve"> panel</w:t>
      </w:r>
      <w:r w:rsidR="00FE5BA3" w:rsidRPr="005E6D2F">
        <w:t>.</w:t>
      </w:r>
    </w:p>
    <w:p w14:paraId="6862E648" w14:textId="42EFC70E" w:rsidR="00095A03" w:rsidRDefault="00946B4F" w:rsidP="00A60F91">
      <w:pPr>
        <w:pStyle w:val="Heading2"/>
        <w:rPr>
          <w:lang w:val="en-US"/>
        </w:rPr>
      </w:pPr>
      <w:bookmarkStart w:id="59" w:name="_Toc199940968"/>
      <w:r w:rsidRPr="00946B4F">
        <w:rPr>
          <w:lang w:val="en-US"/>
        </w:rPr>
        <w:t>ADR</w:t>
      </w:r>
      <w:bookmarkEnd w:id="59"/>
    </w:p>
    <w:p w14:paraId="067AB741" w14:textId="569E499B" w:rsidR="00946B4F" w:rsidRPr="00946B4F" w:rsidRDefault="00946B4F" w:rsidP="00095A03">
      <w:pPr>
        <w:pStyle w:val="Heading3"/>
      </w:pPr>
      <w:bookmarkStart w:id="60" w:name="_Toc199940969"/>
      <w:r w:rsidRPr="00946B4F">
        <w:rPr>
          <w:lang w:val="en-US"/>
        </w:rPr>
        <w:t>Pre</w:t>
      </w:r>
      <w:r w:rsidR="00916FA5">
        <w:rPr>
          <w:lang w:val="en-US"/>
        </w:rPr>
        <w:noBreakHyphen/>
      </w:r>
      <w:r w:rsidRPr="00946B4F">
        <w:rPr>
          <w:lang w:val="en-US"/>
        </w:rPr>
        <w:t>mediation processes</w:t>
      </w:r>
      <w:bookmarkEnd w:id="60"/>
      <w:r w:rsidRPr="00946B4F">
        <w:tab/>
        <w:t> </w:t>
      </w:r>
    </w:p>
    <w:p w14:paraId="2CD4E68C" w14:textId="517A0941" w:rsidR="00946B4F" w:rsidRPr="00946B4F" w:rsidRDefault="00946B4F" w:rsidP="00F83E53">
      <w:r w:rsidRPr="00D61BCF">
        <w:rPr>
          <w:rStyle w:val="Strong"/>
        </w:rPr>
        <w:t>Section</w:t>
      </w:r>
      <w:r w:rsidRPr="00F83E53">
        <w:rPr>
          <w:rStyle w:val="Strong"/>
        </w:rPr>
        <w:t xml:space="preserve"> 7</w:t>
      </w:r>
      <w:r w:rsidR="00E21B6C">
        <w:rPr>
          <w:rStyle w:val="Strong"/>
        </w:rPr>
        <w:t>3</w:t>
      </w:r>
      <w:r w:rsidR="00F83E53">
        <w:rPr>
          <w:rStyle w:val="Strong"/>
        </w:rPr>
        <w:t> </w:t>
      </w:r>
      <w:r w:rsidRPr="00F83E53">
        <w:rPr>
          <w:rStyle w:val="Strong"/>
        </w:rPr>
        <w:t>of the ASBFEO Act prohibits ASBFEO from conducting ADR</w:t>
      </w:r>
      <w:r w:rsidR="00372778">
        <w:rPr>
          <w:rStyle w:val="Strong"/>
        </w:rPr>
        <w:t>.</w:t>
      </w:r>
      <w:r w:rsidRPr="00F83E53">
        <w:rPr>
          <w:rStyle w:val="Strong"/>
        </w:rPr>
        <w:t xml:space="preserve"> </w:t>
      </w:r>
      <w:r w:rsidRPr="00946B4F">
        <w:rPr>
          <w:lang w:val="en-US"/>
        </w:rPr>
        <w:t xml:space="preserve">The policy rationale provided in the explanatory memorandum is that the Ombudsman must be seen </w:t>
      </w:r>
      <w:r w:rsidR="00F9110B">
        <w:rPr>
          <w:lang w:val="en-US"/>
        </w:rPr>
        <w:t xml:space="preserve">as </w:t>
      </w:r>
      <w:r w:rsidRPr="00946B4F">
        <w:rPr>
          <w:lang w:val="en-US"/>
        </w:rPr>
        <w:t>impartial and</w:t>
      </w:r>
      <w:r w:rsidR="00FC114D">
        <w:rPr>
          <w:lang w:val="en-US"/>
        </w:rPr>
        <w:t>,</w:t>
      </w:r>
      <w:r w:rsidRPr="00946B4F">
        <w:rPr>
          <w:lang w:val="en-US"/>
        </w:rPr>
        <w:t xml:space="preserve"> therefore</w:t>
      </w:r>
      <w:r w:rsidR="00F9110B">
        <w:rPr>
          <w:lang w:val="en-US"/>
        </w:rPr>
        <w:t>,</w:t>
      </w:r>
      <w:r w:rsidRPr="00946B4F">
        <w:rPr>
          <w:lang w:val="en-US"/>
        </w:rPr>
        <w:t xml:space="preserve"> </w:t>
      </w:r>
      <w:r w:rsidR="00DE3545">
        <w:rPr>
          <w:lang w:val="en-US"/>
        </w:rPr>
        <w:t>ASBFEO</w:t>
      </w:r>
      <w:r w:rsidR="005E22E8">
        <w:rPr>
          <w:lang w:val="en-US"/>
        </w:rPr>
        <w:t>’</w:t>
      </w:r>
      <w:r w:rsidR="00DE3545">
        <w:rPr>
          <w:lang w:val="en-US"/>
        </w:rPr>
        <w:t>s</w:t>
      </w:r>
      <w:r w:rsidR="00DE3545" w:rsidRPr="00946B4F">
        <w:rPr>
          <w:lang w:val="en-US"/>
        </w:rPr>
        <w:t xml:space="preserve"> </w:t>
      </w:r>
      <w:r w:rsidRPr="00946B4F">
        <w:rPr>
          <w:lang w:val="en-US"/>
        </w:rPr>
        <w:t>advocacy and assistance functions must be entirely separate.</w:t>
      </w:r>
      <w:r w:rsidR="00065357">
        <w:rPr>
          <w:rFonts w:ascii="ZWAdobeF" w:hAnsi="ZWAdobeF" w:cs="ZWAdobeF"/>
          <w:color w:val="auto"/>
          <w:sz w:val="2"/>
          <w:szCs w:val="2"/>
          <w:lang w:val="en-US"/>
        </w:rPr>
        <w:t>70F</w:t>
      </w:r>
      <w:r w:rsidR="00956F71" w:rsidRPr="0051496E">
        <w:rPr>
          <w:rStyle w:val="FootnoteReference"/>
          <w:sz w:val="22"/>
          <w:szCs w:val="24"/>
          <w:vertAlign w:val="superscript"/>
          <w:lang w:val="en-US"/>
        </w:rPr>
        <w:footnoteReference w:id="72"/>
      </w:r>
    </w:p>
    <w:p w14:paraId="731D4A05" w14:textId="27FC4063" w:rsidR="00946B4F" w:rsidRPr="00946B4F" w:rsidRDefault="00946B4F" w:rsidP="00F83E53">
      <w:r w:rsidRPr="00F83E53">
        <w:rPr>
          <w:rStyle w:val="Strong"/>
        </w:rPr>
        <w:t>Informal resolution or pre</w:t>
      </w:r>
      <w:r w:rsidR="00916FA5" w:rsidRPr="00F83E53">
        <w:rPr>
          <w:rStyle w:val="Strong"/>
        </w:rPr>
        <w:noBreakHyphen/>
      </w:r>
      <w:r w:rsidRPr="00F83E53">
        <w:rPr>
          <w:rStyle w:val="Strong"/>
        </w:rPr>
        <w:t xml:space="preserve">mediation resolution is an important part of any mediation process. </w:t>
      </w:r>
      <w:r w:rsidRPr="00946B4F">
        <w:rPr>
          <w:lang w:val="en-US"/>
        </w:rPr>
        <w:t>It takes place before mediation and is an opportunity for the case officer to speak to both parties in dispute, collect relevant documentation and try to negotiate a resolution without the need for formal mediation.</w:t>
      </w:r>
      <w:r w:rsidRPr="00946B4F">
        <w:t> </w:t>
      </w:r>
    </w:p>
    <w:p w14:paraId="369A921C" w14:textId="77777777" w:rsidR="00257175" w:rsidRDefault="00257175" w:rsidP="00F83E53">
      <w:pPr>
        <w:rPr>
          <w:rStyle w:val="Strong"/>
        </w:rPr>
      </w:pPr>
    </w:p>
    <w:p w14:paraId="12054BC5" w14:textId="77777777" w:rsidR="00257175" w:rsidRDefault="00257175" w:rsidP="00F83E53">
      <w:pPr>
        <w:rPr>
          <w:rStyle w:val="Strong"/>
        </w:rPr>
      </w:pPr>
    </w:p>
    <w:p w14:paraId="45ADA11F" w14:textId="71D8BE87" w:rsidR="00946B4F" w:rsidRPr="00946B4F" w:rsidRDefault="00946B4F" w:rsidP="00F83E53">
      <w:r w:rsidRPr="00F83E53">
        <w:rPr>
          <w:rStyle w:val="Strong"/>
        </w:rPr>
        <w:lastRenderedPageBreak/>
        <w:t>ASBFEO cannot undertake pre</w:t>
      </w:r>
      <w:r w:rsidR="00916FA5" w:rsidRPr="00F83E53">
        <w:rPr>
          <w:rStyle w:val="Strong"/>
        </w:rPr>
        <w:noBreakHyphen/>
      </w:r>
      <w:r w:rsidRPr="00F83E53">
        <w:rPr>
          <w:rStyle w:val="Strong"/>
        </w:rPr>
        <w:t>mediation services as this is considered ADR under the ASBFEO Act.</w:t>
      </w:r>
      <w:r w:rsidRPr="00946B4F">
        <w:rPr>
          <w:lang w:val="en-US"/>
        </w:rPr>
        <w:t xml:space="preserve"> The ASBFEO Act does not contemplate actions and processes before or after formal ADR sessions, such as pre</w:t>
      </w:r>
      <w:r w:rsidR="00916FA5">
        <w:rPr>
          <w:lang w:val="en-US"/>
        </w:rPr>
        <w:noBreakHyphen/>
      </w:r>
      <w:r w:rsidRPr="00946B4F">
        <w:rPr>
          <w:lang w:val="en-US"/>
        </w:rPr>
        <w:t>mediation. However, subsection 73(2) makes it clear that ASBFEO cannot be involved in ADR process</w:t>
      </w:r>
      <w:r w:rsidR="00B37CF9">
        <w:rPr>
          <w:lang w:val="en-US"/>
        </w:rPr>
        <w:t>es</w:t>
      </w:r>
      <w:r w:rsidRPr="00946B4F">
        <w:rPr>
          <w:lang w:val="en-US"/>
        </w:rPr>
        <w:t xml:space="preserve"> and pre</w:t>
      </w:r>
      <w:r w:rsidR="00916FA5">
        <w:rPr>
          <w:lang w:val="en-US"/>
        </w:rPr>
        <w:noBreakHyphen/>
      </w:r>
      <w:r w:rsidRPr="00946B4F">
        <w:rPr>
          <w:lang w:val="en-US"/>
        </w:rPr>
        <w:t xml:space="preserve">mediation is captured under the definition of ADR. </w:t>
      </w:r>
      <w:r w:rsidR="00702752" w:rsidRPr="00946B4F">
        <w:rPr>
          <w:lang w:val="en-US"/>
        </w:rPr>
        <w:t>Therefore, the ASBFEO Act</w:t>
      </w:r>
      <w:r w:rsidR="00702752" w:rsidRPr="00946B4F" w:rsidDel="004339C7">
        <w:rPr>
          <w:lang w:val="en-US"/>
        </w:rPr>
        <w:t xml:space="preserve"> </w:t>
      </w:r>
      <w:r w:rsidR="00702752">
        <w:rPr>
          <w:lang w:val="en-US"/>
        </w:rPr>
        <w:t xml:space="preserve">would </w:t>
      </w:r>
      <w:r w:rsidR="00702752" w:rsidRPr="00946B4F">
        <w:rPr>
          <w:lang w:val="en-US"/>
        </w:rPr>
        <w:t xml:space="preserve">need to be amended </w:t>
      </w:r>
      <w:r w:rsidR="00702752">
        <w:rPr>
          <w:lang w:val="en-US"/>
        </w:rPr>
        <w:t xml:space="preserve">for </w:t>
      </w:r>
      <w:r w:rsidR="00702752" w:rsidRPr="00946B4F">
        <w:rPr>
          <w:lang w:val="en-US"/>
        </w:rPr>
        <w:t xml:space="preserve">ASBFEO </w:t>
      </w:r>
      <w:r w:rsidR="00702752">
        <w:rPr>
          <w:lang w:val="en-US"/>
        </w:rPr>
        <w:t xml:space="preserve">to </w:t>
      </w:r>
      <w:r w:rsidR="00702752" w:rsidRPr="00946B4F">
        <w:rPr>
          <w:lang w:val="en-US"/>
        </w:rPr>
        <w:t>conduct pre</w:t>
      </w:r>
      <w:r w:rsidR="00702752">
        <w:rPr>
          <w:lang w:val="en-US"/>
        </w:rPr>
        <w:noBreakHyphen/>
      </w:r>
      <w:r w:rsidR="00702752" w:rsidRPr="00946B4F">
        <w:rPr>
          <w:lang w:val="en-US"/>
        </w:rPr>
        <w:t>mediation.</w:t>
      </w:r>
    </w:p>
    <w:p w14:paraId="39564D26" w14:textId="705C8196" w:rsidR="007A2093" w:rsidRDefault="007A2093" w:rsidP="007A2093">
      <w:pPr>
        <w:rPr>
          <w:lang w:val="en-US"/>
        </w:rPr>
      </w:pPr>
      <w:r w:rsidRPr="00F83E53">
        <w:rPr>
          <w:rStyle w:val="Strong"/>
        </w:rPr>
        <w:t>Mediators that participated in the mediat</w:t>
      </w:r>
      <w:r>
        <w:rPr>
          <w:rStyle w:val="Strong"/>
        </w:rPr>
        <w:t>or</w:t>
      </w:r>
      <w:r w:rsidRPr="00F83E53">
        <w:rPr>
          <w:rStyle w:val="Strong"/>
        </w:rPr>
        <w:t xml:space="preserve"> survey indicated that enhancing pre</w:t>
      </w:r>
      <w:r w:rsidRPr="00F83E53">
        <w:rPr>
          <w:rStyle w:val="Strong"/>
        </w:rPr>
        <w:noBreakHyphen/>
        <w:t xml:space="preserve">mediation support </w:t>
      </w:r>
      <w:r>
        <w:rPr>
          <w:rStyle w:val="Strong"/>
        </w:rPr>
        <w:t>would</w:t>
      </w:r>
      <w:r w:rsidRPr="00F83E53">
        <w:rPr>
          <w:rStyle w:val="Strong"/>
        </w:rPr>
        <w:t xml:space="preserve"> help small businesses better understand the ADR </w:t>
      </w:r>
      <w:r w:rsidR="009A3C0B" w:rsidRPr="00F83E53">
        <w:rPr>
          <w:rStyle w:val="Strong"/>
        </w:rPr>
        <w:t>process</w:t>
      </w:r>
      <w:r w:rsidR="009A3C0B">
        <w:rPr>
          <w:rStyle w:val="Strong"/>
        </w:rPr>
        <w:t xml:space="preserve"> and</w:t>
      </w:r>
      <w:r w:rsidRPr="00F83E53">
        <w:rPr>
          <w:rStyle w:val="Strong"/>
        </w:rPr>
        <w:t xml:space="preserve"> be more willing to participate. </w:t>
      </w:r>
      <w:r w:rsidRPr="00946B4F">
        <w:rPr>
          <w:lang w:val="en-US"/>
        </w:rPr>
        <w:t>The survey identified</w:t>
      </w:r>
      <w:r>
        <w:rPr>
          <w:lang w:val="en-US"/>
        </w:rPr>
        <w:t xml:space="preserve"> that</w:t>
      </w:r>
      <w:r w:rsidRPr="00946B4F">
        <w:rPr>
          <w:lang w:val="en-US"/>
        </w:rPr>
        <w:t xml:space="preserve"> </w:t>
      </w:r>
      <w:r>
        <w:rPr>
          <w:lang w:val="en-US"/>
        </w:rPr>
        <w:t>26 per cent of mediators believed</w:t>
      </w:r>
      <w:r w:rsidRPr="00946B4F">
        <w:rPr>
          <w:lang w:val="en-US"/>
        </w:rPr>
        <w:t xml:space="preserve"> that the ASBFEO</w:t>
      </w:r>
      <w:r>
        <w:rPr>
          <w:lang w:val="en-US"/>
        </w:rPr>
        <w:t>’</w:t>
      </w:r>
      <w:r w:rsidRPr="00946B4F">
        <w:rPr>
          <w:lang w:val="en-US"/>
        </w:rPr>
        <w:t>s pre and post</w:t>
      </w:r>
      <w:r>
        <w:rPr>
          <w:lang w:val="en-US"/>
        </w:rPr>
        <w:noBreakHyphen/>
      </w:r>
      <w:r w:rsidRPr="00946B4F">
        <w:rPr>
          <w:lang w:val="en-US"/>
        </w:rPr>
        <w:t xml:space="preserve">mediation communication could be improved. None of the </w:t>
      </w:r>
      <w:proofErr w:type="gramStart"/>
      <w:r w:rsidRPr="00946B4F">
        <w:rPr>
          <w:lang w:val="en-US"/>
        </w:rPr>
        <w:t>mediators</w:t>
      </w:r>
      <w:proofErr w:type="gramEnd"/>
      <w:r w:rsidRPr="00946B4F">
        <w:rPr>
          <w:lang w:val="en-US"/>
        </w:rPr>
        <w:t xml:space="preserve"> believed disputants were highly prepared for mediation</w:t>
      </w:r>
      <w:r>
        <w:rPr>
          <w:lang w:val="en-US"/>
        </w:rPr>
        <w:t>.</w:t>
      </w:r>
    </w:p>
    <w:p w14:paraId="370C33A9" w14:textId="5E098104" w:rsidR="00FE7917" w:rsidRPr="00553756" w:rsidRDefault="007A0F66" w:rsidP="00F83E53">
      <w:pPr>
        <w:rPr>
          <w:rStyle w:val="Emphasis"/>
        </w:rPr>
      </w:pPr>
      <w:r>
        <w:rPr>
          <w:rStyle w:val="Emphasis"/>
        </w:rPr>
        <w:t>‘</w:t>
      </w:r>
      <w:r w:rsidR="00946B4F" w:rsidRPr="00553756">
        <w:rPr>
          <w:rStyle w:val="Emphasis"/>
        </w:rPr>
        <w:t>In the few mediations that have been referred to me, it has not been clear if the participants have had any direct conversations with ASBFEO staff.</w:t>
      </w:r>
      <w:r>
        <w:rPr>
          <w:rStyle w:val="Emphasis"/>
        </w:rPr>
        <w:t>’</w:t>
      </w:r>
      <w:r w:rsidR="00946B4F" w:rsidRPr="00553756">
        <w:rPr>
          <w:rStyle w:val="Emphasis"/>
        </w:rPr>
        <w:t xml:space="preserve"> </w:t>
      </w:r>
    </w:p>
    <w:p w14:paraId="310AED1E" w14:textId="65E51DA1" w:rsidR="00946B4F" w:rsidRPr="00553756" w:rsidRDefault="007A0F66" w:rsidP="00F83E53">
      <w:pPr>
        <w:rPr>
          <w:rStyle w:val="Emphasis"/>
        </w:rPr>
      </w:pPr>
      <w:r>
        <w:rPr>
          <w:rStyle w:val="Emphasis"/>
        </w:rPr>
        <w:t>‘</w:t>
      </w:r>
      <w:r w:rsidR="00946B4F" w:rsidRPr="00553756">
        <w:rPr>
          <w:rStyle w:val="Emphasis"/>
        </w:rPr>
        <w:t>Often the participants seek far more information about the process, so perhaps more information up front will assist them</w:t>
      </w:r>
      <w:r w:rsidR="006229F6">
        <w:rPr>
          <w:rStyle w:val="Emphasis"/>
        </w:rPr>
        <w:t>.’</w:t>
      </w:r>
      <w:r w:rsidR="00946B4F" w:rsidRPr="00553756">
        <w:rPr>
          <w:rStyle w:val="Emphasis"/>
        </w:rPr>
        <w:t> </w:t>
      </w:r>
    </w:p>
    <w:p w14:paraId="65F6F527" w14:textId="2BE44695" w:rsidR="00946B4F" w:rsidRPr="00946B4F" w:rsidRDefault="00946B4F" w:rsidP="00F83E53">
      <w:r w:rsidRPr="00F83E53">
        <w:rPr>
          <w:rStyle w:val="Strong"/>
        </w:rPr>
        <w:t>SBCs and other jurisdictions differ from</w:t>
      </w:r>
      <w:r w:rsidR="0085498A" w:rsidDel="00F21ACA">
        <w:rPr>
          <w:rStyle w:val="Strong"/>
        </w:rPr>
        <w:t xml:space="preserve"> </w:t>
      </w:r>
      <w:r w:rsidRPr="00F83E53">
        <w:rPr>
          <w:rStyle w:val="Strong"/>
        </w:rPr>
        <w:t xml:space="preserve">ASBFEO as they </w:t>
      </w:r>
      <w:r w:rsidR="00AD2767">
        <w:rPr>
          <w:rStyle w:val="Strong"/>
        </w:rPr>
        <w:t>conduct</w:t>
      </w:r>
      <w:r w:rsidR="00FE7917">
        <w:rPr>
          <w:rStyle w:val="Strong"/>
        </w:rPr>
        <w:t xml:space="preserve"> </w:t>
      </w:r>
      <w:r w:rsidRPr="00F83E53">
        <w:rPr>
          <w:rStyle w:val="Strong"/>
        </w:rPr>
        <w:t xml:space="preserve">informal resolution at no cost to the </w:t>
      </w:r>
      <w:r w:rsidR="0085498A">
        <w:rPr>
          <w:rStyle w:val="Strong"/>
        </w:rPr>
        <w:t>s</w:t>
      </w:r>
      <w:r w:rsidRPr="00F83E53">
        <w:rPr>
          <w:rStyle w:val="Strong"/>
        </w:rPr>
        <w:t xml:space="preserve">mall </w:t>
      </w:r>
      <w:r w:rsidR="0085498A">
        <w:rPr>
          <w:rStyle w:val="Strong"/>
        </w:rPr>
        <w:t>b</w:t>
      </w:r>
      <w:r w:rsidRPr="00F83E53">
        <w:rPr>
          <w:rStyle w:val="Strong"/>
        </w:rPr>
        <w:t>usiness before mediation.</w:t>
      </w:r>
      <w:r w:rsidRPr="00946B4F">
        <w:rPr>
          <w:lang w:val="en-US"/>
        </w:rPr>
        <w:t xml:space="preserve"> Effective pre</w:t>
      </w:r>
      <w:r w:rsidR="00916FA5">
        <w:rPr>
          <w:lang w:val="en-US"/>
        </w:rPr>
        <w:noBreakHyphen/>
      </w:r>
      <w:r w:rsidRPr="00946B4F">
        <w:rPr>
          <w:lang w:val="en-US"/>
        </w:rPr>
        <w:t xml:space="preserve">mediation processes result in </w:t>
      </w:r>
      <w:proofErr w:type="gramStart"/>
      <w:r w:rsidRPr="00946B4F">
        <w:rPr>
          <w:lang w:val="en-US"/>
        </w:rPr>
        <w:t>a large number of</w:t>
      </w:r>
      <w:proofErr w:type="gramEnd"/>
      <w:r w:rsidRPr="00946B4F">
        <w:rPr>
          <w:lang w:val="en-US"/>
        </w:rPr>
        <w:t xml:space="preserve"> cases being resolved without the need for mediation. The </w:t>
      </w:r>
      <w:r w:rsidR="00F01E37" w:rsidRPr="00F01E37">
        <w:rPr>
          <w:lang w:val="en-US"/>
        </w:rPr>
        <w:t>Victorian Small Business Commission</w:t>
      </w:r>
      <w:r w:rsidR="00553756">
        <w:rPr>
          <w:lang w:val="en-US"/>
        </w:rPr>
        <w:t> </w:t>
      </w:r>
      <w:r w:rsidR="00F01E37" w:rsidRPr="00F01E37">
        <w:rPr>
          <w:lang w:val="en-US"/>
        </w:rPr>
        <w:t>(</w:t>
      </w:r>
      <w:r w:rsidR="00F01E37" w:rsidRPr="003C2BFF">
        <w:rPr>
          <w:lang w:val="en-US"/>
        </w:rPr>
        <w:t>VSBC</w:t>
      </w:r>
      <w:r w:rsidR="00F01E37" w:rsidRPr="00F01E37">
        <w:rPr>
          <w:lang w:val="en-US"/>
        </w:rPr>
        <w:t>)</w:t>
      </w:r>
      <w:r w:rsidRPr="00946B4F">
        <w:rPr>
          <w:lang w:val="en-US"/>
        </w:rPr>
        <w:t xml:space="preserve"> resolves 34</w:t>
      </w:r>
      <w:r w:rsidR="00A7630C">
        <w:rPr>
          <w:lang w:val="en-US"/>
        </w:rPr>
        <w:t> </w:t>
      </w:r>
      <w:r w:rsidRPr="00946B4F">
        <w:rPr>
          <w:lang w:val="en-US"/>
        </w:rPr>
        <w:t>per</w:t>
      </w:r>
      <w:r w:rsidR="00A7630C">
        <w:rPr>
          <w:lang w:val="en-US"/>
        </w:rPr>
        <w:t> </w:t>
      </w:r>
      <w:r w:rsidRPr="00946B4F">
        <w:rPr>
          <w:lang w:val="en-US"/>
        </w:rPr>
        <w:t xml:space="preserve">cent of </w:t>
      </w:r>
      <w:r w:rsidR="00FE7917">
        <w:rPr>
          <w:lang w:val="en-US"/>
        </w:rPr>
        <w:t xml:space="preserve">its </w:t>
      </w:r>
      <w:r w:rsidRPr="00946B4F">
        <w:rPr>
          <w:lang w:val="en-US"/>
        </w:rPr>
        <w:t>dispute</w:t>
      </w:r>
      <w:r w:rsidR="00FE7917">
        <w:rPr>
          <w:lang w:val="en-US"/>
        </w:rPr>
        <w:t>s</w:t>
      </w:r>
      <w:r w:rsidRPr="00946B4F">
        <w:rPr>
          <w:lang w:val="en-US"/>
        </w:rPr>
        <w:t xml:space="preserve"> through pre</w:t>
      </w:r>
      <w:r w:rsidR="00916FA5">
        <w:rPr>
          <w:lang w:val="en-US"/>
        </w:rPr>
        <w:noBreakHyphen/>
      </w:r>
      <w:r w:rsidRPr="00946B4F">
        <w:rPr>
          <w:lang w:val="en-US"/>
        </w:rPr>
        <w:t>mediation</w:t>
      </w:r>
      <w:r w:rsidR="00FE7917">
        <w:rPr>
          <w:lang w:val="en-US"/>
        </w:rPr>
        <w:t>.</w:t>
      </w:r>
      <w:r w:rsidRPr="00946B4F">
        <w:rPr>
          <w:lang w:val="en-US"/>
        </w:rPr>
        <w:t xml:space="preserve"> </w:t>
      </w:r>
      <w:r w:rsidR="00FE7917">
        <w:rPr>
          <w:lang w:val="en-US"/>
        </w:rPr>
        <w:t>The</w:t>
      </w:r>
      <w:r w:rsidR="00342539" w:rsidRPr="00342539">
        <w:rPr>
          <w:lang w:val="en-US"/>
        </w:rPr>
        <w:t xml:space="preserve"> </w:t>
      </w:r>
      <w:r w:rsidR="00342539" w:rsidRPr="003C2BFF">
        <w:rPr>
          <w:lang w:val="en-US"/>
        </w:rPr>
        <w:t>QSBC</w:t>
      </w:r>
      <w:r w:rsidR="00FE7917">
        <w:rPr>
          <w:lang w:val="en-US"/>
        </w:rPr>
        <w:t xml:space="preserve"> </w:t>
      </w:r>
      <w:r w:rsidRPr="00946B4F">
        <w:rPr>
          <w:lang w:val="en-US"/>
        </w:rPr>
        <w:t>also ha</w:t>
      </w:r>
      <w:r w:rsidR="008B3D78">
        <w:rPr>
          <w:lang w:val="en-US"/>
        </w:rPr>
        <w:t>s</w:t>
      </w:r>
      <w:r w:rsidRPr="00946B4F">
        <w:rPr>
          <w:lang w:val="en-US"/>
        </w:rPr>
        <w:t xml:space="preserve"> staff </w:t>
      </w:r>
      <w:r w:rsidR="008B3D78">
        <w:rPr>
          <w:lang w:val="en-US"/>
        </w:rPr>
        <w:t xml:space="preserve">who </w:t>
      </w:r>
      <w:r w:rsidRPr="00946B4F">
        <w:rPr>
          <w:lang w:val="en-US"/>
        </w:rPr>
        <w:t xml:space="preserve">are trained in mediation or accredited mediators </w:t>
      </w:r>
      <w:r w:rsidR="00177A7C">
        <w:rPr>
          <w:lang w:val="en-US"/>
        </w:rPr>
        <w:t>conducting</w:t>
      </w:r>
      <w:r w:rsidR="00177A7C" w:rsidRPr="00946B4F">
        <w:rPr>
          <w:lang w:val="en-US"/>
        </w:rPr>
        <w:t xml:space="preserve"> </w:t>
      </w:r>
      <w:r w:rsidRPr="00946B4F">
        <w:rPr>
          <w:lang w:val="en-US"/>
        </w:rPr>
        <w:t>pre</w:t>
      </w:r>
      <w:r w:rsidR="00916FA5">
        <w:rPr>
          <w:lang w:val="en-US"/>
        </w:rPr>
        <w:noBreakHyphen/>
      </w:r>
      <w:r w:rsidRPr="00946B4F">
        <w:rPr>
          <w:lang w:val="en-US"/>
        </w:rPr>
        <w:t xml:space="preserve">mediation. </w:t>
      </w:r>
      <w:r w:rsidR="00C43078" w:rsidRPr="00946B4F">
        <w:rPr>
          <w:lang w:val="en-US"/>
        </w:rPr>
        <w:t>Given the success rate of pre</w:t>
      </w:r>
      <w:r w:rsidR="00C43078">
        <w:rPr>
          <w:lang w:val="en-US"/>
        </w:rPr>
        <w:noBreakHyphen/>
      </w:r>
      <w:r w:rsidR="00C43078" w:rsidRPr="00946B4F">
        <w:rPr>
          <w:lang w:val="en-US"/>
        </w:rPr>
        <w:t>mediation</w:t>
      </w:r>
      <w:r w:rsidR="00C43078">
        <w:rPr>
          <w:lang w:val="en-US"/>
        </w:rPr>
        <w:t xml:space="preserve"> in other jurisdictions</w:t>
      </w:r>
      <w:r w:rsidR="00C43078" w:rsidRPr="00946B4F">
        <w:rPr>
          <w:lang w:val="en-US"/>
        </w:rPr>
        <w:t xml:space="preserve">, the review recommends that </w:t>
      </w:r>
      <w:r w:rsidR="00C43078">
        <w:rPr>
          <w:lang w:val="en-US"/>
        </w:rPr>
        <w:t xml:space="preserve">the Government consider amending the Act to allow ASBFEO Case Managers </w:t>
      </w:r>
      <w:r w:rsidR="00177A7C">
        <w:rPr>
          <w:lang w:val="en-US"/>
        </w:rPr>
        <w:t xml:space="preserve">to </w:t>
      </w:r>
      <w:r w:rsidR="00C43078" w:rsidRPr="00946B4F">
        <w:rPr>
          <w:lang w:val="en-US"/>
        </w:rPr>
        <w:t>conduct pre</w:t>
      </w:r>
      <w:r w:rsidR="00C43078">
        <w:rPr>
          <w:lang w:val="en-US"/>
        </w:rPr>
        <w:noBreakHyphen/>
      </w:r>
      <w:r w:rsidR="00C43078" w:rsidRPr="00946B4F">
        <w:rPr>
          <w:lang w:val="en-US"/>
        </w:rPr>
        <w:t xml:space="preserve">mediation </w:t>
      </w:r>
      <w:r w:rsidR="00C43078">
        <w:rPr>
          <w:lang w:val="en-US"/>
        </w:rPr>
        <w:t>ADR with the parties to try and resolve the dispute without the need to attend mediation.</w:t>
      </w:r>
    </w:p>
    <w:p w14:paraId="4E27CF8E" w14:textId="77777777" w:rsidR="00946B4F" w:rsidRPr="00946B4F" w:rsidRDefault="00946B4F" w:rsidP="00D407DA">
      <w:pPr>
        <w:pStyle w:val="Heading3"/>
      </w:pPr>
      <w:bookmarkStart w:id="61" w:name="_Toc199940970"/>
      <w:r w:rsidRPr="00946B4F">
        <w:rPr>
          <w:lang w:val="en-US"/>
        </w:rPr>
        <w:t>Mediation</w:t>
      </w:r>
      <w:bookmarkEnd w:id="61"/>
      <w:r w:rsidRPr="00946B4F">
        <w:t> </w:t>
      </w:r>
    </w:p>
    <w:p w14:paraId="68525420" w14:textId="5AE6912B" w:rsidR="00946B4F" w:rsidRPr="00946B4F" w:rsidRDefault="00946B4F" w:rsidP="00F83E53">
      <w:r w:rsidRPr="00F83E53">
        <w:rPr>
          <w:rStyle w:val="Strong"/>
        </w:rPr>
        <w:t>Mediation is the most common form of ADR recommended by ASBFEO.</w:t>
      </w:r>
      <w:r w:rsidRPr="00946B4F">
        <w:rPr>
          <w:lang w:val="en-US"/>
        </w:rPr>
        <w:t xml:space="preserve"> It is a confidential, informal process in which the parties with the assistance of an independent mediator, listen to each other, identify the disputed issues, develop options, consider alternatives and aim to reach an agreement if appropriate</w:t>
      </w:r>
      <w:r w:rsidR="00916FA5">
        <w:rPr>
          <w:lang w:val="en-US"/>
        </w:rPr>
        <w:t xml:space="preserve">. </w:t>
      </w:r>
    </w:p>
    <w:p w14:paraId="39722BCA" w14:textId="70D49AB6" w:rsidR="00946B4F" w:rsidRPr="00946B4F" w:rsidRDefault="00946B4F" w:rsidP="00F83E53">
      <w:r w:rsidRPr="00F83E53">
        <w:rPr>
          <w:rStyle w:val="Strong"/>
        </w:rPr>
        <w:t>ASBFEO cannot undertake mediation as it is considered a form of ADR.</w:t>
      </w:r>
      <w:r w:rsidR="002F4A17" w:rsidRPr="00CB69EB">
        <w:rPr>
          <w:rStyle w:val="Strong"/>
          <w:b w:val="0"/>
          <w:bCs w:val="0"/>
        </w:rPr>
        <w:t xml:space="preserve"> Instead</w:t>
      </w:r>
      <w:r w:rsidR="002F4A17" w:rsidRPr="004D1FDF">
        <w:rPr>
          <w:b/>
          <w:lang w:val="en-US"/>
        </w:rPr>
        <w:t>,</w:t>
      </w:r>
      <w:r w:rsidR="002F4A17" w:rsidRPr="00946B4F">
        <w:rPr>
          <w:lang w:val="en-US"/>
        </w:rPr>
        <w:t xml:space="preserve"> it provides a list of specialist ADR providers</w:t>
      </w:r>
      <w:r w:rsidR="002F4A17">
        <w:rPr>
          <w:lang w:val="en-US"/>
        </w:rPr>
        <w:t xml:space="preserve"> to enable</w:t>
      </w:r>
      <w:r w:rsidR="002F4A17" w:rsidRPr="00946B4F">
        <w:rPr>
          <w:lang w:val="en-US"/>
        </w:rPr>
        <w:t xml:space="preserve"> parties to choose</w:t>
      </w:r>
      <w:r w:rsidR="002F4A17">
        <w:rPr>
          <w:lang w:val="en-US"/>
        </w:rPr>
        <w:t xml:space="preserve"> a mediator </w:t>
      </w:r>
      <w:r w:rsidR="00906CE5">
        <w:rPr>
          <w:lang w:val="en-US"/>
        </w:rPr>
        <w:t>for</w:t>
      </w:r>
      <w:r w:rsidR="002F4A17" w:rsidRPr="00946B4F">
        <w:rPr>
          <w:lang w:val="en-US"/>
        </w:rPr>
        <w:t xml:space="preserve"> their dispute. ASBFEO typically provide</w:t>
      </w:r>
      <w:r w:rsidR="00906CE5">
        <w:rPr>
          <w:lang w:val="en-US"/>
        </w:rPr>
        <w:t>s</w:t>
      </w:r>
      <w:r w:rsidR="002F4A17" w:rsidRPr="00946B4F">
        <w:rPr>
          <w:lang w:val="en-US"/>
        </w:rPr>
        <w:t xml:space="preserve"> the parties with </w:t>
      </w:r>
      <w:r w:rsidR="002F4A17">
        <w:rPr>
          <w:lang w:val="en-US"/>
        </w:rPr>
        <w:t xml:space="preserve">the </w:t>
      </w:r>
      <w:r w:rsidR="002F4A17" w:rsidRPr="00946B4F">
        <w:rPr>
          <w:lang w:val="en-US"/>
        </w:rPr>
        <w:t>names of mediators</w:t>
      </w:r>
      <w:r w:rsidR="002F4A17">
        <w:rPr>
          <w:lang w:val="en-US"/>
        </w:rPr>
        <w:t xml:space="preserve"> located</w:t>
      </w:r>
      <w:r w:rsidR="002F4A17" w:rsidRPr="00946B4F">
        <w:rPr>
          <w:lang w:val="en-US"/>
        </w:rPr>
        <w:t xml:space="preserve"> in their </w:t>
      </w:r>
      <w:r w:rsidR="00906CE5">
        <w:rPr>
          <w:lang w:val="en-US"/>
        </w:rPr>
        <w:t>s</w:t>
      </w:r>
      <w:r w:rsidR="002F4A17" w:rsidRPr="00946B4F">
        <w:rPr>
          <w:lang w:val="en-US"/>
        </w:rPr>
        <w:t>tate</w:t>
      </w:r>
      <w:r w:rsidR="002F4A17">
        <w:rPr>
          <w:lang w:val="en-US"/>
        </w:rPr>
        <w:t xml:space="preserve"> and have</w:t>
      </w:r>
      <w:r w:rsidR="002F4A17" w:rsidRPr="00946B4F">
        <w:rPr>
          <w:lang w:val="en-US"/>
        </w:rPr>
        <w:t xml:space="preserve"> expertise</w:t>
      </w:r>
      <w:r w:rsidR="002F4A17">
        <w:rPr>
          <w:lang w:val="en-US"/>
        </w:rPr>
        <w:t xml:space="preserve"> in the field of the dispute. </w:t>
      </w:r>
      <w:r w:rsidR="002F4A17" w:rsidRPr="00946B4F">
        <w:rPr>
          <w:lang w:val="en-US"/>
        </w:rPr>
        <w:t>There are</w:t>
      </w:r>
      <w:r w:rsidR="002F4A17">
        <w:rPr>
          <w:lang w:val="en-US"/>
        </w:rPr>
        <w:t xml:space="preserve"> currently</w:t>
      </w:r>
      <w:r w:rsidR="002F4A17" w:rsidRPr="00946B4F">
        <w:rPr>
          <w:lang w:val="en-US"/>
        </w:rPr>
        <w:t xml:space="preserve"> 49 ADR practitioners on </w:t>
      </w:r>
      <w:r w:rsidR="002F4A17">
        <w:rPr>
          <w:lang w:val="en-US"/>
        </w:rPr>
        <w:t xml:space="preserve">ASBFEO’s </w:t>
      </w:r>
      <w:r w:rsidR="002F4A17" w:rsidRPr="00946B4F">
        <w:rPr>
          <w:lang w:val="en-US"/>
        </w:rPr>
        <w:t>list</w:t>
      </w:r>
      <w:r w:rsidR="004516B1">
        <w:rPr>
          <w:lang w:val="en-US"/>
        </w:rPr>
        <w:t>.</w:t>
      </w:r>
      <w:r w:rsidR="002F4A17" w:rsidDel="00B8577E">
        <w:rPr>
          <w:lang w:val="en-US"/>
        </w:rPr>
        <w:t xml:space="preserve"> </w:t>
      </w:r>
      <w:r w:rsidR="002F4A17">
        <w:rPr>
          <w:lang w:val="en-US"/>
        </w:rPr>
        <w:t>They are all</w:t>
      </w:r>
      <w:r w:rsidR="002F4A17" w:rsidRPr="00946B4F">
        <w:rPr>
          <w:lang w:val="en-US"/>
        </w:rPr>
        <w:t xml:space="preserve"> accredited </w:t>
      </w:r>
      <w:proofErr w:type="gramStart"/>
      <w:r w:rsidR="00282917">
        <w:rPr>
          <w:lang w:val="en-US"/>
        </w:rPr>
        <w:t>mediators</w:t>
      </w:r>
      <w:proofErr w:type="gramEnd"/>
      <w:r w:rsidR="00282917">
        <w:rPr>
          <w:lang w:val="en-US"/>
        </w:rPr>
        <w:t xml:space="preserve"> and m</w:t>
      </w:r>
      <w:r w:rsidR="002F4A17" w:rsidRPr="00946B4F">
        <w:rPr>
          <w:lang w:val="en-US"/>
        </w:rPr>
        <w:t xml:space="preserve">ost ADR practitioners are practicing lawyers, </w:t>
      </w:r>
      <w:r w:rsidR="004E5A79">
        <w:rPr>
          <w:lang w:val="en-US"/>
        </w:rPr>
        <w:t>but</w:t>
      </w:r>
      <w:r w:rsidR="002F4A17">
        <w:rPr>
          <w:lang w:val="en-US"/>
        </w:rPr>
        <w:t xml:space="preserve"> </w:t>
      </w:r>
      <w:r w:rsidR="002F4A17" w:rsidRPr="00946B4F">
        <w:rPr>
          <w:lang w:val="en-US"/>
        </w:rPr>
        <w:t xml:space="preserve">they </w:t>
      </w:r>
      <w:r w:rsidR="002F4A17">
        <w:rPr>
          <w:lang w:val="en-US"/>
        </w:rPr>
        <w:t xml:space="preserve">cannot </w:t>
      </w:r>
      <w:r w:rsidR="002F4A17" w:rsidRPr="00946B4F">
        <w:rPr>
          <w:lang w:val="en-US"/>
        </w:rPr>
        <w:t>provide legal advice as part of the ADR process</w:t>
      </w:r>
      <w:r w:rsidR="002F4A17">
        <w:rPr>
          <w:lang w:val="en-US"/>
        </w:rPr>
        <w:t xml:space="preserve">. </w:t>
      </w:r>
    </w:p>
    <w:p w14:paraId="6574252E" w14:textId="36EAA636" w:rsidR="00C233FB" w:rsidRDefault="00946B4F" w:rsidP="00F83E53">
      <w:r w:rsidRPr="00F83E53">
        <w:rPr>
          <w:rStyle w:val="Strong"/>
        </w:rPr>
        <w:t>From 2021</w:t>
      </w:r>
      <w:r w:rsidR="00C233FB" w:rsidRPr="00C233FB">
        <w:rPr>
          <w:b/>
          <w:bCs/>
        </w:rPr>
        <w:t>–</w:t>
      </w:r>
      <w:r w:rsidRPr="00F83E53">
        <w:rPr>
          <w:rStyle w:val="Strong"/>
        </w:rPr>
        <w:t>22 to 2023</w:t>
      </w:r>
      <w:r w:rsidR="00C233FB" w:rsidRPr="00C233FB">
        <w:rPr>
          <w:b/>
          <w:bCs/>
        </w:rPr>
        <w:t>–</w:t>
      </w:r>
      <w:r w:rsidRPr="00F83E53">
        <w:rPr>
          <w:rStyle w:val="Strong"/>
        </w:rPr>
        <w:t>24, ASBFEO recommended mediation for only 247</w:t>
      </w:r>
      <w:r w:rsidR="00C233FB">
        <w:rPr>
          <w:rStyle w:val="Strong"/>
        </w:rPr>
        <w:t> </w:t>
      </w:r>
      <w:r w:rsidRPr="00F83E53">
        <w:rPr>
          <w:rStyle w:val="Strong"/>
        </w:rPr>
        <w:t>(6</w:t>
      </w:r>
      <w:r w:rsidR="00545455">
        <w:rPr>
          <w:rStyle w:val="Strong"/>
        </w:rPr>
        <w:t xml:space="preserve"> per cent</w:t>
      </w:r>
      <w:r w:rsidRPr="00F83E53">
        <w:rPr>
          <w:rStyle w:val="Strong"/>
        </w:rPr>
        <w:t xml:space="preserve">) of cases as outlined in Table </w:t>
      </w:r>
      <w:r w:rsidR="00B604F7">
        <w:rPr>
          <w:rStyle w:val="Strong"/>
        </w:rPr>
        <w:t>4.5</w:t>
      </w:r>
      <w:r w:rsidRPr="00946B4F">
        <w:rPr>
          <w:b/>
          <w:bCs/>
        </w:rPr>
        <w:t xml:space="preserve">. </w:t>
      </w:r>
      <w:r w:rsidRPr="00946B4F">
        <w:t>Of those, 41</w:t>
      </w:r>
      <w:r w:rsidR="00C233FB">
        <w:t> </w:t>
      </w:r>
      <w:r w:rsidRPr="00946B4F">
        <w:t>per cent were resolved</w:t>
      </w:r>
      <w:r w:rsidR="00303D22">
        <w:t xml:space="preserve"> entirely</w:t>
      </w:r>
      <w:r w:rsidRPr="00946B4F">
        <w:t>, 5</w:t>
      </w:r>
      <w:r w:rsidR="00C233FB">
        <w:t> </w:t>
      </w:r>
      <w:r w:rsidRPr="00946B4F">
        <w:t>per cent partially resolved</w:t>
      </w:r>
      <w:r w:rsidR="005E4F88">
        <w:t>,</w:t>
      </w:r>
      <w:r w:rsidRPr="00946B4F">
        <w:t xml:space="preserve"> and almost half remained unresolved. The resolution rate has reduced from 52</w:t>
      </w:r>
      <w:r w:rsidR="00065580">
        <w:t> </w:t>
      </w:r>
      <w:r w:rsidRPr="00946B4F">
        <w:t>per cent in 2021</w:t>
      </w:r>
      <w:r w:rsidR="00C233FB" w:rsidRPr="00C233FB">
        <w:rPr>
          <w:b/>
          <w:bCs/>
        </w:rPr>
        <w:t>–</w:t>
      </w:r>
      <w:r w:rsidRPr="00946B4F">
        <w:t>22 to 29</w:t>
      </w:r>
      <w:r w:rsidR="00C233FB">
        <w:t> </w:t>
      </w:r>
      <w:r w:rsidRPr="00946B4F">
        <w:t xml:space="preserve">per cent </w:t>
      </w:r>
      <w:r w:rsidR="005E4F88">
        <w:t>in</w:t>
      </w:r>
      <w:r w:rsidRPr="00946B4F">
        <w:t xml:space="preserve"> 2023</w:t>
      </w:r>
      <w:r w:rsidR="00C233FB" w:rsidRPr="00C233FB">
        <w:rPr>
          <w:b/>
          <w:bCs/>
        </w:rPr>
        <w:t>–</w:t>
      </w:r>
      <w:r w:rsidRPr="00946B4F">
        <w:t xml:space="preserve">24. The </w:t>
      </w:r>
      <w:r w:rsidR="00696CB6">
        <w:t xml:space="preserve">number of </w:t>
      </w:r>
      <w:r w:rsidRPr="00946B4F">
        <w:t>unresolved cases ha</w:t>
      </w:r>
      <w:r w:rsidR="00696CB6">
        <w:t>s</w:t>
      </w:r>
      <w:r w:rsidRPr="00946B4F">
        <w:t xml:space="preserve"> increased over this period. </w:t>
      </w:r>
      <w:r w:rsidR="00ED3A4E" w:rsidRPr="00946B4F">
        <w:t>The</w:t>
      </w:r>
      <w:r w:rsidR="0061777F">
        <w:br/>
      </w:r>
      <w:r w:rsidR="00545455" w:rsidRPr="00946B4F">
        <w:t>low</w:t>
      </w:r>
      <w:r w:rsidR="003A0D5E">
        <w:noBreakHyphen/>
      </w:r>
      <w:r w:rsidR="00ED3A4E" w:rsidRPr="00946B4F">
        <w:t xml:space="preserve">resolution </w:t>
      </w:r>
      <w:r w:rsidR="00ED3A4E">
        <w:t xml:space="preserve">rates </w:t>
      </w:r>
      <w:r w:rsidR="00ED3A4E" w:rsidRPr="00946B4F">
        <w:t xml:space="preserve">may reflect the inability of ASBFEO </w:t>
      </w:r>
      <w:r w:rsidR="00ED3A4E" w:rsidRPr="00946B4F" w:rsidDel="00696CB6">
        <w:t xml:space="preserve">to </w:t>
      </w:r>
      <w:r w:rsidR="00ED3A4E">
        <w:t xml:space="preserve">manage the mediation process by procuring a </w:t>
      </w:r>
      <w:r w:rsidR="00ED3A4E" w:rsidRPr="00946B4F">
        <w:t>mediation</w:t>
      </w:r>
      <w:r w:rsidR="00ED3A4E">
        <w:t xml:space="preserve"> panel of independent mediators</w:t>
      </w:r>
      <w:r w:rsidR="00ED3A4E" w:rsidRPr="00946B4F">
        <w:t>.</w:t>
      </w:r>
    </w:p>
    <w:p w14:paraId="3BF2B2EC" w14:textId="77777777" w:rsidR="00C233FB" w:rsidRDefault="00C233FB">
      <w:pPr>
        <w:spacing w:before="0" w:after="160" w:line="259" w:lineRule="auto"/>
      </w:pPr>
      <w:r>
        <w:br w:type="page"/>
      </w:r>
    </w:p>
    <w:p w14:paraId="5663C8EB" w14:textId="1D5DA39B" w:rsidR="00946B4F" w:rsidRPr="00617DA9" w:rsidRDefault="003C0EFA" w:rsidP="005F1D7E">
      <w:pPr>
        <w:pStyle w:val="TableMainHeading"/>
        <w:rPr>
          <w:lang w:val="en-US"/>
        </w:rPr>
      </w:pPr>
      <w:r>
        <w:rPr>
          <w:lang w:val="en-US"/>
        </w:rPr>
        <w:lastRenderedPageBreak/>
        <w:t xml:space="preserve">Table 4.5: </w:t>
      </w:r>
      <w:r w:rsidRPr="0061777F">
        <w:t>Outcomes</w:t>
      </w:r>
      <w:r w:rsidRPr="00946B4F">
        <w:rPr>
          <w:lang w:val="en-US"/>
        </w:rPr>
        <w:t xml:space="preserve"> of cases referred to ADR</w:t>
      </w:r>
      <w:r w:rsidRPr="00617DA9">
        <w:rPr>
          <w:lang w:val="en-US"/>
        </w:rPr>
        <w:t> </w:t>
      </w:r>
    </w:p>
    <w:tbl>
      <w:tblPr>
        <w:tblStyle w:val="TableGrid"/>
        <w:tblW w:w="9070" w:type="dxa"/>
        <w:tblLook w:val="04A0" w:firstRow="1" w:lastRow="0" w:firstColumn="1" w:lastColumn="0" w:noHBand="0" w:noVBand="1"/>
      </w:tblPr>
      <w:tblGrid>
        <w:gridCol w:w="3686"/>
        <w:gridCol w:w="1346"/>
        <w:gridCol w:w="1346"/>
        <w:gridCol w:w="1346"/>
        <w:gridCol w:w="1346"/>
      </w:tblGrid>
      <w:tr w:rsidR="00946B4F" w:rsidRPr="00946B4F" w14:paraId="38B208D6" w14:textId="77777777" w:rsidTr="0061777F">
        <w:trPr>
          <w:cnfStyle w:val="100000000000" w:firstRow="1" w:lastRow="0" w:firstColumn="0" w:lastColumn="0" w:oddVBand="0" w:evenVBand="0" w:oddHBand="0" w:evenHBand="0" w:firstRowFirstColumn="0" w:firstRowLastColumn="0" w:lastRowFirstColumn="0" w:lastRowLastColumn="0"/>
          <w:trHeight w:val="300"/>
        </w:trPr>
        <w:tc>
          <w:tcPr>
            <w:tcW w:w="3686" w:type="dxa"/>
            <w:hideMark/>
          </w:tcPr>
          <w:p w14:paraId="0CC3D647" w14:textId="77777777" w:rsidR="00946B4F" w:rsidRPr="00946B4F" w:rsidRDefault="00946B4F" w:rsidP="005F1D7E">
            <w:pPr>
              <w:pStyle w:val="TableTextLeft"/>
            </w:pPr>
            <w:r w:rsidRPr="00946B4F">
              <w:rPr>
                <w:lang w:val="en-US"/>
              </w:rPr>
              <w:t> </w:t>
            </w:r>
            <w:r w:rsidRPr="00946B4F">
              <w:t> </w:t>
            </w:r>
          </w:p>
        </w:tc>
        <w:tc>
          <w:tcPr>
            <w:tcW w:w="1346" w:type="dxa"/>
            <w:hideMark/>
          </w:tcPr>
          <w:p w14:paraId="500009A7" w14:textId="5CAC4C84" w:rsidR="00946B4F" w:rsidRPr="0061777F" w:rsidRDefault="00946B4F" w:rsidP="00196649">
            <w:pPr>
              <w:pStyle w:val="TableColumnHeadingRight"/>
              <w:rPr>
                <w:rStyle w:val="Strong"/>
                <w:b/>
              </w:rPr>
            </w:pPr>
            <w:r w:rsidRPr="0061777F">
              <w:rPr>
                <w:rStyle w:val="Strong"/>
                <w:b/>
              </w:rPr>
              <w:t>2021</w:t>
            </w:r>
            <w:r w:rsidR="00D05414" w:rsidRPr="0061777F">
              <w:rPr>
                <w:rStyle w:val="Strong"/>
                <w:b/>
              </w:rPr>
              <w:t>–</w:t>
            </w:r>
            <w:r w:rsidRPr="0061777F">
              <w:rPr>
                <w:rStyle w:val="Strong"/>
                <w:b/>
                <w:bCs w:val="0"/>
              </w:rPr>
              <w:t>22</w:t>
            </w:r>
          </w:p>
        </w:tc>
        <w:tc>
          <w:tcPr>
            <w:tcW w:w="1346" w:type="dxa"/>
            <w:hideMark/>
          </w:tcPr>
          <w:p w14:paraId="2C7F3DC9" w14:textId="75971E4E" w:rsidR="00946B4F" w:rsidRPr="0061777F" w:rsidRDefault="00946B4F" w:rsidP="00196649">
            <w:pPr>
              <w:pStyle w:val="TableColumnHeadingRight"/>
              <w:rPr>
                <w:rStyle w:val="Strong"/>
                <w:b/>
              </w:rPr>
            </w:pPr>
            <w:r w:rsidRPr="0061777F">
              <w:rPr>
                <w:rStyle w:val="Strong"/>
                <w:b/>
              </w:rPr>
              <w:t>2022</w:t>
            </w:r>
            <w:r w:rsidR="00D05414" w:rsidRPr="0061777F">
              <w:rPr>
                <w:rStyle w:val="Strong"/>
                <w:b/>
              </w:rPr>
              <w:t>–</w:t>
            </w:r>
            <w:r w:rsidRPr="0061777F">
              <w:rPr>
                <w:rStyle w:val="Strong"/>
                <w:b/>
                <w:bCs w:val="0"/>
              </w:rPr>
              <w:t>23</w:t>
            </w:r>
          </w:p>
        </w:tc>
        <w:tc>
          <w:tcPr>
            <w:tcW w:w="1346" w:type="dxa"/>
            <w:hideMark/>
          </w:tcPr>
          <w:p w14:paraId="28721400" w14:textId="63746E75" w:rsidR="00946B4F" w:rsidRPr="0061777F" w:rsidRDefault="00946B4F" w:rsidP="00196649">
            <w:pPr>
              <w:pStyle w:val="TableColumnHeadingRight"/>
              <w:rPr>
                <w:rStyle w:val="Strong"/>
                <w:b/>
              </w:rPr>
            </w:pPr>
            <w:r w:rsidRPr="0061777F">
              <w:rPr>
                <w:rStyle w:val="Strong"/>
                <w:b/>
              </w:rPr>
              <w:t>2023</w:t>
            </w:r>
            <w:r w:rsidR="00D05414" w:rsidRPr="0061777F">
              <w:rPr>
                <w:rStyle w:val="Strong"/>
                <w:b/>
              </w:rPr>
              <w:t>–</w:t>
            </w:r>
            <w:r w:rsidRPr="0061777F">
              <w:rPr>
                <w:rStyle w:val="Strong"/>
                <w:b/>
                <w:bCs w:val="0"/>
              </w:rPr>
              <w:t>24</w:t>
            </w:r>
          </w:p>
        </w:tc>
        <w:tc>
          <w:tcPr>
            <w:tcW w:w="1346" w:type="dxa"/>
            <w:hideMark/>
          </w:tcPr>
          <w:p w14:paraId="3B75FE85" w14:textId="7CD5809D" w:rsidR="00946B4F" w:rsidRPr="0061777F" w:rsidRDefault="00946B4F" w:rsidP="00196649">
            <w:pPr>
              <w:pStyle w:val="TableColumnHeadingRight"/>
              <w:rPr>
                <w:rStyle w:val="Strong"/>
                <w:b/>
              </w:rPr>
            </w:pPr>
            <w:r w:rsidRPr="0061777F">
              <w:rPr>
                <w:rStyle w:val="Strong"/>
                <w:b/>
              </w:rPr>
              <w:t>3</w:t>
            </w:r>
            <w:r w:rsidR="003A0D5E">
              <w:rPr>
                <w:rStyle w:val="Strong"/>
                <w:b/>
                <w:bCs w:val="0"/>
              </w:rPr>
              <w:noBreakHyphen/>
            </w:r>
            <w:r w:rsidRPr="0061777F">
              <w:rPr>
                <w:rStyle w:val="Strong"/>
                <w:b/>
              </w:rPr>
              <w:t xml:space="preserve">year </w:t>
            </w:r>
            <w:r w:rsidRPr="0061777F">
              <w:rPr>
                <w:rStyle w:val="Strong"/>
                <w:b/>
                <w:bCs w:val="0"/>
              </w:rPr>
              <w:t>total</w:t>
            </w:r>
          </w:p>
        </w:tc>
      </w:tr>
      <w:tr w:rsidR="00946B4F" w:rsidRPr="00946B4F" w14:paraId="78BD9F2F" w14:textId="77777777" w:rsidTr="0061777F">
        <w:trPr>
          <w:cnfStyle w:val="000000100000" w:firstRow="0" w:lastRow="0" w:firstColumn="0" w:lastColumn="0" w:oddVBand="0" w:evenVBand="0" w:oddHBand="1" w:evenHBand="0" w:firstRowFirstColumn="0" w:firstRowLastColumn="0" w:lastRowFirstColumn="0" w:lastRowLastColumn="0"/>
          <w:trHeight w:val="300"/>
        </w:trPr>
        <w:tc>
          <w:tcPr>
            <w:tcW w:w="3686" w:type="dxa"/>
            <w:hideMark/>
          </w:tcPr>
          <w:p w14:paraId="2109CF63" w14:textId="77777777" w:rsidR="00946B4F" w:rsidRPr="00946B4F" w:rsidRDefault="00946B4F" w:rsidP="005F1D7E">
            <w:pPr>
              <w:pStyle w:val="TableTextLeft"/>
            </w:pPr>
            <w:r w:rsidRPr="00946B4F">
              <w:rPr>
                <w:lang w:val="en-US"/>
              </w:rPr>
              <w:t>Total Referred to ADR </w:t>
            </w:r>
            <w:r w:rsidRPr="00946B4F">
              <w:t> </w:t>
            </w:r>
          </w:p>
        </w:tc>
        <w:tc>
          <w:tcPr>
            <w:tcW w:w="1346" w:type="dxa"/>
            <w:hideMark/>
          </w:tcPr>
          <w:p w14:paraId="1065D40C" w14:textId="77777777" w:rsidR="00946B4F" w:rsidRPr="00946B4F" w:rsidRDefault="00946B4F" w:rsidP="00196649">
            <w:pPr>
              <w:pStyle w:val="TableTextRight"/>
            </w:pPr>
            <w:r w:rsidRPr="00946B4F">
              <w:rPr>
                <w:lang w:val="en-US"/>
              </w:rPr>
              <w:t>97 </w:t>
            </w:r>
            <w:r w:rsidRPr="00946B4F">
              <w:t> </w:t>
            </w:r>
          </w:p>
        </w:tc>
        <w:tc>
          <w:tcPr>
            <w:tcW w:w="1346" w:type="dxa"/>
            <w:hideMark/>
          </w:tcPr>
          <w:p w14:paraId="2D8483FD" w14:textId="77777777" w:rsidR="00946B4F" w:rsidRPr="00946B4F" w:rsidRDefault="00946B4F" w:rsidP="00196649">
            <w:pPr>
              <w:pStyle w:val="TableTextRight"/>
            </w:pPr>
            <w:r w:rsidRPr="00946B4F">
              <w:rPr>
                <w:lang w:val="en-US"/>
              </w:rPr>
              <w:t>57 </w:t>
            </w:r>
            <w:r w:rsidRPr="00946B4F">
              <w:t> </w:t>
            </w:r>
          </w:p>
        </w:tc>
        <w:tc>
          <w:tcPr>
            <w:tcW w:w="1346" w:type="dxa"/>
            <w:hideMark/>
          </w:tcPr>
          <w:p w14:paraId="4FC83A28" w14:textId="77777777" w:rsidR="00946B4F" w:rsidRPr="00946B4F" w:rsidRDefault="00946B4F" w:rsidP="00196649">
            <w:pPr>
              <w:pStyle w:val="TableTextRight"/>
            </w:pPr>
            <w:r w:rsidRPr="00946B4F">
              <w:rPr>
                <w:lang w:val="en-US"/>
              </w:rPr>
              <w:t>93 </w:t>
            </w:r>
            <w:r w:rsidRPr="00946B4F">
              <w:t> </w:t>
            </w:r>
          </w:p>
        </w:tc>
        <w:tc>
          <w:tcPr>
            <w:tcW w:w="1346" w:type="dxa"/>
            <w:hideMark/>
          </w:tcPr>
          <w:p w14:paraId="4F6BE1AE" w14:textId="77777777" w:rsidR="00946B4F" w:rsidRPr="00946B4F" w:rsidRDefault="00946B4F" w:rsidP="00196649">
            <w:pPr>
              <w:pStyle w:val="TableTextRight"/>
            </w:pPr>
            <w:r w:rsidRPr="00946B4F">
              <w:rPr>
                <w:lang w:val="en-US"/>
              </w:rPr>
              <w:t>247 </w:t>
            </w:r>
            <w:r w:rsidRPr="00946B4F">
              <w:t> </w:t>
            </w:r>
          </w:p>
        </w:tc>
      </w:tr>
      <w:tr w:rsidR="00946B4F" w:rsidRPr="00946B4F" w14:paraId="1524347E" w14:textId="77777777" w:rsidTr="0061777F">
        <w:trPr>
          <w:cnfStyle w:val="000000010000" w:firstRow="0" w:lastRow="0" w:firstColumn="0" w:lastColumn="0" w:oddVBand="0" w:evenVBand="0" w:oddHBand="0" w:evenHBand="1" w:firstRowFirstColumn="0" w:firstRowLastColumn="0" w:lastRowFirstColumn="0" w:lastRowLastColumn="0"/>
          <w:trHeight w:val="300"/>
        </w:trPr>
        <w:tc>
          <w:tcPr>
            <w:tcW w:w="3686" w:type="dxa"/>
            <w:hideMark/>
          </w:tcPr>
          <w:p w14:paraId="1D90B926" w14:textId="77777777" w:rsidR="00946B4F" w:rsidRPr="00946B4F" w:rsidRDefault="00946B4F" w:rsidP="005F1D7E">
            <w:pPr>
              <w:pStyle w:val="TableTextLeft"/>
            </w:pPr>
            <w:r w:rsidRPr="00946B4F">
              <w:rPr>
                <w:lang w:val="en-US"/>
              </w:rPr>
              <w:t>Reached Resolution </w:t>
            </w:r>
            <w:r w:rsidRPr="00946B4F">
              <w:t> </w:t>
            </w:r>
          </w:p>
        </w:tc>
        <w:tc>
          <w:tcPr>
            <w:tcW w:w="1346" w:type="dxa"/>
            <w:hideMark/>
          </w:tcPr>
          <w:p w14:paraId="541BB002" w14:textId="77777777" w:rsidR="00946B4F" w:rsidRPr="00946B4F" w:rsidRDefault="00946B4F" w:rsidP="00196649">
            <w:pPr>
              <w:pStyle w:val="TableTextRight"/>
            </w:pPr>
            <w:r w:rsidRPr="00946B4F">
              <w:rPr>
                <w:lang w:val="en-US"/>
              </w:rPr>
              <w:t>50 </w:t>
            </w:r>
            <w:r w:rsidRPr="00946B4F">
              <w:t> </w:t>
            </w:r>
          </w:p>
        </w:tc>
        <w:tc>
          <w:tcPr>
            <w:tcW w:w="1346" w:type="dxa"/>
            <w:hideMark/>
          </w:tcPr>
          <w:p w14:paraId="453C2853" w14:textId="77777777" w:rsidR="00946B4F" w:rsidRPr="00946B4F" w:rsidRDefault="00946B4F" w:rsidP="00196649">
            <w:pPr>
              <w:pStyle w:val="TableTextRight"/>
            </w:pPr>
            <w:r w:rsidRPr="00946B4F">
              <w:rPr>
                <w:lang w:val="en-US"/>
              </w:rPr>
              <w:t>25 </w:t>
            </w:r>
            <w:r w:rsidRPr="00946B4F">
              <w:t> </w:t>
            </w:r>
          </w:p>
        </w:tc>
        <w:tc>
          <w:tcPr>
            <w:tcW w:w="1346" w:type="dxa"/>
            <w:hideMark/>
          </w:tcPr>
          <w:p w14:paraId="2FE3CBB3" w14:textId="77777777" w:rsidR="00946B4F" w:rsidRPr="00946B4F" w:rsidRDefault="00946B4F" w:rsidP="00196649">
            <w:pPr>
              <w:pStyle w:val="TableTextRight"/>
            </w:pPr>
            <w:r w:rsidRPr="00946B4F">
              <w:rPr>
                <w:lang w:val="en-US"/>
              </w:rPr>
              <w:t>27 </w:t>
            </w:r>
            <w:r w:rsidRPr="00946B4F">
              <w:t> </w:t>
            </w:r>
          </w:p>
        </w:tc>
        <w:tc>
          <w:tcPr>
            <w:tcW w:w="1346" w:type="dxa"/>
            <w:hideMark/>
          </w:tcPr>
          <w:p w14:paraId="510A59CF" w14:textId="77777777" w:rsidR="00946B4F" w:rsidRPr="00946B4F" w:rsidRDefault="00946B4F" w:rsidP="00196649">
            <w:pPr>
              <w:pStyle w:val="TableTextRight"/>
            </w:pPr>
            <w:r w:rsidRPr="00946B4F">
              <w:rPr>
                <w:lang w:val="en-US"/>
              </w:rPr>
              <w:t>102 </w:t>
            </w:r>
            <w:r w:rsidRPr="00946B4F">
              <w:t> </w:t>
            </w:r>
          </w:p>
        </w:tc>
      </w:tr>
      <w:tr w:rsidR="00946B4F" w:rsidRPr="00946B4F" w14:paraId="26B7038A" w14:textId="77777777" w:rsidTr="0061777F">
        <w:trPr>
          <w:cnfStyle w:val="000000100000" w:firstRow="0" w:lastRow="0" w:firstColumn="0" w:lastColumn="0" w:oddVBand="0" w:evenVBand="0" w:oddHBand="1" w:evenHBand="0" w:firstRowFirstColumn="0" w:firstRowLastColumn="0" w:lastRowFirstColumn="0" w:lastRowLastColumn="0"/>
          <w:trHeight w:val="300"/>
        </w:trPr>
        <w:tc>
          <w:tcPr>
            <w:tcW w:w="3686" w:type="dxa"/>
            <w:hideMark/>
          </w:tcPr>
          <w:p w14:paraId="119BFFA9" w14:textId="77777777" w:rsidR="00946B4F" w:rsidRPr="00946B4F" w:rsidRDefault="00946B4F" w:rsidP="005F1D7E">
            <w:pPr>
              <w:pStyle w:val="TableTextLeft"/>
            </w:pPr>
            <w:r w:rsidRPr="00946B4F">
              <w:rPr>
                <w:lang w:val="en-US"/>
              </w:rPr>
              <w:t>Outcome: Partially resolved </w:t>
            </w:r>
            <w:r w:rsidRPr="00946B4F">
              <w:t> </w:t>
            </w:r>
          </w:p>
        </w:tc>
        <w:tc>
          <w:tcPr>
            <w:tcW w:w="1346" w:type="dxa"/>
            <w:hideMark/>
          </w:tcPr>
          <w:p w14:paraId="28ABA1B4" w14:textId="77777777" w:rsidR="00946B4F" w:rsidRPr="00946B4F" w:rsidRDefault="00946B4F" w:rsidP="00196649">
            <w:pPr>
              <w:pStyle w:val="TableTextRight"/>
            </w:pPr>
            <w:r w:rsidRPr="00946B4F">
              <w:rPr>
                <w:lang w:val="en-US"/>
              </w:rPr>
              <w:t>8 </w:t>
            </w:r>
            <w:r w:rsidRPr="00946B4F">
              <w:t> </w:t>
            </w:r>
          </w:p>
        </w:tc>
        <w:tc>
          <w:tcPr>
            <w:tcW w:w="1346" w:type="dxa"/>
            <w:hideMark/>
          </w:tcPr>
          <w:p w14:paraId="5B674FC7" w14:textId="77777777" w:rsidR="00946B4F" w:rsidRPr="00946B4F" w:rsidRDefault="00946B4F" w:rsidP="00196649">
            <w:pPr>
              <w:pStyle w:val="TableTextRight"/>
            </w:pPr>
            <w:r w:rsidRPr="00946B4F">
              <w:rPr>
                <w:lang w:val="en-US"/>
              </w:rPr>
              <w:t>2 </w:t>
            </w:r>
            <w:r w:rsidRPr="00946B4F">
              <w:t> </w:t>
            </w:r>
          </w:p>
        </w:tc>
        <w:tc>
          <w:tcPr>
            <w:tcW w:w="1346" w:type="dxa"/>
            <w:hideMark/>
          </w:tcPr>
          <w:p w14:paraId="256C79E2" w14:textId="77777777" w:rsidR="00946B4F" w:rsidRPr="00946B4F" w:rsidRDefault="00946B4F" w:rsidP="00196649">
            <w:pPr>
              <w:pStyle w:val="TableTextRight"/>
            </w:pPr>
            <w:r w:rsidRPr="00946B4F">
              <w:rPr>
                <w:lang w:val="en-US"/>
              </w:rPr>
              <w:t>2 </w:t>
            </w:r>
            <w:r w:rsidRPr="00946B4F">
              <w:t> </w:t>
            </w:r>
          </w:p>
        </w:tc>
        <w:tc>
          <w:tcPr>
            <w:tcW w:w="1346" w:type="dxa"/>
            <w:hideMark/>
          </w:tcPr>
          <w:p w14:paraId="4D8C9EDB" w14:textId="77777777" w:rsidR="00946B4F" w:rsidRPr="00946B4F" w:rsidRDefault="00946B4F" w:rsidP="00196649">
            <w:pPr>
              <w:pStyle w:val="TableTextRight"/>
            </w:pPr>
            <w:r w:rsidRPr="00946B4F">
              <w:rPr>
                <w:lang w:val="en-US"/>
              </w:rPr>
              <w:t>12 </w:t>
            </w:r>
            <w:r w:rsidRPr="00946B4F">
              <w:t> </w:t>
            </w:r>
          </w:p>
        </w:tc>
      </w:tr>
      <w:tr w:rsidR="00946B4F" w:rsidRPr="00946B4F" w14:paraId="3BF471CC" w14:textId="77777777" w:rsidTr="0061777F">
        <w:trPr>
          <w:cnfStyle w:val="000000010000" w:firstRow="0" w:lastRow="0" w:firstColumn="0" w:lastColumn="0" w:oddVBand="0" w:evenVBand="0" w:oddHBand="0" w:evenHBand="1" w:firstRowFirstColumn="0" w:firstRowLastColumn="0" w:lastRowFirstColumn="0" w:lastRowLastColumn="0"/>
          <w:trHeight w:val="300"/>
        </w:trPr>
        <w:tc>
          <w:tcPr>
            <w:tcW w:w="3686" w:type="dxa"/>
            <w:hideMark/>
          </w:tcPr>
          <w:p w14:paraId="4FFF1E00" w14:textId="77777777" w:rsidR="00946B4F" w:rsidRPr="00946B4F" w:rsidRDefault="00946B4F" w:rsidP="005F1D7E">
            <w:pPr>
              <w:pStyle w:val="TableTextLeft"/>
            </w:pPr>
            <w:r w:rsidRPr="00946B4F">
              <w:rPr>
                <w:lang w:val="en-US"/>
              </w:rPr>
              <w:t>Outcome: Unresolved </w:t>
            </w:r>
            <w:r w:rsidRPr="00946B4F">
              <w:t> </w:t>
            </w:r>
          </w:p>
        </w:tc>
        <w:tc>
          <w:tcPr>
            <w:tcW w:w="1346" w:type="dxa"/>
            <w:hideMark/>
          </w:tcPr>
          <w:p w14:paraId="092EB4FA" w14:textId="77777777" w:rsidR="00946B4F" w:rsidRPr="00946B4F" w:rsidRDefault="00946B4F" w:rsidP="00196649">
            <w:pPr>
              <w:pStyle w:val="TableTextRight"/>
            </w:pPr>
            <w:r w:rsidRPr="00946B4F">
              <w:rPr>
                <w:lang w:val="en-US"/>
              </w:rPr>
              <w:t>27 </w:t>
            </w:r>
            <w:r w:rsidRPr="00946B4F">
              <w:t> </w:t>
            </w:r>
          </w:p>
        </w:tc>
        <w:tc>
          <w:tcPr>
            <w:tcW w:w="1346" w:type="dxa"/>
            <w:hideMark/>
          </w:tcPr>
          <w:p w14:paraId="5FE19F87" w14:textId="77777777" w:rsidR="00946B4F" w:rsidRPr="00946B4F" w:rsidRDefault="00946B4F" w:rsidP="00196649">
            <w:pPr>
              <w:pStyle w:val="TableTextRight"/>
            </w:pPr>
            <w:r w:rsidRPr="00946B4F">
              <w:rPr>
                <w:lang w:val="en-US"/>
              </w:rPr>
              <w:t>22 </w:t>
            </w:r>
            <w:r w:rsidRPr="00946B4F">
              <w:t> </w:t>
            </w:r>
          </w:p>
        </w:tc>
        <w:tc>
          <w:tcPr>
            <w:tcW w:w="1346" w:type="dxa"/>
            <w:hideMark/>
          </w:tcPr>
          <w:p w14:paraId="6DB1ED89" w14:textId="77777777" w:rsidR="00946B4F" w:rsidRPr="00946B4F" w:rsidRDefault="00946B4F" w:rsidP="00196649">
            <w:pPr>
              <w:pStyle w:val="TableTextRight"/>
            </w:pPr>
            <w:r w:rsidRPr="00946B4F">
              <w:rPr>
                <w:lang w:val="en-US"/>
              </w:rPr>
              <w:t>61 </w:t>
            </w:r>
            <w:r w:rsidRPr="00946B4F">
              <w:t> </w:t>
            </w:r>
          </w:p>
        </w:tc>
        <w:tc>
          <w:tcPr>
            <w:tcW w:w="1346" w:type="dxa"/>
            <w:hideMark/>
          </w:tcPr>
          <w:p w14:paraId="5DF28566" w14:textId="77777777" w:rsidR="00946B4F" w:rsidRPr="00946B4F" w:rsidRDefault="00946B4F" w:rsidP="00196649">
            <w:pPr>
              <w:pStyle w:val="TableTextRight"/>
            </w:pPr>
            <w:r w:rsidRPr="00946B4F">
              <w:rPr>
                <w:lang w:val="en-US"/>
              </w:rPr>
              <w:t>110 </w:t>
            </w:r>
            <w:r w:rsidRPr="00946B4F">
              <w:t> </w:t>
            </w:r>
          </w:p>
        </w:tc>
      </w:tr>
      <w:tr w:rsidR="00946B4F" w:rsidRPr="00946B4F" w14:paraId="77F74DED" w14:textId="77777777" w:rsidTr="0061777F">
        <w:trPr>
          <w:cnfStyle w:val="000000100000" w:firstRow="0" w:lastRow="0" w:firstColumn="0" w:lastColumn="0" w:oddVBand="0" w:evenVBand="0" w:oddHBand="1" w:evenHBand="0" w:firstRowFirstColumn="0" w:firstRowLastColumn="0" w:lastRowFirstColumn="0" w:lastRowLastColumn="0"/>
          <w:trHeight w:val="300"/>
        </w:trPr>
        <w:tc>
          <w:tcPr>
            <w:tcW w:w="3686" w:type="dxa"/>
            <w:hideMark/>
          </w:tcPr>
          <w:p w14:paraId="1E8A7059" w14:textId="77777777" w:rsidR="00946B4F" w:rsidRPr="00946B4F" w:rsidRDefault="00946B4F" w:rsidP="005F1D7E">
            <w:pPr>
              <w:pStyle w:val="TableTextLeft"/>
            </w:pPr>
            <w:r w:rsidRPr="00946B4F">
              <w:rPr>
                <w:lang w:val="en-US"/>
              </w:rPr>
              <w:t>Outcome: No response </w:t>
            </w:r>
            <w:r w:rsidRPr="00946B4F">
              <w:t> </w:t>
            </w:r>
          </w:p>
        </w:tc>
        <w:tc>
          <w:tcPr>
            <w:tcW w:w="1346" w:type="dxa"/>
            <w:hideMark/>
          </w:tcPr>
          <w:p w14:paraId="4004BD1B" w14:textId="77777777" w:rsidR="00946B4F" w:rsidRPr="00946B4F" w:rsidRDefault="00946B4F" w:rsidP="00196649">
            <w:pPr>
              <w:pStyle w:val="TableTextRight"/>
            </w:pPr>
            <w:r w:rsidRPr="00946B4F">
              <w:rPr>
                <w:lang w:val="en-US"/>
              </w:rPr>
              <w:t>12 </w:t>
            </w:r>
            <w:r w:rsidRPr="00946B4F">
              <w:t> </w:t>
            </w:r>
          </w:p>
        </w:tc>
        <w:tc>
          <w:tcPr>
            <w:tcW w:w="1346" w:type="dxa"/>
            <w:hideMark/>
          </w:tcPr>
          <w:p w14:paraId="10D7862F" w14:textId="77777777" w:rsidR="00946B4F" w:rsidRPr="00946B4F" w:rsidRDefault="00946B4F" w:rsidP="00196649">
            <w:pPr>
              <w:pStyle w:val="TableTextRight"/>
            </w:pPr>
            <w:r w:rsidRPr="00946B4F">
              <w:rPr>
                <w:lang w:val="en-US"/>
              </w:rPr>
              <w:t>8 </w:t>
            </w:r>
            <w:r w:rsidRPr="00946B4F">
              <w:t> </w:t>
            </w:r>
          </w:p>
        </w:tc>
        <w:tc>
          <w:tcPr>
            <w:tcW w:w="1346" w:type="dxa"/>
            <w:hideMark/>
          </w:tcPr>
          <w:p w14:paraId="37437697" w14:textId="77777777" w:rsidR="00946B4F" w:rsidRPr="00946B4F" w:rsidRDefault="00946B4F" w:rsidP="00196649">
            <w:pPr>
              <w:pStyle w:val="TableTextRight"/>
            </w:pPr>
            <w:r w:rsidRPr="00946B4F">
              <w:rPr>
                <w:lang w:val="en-US"/>
              </w:rPr>
              <w:t>3 </w:t>
            </w:r>
            <w:r w:rsidRPr="00946B4F">
              <w:t> </w:t>
            </w:r>
          </w:p>
        </w:tc>
        <w:tc>
          <w:tcPr>
            <w:tcW w:w="1346" w:type="dxa"/>
            <w:hideMark/>
          </w:tcPr>
          <w:p w14:paraId="32295D91" w14:textId="77777777" w:rsidR="00946B4F" w:rsidRPr="00946B4F" w:rsidRDefault="00946B4F" w:rsidP="00196649">
            <w:pPr>
              <w:pStyle w:val="TableTextRight"/>
            </w:pPr>
            <w:r w:rsidRPr="00946B4F">
              <w:rPr>
                <w:lang w:val="en-US"/>
              </w:rPr>
              <w:t>23 </w:t>
            </w:r>
            <w:r w:rsidRPr="00946B4F">
              <w:t> </w:t>
            </w:r>
          </w:p>
        </w:tc>
      </w:tr>
    </w:tbl>
    <w:p w14:paraId="6ACFFC79" w14:textId="2E870DD8" w:rsidR="008017C1" w:rsidRPr="008017C1" w:rsidRDefault="00BB7A86" w:rsidP="002A7C8A">
      <w:pPr>
        <w:pStyle w:val="ChartorTablenoteandsource"/>
      </w:pPr>
      <w:r>
        <w:t>Please refer to Appendix I for table notes and sources</w:t>
      </w:r>
      <w:r w:rsidR="008D4C6A">
        <w:t>.</w:t>
      </w:r>
    </w:p>
    <w:p w14:paraId="4116BECD" w14:textId="54480AB7" w:rsidR="00946B4F" w:rsidRPr="00946B4F" w:rsidRDefault="00946B4F" w:rsidP="005F1D7E">
      <w:pPr>
        <w:pStyle w:val="Heading3"/>
      </w:pPr>
      <w:bookmarkStart w:id="62" w:name="_Toc199940971"/>
      <w:r w:rsidRPr="00946B4F">
        <w:rPr>
          <w:lang w:val="en-US"/>
        </w:rPr>
        <w:t>Analysis</w:t>
      </w:r>
      <w:bookmarkEnd w:id="62"/>
      <w:r w:rsidRPr="00946B4F">
        <w:t> </w:t>
      </w:r>
    </w:p>
    <w:p w14:paraId="20A29518" w14:textId="66BD47F3" w:rsidR="00946B4F" w:rsidRPr="00946B4F" w:rsidRDefault="003C7FC3" w:rsidP="00C233FB">
      <w:r w:rsidRPr="00D61BCF">
        <w:rPr>
          <w:rStyle w:val="Strong"/>
        </w:rPr>
        <w:t>Mediators</w:t>
      </w:r>
      <w:r w:rsidRPr="00C233FB">
        <w:rPr>
          <w:rStyle w:val="Strong"/>
        </w:rPr>
        <w:t xml:space="preserve"> on ASBFEO</w:t>
      </w:r>
      <w:r w:rsidR="008D4C6A">
        <w:rPr>
          <w:rStyle w:val="Strong"/>
        </w:rPr>
        <w:t>’s</w:t>
      </w:r>
      <w:r w:rsidRPr="00C233FB" w:rsidDel="008D4C6A">
        <w:rPr>
          <w:rStyle w:val="Strong"/>
        </w:rPr>
        <w:t xml:space="preserve"> </w:t>
      </w:r>
      <w:r>
        <w:rPr>
          <w:rStyle w:val="Strong"/>
        </w:rPr>
        <w:t>ADR practitioner</w:t>
      </w:r>
      <w:r w:rsidRPr="00C233FB">
        <w:rPr>
          <w:rStyle w:val="Strong"/>
        </w:rPr>
        <w:t xml:space="preserve"> list have extensive expertise in mediating franchis</w:t>
      </w:r>
      <w:r>
        <w:rPr>
          <w:rStyle w:val="Strong"/>
        </w:rPr>
        <w:t xml:space="preserve">ing disputes </w:t>
      </w:r>
      <w:r w:rsidRPr="00C233FB">
        <w:rPr>
          <w:rStyle w:val="Strong"/>
        </w:rPr>
        <w:t>and business</w:t>
      </w:r>
      <w:r w:rsidR="003A0D5E">
        <w:rPr>
          <w:rStyle w:val="Strong"/>
        </w:rPr>
        <w:noBreakHyphen/>
      </w:r>
      <w:r w:rsidRPr="00C233FB">
        <w:rPr>
          <w:rStyle w:val="Strong"/>
        </w:rPr>
        <w:t>to</w:t>
      </w:r>
      <w:r w:rsidR="003A0D5E">
        <w:rPr>
          <w:rStyle w:val="Strong"/>
        </w:rPr>
        <w:noBreakHyphen/>
      </w:r>
      <w:r w:rsidRPr="00C233FB">
        <w:rPr>
          <w:rStyle w:val="Strong"/>
        </w:rPr>
        <w:t>business disputes</w:t>
      </w:r>
      <w:r>
        <w:rPr>
          <w:rStyle w:val="Strong"/>
        </w:rPr>
        <w:t>.</w:t>
      </w:r>
      <w:r w:rsidRPr="00D61BCF" w:rsidDel="003C7FC3">
        <w:rPr>
          <w:rStyle w:val="Strong"/>
        </w:rPr>
        <w:t xml:space="preserve"> </w:t>
      </w:r>
      <w:r w:rsidR="00946B4F" w:rsidRPr="00946B4F">
        <w:rPr>
          <w:lang w:val="en-US"/>
        </w:rPr>
        <w:t xml:space="preserve">Responses to the mediation survey indicate </w:t>
      </w:r>
      <w:r w:rsidR="00B604F7">
        <w:rPr>
          <w:lang w:val="en-US"/>
        </w:rPr>
        <w:t xml:space="preserve">that </w:t>
      </w:r>
      <w:r w:rsidR="00946B4F" w:rsidRPr="00946B4F">
        <w:rPr>
          <w:lang w:val="en-US"/>
        </w:rPr>
        <w:t>mediators on the ADR practitioner list ha</w:t>
      </w:r>
      <w:r w:rsidR="00F8433C">
        <w:rPr>
          <w:lang w:val="en-US"/>
        </w:rPr>
        <w:t>ve</w:t>
      </w:r>
      <w:r w:rsidR="00946B4F" w:rsidRPr="00946B4F">
        <w:rPr>
          <w:lang w:val="en-US"/>
        </w:rPr>
        <w:t xml:space="preserve"> substantial experience in mediation</w:t>
      </w:r>
      <w:r w:rsidR="00F8433C">
        <w:rPr>
          <w:lang w:val="en-US"/>
        </w:rPr>
        <w:t>.</w:t>
      </w:r>
      <w:r w:rsidR="00F8433C" w:rsidRPr="00946B4F">
        <w:rPr>
          <w:lang w:val="en-US"/>
        </w:rPr>
        <w:t xml:space="preserve"> </w:t>
      </w:r>
      <w:r w:rsidR="00F8433C">
        <w:rPr>
          <w:lang w:val="en-US"/>
        </w:rPr>
        <w:t>T</w:t>
      </w:r>
      <w:r w:rsidR="00946B4F" w:rsidRPr="00946B4F">
        <w:rPr>
          <w:lang w:val="en-US"/>
        </w:rPr>
        <w:t xml:space="preserve">he majority had been mediating for over 10 years with focus areas in </w:t>
      </w:r>
      <w:r w:rsidR="00B14543">
        <w:rPr>
          <w:lang w:val="en-US"/>
        </w:rPr>
        <w:t>f</w:t>
      </w:r>
      <w:r w:rsidR="00946B4F" w:rsidRPr="00946B4F">
        <w:rPr>
          <w:lang w:val="en-US"/>
        </w:rPr>
        <w:t>ranchising and business</w:t>
      </w:r>
      <w:r w:rsidR="00916FA5">
        <w:rPr>
          <w:lang w:val="en-US"/>
        </w:rPr>
        <w:noBreakHyphen/>
      </w:r>
      <w:r w:rsidR="00946B4F" w:rsidRPr="00946B4F">
        <w:rPr>
          <w:lang w:val="en-US"/>
        </w:rPr>
        <w:t>to</w:t>
      </w:r>
      <w:r w:rsidR="00916FA5">
        <w:rPr>
          <w:lang w:val="en-US"/>
        </w:rPr>
        <w:noBreakHyphen/>
      </w:r>
      <w:r w:rsidR="00946B4F" w:rsidRPr="00946B4F">
        <w:rPr>
          <w:lang w:val="en-US"/>
        </w:rPr>
        <w:t>business payments. None of the mediators identified as Indigenous</w:t>
      </w:r>
      <w:r w:rsidR="00F8433C">
        <w:rPr>
          <w:lang w:val="en-US"/>
        </w:rPr>
        <w:t>.</w:t>
      </w:r>
      <w:r w:rsidR="00946B4F" w:rsidRPr="00946B4F">
        <w:rPr>
          <w:lang w:val="en-US"/>
        </w:rPr>
        <w:t xml:space="preserve"> </w:t>
      </w:r>
      <w:r w:rsidR="00F8433C">
        <w:rPr>
          <w:lang w:val="en-US"/>
        </w:rPr>
        <w:t>H</w:t>
      </w:r>
      <w:r w:rsidR="00946B4F" w:rsidRPr="00946B4F">
        <w:rPr>
          <w:lang w:val="en-US"/>
        </w:rPr>
        <w:t>owever, 43 per cent spoke another language other than English</w:t>
      </w:r>
      <w:r w:rsidR="00916FA5">
        <w:rPr>
          <w:lang w:val="en-US"/>
        </w:rPr>
        <w:t>.</w:t>
      </w:r>
    </w:p>
    <w:p w14:paraId="0FA67AE7" w14:textId="2F8C4740" w:rsidR="00344B02" w:rsidRPr="00C233FB" w:rsidRDefault="00344B02" w:rsidP="00344B02">
      <w:pPr>
        <w:rPr>
          <w:rStyle w:val="Strong"/>
        </w:rPr>
      </w:pPr>
      <w:r w:rsidRPr="00C233FB">
        <w:rPr>
          <w:rStyle w:val="Strong"/>
        </w:rPr>
        <w:t>Th</w:t>
      </w:r>
      <w:r w:rsidR="008D4C6A">
        <w:rPr>
          <w:rStyle w:val="Strong"/>
        </w:rPr>
        <w:t>is R</w:t>
      </w:r>
      <w:r w:rsidRPr="00C233FB">
        <w:rPr>
          <w:rStyle w:val="Strong"/>
        </w:rPr>
        <w:t xml:space="preserve">eview compared </w:t>
      </w:r>
      <w:r w:rsidR="00694B0E">
        <w:rPr>
          <w:rStyle w:val="Strong"/>
        </w:rPr>
        <w:t>the</w:t>
      </w:r>
      <w:r w:rsidR="00AB51E1">
        <w:rPr>
          <w:rStyle w:val="Strong"/>
        </w:rPr>
        <w:t xml:space="preserve"> </w:t>
      </w:r>
      <w:r w:rsidRPr="00C233FB">
        <w:rPr>
          <w:rStyle w:val="Strong"/>
        </w:rPr>
        <w:t xml:space="preserve">ASBFEO’s process for managing disputes with </w:t>
      </w:r>
      <w:r>
        <w:rPr>
          <w:rStyle w:val="Strong"/>
        </w:rPr>
        <w:t xml:space="preserve">the state SBCs. </w:t>
      </w:r>
      <w:r w:rsidRPr="00EE7317">
        <w:t xml:space="preserve">This included the VSBC, </w:t>
      </w:r>
      <w:r w:rsidR="00F62E93" w:rsidRPr="00F62E93">
        <w:t>New South Wales</w:t>
      </w:r>
      <w:r w:rsidRPr="00EE7317">
        <w:t xml:space="preserve"> SBC, </w:t>
      </w:r>
      <w:r w:rsidR="008C4B5F" w:rsidRPr="00EE7317">
        <w:t>t</w:t>
      </w:r>
      <w:r w:rsidRPr="00EE7317">
        <w:t>he Queensland SBC and SBDC (WA) ADR services. The review found the cost of mediation conducted by SBCs to be cheaper for small businesses and all SBCs had a higher success rate for resolving dispute</w:t>
      </w:r>
      <w:r w:rsidR="007720ED" w:rsidRPr="00EE7317">
        <w:t>s</w:t>
      </w:r>
      <w:r w:rsidRPr="00EE7317">
        <w:t xml:space="preserve"> at mediation.</w:t>
      </w:r>
    </w:p>
    <w:p w14:paraId="36E61463" w14:textId="14787DA4" w:rsidR="002246B3" w:rsidRDefault="003D4DE0" w:rsidP="0010234A">
      <w:pPr>
        <w:pStyle w:val="BoxText"/>
        <w:rPr>
          <w:sz w:val="22"/>
          <w:szCs w:val="22"/>
          <w:lang w:val="en-US"/>
        </w:rPr>
      </w:pPr>
      <w:r w:rsidRPr="00202CA3">
        <w:rPr>
          <w:b/>
          <w:bCs/>
          <w:sz w:val="22"/>
          <w:szCs w:val="22"/>
        </w:rPr>
        <w:t>All SBCs have the power to conduct ADR</w:t>
      </w:r>
      <w:r w:rsidR="007720ED" w:rsidRPr="00202CA3">
        <w:rPr>
          <w:b/>
          <w:bCs/>
          <w:sz w:val="22"/>
          <w:szCs w:val="22"/>
        </w:rPr>
        <w:t>.</w:t>
      </w:r>
      <w:r w:rsidR="007720ED" w:rsidRPr="00AE4D3E">
        <w:rPr>
          <w:sz w:val="22"/>
          <w:szCs w:val="22"/>
        </w:rPr>
        <w:t xml:space="preserve"> This</w:t>
      </w:r>
      <w:r w:rsidRPr="00AE4D3E">
        <w:rPr>
          <w:sz w:val="22"/>
          <w:szCs w:val="22"/>
        </w:rPr>
        <w:t xml:space="preserve"> includes staff trying to resolve the dispute prior to formal mediation and appointing an independent mediator to conduct the formal mediation. If the parties decide to undertake mediation, the SBC appoints a mediator from its mediation panel to conduct a mediation meeting, in alignment with the </w:t>
      </w:r>
      <w:r w:rsidR="000F576B" w:rsidRPr="00AE4D3E">
        <w:rPr>
          <w:sz w:val="22"/>
          <w:szCs w:val="22"/>
        </w:rPr>
        <w:t xml:space="preserve">Australian Mediator </w:t>
      </w:r>
      <w:r w:rsidR="0034286A" w:rsidRPr="00AE4D3E">
        <w:rPr>
          <w:sz w:val="22"/>
          <w:szCs w:val="22"/>
        </w:rPr>
        <w:t>and</w:t>
      </w:r>
      <w:r w:rsidR="000F576B" w:rsidRPr="00AE4D3E">
        <w:rPr>
          <w:sz w:val="22"/>
          <w:szCs w:val="22"/>
        </w:rPr>
        <w:t xml:space="preserve"> Dispute Resolution Accreditation Standards (AMDRAS). The </w:t>
      </w:r>
      <w:r w:rsidR="000F576B" w:rsidRPr="00AE4D3E">
        <w:rPr>
          <w:rStyle w:val="Emphasis"/>
          <w:sz w:val="22"/>
          <w:szCs w:val="22"/>
        </w:rPr>
        <w:t>‘AMDRAS professional skills domain: attributes and indicative levels of professional practice’ state that the mediation meeting ‘… will ordinarily include a joint session of the participants in which they communicate directly with each other to identify, clarify, and explore interests, issues, and underlying needs</w:t>
      </w:r>
      <w:r w:rsidR="006229F6" w:rsidRPr="00AE4D3E">
        <w:rPr>
          <w:rStyle w:val="Emphasis"/>
          <w:sz w:val="22"/>
          <w:szCs w:val="22"/>
        </w:rPr>
        <w:t>.’</w:t>
      </w:r>
      <w:r w:rsidR="000F576B" w:rsidRPr="00AE4D3E">
        <w:rPr>
          <w:sz w:val="22"/>
          <w:szCs w:val="22"/>
        </w:rPr>
        <w:t xml:space="preserve"> The process may also include separate sessions and shuttle negotiations.</w:t>
      </w:r>
      <w:r w:rsidR="00065357">
        <w:rPr>
          <w:rFonts w:ascii="ZWAdobeF" w:hAnsi="ZWAdobeF" w:cs="ZWAdobeF"/>
          <w:color w:val="auto"/>
          <w:sz w:val="2"/>
          <w:szCs w:val="2"/>
        </w:rPr>
        <w:t>71F</w:t>
      </w:r>
      <w:r w:rsidR="00774F0C" w:rsidRPr="00533B3E">
        <w:rPr>
          <w:rStyle w:val="FootnoteReference"/>
          <w:vertAlign w:val="superscript"/>
        </w:rPr>
        <w:footnoteReference w:id="73"/>
      </w:r>
      <w:r w:rsidR="000F576B" w:rsidRPr="00533B3E">
        <w:rPr>
          <w:rStyle w:val="FootnoteReference"/>
          <w:vertAlign w:val="superscript"/>
        </w:rPr>
        <w:t xml:space="preserve"> </w:t>
      </w:r>
    </w:p>
    <w:p w14:paraId="5E8388FD" w14:textId="541D8B96" w:rsidR="00642801" w:rsidRPr="0010234A" w:rsidRDefault="00642801" w:rsidP="00533B3E">
      <w:r w:rsidRPr="0010234A">
        <w:rPr>
          <w:lang w:val="en-US"/>
        </w:rPr>
        <w:t xml:space="preserve">The VSBC, </w:t>
      </w:r>
      <w:r w:rsidR="00F62E93" w:rsidRPr="00F62E93">
        <w:t>New South Wales</w:t>
      </w:r>
      <w:r w:rsidRPr="0010234A">
        <w:rPr>
          <w:lang w:val="en-US"/>
        </w:rPr>
        <w:t xml:space="preserve"> SBC and SB</w:t>
      </w:r>
      <w:r w:rsidR="00977669">
        <w:rPr>
          <w:lang w:val="en-US"/>
        </w:rPr>
        <w:t>D</w:t>
      </w:r>
      <w:r w:rsidRPr="0010234A">
        <w:rPr>
          <w:lang w:val="en-US"/>
        </w:rPr>
        <w:t>C</w:t>
      </w:r>
      <w:r w:rsidR="003150DA">
        <w:rPr>
          <w:lang w:val="en-US"/>
        </w:rPr>
        <w:t xml:space="preserve"> </w:t>
      </w:r>
      <w:r w:rsidR="00977669">
        <w:rPr>
          <w:lang w:val="en-US"/>
        </w:rPr>
        <w:t>(WA)</w:t>
      </w:r>
      <w:r w:rsidR="001569A7">
        <w:rPr>
          <w:lang w:val="en-US"/>
        </w:rPr>
        <w:t xml:space="preserve"> </w:t>
      </w:r>
      <w:r w:rsidRPr="0010234A">
        <w:rPr>
          <w:lang w:val="en-US"/>
        </w:rPr>
        <w:t>conduct post</w:t>
      </w:r>
      <w:r w:rsidR="003A0D5E">
        <w:rPr>
          <w:lang w:val="en-US"/>
        </w:rPr>
        <w:noBreakHyphen/>
      </w:r>
      <w:r w:rsidRPr="0010234A">
        <w:rPr>
          <w:lang w:val="en-US"/>
        </w:rPr>
        <w:t>mediation satisfaction surveys of the parties and the mediators</w:t>
      </w:r>
      <w:r w:rsidR="005237DC">
        <w:rPr>
          <w:lang w:val="en-US"/>
        </w:rPr>
        <w:t>,</w:t>
      </w:r>
      <w:r w:rsidR="00265004">
        <w:rPr>
          <w:lang w:val="en-US"/>
        </w:rPr>
        <w:t xml:space="preserve"> unlike ASBFEO where </w:t>
      </w:r>
      <w:r w:rsidR="00813983">
        <w:rPr>
          <w:lang w:val="en-US"/>
        </w:rPr>
        <w:t>there is</w:t>
      </w:r>
      <w:r w:rsidR="00265004">
        <w:rPr>
          <w:lang w:val="en-US"/>
        </w:rPr>
        <w:t xml:space="preserve"> no further contact with the mediator once they have provided the mediator </w:t>
      </w:r>
      <w:r w:rsidR="00813983">
        <w:rPr>
          <w:lang w:val="en-US"/>
        </w:rPr>
        <w:t xml:space="preserve">with </w:t>
      </w:r>
      <w:r w:rsidR="00265004">
        <w:rPr>
          <w:lang w:val="en-US"/>
        </w:rPr>
        <w:t>case notes.</w:t>
      </w:r>
    </w:p>
    <w:p w14:paraId="5A99F41F" w14:textId="1C9FC626" w:rsidR="7FB61469" w:rsidRDefault="00123B5D" w:rsidP="7FB61469">
      <w:pPr>
        <w:rPr>
          <w:lang w:val="en-US"/>
        </w:rPr>
      </w:pPr>
      <w:r w:rsidRPr="00533B3E">
        <w:rPr>
          <w:rStyle w:val="Strong"/>
        </w:rPr>
        <w:t xml:space="preserve">Every </w:t>
      </w:r>
      <w:r w:rsidR="00813983" w:rsidRPr="00533B3E">
        <w:rPr>
          <w:rStyle w:val="Strong"/>
        </w:rPr>
        <w:t>2</w:t>
      </w:r>
      <w:r w:rsidRPr="00533B3E">
        <w:rPr>
          <w:rStyle w:val="Strong"/>
        </w:rPr>
        <w:t xml:space="preserve"> years the SBCs undertake a procurement process to select a list of mediators for its mediation panel.</w:t>
      </w:r>
      <w:r>
        <w:rPr>
          <w:lang w:val="en-US"/>
        </w:rPr>
        <w:t xml:space="preserve"> </w:t>
      </w:r>
      <w:r w:rsidR="007D4596">
        <w:rPr>
          <w:lang w:val="en-US"/>
        </w:rPr>
        <w:t>M</w:t>
      </w:r>
      <w:r>
        <w:rPr>
          <w:lang w:val="en-US"/>
        </w:rPr>
        <w:t xml:space="preserve">ediators </w:t>
      </w:r>
      <w:r w:rsidR="007D4596">
        <w:rPr>
          <w:lang w:val="en-US"/>
        </w:rPr>
        <w:t>applying to join the panel</w:t>
      </w:r>
      <w:r>
        <w:rPr>
          <w:lang w:val="en-US"/>
        </w:rPr>
        <w:t xml:space="preserve"> agree to</w:t>
      </w:r>
      <w:r w:rsidRPr="00946B4F">
        <w:rPr>
          <w:lang w:val="en-US"/>
        </w:rPr>
        <w:t xml:space="preserve"> a specifi</w:t>
      </w:r>
      <w:r>
        <w:rPr>
          <w:lang w:val="en-US"/>
        </w:rPr>
        <w:t>ed</w:t>
      </w:r>
      <w:r w:rsidRPr="00946B4F">
        <w:rPr>
          <w:lang w:val="en-US"/>
        </w:rPr>
        <w:t xml:space="preserve"> fee and </w:t>
      </w:r>
      <w:r>
        <w:rPr>
          <w:lang w:val="en-US"/>
        </w:rPr>
        <w:t xml:space="preserve">the SBC </w:t>
      </w:r>
      <w:r w:rsidRPr="00946B4F">
        <w:rPr>
          <w:lang w:val="en-US"/>
        </w:rPr>
        <w:t>appoint</w:t>
      </w:r>
      <w:r>
        <w:rPr>
          <w:lang w:val="en-US"/>
        </w:rPr>
        <w:t>s</w:t>
      </w:r>
      <w:r w:rsidRPr="00946B4F">
        <w:rPr>
          <w:lang w:val="en-US"/>
        </w:rPr>
        <w:t xml:space="preserve"> and pay</w:t>
      </w:r>
      <w:r>
        <w:rPr>
          <w:lang w:val="en-US"/>
        </w:rPr>
        <w:t>s</w:t>
      </w:r>
      <w:r w:rsidRPr="00946B4F">
        <w:rPr>
          <w:lang w:val="en-US"/>
        </w:rPr>
        <w:t xml:space="preserve"> </w:t>
      </w:r>
      <w:r w:rsidR="007D4596">
        <w:rPr>
          <w:lang w:val="en-US"/>
        </w:rPr>
        <w:t>them</w:t>
      </w:r>
      <w:r w:rsidRPr="00946B4F">
        <w:rPr>
          <w:lang w:val="en-US"/>
        </w:rPr>
        <w:t xml:space="preserve"> for each mediation</w:t>
      </w:r>
      <w:r>
        <w:rPr>
          <w:lang w:val="en-US"/>
        </w:rPr>
        <w:t xml:space="preserve">. </w:t>
      </w:r>
      <w:r w:rsidRPr="00946B4F">
        <w:rPr>
          <w:lang w:val="en-US"/>
        </w:rPr>
        <w:t xml:space="preserve">This enables SBCs to choose the most effective mediator for </w:t>
      </w:r>
      <w:r>
        <w:rPr>
          <w:lang w:val="en-US"/>
        </w:rPr>
        <w:t>each</w:t>
      </w:r>
      <w:r w:rsidRPr="00946B4F">
        <w:rPr>
          <w:lang w:val="en-US"/>
        </w:rPr>
        <w:t xml:space="preserve"> mediation and is cost effective for small business</w:t>
      </w:r>
      <w:r>
        <w:rPr>
          <w:lang w:val="en-US"/>
        </w:rPr>
        <w:t>es</w:t>
      </w:r>
      <w:r w:rsidRPr="00946B4F">
        <w:rPr>
          <w:lang w:val="en-US"/>
        </w:rPr>
        <w:t xml:space="preserve">. </w:t>
      </w:r>
      <w:r w:rsidR="00781A21" w:rsidRPr="00946B4F">
        <w:rPr>
          <w:lang w:val="en-US"/>
        </w:rPr>
        <w:t>Table</w:t>
      </w:r>
      <w:r w:rsidR="002A43B7">
        <w:rPr>
          <w:lang w:val="en-US"/>
        </w:rPr>
        <w:t xml:space="preserve"> 4.6</w:t>
      </w:r>
      <w:r w:rsidR="00781A21" w:rsidRPr="00946B4F" w:rsidDel="003150DA">
        <w:rPr>
          <w:lang w:val="en-US"/>
        </w:rPr>
        <w:t xml:space="preserve"> </w:t>
      </w:r>
      <w:r w:rsidR="00781A21" w:rsidRPr="00946B4F">
        <w:rPr>
          <w:lang w:val="en-US"/>
        </w:rPr>
        <w:t>provides a comparison of the success rates of mediation and costs for services</w:t>
      </w:r>
      <w:r w:rsidR="00781A21">
        <w:rPr>
          <w:lang w:val="en-US"/>
        </w:rPr>
        <w:t>.</w:t>
      </w:r>
    </w:p>
    <w:p w14:paraId="11088653" w14:textId="45DEEE0D" w:rsidR="00BB6D61" w:rsidRPr="00533B3E" w:rsidRDefault="00BB6D61" w:rsidP="00BB6D61">
      <w:pPr>
        <w:pStyle w:val="TableMainHeading"/>
      </w:pPr>
      <w:r w:rsidRPr="00533B3E">
        <w:lastRenderedPageBreak/>
        <w:t>Table 4.6: Success rates of pre</w:t>
      </w:r>
      <w:r>
        <w:noBreakHyphen/>
      </w:r>
      <w:r w:rsidRPr="00533B3E">
        <w:t>mediation and mediation and costs of mediation 2023–24</w:t>
      </w:r>
    </w:p>
    <w:tbl>
      <w:tblPr>
        <w:tblStyle w:val="TableGrid"/>
        <w:tblW w:w="9070" w:type="dxa"/>
        <w:tblLook w:val="04A0" w:firstRow="1" w:lastRow="0" w:firstColumn="1" w:lastColumn="0" w:noHBand="0" w:noVBand="1"/>
      </w:tblPr>
      <w:tblGrid>
        <w:gridCol w:w="1401"/>
        <w:gridCol w:w="1355"/>
        <w:gridCol w:w="1355"/>
        <w:gridCol w:w="1239"/>
        <w:gridCol w:w="1240"/>
        <w:gridCol w:w="1240"/>
        <w:gridCol w:w="1240"/>
      </w:tblGrid>
      <w:tr w:rsidR="00BB6D61" w:rsidRPr="00A7273E" w14:paraId="1B044317" w14:textId="77777777" w:rsidTr="009033AE">
        <w:trPr>
          <w:cnfStyle w:val="100000000000" w:firstRow="1" w:lastRow="0" w:firstColumn="0" w:lastColumn="0" w:oddVBand="0" w:evenVBand="0" w:oddHBand="0" w:evenHBand="0" w:firstRowFirstColumn="0" w:firstRowLastColumn="0" w:lastRowFirstColumn="0" w:lastRowLastColumn="0"/>
          <w:trHeight w:val="300"/>
        </w:trPr>
        <w:tc>
          <w:tcPr>
            <w:tcW w:w="1401" w:type="dxa"/>
            <w:hideMark/>
          </w:tcPr>
          <w:p w14:paraId="0F15C964" w14:textId="2F673D76" w:rsidR="00BB6D61" w:rsidRPr="00A7273E" w:rsidRDefault="00BB6D61" w:rsidP="00533B3E">
            <w:pPr>
              <w:pStyle w:val="TableColumnHeadingCentred"/>
            </w:pPr>
            <w:r w:rsidRPr="00533B3E">
              <w:t> </w:t>
            </w:r>
          </w:p>
        </w:tc>
        <w:tc>
          <w:tcPr>
            <w:tcW w:w="2710" w:type="dxa"/>
            <w:gridSpan w:val="2"/>
            <w:hideMark/>
          </w:tcPr>
          <w:p w14:paraId="7397814F" w14:textId="4B9979A2" w:rsidR="00BB6D61" w:rsidRPr="00A7273E" w:rsidRDefault="00BB6D61" w:rsidP="00533B3E">
            <w:pPr>
              <w:pStyle w:val="TableColumnHeadingCentred"/>
            </w:pPr>
            <w:r w:rsidRPr="00533B3E">
              <w:t xml:space="preserve">Success </w:t>
            </w:r>
            <w:r w:rsidR="00617DA9" w:rsidRPr="00533B3E">
              <w:t>rate</w:t>
            </w:r>
          </w:p>
        </w:tc>
        <w:tc>
          <w:tcPr>
            <w:tcW w:w="2479" w:type="dxa"/>
            <w:gridSpan w:val="2"/>
            <w:hideMark/>
          </w:tcPr>
          <w:p w14:paraId="1648A571" w14:textId="0847089F" w:rsidR="00BB6D61" w:rsidRPr="00A7273E" w:rsidRDefault="00BB6D61" w:rsidP="00533B3E">
            <w:pPr>
              <w:pStyle w:val="TableColumnHeadingCentred"/>
            </w:pPr>
            <w:r w:rsidRPr="00533B3E">
              <w:t xml:space="preserve">Cost of </w:t>
            </w:r>
            <w:r w:rsidR="003150DA" w:rsidRPr="00533B3E">
              <w:t>m</w:t>
            </w:r>
            <w:r w:rsidRPr="00533B3E">
              <w:t>ediatio</w:t>
            </w:r>
            <w:r w:rsidR="00533B3E">
              <w:t>n</w:t>
            </w:r>
          </w:p>
        </w:tc>
        <w:tc>
          <w:tcPr>
            <w:tcW w:w="2480" w:type="dxa"/>
            <w:gridSpan w:val="2"/>
            <w:hideMark/>
          </w:tcPr>
          <w:p w14:paraId="7BFFAFB2" w14:textId="49193D52" w:rsidR="00BB6D61" w:rsidRPr="00A7273E" w:rsidRDefault="00BB6D61" w:rsidP="00533B3E">
            <w:pPr>
              <w:pStyle w:val="TableColumnHeadingCentred"/>
            </w:pPr>
            <w:r w:rsidRPr="00533B3E">
              <w:t>Cost to each party</w:t>
            </w:r>
          </w:p>
        </w:tc>
      </w:tr>
      <w:tr w:rsidR="00BB6D61" w:rsidRPr="00A7273E" w14:paraId="4587F1F0" w14:textId="77777777" w:rsidTr="009033AE">
        <w:trPr>
          <w:cnfStyle w:val="000000100000" w:firstRow="0" w:lastRow="0" w:firstColumn="0" w:lastColumn="0" w:oddVBand="0" w:evenVBand="0" w:oddHBand="1" w:evenHBand="0" w:firstRowFirstColumn="0" w:firstRowLastColumn="0" w:lastRowFirstColumn="0" w:lastRowLastColumn="0"/>
          <w:trHeight w:val="300"/>
        </w:trPr>
        <w:tc>
          <w:tcPr>
            <w:tcW w:w="1401" w:type="dxa"/>
            <w:hideMark/>
          </w:tcPr>
          <w:p w14:paraId="0D8E93EA" w14:textId="25F4D968" w:rsidR="00BB6D61" w:rsidRPr="00A7273E" w:rsidRDefault="00BB6D61">
            <w:pPr>
              <w:pStyle w:val="TableTextLeft"/>
            </w:pPr>
          </w:p>
        </w:tc>
        <w:tc>
          <w:tcPr>
            <w:tcW w:w="1355" w:type="dxa"/>
            <w:hideMark/>
          </w:tcPr>
          <w:p w14:paraId="31CD2138" w14:textId="2424F006" w:rsidR="00BB6D61" w:rsidRPr="00A7273E" w:rsidRDefault="00BB6D61" w:rsidP="00C739BB">
            <w:pPr>
              <w:pStyle w:val="TableTextCentered"/>
              <w:rPr>
                <w:rStyle w:val="Strong"/>
              </w:rPr>
            </w:pPr>
            <w:r w:rsidRPr="00533B3E">
              <w:rPr>
                <w:rStyle w:val="Strong"/>
              </w:rPr>
              <w:t>Pre</w:t>
            </w:r>
            <w:r w:rsidR="003A0D5E">
              <w:rPr>
                <w:rStyle w:val="Strong"/>
              </w:rPr>
              <w:noBreakHyphen/>
            </w:r>
            <w:r w:rsidRPr="00533B3E">
              <w:rPr>
                <w:rStyle w:val="Strong"/>
              </w:rPr>
              <w:t>mediation</w:t>
            </w:r>
          </w:p>
        </w:tc>
        <w:tc>
          <w:tcPr>
            <w:tcW w:w="1355" w:type="dxa"/>
            <w:hideMark/>
          </w:tcPr>
          <w:p w14:paraId="25803770" w14:textId="70A3813D" w:rsidR="00BB6D61" w:rsidRPr="00A7273E" w:rsidRDefault="00BB6D61" w:rsidP="00C739BB">
            <w:pPr>
              <w:pStyle w:val="TableTextCentered"/>
              <w:rPr>
                <w:rStyle w:val="Strong"/>
              </w:rPr>
            </w:pPr>
            <w:r w:rsidRPr="00533B3E">
              <w:rPr>
                <w:rStyle w:val="Strong"/>
              </w:rPr>
              <w:t>Mediation</w:t>
            </w:r>
          </w:p>
        </w:tc>
        <w:tc>
          <w:tcPr>
            <w:tcW w:w="1239" w:type="dxa"/>
            <w:hideMark/>
          </w:tcPr>
          <w:p w14:paraId="42DB9236" w14:textId="205A4550" w:rsidR="00BB6D61" w:rsidRPr="00A7273E" w:rsidRDefault="00BB6D61" w:rsidP="00C739BB">
            <w:pPr>
              <w:pStyle w:val="TableTextCentered"/>
              <w:rPr>
                <w:rStyle w:val="Strong"/>
              </w:rPr>
            </w:pPr>
            <w:r w:rsidRPr="00A7273E">
              <w:rPr>
                <w:rStyle w:val="Strong"/>
              </w:rPr>
              <w:t>Full day</w:t>
            </w:r>
          </w:p>
        </w:tc>
        <w:tc>
          <w:tcPr>
            <w:tcW w:w="1240" w:type="dxa"/>
            <w:hideMark/>
          </w:tcPr>
          <w:p w14:paraId="7C85093D" w14:textId="07F3C9A8" w:rsidR="00BB6D61" w:rsidRPr="00A7273E" w:rsidRDefault="00BB6D61" w:rsidP="00C739BB">
            <w:pPr>
              <w:pStyle w:val="TableTextCentered"/>
              <w:rPr>
                <w:rStyle w:val="Strong"/>
              </w:rPr>
            </w:pPr>
            <w:r w:rsidRPr="00A7273E">
              <w:rPr>
                <w:rStyle w:val="Strong"/>
              </w:rPr>
              <w:t>Half day</w:t>
            </w:r>
          </w:p>
        </w:tc>
        <w:tc>
          <w:tcPr>
            <w:tcW w:w="1240" w:type="dxa"/>
            <w:hideMark/>
          </w:tcPr>
          <w:p w14:paraId="16C07162" w14:textId="23EC3B8E" w:rsidR="00BB6D61" w:rsidRPr="00A7273E" w:rsidRDefault="00BB6D61" w:rsidP="00C739BB">
            <w:pPr>
              <w:pStyle w:val="TableTextCentered"/>
              <w:rPr>
                <w:rStyle w:val="Strong"/>
              </w:rPr>
            </w:pPr>
            <w:r w:rsidRPr="00A7273E">
              <w:rPr>
                <w:rStyle w:val="Strong"/>
              </w:rPr>
              <w:t>Full day</w:t>
            </w:r>
          </w:p>
        </w:tc>
        <w:tc>
          <w:tcPr>
            <w:tcW w:w="1240" w:type="dxa"/>
            <w:hideMark/>
          </w:tcPr>
          <w:p w14:paraId="6FCA78C4" w14:textId="4A6A4E1B" w:rsidR="00BB6D61" w:rsidRPr="00A7273E" w:rsidRDefault="00BB6D61" w:rsidP="00C739BB">
            <w:pPr>
              <w:pStyle w:val="TableTextCentered"/>
              <w:rPr>
                <w:rStyle w:val="Strong"/>
              </w:rPr>
            </w:pPr>
            <w:r w:rsidRPr="00A7273E">
              <w:rPr>
                <w:rStyle w:val="Strong"/>
              </w:rPr>
              <w:t>Half day</w:t>
            </w:r>
          </w:p>
        </w:tc>
      </w:tr>
      <w:tr w:rsidR="00BB6D61" w:rsidRPr="00A7273E" w14:paraId="26B7C6CE" w14:textId="77777777" w:rsidTr="009033AE">
        <w:trPr>
          <w:cnfStyle w:val="000000010000" w:firstRow="0" w:lastRow="0" w:firstColumn="0" w:lastColumn="0" w:oddVBand="0" w:evenVBand="0" w:oddHBand="0" w:evenHBand="1" w:firstRowFirstColumn="0" w:firstRowLastColumn="0" w:lastRowFirstColumn="0" w:lastRowLastColumn="0"/>
          <w:trHeight w:val="300"/>
        </w:trPr>
        <w:tc>
          <w:tcPr>
            <w:tcW w:w="1401" w:type="dxa"/>
            <w:hideMark/>
          </w:tcPr>
          <w:p w14:paraId="0B594C0C" w14:textId="77777777" w:rsidR="00BB6D61" w:rsidRPr="00A7273E" w:rsidRDefault="00BB6D61">
            <w:pPr>
              <w:pStyle w:val="TableTextLeft"/>
            </w:pPr>
            <w:r w:rsidRPr="00533B3E">
              <w:t>ASBFEO </w:t>
            </w:r>
            <w:r w:rsidRPr="00A7273E">
              <w:t> </w:t>
            </w:r>
          </w:p>
        </w:tc>
        <w:tc>
          <w:tcPr>
            <w:tcW w:w="1355" w:type="dxa"/>
            <w:hideMark/>
          </w:tcPr>
          <w:p w14:paraId="7BC72340" w14:textId="0E1E5FDF" w:rsidR="00BB6D61" w:rsidRPr="00A7273E" w:rsidRDefault="00BB6D61" w:rsidP="00196649">
            <w:pPr>
              <w:pStyle w:val="TableTextRight"/>
            </w:pPr>
            <w:r w:rsidRPr="00533B3E">
              <w:t>N/A</w:t>
            </w:r>
          </w:p>
        </w:tc>
        <w:tc>
          <w:tcPr>
            <w:tcW w:w="1355" w:type="dxa"/>
            <w:hideMark/>
          </w:tcPr>
          <w:p w14:paraId="21A0459D" w14:textId="6545E27D" w:rsidR="00BB6D61" w:rsidRPr="00A7273E" w:rsidRDefault="00BB6D61" w:rsidP="00196649">
            <w:pPr>
              <w:pStyle w:val="TableTextRight"/>
            </w:pPr>
            <w:r w:rsidRPr="00533B3E">
              <w:t>29%</w:t>
            </w:r>
          </w:p>
        </w:tc>
        <w:tc>
          <w:tcPr>
            <w:tcW w:w="1239" w:type="dxa"/>
            <w:hideMark/>
          </w:tcPr>
          <w:p w14:paraId="1C9B5926" w14:textId="3FF7BD8B" w:rsidR="00BB6D61" w:rsidRPr="00A7273E" w:rsidRDefault="00BB6D61" w:rsidP="00196649">
            <w:pPr>
              <w:pStyle w:val="TableTextRight"/>
            </w:pPr>
            <w:r w:rsidRPr="00533B3E">
              <w:t>$4</w:t>
            </w:r>
            <w:r w:rsidR="00342B2E">
              <w:t>,</w:t>
            </w:r>
            <w:r w:rsidRPr="00533B3E">
              <w:t>000</w:t>
            </w:r>
          </w:p>
        </w:tc>
        <w:tc>
          <w:tcPr>
            <w:tcW w:w="1240" w:type="dxa"/>
            <w:hideMark/>
          </w:tcPr>
          <w:p w14:paraId="0EB7DABA" w14:textId="4E590A33" w:rsidR="00BB6D61" w:rsidRPr="00A7273E" w:rsidRDefault="00BB6D61" w:rsidP="00196649">
            <w:pPr>
              <w:pStyle w:val="TableTextRight"/>
            </w:pPr>
            <w:r w:rsidRPr="00533B3E">
              <w:t>$2</w:t>
            </w:r>
            <w:r w:rsidR="00E17C3B">
              <w:t>,</w:t>
            </w:r>
            <w:r w:rsidRPr="00533B3E">
              <w:t>000</w:t>
            </w:r>
          </w:p>
        </w:tc>
        <w:tc>
          <w:tcPr>
            <w:tcW w:w="1240" w:type="dxa"/>
            <w:hideMark/>
          </w:tcPr>
          <w:p w14:paraId="3E4ED5D5" w14:textId="408DEAEA" w:rsidR="00BB6D61" w:rsidRPr="00A7273E" w:rsidRDefault="00BB6D61" w:rsidP="00196649">
            <w:pPr>
              <w:pStyle w:val="TableTextRight"/>
            </w:pPr>
            <w:r w:rsidRPr="00533B3E">
              <w:t>$2</w:t>
            </w:r>
            <w:r w:rsidR="00E17C3B">
              <w:t>,</w:t>
            </w:r>
            <w:r w:rsidRPr="00533B3E">
              <w:t>000</w:t>
            </w:r>
          </w:p>
        </w:tc>
        <w:tc>
          <w:tcPr>
            <w:tcW w:w="1240" w:type="dxa"/>
            <w:hideMark/>
          </w:tcPr>
          <w:p w14:paraId="716E120F" w14:textId="319FFDF7" w:rsidR="00BB6D61" w:rsidRPr="00A7273E" w:rsidRDefault="00BB6D61" w:rsidP="00196649">
            <w:pPr>
              <w:pStyle w:val="TableTextRight"/>
            </w:pPr>
            <w:r w:rsidRPr="00533B3E">
              <w:t>$1</w:t>
            </w:r>
            <w:r w:rsidR="00E17C3B">
              <w:t>,</w:t>
            </w:r>
            <w:r w:rsidRPr="00533B3E">
              <w:t>00</w:t>
            </w:r>
            <w:r w:rsidR="009033AE">
              <w:t>0</w:t>
            </w:r>
          </w:p>
        </w:tc>
      </w:tr>
      <w:tr w:rsidR="00BB6D61" w:rsidRPr="00A7273E" w14:paraId="5B1A0F0E" w14:textId="77777777" w:rsidTr="009033AE">
        <w:trPr>
          <w:cnfStyle w:val="000000100000" w:firstRow="0" w:lastRow="0" w:firstColumn="0" w:lastColumn="0" w:oddVBand="0" w:evenVBand="0" w:oddHBand="1" w:evenHBand="0" w:firstRowFirstColumn="0" w:firstRowLastColumn="0" w:lastRowFirstColumn="0" w:lastRowLastColumn="0"/>
          <w:trHeight w:val="300"/>
        </w:trPr>
        <w:tc>
          <w:tcPr>
            <w:tcW w:w="1401" w:type="dxa"/>
            <w:hideMark/>
          </w:tcPr>
          <w:p w14:paraId="7352A254" w14:textId="77777777" w:rsidR="00BB6D61" w:rsidRPr="00A7273E" w:rsidRDefault="00BB6D61">
            <w:pPr>
              <w:pStyle w:val="TableTextLeft"/>
            </w:pPr>
            <w:r w:rsidRPr="00533B3E">
              <w:t>VSBC </w:t>
            </w:r>
            <w:r w:rsidRPr="00A7273E">
              <w:t> </w:t>
            </w:r>
          </w:p>
        </w:tc>
        <w:tc>
          <w:tcPr>
            <w:tcW w:w="1355" w:type="dxa"/>
            <w:hideMark/>
          </w:tcPr>
          <w:p w14:paraId="442A5405" w14:textId="7DAEB879" w:rsidR="00BB6D61" w:rsidRPr="00A7273E" w:rsidRDefault="00BB6D61" w:rsidP="00196649">
            <w:pPr>
              <w:pStyle w:val="TableTextRight"/>
            </w:pPr>
            <w:r w:rsidRPr="00533B3E">
              <w:t>34%</w:t>
            </w:r>
          </w:p>
        </w:tc>
        <w:tc>
          <w:tcPr>
            <w:tcW w:w="1355" w:type="dxa"/>
            <w:hideMark/>
          </w:tcPr>
          <w:p w14:paraId="26E6260D" w14:textId="573F3FD0" w:rsidR="00BB6D61" w:rsidRPr="00A7273E" w:rsidRDefault="00BB6D61" w:rsidP="00196649">
            <w:pPr>
              <w:pStyle w:val="TableTextRight"/>
            </w:pPr>
            <w:r w:rsidRPr="00533B3E">
              <w:t>74.7%</w:t>
            </w:r>
          </w:p>
        </w:tc>
        <w:tc>
          <w:tcPr>
            <w:tcW w:w="1239" w:type="dxa"/>
            <w:hideMark/>
          </w:tcPr>
          <w:p w14:paraId="664E7937" w14:textId="5C048E99" w:rsidR="00BB6D61" w:rsidRPr="00A7273E" w:rsidRDefault="00BB6D61" w:rsidP="00196649">
            <w:pPr>
              <w:pStyle w:val="TableTextRight"/>
            </w:pPr>
            <w:r w:rsidRPr="00533B3E">
              <w:t>$1,350</w:t>
            </w:r>
          </w:p>
        </w:tc>
        <w:tc>
          <w:tcPr>
            <w:tcW w:w="1240" w:type="dxa"/>
            <w:hideMark/>
          </w:tcPr>
          <w:p w14:paraId="6B8D3188" w14:textId="1CBB8BF2" w:rsidR="00BB6D61" w:rsidRPr="00A7273E" w:rsidRDefault="00BB6D61" w:rsidP="00196649">
            <w:pPr>
              <w:pStyle w:val="TableTextRight"/>
            </w:pPr>
            <w:r w:rsidRPr="00533B3E">
              <w:t>$900</w:t>
            </w:r>
          </w:p>
        </w:tc>
        <w:tc>
          <w:tcPr>
            <w:tcW w:w="1240" w:type="dxa"/>
            <w:hideMark/>
          </w:tcPr>
          <w:p w14:paraId="22B22698" w14:textId="7E3E4EDA" w:rsidR="00BB6D61" w:rsidRPr="00A7273E" w:rsidRDefault="00BB6D61" w:rsidP="00196649">
            <w:pPr>
              <w:pStyle w:val="TableTextRight"/>
            </w:pPr>
            <w:r w:rsidRPr="00533B3E">
              <w:t>$600</w:t>
            </w:r>
          </w:p>
        </w:tc>
        <w:tc>
          <w:tcPr>
            <w:tcW w:w="1240" w:type="dxa"/>
            <w:hideMark/>
          </w:tcPr>
          <w:p w14:paraId="277F562F" w14:textId="483D5A4D" w:rsidR="00BB6D61" w:rsidRPr="00A7273E" w:rsidRDefault="00BB6D61" w:rsidP="00196649">
            <w:pPr>
              <w:pStyle w:val="TableTextRight"/>
            </w:pPr>
            <w:r w:rsidRPr="00533B3E">
              <w:t>$300</w:t>
            </w:r>
          </w:p>
        </w:tc>
      </w:tr>
      <w:tr w:rsidR="00BB6D61" w:rsidRPr="00A7273E" w14:paraId="0820492B" w14:textId="77777777" w:rsidTr="009033AE">
        <w:trPr>
          <w:cnfStyle w:val="000000010000" w:firstRow="0" w:lastRow="0" w:firstColumn="0" w:lastColumn="0" w:oddVBand="0" w:evenVBand="0" w:oddHBand="0" w:evenHBand="1" w:firstRowFirstColumn="0" w:firstRowLastColumn="0" w:lastRowFirstColumn="0" w:lastRowLastColumn="0"/>
          <w:trHeight w:val="300"/>
        </w:trPr>
        <w:tc>
          <w:tcPr>
            <w:tcW w:w="1401" w:type="dxa"/>
            <w:hideMark/>
          </w:tcPr>
          <w:p w14:paraId="11C07EF4" w14:textId="599EA1A7" w:rsidR="00BB6D61" w:rsidRPr="00A7273E" w:rsidRDefault="00813554">
            <w:pPr>
              <w:pStyle w:val="TableTextLeft"/>
            </w:pPr>
            <w:r w:rsidRPr="00813554">
              <w:t>New South Wales</w:t>
            </w:r>
            <w:r w:rsidR="00BB6D61" w:rsidRPr="00533B3E">
              <w:t xml:space="preserve"> SBC</w:t>
            </w:r>
            <w:r w:rsidR="00BB6D61" w:rsidRPr="00A7273E">
              <w:t> </w:t>
            </w:r>
          </w:p>
        </w:tc>
        <w:tc>
          <w:tcPr>
            <w:tcW w:w="1355" w:type="dxa"/>
            <w:hideMark/>
          </w:tcPr>
          <w:p w14:paraId="20D31B94" w14:textId="66CD1ABE" w:rsidR="00BB6D61" w:rsidRPr="00A7273E" w:rsidRDefault="00BB6D61" w:rsidP="00196649">
            <w:pPr>
              <w:pStyle w:val="TableTextRight"/>
            </w:pPr>
            <w:r w:rsidRPr="00533B3E">
              <w:t>N/A</w:t>
            </w:r>
          </w:p>
        </w:tc>
        <w:tc>
          <w:tcPr>
            <w:tcW w:w="1355" w:type="dxa"/>
            <w:hideMark/>
          </w:tcPr>
          <w:p w14:paraId="5DD5B470" w14:textId="18330E11" w:rsidR="00BB6D61" w:rsidRPr="00A7273E" w:rsidRDefault="00BB6D61" w:rsidP="00196649">
            <w:pPr>
              <w:pStyle w:val="TableTextRight"/>
            </w:pPr>
            <w:r w:rsidRPr="00533B3E">
              <w:t>N/A</w:t>
            </w:r>
          </w:p>
        </w:tc>
        <w:tc>
          <w:tcPr>
            <w:tcW w:w="1239" w:type="dxa"/>
            <w:hideMark/>
          </w:tcPr>
          <w:p w14:paraId="6A7804F3" w14:textId="190C8924" w:rsidR="00BB6D61" w:rsidRPr="00A7273E" w:rsidRDefault="00BB6D61" w:rsidP="00196649">
            <w:pPr>
              <w:pStyle w:val="TableTextRight"/>
            </w:pPr>
            <w:r w:rsidRPr="00533B3E">
              <w:t>$2</w:t>
            </w:r>
            <w:r w:rsidR="00E17C3B">
              <w:t>,</w:t>
            </w:r>
            <w:r w:rsidRPr="00533B3E">
              <w:t>280</w:t>
            </w:r>
          </w:p>
        </w:tc>
        <w:tc>
          <w:tcPr>
            <w:tcW w:w="1240" w:type="dxa"/>
            <w:hideMark/>
          </w:tcPr>
          <w:p w14:paraId="1962DD6F" w14:textId="56CC52A9" w:rsidR="00BB6D61" w:rsidRPr="00A7273E" w:rsidRDefault="00BB6D61" w:rsidP="00196649">
            <w:pPr>
              <w:pStyle w:val="TableTextRight"/>
            </w:pPr>
            <w:r w:rsidRPr="00533B3E">
              <w:t>$1</w:t>
            </w:r>
            <w:r w:rsidR="00E17C3B">
              <w:t>,</w:t>
            </w:r>
            <w:r w:rsidRPr="00533B3E">
              <w:t>216</w:t>
            </w:r>
          </w:p>
        </w:tc>
        <w:tc>
          <w:tcPr>
            <w:tcW w:w="1240" w:type="dxa"/>
            <w:hideMark/>
          </w:tcPr>
          <w:p w14:paraId="00D5A82C" w14:textId="3CF4DFF3" w:rsidR="00BB6D61" w:rsidRPr="00A7273E" w:rsidRDefault="00BB6D61" w:rsidP="00196649">
            <w:pPr>
              <w:pStyle w:val="TableTextRight"/>
            </w:pPr>
            <w:r w:rsidRPr="00533B3E">
              <w:t>$862</w:t>
            </w:r>
          </w:p>
        </w:tc>
        <w:tc>
          <w:tcPr>
            <w:tcW w:w="1240" w:type="dxa"/>
            <w:hideMark/>
          </w:tcPr>
          <w:p w14:paraId="1FA13FFB" w14:textId="6E7C425D" w:rsidR="00BB6D61" w:rsidRPr="00A7273E" w:rsidRDefault="00BB6D61" w:rsidP="00196649">
            <w:pPr>
              <w:pStyle w:val="TableTextRight"/>
            </w:pPr>
            <w:r w:rsidRPr="00533B3E">
              <w:t>$330</w:t>
            </w:r>
          </w:p>
        </w:tc>
      </w:tr>
      <w:tr w:rsidR="00BB6D61" w:rsidRPr="00A7273E" w14:paraId="15828438" w14:textId="77777777" w:rsidTr="009033AE">
        <w:trPr>
          <w:cnfStyle w:val="000000100000" w:firstRow="0" w:lastRow="0" w:firstColumn="0" w:lastColumn="0" w:oddVBand="0" w:evenVBand="0" w:oddHBand="1" w:evenHBand="0" w:firstRowFirstColumn="0" w:firstRowLastColumn="0" w:lastRowFirstColumn="0" w:lastRowLastColumn="0"/>
          <w:trHeight w:val="300"/>
        </w:trPr>
        <w:tc>
          <w:tcPr>
            <w:tcW w:w="1401" w:type="dxa"/>
            <w:hideMark/>
          </w:tcPr>
          <w:p w14:paraId="59A3B273" w14:textId="77777777" w:rsidR="00BB6D61" w:rsidRPr="00A7273E" w:rsidRDefault="00BB6D61">
            <w:pPr>
              <w:pStyle w:val="TableTextLeft"/>
            </w:pPr>
            <w:r w:rsidRPr="00533B3E">
              <w:t>QSBC </w:t>
            </w:r>
            <w:r w:rsidRPr="00A7273E">
              <w:t> </w:t>
            </w:r>
          </w:p>
        </w:tc>
        <w:tc>
          <w:tcPr>
            <w:tcW w:w="1355" w:type="dxa"/>
            <w:hideMark/>
          </w:tcPr>
          <w:p w14:paraId="7801D455" w14:textId="099ABF13" w:rsidR="00BB6D61" w:rsidRPr="00A7273E" w:rsidRDefault="00BB6D61" w:rsidP="00196649">
            <w:pPr>
              <w:pStyle w:val="TableTextRight"/>
            </w:pPr>
            <w:r w:rsidRPr="00533B3E">
              <w:t>22%</w:t>
            </w:r>
          </w:p>
        </w:tc>
        <w:tc>
          <w:tcPr>
            <w:tcW w:w="1355" w:type="dxa"/>
            <w:hideMark/>
          </w:tcPr>
          <w:p w14:paraId="793BAE45" w14:textId="302BEF8A" w:rsidR="00BB6D61" w:rsidRPr="00A7273E" w:rsidRDefault="00BB6D61" w:rsidP="00196649">
            <w:pPr>
              <w:pStyle w:val="TableTextRight"/>
            </w:pPr>
            <w:r w:rsidRPr="00533B3E">
              <w:t>51% </w:t>
            </w:r>
          </w:p>
        </w:tc>
        <w:tc>
          <w:tcPr>
            <w:tcW w:w="1239" w:type="dxa"/>
            <w:hideMark/>
          </w:tcPr>
          <w:p w14:paraId="019994C4" w14:textId="7B076478" w:rsidR="00BB6D61" w:rsidRPr="00A7273E" w:rsidRDefault="00BB6D61" w:rsidP="00196649">
            <w:pPr>
              <w:pStyle w:val="TableTextRight"/>
            </w:pPr>
            <w:r w:rsidRPr="00533B3E">
              <w:t>$1</w:t>
            </w:r>
            <w:r w:rsidR="00E17C3B">
              <w:t>,</w:t>
            </w:r>
            <w:r w:rsidRPr="00533B3E">
              <w:t>250</w:t>
            </w:r>
            <w:r w:rsidR="009033AE">
              <w:t>-</w:t>
            </w:r>
            <w:r w:rsidRPr="00533B3E">
              <w:t>1</w:t>
            </w:r>
            <w:r w:rsidR="00E17C3B">
              <w:t>,</w:t>
            </w:r>
            <w:r w:rsidRPr="00533B3E">
              <w:t>750</w:t>
            </w:r>
          </w:p>
        </w:tc>
        <w:tc>
          <w:tcPr>
            <w:tcW w:w="1240" w:type="dxa"/>
            <w:hideMark/>
          </w:tcPr>
          <w:p w14:paraId="7BECD4E1" w14:textId="75651DB3" w:rsidR="00BB6D61" w:rsidRPr="00A7273E" w:rsidRDefault="00BB6D61" w:rsidP="00196649">
            <w:pPr>
              <w:pStyle w:val="TableTextRight"/>
            </w:pPr>
            <w:r w:rsidRPr="00533B3E">
              <w:t>N/A</w:t>
            </w:r>
          </w:p>
        </w:tc>
        <w:tc>
          <w:tcPr>
            <w:tcW w:w="1240" w:type="dxa"/>
            <w:hideMark/>
          </w:tcPr>
          <w:p w14:paraId="47AFA5FD" w14:textId="6033196D" w:rsidR="00BB6D61" w:rsidRPr="00A7273E" w:rsidRDefault="00BB6D61" w:rsidP="00196649">
            <w:pPr>
              <w:pStyle w:val="TableTextRight"/>
            </w:pPr>
            <w:r w:rsidRPr="00533B3E">
              <w:t>$185.50</w:t>
            </w:r>
          </w:p>
        </w:tc>
        <w:tc>
          <w:tcPr>
            <w:tcW w:w="1240" w:type="dxa"/>
            <w:hideMark/>
          </w:tcPr>
          <w:p w14:paraId="387FAFA8" w14:textId="60F39CA1" w:rsidR="00BB6D61" w:rsidRPr="00A7273E" w:rsidRDefault="00BB6D61" w:rsidP="00196649">
            <w:pPr>
              <w:pStyle w:val="TableTextRight"/>
            </w:pPr>
            <w:r w:rsidRPr="00533B3E">
              <w:t>N/A</w:t>
            </w:r>
          </w:p>
        </w:tc>
      </w:tr>
      <w:tr w:rsidR="00BB6D61" w:rsidRPr="00A7273E" w14:paraId="25A9461A" w14:textId="77777777" w:rsidTr="009033AE">
        <w:trPr>
          <w:cnfStyle w:val="000000010000" w:firstRow="0" w:lastRow="0" w:firstColumn="0" w:lastColumn="0" w:oddVBand="0" w:evenVBand="0" w:oddHBand="0" w:evenHBand="1" w:firstRowFirstColumn="0" w:firstRowLastColumn="0" w:lastRowFirstColumn="0" w:lastRowLastColumn="0"/>
          <w:trHeight w:val="300"/>
        </w:trPr>
        <w:tc>
          <w:tcPr>
            <w:tcW w:w="1401" w:type="dxa"/>
            <w:hideMark/>
          </w:tcPr>
          <w:p w14:paraId="4B17170F" w14:textId="17A2FAFA" w:rsidR="00BB6D61" w:rsidRPr="00A7273E" w:rsidRDefault="00BB6D61">
            <w:pPr>
              <w:pStyle w:val="TableTextLeft"/>
            </w:pPr>
            <w:r w:rsidRPr="00533B3E">
              <w:t>S</w:t>
            </w:r>
            <w:r w:rsidR="00813554" w:rsidRPr="00533B3E">
              <w:t>outh Australian</w:t>
            </w:r>
            <w:r w:rsidRPr="00533B3E">
              <w:t xml:space="preserve"> SBC </w:t>
            </w:r>
          </w:p>
        </w:tc>
        <w:tc>
          <w:tcPr>
            <w:tcW w:w="1355" w:type="dxa"/>
            <w:hideMark/>
          </w:tcPr>
          <w:p w14:paraId="4FDC7590" w14:textId="63627480" w:rsidR="00BB6D61" w:rsidRPr="00A7273E" w:rsidRDefault="00BB6D61" w:rsidP="00196649">
            <w:pPr>
              <w:pStyle w:val="TableTextRight"/>
            </w:pPr>
            <w:r w:rsidRPr="00533B3E">
              <w:t>N/A </w:t>
            </w:r>
          </w:p>
        </w:tc>
        <w:tc>
          <w:tcPr>
            <w:tcW w:w="1355" w:type="dxa"/>
            <w:hideMark/>
          </w:tcPr>
          <w:p w14:paraId="5796EA5B" w14:textId="740D982E" w:rsidR="00BB6D61" w:rsidRPr="00A7273E" w:rsidRDefault="00BB6D61" w:rsidP="00196649">
            <w:pPr>
              <w:pStyle w:val="TableTextRight"/>
            </w:pPr>
            <w:r w:rsidRPr="00533B3E">
              <w:t>70%</w:t>
            </w:r>
          </w:p>
        </w:tc>
        <w:tc>
          <w:tcPr>
            <w:tcW w:w="1239" w:type="dxa"/>
            <w:hideMark/>
          </w:tcPr>
          <w:p w14:paraId="53A9851E" w14:textId="3946DAD2" w:rsidR="00BB6D61" w:rsidRPr="00A7273E" w:rsidRDefault="00BB6D61" w:rsidP="00196649">
            <w:pPr>
              <w:pStyle w:val="TableTextRight"/>
            </w:pPr>
            <w:r w:rsidRPr="00533B3E">
              <w:t>$1</w:t>
            </w:r>
            <w:r w:rsidR="00E17C3B">
              <w:t>,</w:t>
            </w:r>
            <w:r w:rsidRPr="00533B3E">
              <w:t>000</w:t>
            </w:r>
          </w:p>
        </w:tc>
        <w:tc>
          <w:tcPr>
            <w:tcW w:w="1240" w:type="dxa"/>
            <w:hideMark/>
          </w:tcPr>
          <w:p w14:paraId="2964A47F" w14:textId="77777777" w:rsidR="00BB6D61" w:rsidRPr="00A7273E" w:rsidRDefault="00BB6D61" w:rsidP="00196649">
            <w:pPr>
              <w:pStyle w:val="TableTextRight"/>
            </w:pPr>
            <w:r w:rsidRPr="00533B3E">
              <w:t>N/A</w:t>
            </w:r>
            <w:r w:rsidRPr="00A7273E">
              <w:t> </w:t>
            </w:r>
          </w:p>
        </w:tc>
        <w:tc>
          <w:tcPr>
            <w:tcW w:w="1240" w:type="dxa"/>
            <w:hideMark/>
          </w:tcPr>
          <w:p w14:paraId="15075263" w14:textId="3F3A2E4B" w:rsidR="00BB6D61" w:rsidRPr="00A7273E" w:rsidRDefault="00BB6D61" w:rsidP="00196649">
            <w:pPr>
              <w:pStyle w:val="TableTextRight"/>
            </w:pPr>
            <w:r w:rsidRPr="00533B3E">
              <w:t>$195</w:t>
            </w:r>
          </w:p>
        </w:tc>
        <w:tc>
          <w:tcPr>
            <w:tcW w:w="1240" w:type="dxa"/>
            <w:hideMark/>
          </w:tcPr>
          <w:p w14:paraId="54F066EC" w14:textId="77777777" w:rsidR="00BB6D61" w:rsidRPr="00A7273E" w:rsidRDefault="00BB6D61" w:rsidP="00196649">
            <w:pPr>
              <w:pStyle w:val="TableTextRight"/>
            </w:pPr>
            <w:r>
              <w:t>N/A</w:t>
            </w:r>
          </w:p>
        </w:tc>
      </w:tr>
      <w:tr w:rsidR="00BB6D61" w:rsidRPr="00A7273E" w14:paraId="061F405A" w14:textId="77777777" w:rsidTr="009033AE">
        <w:trPr>
          <w:cnfStyle w:val="000000100000" w:firstRow="0" w:lastRow="0" w:firstColumn="0" w:lastColumn="0" w:oddVBand="0" w:evenVBand="0" w:oddHBand="1" w:evenHBand="0" w:firstRowFirstColumn="0" w:firstRowLastColumn="0" w:lastRowFirstColumn="0" w:lastRowLastColumn="0"/>
          <w:trHeight w:val="300"/>
        </w:trPr>
        <w:tc>
          <w:tcPr>
            <w:tcW w:w="1401" w:type="dxa"/>
            <w:hideMark/>
          </w:tcPr>
          <w:p w14:paraId="69F3092B" w14:textId="77777777" w:rsidR="00BB6D61" w:rsidRPr="00A7273E" w:rsidRDefault="00BB6D61">
            <w:pPr>
              <w:pStyle w:val="TableTextLeft"/>
            </w:pPr>
            <w:r w:rsidRPr="00533B3E">
              <w:t>SBDC</w:t>
            </w:r>
            <w:r w:rsidRPr="00A7273E">
              <w:t> </w:t>
            </w:r>
            <w:r>
              <w:t>(WA)</w:t>
            </w:r>
          </w:p>
        </w:tc>
        <w:tc>
          <w:tcPr>
            <w:tcW w:w="1355" w:type="dxa"/>
            <w:hideMark/>
          </w:tcPr>
          <w:p w14:paraId="2BB39987" w14:textId="63515396" w:rsidR="00BB6D61" w:rsidRPr="00A7273E" w:rsidRDefault="00BB6D61" w:rsidP="00196649">
            <w:pPr>
              <w:pStyle w:val="TableTextRight"/>
            </w:pPr>
            <w:r w:rsidRPr="00533B3E">
              <w:t>N/A</w:t>
            </w:r>
          </w:p>
        </w:tc>
        <w:tc>
          <w:tcPr>
            <w:tcW w:w="1355" w:type="dxa"/>
            <w:hideMark/>
          </w:tcPr>
          <w:p w14:paraId="2415A0E5" w14:textId="747609B0" w:rsidR="00BB6D61" w:rsidRPr="00A7273E" w:rsidRDefault="00BB6D61" w:rsidP="00196649">
            <w:pPr>
              <w:pStyle w:val="TableTextRight"/>
            </w:pPr>
            <w:r w:rsidRPr="00533B3E">
              <w:t>N/A</w:t>
            </w:r>
          </w:p>
        </w:tc>
        <w:tc>
          <w:tcPr>
            <w:tcW w:w="1239" w:type="dxa"/>
            <w:hideMark/>
          </w:tcPr>
          <w:p w14:paraId="6CCA244A" w14:textId="495BD9FA" w:rsidR="00BB6D61" w:rsidRPr="00A7273E" w:rsidRDefault="00BB6D61" w:rsidP="00196649">
            <w:pPr>
              <w:pStyle w:val="TableTextRight"/>
            </w:pPr>
            <w:r w:rsidRPr="00533B3E">
              <w:t>$1</w:t>
            </w:r>
            <w:r w:rsidR="00E17C3B">
              <w:t>,</w:t>
            </w:r>
            <w:r w:rsidRPr="00533B3E">
              <w:t>000</w:t>
            </w:r>
          </w:p>
        </w:tc>
        <w:tc>
          <w:tcPr>
            <w:tcW w:w="1240" w:type="dxa"/>
            <w:hideMark/>
          </w:tcPr>
          <w:p w14:paraId="21DF2671" w14:textId="77777777" w:rsidR="00BB6D61" w:rsidRPr="00A7273E" w:rsidRDefault="00BB6D61" w:rsidP="00196649">
            <w:pPr>
              <w:pStyle w:val="TableTextRight"/>
            </w:pPr>
            <w:r w:rsidRPr="00533B3E">
              <w:t>N/A</w:t>
            </w:r>
            <w:r w:rsidRPr="00A7273E">
              <w:t> </w:t>
            </w:r>
          </w:p>
        </w:tc>
        <w:tc>
          <w:tcPr>
            <w:tcW w:w="1240" w:type="dxa"/>
            <w:hideMark/>
          </w:tcPr>
          <w:p w14:paraId="08D284C3" w14:textId="4B4E5546" w:rsidR="00BB6D61" w:rsidRPr="00A7273E" w:rsidRDefault="00BB6D61" w:rsidP="00196649">
            <w:pPr>
              <w:pStyle w:val="TableTextRight"/>
            </w:pPr>
            <w:r w:rsidRPr="00533B3E">
              <w:t xml:space="preserve">$125 </w:t>
            </w:r>
          </w:p>
        </w:tc>
        <w:tc>
          <w:tcPr>
            <w:tcW w:w="1240" w:type="dxa"/>
            <w:hideMark/>
          </w:tcPr>
          <w:p w14:paraId="0F3BD9CD" w14:textId="114A82FA" w:rsidR="00BB6D61" w:rsidRPr="00A7273E" w:rsidRDefault="00BB6D61" w:rsidP="00196649">
            <w:pPr>
              <w:pStyle w:val="TableTextRight"/>
            </w:pPr>
            <w:r w:rsidRPr="00533B3E">
              <w:t> N</w:t>
            </w:r>
            <w:r>
              <w:t>/A</w:t>
            </w:r>
          </w:p>
        </w:tc>
      </w:tr>
    </w:tbl>
    <w:p w14:paraId="19C26AA8" w14:textId="71EF564C" w:rsidR="00BB7A86" w:rsidRPr="004D4530" w:rsidRDefault="00BB7A86" w:rsidP="00BB7A86">
      <w:pPr>
        <w:pStyle w:val="ChartorTablenoteandsource"/>
      </w:pPr>
      <w:r>
        <w:t>Please refer to Appendix I for table notes and sources</w:t>
      </w:r>
      <w:r w:rsidR="003150DA">
        <w:t>.</w:t>
      </w:r>
    </w:p>
    <w:p w14:paraId="5F1504F5" w14:textId="23C1961B" w:rsidR="004D375A" w:rsidRDefault="00946B4F" w:rsidP="002C68A0">
      <w:pPr>
        <w:rPr>
          <w:b/>
          <w:szCs w:val="22"/>
          <w:lang w:val="en-US"/>
        </w:rPr>
      </w:pPr>
      <w:r w:rsidRPr="00575338">
        <w:rPr>
          <w:rStyle w:val="Strong"/>
        </w:rPr>
        <w:t>The success rate of disputes resolved at mediation using ASBFEO</w:t>
      </w:r>
      <w:r w:rsidR="003150DA">
        <w:rPr>
          <w:rStyle w:val="Strong"/>
        </w:rPr>
        <w:t>’s</w:t>
      </w:r>
      <w:r w:rsidRPr="00575338">
        <w:rPr>
          <w:rStyle w:val="Strong"/>
        </w:rPr>
        <w:t xml:space="preserve"> mediation list is much lower than the SBCs</w:t>
      </w:r>
      <w:r w:rsidR="00A8064A">
        <w:rPr>
          <w:rStyle w:val="Strong"/>
        </w:rPr>
        <w:t>’</w:t>
      </w:r>
      <w:r w:rsidRPr="00575338">
        <w:rPr>
          <w:rStyle w:val="Strong"/>
        </w:rPr>
        <w:t xml:space="preserve"> mediation</w:t>
      </w:r>
      <w:r w:rsidR="000E5143">
        <w:rPr>
          <w:rStyle w:val="Strong"/>
        </w:rPr>
        <w:t xml:space="preserve"> </w:t>
      </w:r>
      <w:r w:rsidR="00F01C30">
        <w:rPr>
          <w:rStyle w:val="Strong"/>
        </w:rPr>
        <w:t>panel.</w:t>
      </w:r>
      <w:r w:rsidRPr="00946B4F">
        <w:rPr>
          <w:lang w:val="en-US"/>
        </w:rPr>
        <w:t xml:space="preserve"> The </w:t>
      </w:r>
      <w:r w:rsidR="009320BA">
        <w:rPr>
          <w:lang w:val="en-US"/>
        </w:rPr>
        <w:t>Q</w:t>
      </w:r>
      <w:r w:rsidRPr="00946B4F">
        <w:rPr>
          <w:lang w:val="en-US"/>
        </w:rPr>
        <w:t>SBC</w:t>
      </w:r>
      <w:r w:rsidR="00916FA5">
        <w:rPr>
          <w:lang w:val="en-US"/>
        </w:rPr>
        <w:t>’</w:t>
      </w:r>
      <w:r w:rsidRPr="00946B4F">
        <w:rPr>
          <w:lang w:val="en-US"/>
        </w:rPr>
        <w:t>s success rate for 2023</w:t>
      </w:r>
      <w:r w:rsidR="00575338" w:rsidRPr="00F94448">
        <w:t>–</w:t>
      </w:r>
      <w:r w:rsidRPr="00946B4F">
        <w:rPr>
          <w:lang w:val="en-US"/>
        </w:rPr>
        <w:t>24 was 5</w:t>
      </w:r>
      <w:r w:rsidR="0019218C">
        <w:rPr>
          <w:lang w:val="en-US"/>
        </w:rPr>
        <w:t>1</w:t>
      </w:r>
      <w:r w:rsidR="00575338">
        <w:rPr>
          <w:lang w:val="en-US"/>
        </w:rPr>
        <w:t> </w:t>
      </w:r>
      <w:r w:rsidRPr="00946B4F">
        <w:rPr>
          <w:lang w:val="en-US"/>
        </w:rPr>
        <w:t>per cent and 75</w:t>
      </w:r>
      <w:r w:rsidR="00575338">
        <w:rPr>
          <w:lang w:val="en-US"/>
        </w:rPr>
        <w:t> </w:t>
      </w:r>
      <w:r w:rsidRPr="00946B4F">
        <w:rPr>
          <w:lang w:val="en-US"/>
        </w:rPr>
        <w:t>per</w:t>
      </w:r>
      <w:r w:rsidR="00533B3E">
        <w:rPr>
          <w:lang w:val="en-US"/>
        </w:rPr>
        <w:t> </w:t>
      </w:r>
      <w:r w:rsidRPr="00946B4F">
        <w:rPr>
          <w:lang w:val="en-US"/>
        </w:rPr>
        <w:t>cent for the VSBC compared to ASBFEO</w:t>
      </w:r>
      <w:r w:rsidR="00916FA5">
        <w:rPr>
          <w:lang w:val="en-US"/>
        </w:rPr>
        <w:t>’</w:t>
      </w:r>
      <w:r w:rsidRPr="00946B4F">
        <w:rPr>
          <w:lang w:val="en-US"/>
        </w:rPr>
        <w:t>s 29</w:t>
      </w:r>
      <w:r w:rsidR="00575338">
        <w:rPr>
          <w:lang w:val="en-US"/>
        </w:rPr>
        <w:t> </w:t>
      </w:r>
      <w:r w:rsidRPr="00946B4F">
        <w:rPr>
          <w:lang w:val="en-US"/>
        </w:rPr>
        <w:t>per cent success rate for its outsourced model</w:t>
      </w:r>
      <w:r w:rsidR="00916FA5">
        <w:rPr>
          <w:lang w:val="en-US"/>
        </w:rPr>
        <w:t xml:space="preserve">. </w:t>
      </w:r>
      <w:r w:rsidR="002C68A0">
        <w:rPr>
          <w:lang w:val="en-US"/>
        </w:rPr>
        <w:t xml:space="preserve">ASBFEO indicated that the success rate of mediation may be higher than 29 percent, however the </w:t>
      </w:r>
      <w:r w:rsidR="003150DA">
        <w:rPr>
          <w:lang w:val="en-US"/>
        </w:rPr>
        <w:t>R</w:t>
      </w:r>
      <w:r w:rsidR="002C68A0">
        <w:rPr>
          <w:lang w:val="en-US"/>
        </w:rPr>
        <w:t xml:space="preserve">eview has been unable to substantiate </w:t>
      </w:r>
      <w:r w:rsidR="008C7E8E">
        <w:rPr>
          <w:lang w:val="en-US"/>
        </w:rPr>
        <w:t>this.</w:t>
      </w:r>
      <w:r w:rsidR="008C7E8E" w:rsidRPr="0010234A">
        <w:rPr>
          <w:b/>
          <w:szCs w:val="22"/>
          <w:lang w:val="en-US"/>
        </w:rPr>
        <w:t xml:space="preserve"> </w:t>
      </w:r>
    </w:p>
    <w:p w14:paraId="127256E1" w14:textId="26B06AFA" w:rsidR="00EC59E9" w:rsidRPr="0010234A" w:rsidRDefault="008C7E8E" w:rsidP="002C68A0">
      <w:pPr>
        <w:rPr>
          <w:szCs w:val="22"/>
          <w:lang w:val="en-US"/>
        </w:rPr>
      </w:pPr>
      <w:r w:rsidRPr="00533B3E">
        <w:rPr>
          <w:rStyle w:val="Strong"/>
        </w:rPr>
        <w:t>The</w:t>
      </w:r>
      <w:r w:rsidR="00EC59E9" w:rsidRPr="00533B3E">
        <w:rPr>
          <w:rStyle w:val="Strong"/>
        </w:rPr>
        <w:t xml:space="preserve"> cost of mediation for small businesses that have used ASBFEO</w:t>
      </w:r>
      <w:r w:rsidR="00EC59E9">
        <w:rPr>
          <w:rStyle w:val="Strong"/>
        </w:rPr>
        <w:t>’</w:t>
      </w:r>
      <w:r w:rsidR="00EC59E9" w:rsidRPr="00533B3E">
        <w:rPr>
          <w:rStyle w:val="Strong"/>
        </w:rPr>
        <w:t xml:space="preserve">s </w:t>
      </w:r>
      <w:r w:rsidR="002C68A0" w:rsidRPr="00533B3E">
        <w:rPr>
          <w:rStyle w:val="Strong"/>
        </w:rPr>
        <w:t>ADR</w:t>
      </w:r>
      <w:r w:rsidR="00EC59E9" w:rsidRPr="00533B3E">
        <w:rPr>
          <w:rStyle w:val="Strong"/>
        </w:rPr>
        <w:t xml:space="preserve"> assistance services are much higher than SBC</w:t>
      </w:r>
      <w:r w:rsidR="001F6568">
        <w:rPr>
          <w:rStyle w:val="Strong"/>
        </w:rPr>
        <w:t>’</w:t>
      </w:r>
      <w:r w:rsidR="00EC59E9" w:rsidRPr="00533B3E">
        <w:rPr>
          <w:rStyle w:val="Strong"/>
        </w:rPr>
        <w:t>s mediation</w:t>
      </w:r>
      <w:r w:rsidR="00F368A8" w:rsidRPr="00533B3E">
        <w:rPr>
          <w:rStyle w:val="Strong"/>
        </w:rPr>
        <w:t xml:space="preserve"> </w:t>
      </w:r>
      <w:r w:rsidR="007C765F" w:rsidRPr="00533B3E">
        <w:rPr>
          <w:rStyle w:val="Strong"/>
        </w:rPr>
        <w:t>panel</w:t>
      </w:r>
      <w:r w:rsidR="00EC59E9" w:rsidRPr="00533B3E">
        <w:rPr>
          <w:rStyle w:val="Strong"/>
        </w:rPr>
        <w:t>.</w:t>
      </w:r>
      <w:r w:rsidR="00EC59E9" w:rsidRPr="0010234A">
        <w:rPr>
          <w:szCs w:val="22"/>
          <w:lang w:val="en-US"/>
        </w:rPr>
        <w:t xml:space="preserve"> In its submission, ASBFEO acknowledged that</w:t>
      </w:r>
      <w:r w:rsidR="00EC59E9" w:rsidRPr="00CE5415">
        <w:rPr>
          <w:szCs w:val="22"/>
          <w:lang w:val="en-US"/>
        </w:rPr>
        <w:t xml:space="preserve"> </w:t>
      </w:r>
      <w:r w:rsidR="00EC59E9" w:rsidRPr="004D1FDF">
        <w:rPr>
          <w:szCs w:val="22"/>
          <w:lang w:val="en-US"/>
        </w:rPr>
        <w:t xml:space="preserve">the </w:t>
      </w:r>
      <w:r w:rsidR="00EC59E9" w:rsidRPr="0010234A">
        <w:rPr>
          <w:szCs w:val="22"/>
          <w:lang w:val="en-US"/>
        </w:rPr>
        <w:t xml:space="preserve">shared cost of the ‘outsourced’ ADR practitioner can be a financial impediment to engaging in the process. The cost for a mediation from ASBFEO mediation list, as outlined in Table </w:t>
      </w:r>
      <w:r w:rsidR="00F26CD4">
        <w:rPr>
          <w:szCs w:val="22"/>
          <w:lang w:val="en-US"/>
        </w:rPr>
        <w:t>4.6</w:t>
      </w:r>
      <w:r w:rsidR="00EC59E9" w:rsidRPr="0010234A">
        <w:rPr>
          <w:szCs w:val="22"/>
          <w:lang w:val="en-US"/>
        </w:rPr>
        <w:t>, is on average $4</w:t>
      </w:r>
      <w:r w:rsidR="003150DA">
        <w:rPr>
          <w:szCs w:val="22"/>
          <w:lang w:val="en-US"/>
        </w:rPr>
        <w:t>,</w:t>
      </w:r>
      <w:r w:rsidR="00EC59E9" w:rsidRPr="0010234A">
        <w:rPr>
          <w:szCs w:val="22"/>
          <w:lang w:val="en-US"/>
        </w:rPr>
        <w:t>000</w:t>
      </w:r>
      <w:r w:rsidR="00533B3E">
        <w:rPr>
          <w:szCs w:val="22"/>
          <w:lang w:val="en-US"/>
        </w:rPr>
        <w:t> </w:t>
      </w:r>
      <w:r w:rsidR="00EC59E9" w:rsidRPr="0010234A">
        <w:rPr>
          <w:szCs w:val="22"/>
          <w:lang w:val="en-US"/>
        </w:rPr>
        <w:t>per day plus additional costs, including travel, pre</w:t>
      </w:r>
      <w:r w:rsidR="003A0D5E">
        <w:rPr>
          <w:szCs w:val="22"/>
          <w:lang w:val="en-US"/>
        </w:rPr>
        <w:noBreakHyphen/>
      </w:r>
      <w:r w:rsidR="00EC59E9" w:rsidRPr="0010234A">
        <w:rPr>
          <w:szCs w:val="22"/>
          <w:lang w:val="en-US"/>
        </w:rPr>
        <w:t>mediation and interpreting services. The mediation survey found that mediators on ASBFEO’s list charge between $1</w:t>
      </w:r>
      <w:r w:rsidR="003150DA">
        <w:rPr>
          <w:szCs w:val="22"/>
          <w:lang w:val="en-US"/>
        </w:rPr>
        <w:t>,</w:t>
      </w:r>
      <w:r w:rsidR="00EC59E9" w:rsidRPr="0010234A">
        <w:rPr>
          <w:szCs w:val="22"/>
          <w:lang w:val="en-US"/>
        </w:rPr>
        <w:t>500 and $6</w:t>
      </w:r>
      <w:r w:rsidR="003150DA">
        <w:rPr>
          <w:szCs w:val="22"/>
          <w:lang w:val="en-US"/>
        </w:rPr>
        <w:t>,</w:t>
      </w:r>
      <w:r w:rsidR="00EC59E9" w:rsidRPr="0010234A">
        <w:rPr>
          <w:szCs w:val="22"/>
          <w:lang w:val="en-US"/>
        </w:rPr>
        <w:t xml:space="preserve">000 for a full day, as outlined in Table </w:t>
      </w:r>
      <w:r w:rsidR="007762DC">
        <w:rPr>
          <w:szCs w:val="22"/>
          <w:lang w:val="en-US"/>
        </w:rPr>
        <w:t>4.7</w:t>
      </w:r>
      <w:r w:rsidR="00EC59E9" w:rsidRPr="0010234A">
        <w:rPr>
          <w:szCs w:val="22"/>
          <w:lang w:val="en-US"/>
        </w:rPr>
        <w:t xml:space="preserve">. </w:t>
      </w:r>
      <w:r w:rsidR="007139A1">
        <w:rPr>
          <w:szCs w:val="22"/>
          <w:lang w:val="en-US"/>
        </w:rPr>
        <w:t xml:space="preserve">Mediation </w:t>
      </w:r>
      <w:r w:rsidR="00EC59E9" w:rsidRPr="0010234A">
        <w:rPr>
          <w:szCs w:val="22"/>
          <w:lang w:val="en-US"/>
        </w:rPr>
        <w:t>panels in SBCs cost $1</w:t>
      </w:r>
      <w:r w:rsidR="003150DA">
        <w:rPr>
          <w:szCs w:val="22"/>
          <w:lang w:val="en-US"/>
        </w:rPr>
        <w:t>,</w:t>
      </w:r>
      <w:r w:rsidR="00EC59E9" w:rsidRPr="0010234A">
        <w:rPr>
          <w:szCs w:val="22"/>
          <w:lang w:val="en-US"/>
        </w:rPr>
        <w:t>000 to $2</w:t>
      </w:r>
      <w:r w:rsidR="003150DA">
        <w:rPr>
          <w:szCs w:val="22"/>
          <w:lang w:val="en-US"/>
        </w:rPr>
        <w:t>,</w:t>
      </w:r>
      <w:r w:rsidR="00EC59E9" w:rsidRPr="0010234A">
        <w:rPr>
          <w:szCs w:val="22"/>
          <w:lang w:val="en-US"/>
        </w:rPr>
        <w:t xml:space="preserve">400 per mediation. Various </w:t>
      </w:r>
      <w:r w:rsidR="0086219E">
        <w:rPr>
          <w:szCs w:val="22"/>
          <w:lang w:val="en-US"/>
        </w:rPr>
        <w:t>s</w:t>
      </w:r>
      <w:r w:rsidR="00EC59E9" w:rsidRPr="0010234A">
        <w:rPr>
          <w:szCs w:val="22"/>
          <w:lang w:val="en-US"/>
        </w:rPr>
        <w:t xml:space="preserve">tate </w:t>
      </w:r>
      <w:r w:rsidR="0086219E">
        <w:rPr>
          <w:szCs w:val="22"/>
          <w:lang w:val="en-US"/>
        </w:rPr>
        <w:t>g</w:t>
      </w:r>
      <w:r w:rsidR="00EC59E9" w:rsidRPr="0010234A">
        <w:rPr>
          <w:szCs w:val="22"/>
          <w:lang w:val="en-US"/>
        </w:rPr>
        <w:t xml:space="preserve">overnments also </w:t>
      </w:r>
      <w:proofErr w:type="spellStart"/>
      <w:r w:rsidR="00EC59E9" w:rsidRPr="0010234A">
        <w:rPr>
          <w:szCs w:val="22"/>
          <w:lang w:val="en-US"/>
        </w:rPr>
        <w:t>subsidise</w:t>
      </w:r>
      <w:proofErr w:type="spellEnd"/>
      <w:r w:rsidR="00EC59E9" w:rsidRPr="0010234A">
        <w:rPr>
          <w:szCs w:val="22"/>
          <w:lang w:val="en-US"/>
        </w:rPr>
        <w:t xml:space="preserve"> the cost of mediation, </w:t>
      </w:r>
      <w:r w:rsidR="0086219E" w:rsidRPr="0010234A">
        <w:rPr>
          <w:szCs w:val="22"/>
          <w:lang w:val="en-US"/>
        </w:rPr>
        <w:t xml:space="preserve">further </w:t>
      </w:r>
      <w:r w:rsidR="00EC59E9" w:rsidRPr="0010234A">
        <w:rPr>
          <w:szCs w:val="22"/>
          <w:lang w:val="en-US"/>
        </w:rPr>
        <w:t>reducing the cost to parties.</w:t>
      </w:r>
    </w:p>
    <w:p w14:paraId="6CD6104D" w14:textId="122E8E3A" w:rsidR="007B571F" w:rsidRPr="00CB69EB" w:rsidRDefault="007B571F" w:rsidP="007B571F">
      <w:pPr>
        <w:rPr>
          <w:rStyle w:val="Strong"/>
          <w:b w:val="0"/>
          <w:bCs w:val="0"/>
        </w:rPr>
      </w:pPr>
      <w:r w:rsidRPr="00DC4CD2">
        <w:rPr>
          <w:rStyle w:val="Strong"/>
        </w:rPr>
        <w:t xml:space="preserve">These findings are consistent with </w:t>
      </w:r>
      <w:r w:rsidR="009A3C0B">
        <w:rPr>
          <w:rStyle w:val="Strong"/>
        </w:rPr>
        <w:t>consultations conducted</w:t>
      </w:r>
      <w:r>
        <w:rPr>
          <w:rStyle w:val="Strong"/>
        </w:rPr>
        <w:t xml:space="preserve"> during the 2023</w:t>
      </w:r>
      <w:r w:rsidRPr="00DC4CD2">
        <w:rPr>
          <w:rStyle w:val="Strong"/>
        </w:rPr>
        <w:t xml:space="preserve"> Franchising Review</w:t>
      </w:r>
      <w:r>
        <w:rPr>
          <w:rStyle w:val="Strong"/>
        </w:rPr>
        <w:t>.</w:t>
      </w:r>
      <w:r w:rsidRPr="00533B3E">
        <w:t xml:space="preserve"> In the Franchising </w:t>
      </w:r>
      <w:r w:rsidR="00393FFD" w:rsidRPr="00533B3E">
        <w:t>R</w:t>
      </w:r>
      <w:r w:rsidRPr="00533B3E">
        <w:t xml:space="preserve">eview </w:t>
      </w:r>
      <w:r w:rsidR="009A3C0B" w:rsidRPr="00533B3E">
        <w:t>consultations stakeholders</w:t>
      </w:r>
      <w:r w:rsidRPr="00533B3E">
        <w:t xml:space="preserve"> were asked whether the current dispute resolution mechanism was adequate and found that seeking ADR through ASBFEO more expensive than through SBCs. </w:t>
      </w:r>
    </w:p>
    <w:p w14:paraId="0350E7E9" w14:textId="44FC41AE" w:rsidR="00946B4F" w:rsidRPr="00617DA9" w:rsidRDefault="007762DC" w:rsidP="000A4521">
      <w:pPr>
        <w:pStyle w:val="TableMainHeading"/>
        <w:rPr>
          <w:lang w:val="en-US"/>
        </w:rPr>
      </w:pPr>
      <w:r w:rsidRPr="00617DA9">
        <w:rPr>
          <w:lang w:val="en-US"/>
        </w:rPr>
        <w:t xml:space="preserve">Table 4.7: </w:t>
      </w:r>
      <w:r w:rsidR="00946B4F" w:rsidRPr="00617DA9">
        <w:rPr>
          <w:lang w:val="en-US"/>
        </w:rPr>
        <w:t xml:space="preserve">Mediation cost </w:t>
      </w:r>
      <w:r w:rsidR="00692E53" w:rsidRPr="00617DA9">
        <w:rPr>
          <w:lang w:val="en-US"/>
        </w:rPr>
        <w:t>of m</w:t>
      </w:r>
      <w:r w:rsidR="00946B4F" w:rsidRPr="00617DA9">
        <w:rPr>
          <w:lang w:val="en-US"/>
        </w:rPr>
        <w:t>ediators on ASBFEO</w:t>
      </w:r>
      <w:r w:rsidR="00916FA5" w:rsidRPr="00617DA9">
        <w:rPr>
          <w:lang w:val="en-US"/>
        </w:rPr>
        <w:t>’</w:t>
      </w:r>
      <w:r w:rsidR="00946B4F" w:rsidRPr="00617DA9">
        <w:rPr>
          <w:lang w:val="en-US"/>
        </w:rPr>
        <w:t xml:space="preserve">s ADR </w:t>
      </w:r>
      <w:r w:rsidR="003C090F">
        <w:rPr>
          <w:lang w:val="en-US"/>
        </w:rPr>
        <w:t xml:space="preserve">practitioners </w:t>
      </w:r>
      <w:r w:rsidR="003150DA" w:rsidRPr="00617DA9">
        <w:rPr>
          <w:lang w:val="en-US"/>
        </w:rPr>
        <w:t>l</w:t>
      </w:r>
      <w:r w:rsidR="00946B4F" w:rsidRPr="00617DA9">
        <w:rPr>
          <w:lang w:val="en-US"/>
        </w:rPr>
        <w:t>ist </w:t>
      </w:r>
    </w:p>
    <w:tbl>
      <w:tblPr>
        <w:tblStyle w:val="TableGrid"/>
        <w:tblW w:w="9070" w:type="dxa"/>
        <w:tblLook w:val="04A0" w:firstRow="1" w:lastRow="0" w:firstColumn="1" w:lastColumn="0" w:noHBand="0" w:noVBand="1"/>
      </w:tblPr>
      <w:tblGrid>
        <w:gridCol w:w="4795"/>
        <w:gridCol w:w="4275"/>
      </w:tblGrid>
      <w:tr w:rsidR="00946B4F" w:rsidRPr="00946B4F" w14:paraId="3F8E4403" w14:textId="77777777" w:rsidTr="00BB7A86">
        <w:trPr>
          <w:cnfStyle w:val="100000000000" w:firstRow="1" w:lastRow="0" w:firstColumn="0" w:lastColumn="0" w:oddVBand="0" w:evenVBand="0" w:oddHBand="0" w:evenHBand="0" w:firstRowFirstColumn="0" w:firstRowLastColumn="0" w:lastRowFirstColumn="0" w:lastRowLastColumn="0"/>
          <w:trHeight w:val="300"/>
        </w:trPr>
        <w:tc>
          <w:tcPr>
            <w:tcW w:w="4795" w:type="dxa"/>
            <w:hideMark/>
          </w:tcPr>
          <w:p w14:paraId="51DD8526" w14:textId="77777777" w:rsidR="00946B4F" w:rsidRPr="00946B4F" w:rsidRDefault="00946B4F" w:rsidP="000A4521">
            <w:pPr>
              <w:pStyle w:val="TableColumnHeadingLeft"/>
            </w:pPr>
            <w:r w:rsidRPr="00533B3E">
              <w:t>Type  </w:t>
            </w:r>
            <w:r w:rsidRPr="00946B4F">
              <w:t> </w:t>
            </w:r>
          </w:p>
        </w:tc>
        <w:tc>
          <w:tcPr>
            <w:tcW w:w="4275" w:type="dxa"/>
            <w:hideMark/>
          </w:tcPr>
          <w:p w14:paraId="3A49E2CA" w14:textId="40BB1C25" w:rsidR="00946B4F" w:rsidRPr="00946B4F" w:rsidRDefault="00946B4F" w:rsidP="00D57205">
            <w:pPr>
              <w:pStyle w:val="TableColumnHeadingRight"/>
            </w:pPr>
            <w:r w:rsidRPr="00533B3E">
              <w:t>Cost</w:t>
            </w:r>
          </w:p>
        </w:tc>
      </w:tr>
      <w:tr w:rsidR="00946B4F" w:rsidRPr="00946B4F" w14:paraId="6190FEE9" w14:textId="77777777" w:rsidTr="00BB7A86">
        <w:trPr>
          <w:cnfStyle w:val="000000100000" w:firstRow="0" w:lastRow="0" w:firstColumn="0" w:lastColumn="0" w:oddVBand="0" w:evenVBand="0" w:oddHBand="1" w:evenHBand="0" w:firstRowFirstColumn="0" w:firstRowLastColumn="0" w:lastRowFirstColumn="0" w:lastRowLastColumn="0"/>
          <w:trHeight w:val="300"/>
        </w:trPr>
        <w:tc>
          <w:tcPr>
            <w:tcW w:w="4795" w:type="dxa"/>
            <w:hideMark/>
          </w:tcPr>
          <w:p w14:paraId="4FD3FEC1" w14:textId="4890EFE8" w:rsidR="00946B4F" w:rsidRPr="00946B4F" w:rsidRDefault="00946B4F" w:rsidP="00864021">
            <w:pPr>
              <w:pStyle w:val="TableTextLeft"/>
            </w:pPr>
            <w:r w:rsidRPr="00533B3E">
              <w:t>Full day mediation</w:t>
            </w:r>
          </w:p>
        </w:tc>
        <w:tc>
          <w:tcPr>
            <w:tcW w:w="4275" w:type="dxa"/>
            <w:hideMark/>
          </w:tcPr>
          <w:p w14:paraId="12E11FE3" w14:textId="7C5CA127" w:rsidR="00946B4F" w:rsidRPr="00946B4F" w:rsidRDefault="00946B4F" w:rsidP="004E62D9">
            <w:pPr>
              <w:pStyle w:val="TableTextRight"/>
            </w:pPr>
            <w:r w:rsidRPr="00533B3E">
              <w:t>$1</w:t>
            </w:r>
            <w:r w:rsidR="003150DA" w:rsidRPr="00533B3E">
              <w:t>,</w:t>
            </w:r>
            <w:r w:rsidRPr="00533B3E">
              <w:t>500</w:t>
            </w:r>
            <w:r w:rsidR="005452C8">
              <w:rPr>
                <w:rStyle w:val="Strong"/>
              </w:rPr>
              <w:noBreakHyphen/>
            </w:r>
            <w:r w:rsidRPr="00533B3E">
              <w:t>$6</w:t>
            </w:r>
            <w:r w:rsidR="003150DA" w:rsidRPr="00533B3E">
              <w:t>,</w:t>
            </w:r>
            <w:r w:rsidRPr="00533B3E">
              <w:t>000</w:t>
            </w:r>
          </w:p>
        </w:tc>
      </w:tr>
      <w:tr w:rsidR="00946B4F" w:rsidRPr="00946B4F" w14:paraId="517E050E" w14:textId="77777777" w:rsidTr="00BB7A86">
        <w:trPr>
          <w:cnfStyle w:val="000000010000" w:firstRow="0" w:lastRow="0" w:firstColumn="0" w:lastColumn="0" w:oddVBand="0" w:evenVBand="0" w:oddHBand="0" w:evenHBand="1" w:firstRowFirstColumn="0" w:firstRowLastColumn="0" w:lastRowFirstColumn="0" w:lastRowLastColumn="0"/>
          <w:trHeight w:val="300"/>
        </w:trPr>
        <w:tc>
          <w:tcPr>
            <w:tcW w:w="4795" w:type="dxa"/>
            <w:hideMark/>
          </w:tcPr>
          <w:p w14:paraId="12901A5F" w14:textId="682F4C68" w:rsidR="00946B4F" w:rsidRPr="00946B4F" w:rsidRDefault="00946B4F" w:rsidP="00864021">
            <w:pPr>
              <w:pStyle w:val="TableTextLeft"/>
            </w:pPr>
            <w:r w:rsidRPr="00533B3E">
              <w:t>Travel to mediation</w:t>
            </w:r>
          </w:p>
        </w:tc>
        <w:tc>
          <w:tcPr>
            <w:tcW w:w="4275" w:type="dxa"/>
            <w:hideMark/>
          </w:tcPr>
          <w:p w14:paraId="3D506D4D" w14:textId="0C53C04D" w:rsidR="00946B4F" w:rsidRPr="00946B4F" w:rsidRDefault="00946B4F" w:rsidP="004E62D9">
            <w:pPr>
              <w:pStyle w:val="TableTextRight"/>
            </w:pPr>
            <w:r w:rsidRPr="00533B3E">
              <w:t>$50</w:t>
            </w:r>
            <w:r w:rsidR="005452C8">
              <w:rPr>
                <w:rStyle w:val="Strong"/>
              </w:rPr>
              <w:noBreakHyphen/>
            </w:r>
            <w:r w:rsidRPr="00533B3E">
              <w:t>$500</w:t>
            </w:r>
          </w:p>
        </w:tc>
      </w:tr>
      <w:tr w:rsidR="00946B4F" w:rsidRPr="00946B4F" w14:paraId="656021F7" w14:textId="77777777" w:rsidTr="00BB7A86">
        <w:trPr>
          <w:cnfStyle w:val="000000100000" w:firstRow="0" w:lastRow="0" w:firstColumn="0" w:lastColumn="0" w:oddVBand="0" w:evenVBand="0" w:oddHBand="1" w:evenHBand="0" w:firstRowFirstColumn="0" w:firstRowLastColumn="0" w:lastRowFirstColumn="0" w:lastRowLastColumn="0"/>
          <w:trHeight w:val="300"/>
        </w:trPr>
        <w:tc>
          <w:tcPr>
            <w:tcW w:w="4795" w:type="dxa"/>
            <w:hideMark/>
          </w:tcPr>
          <w:p w14:paraId="6A94BB02" w14:textId="024C5AFF" w:rsidR="00946B4F" w:rsidRPr="00946B4F" w:rsidRDefault="00946B4F" w:rsidP="00864021">
            <w:pPr>
              <w:pStyle w:val="TableTextLeft"/>
            </w:pPr>
            <w:r w:rsidRPr="00533B3E">
              <w:t>Half day mediation conference</w:t>
            </w:r>
          </w:p>
        </w:tc>
        <w:tc>
          <w:tcPr>
            <w:tcW w:w="4275" w:type="dxa"/>
            <w:hideMark/>
          </w:tcPr>
          <w:p w14:paraId="66D71C28" w14:textId="32007B82" w:rsidR="00946B4F" w:rsidRPr="00946B4F" w:rsidRDefault="0039693B" w:rsidP="004E62D9">
            <w:pPr>
              <w:pStyle w:val="TableTextRight"/>
            </w:pPr>
            <w:r>
              <w:t>$</w:t>
            </w:r>
            <w:r w:rsidR="00946B4F" w:rsidRPr="00533B3E">
              <w:t>800</w:t>
            </w:r>
            <w:r w:rsidR="005452C8">
              <w:rPr>
                <w:rStyle w:val="Strong"/>
              </w:rPr>
              <w:noBreakHyphen/>
            </w:r>
            <w:r w:rsidR="00946B4F" w:rsidRPr="00533B3E">
              <w:t>$3</w:t>
            </w:r>
            <w:r w:rsidR="003150DA" w:rsidRPr="00533B3E">
              <w:t>,</w:t>
            </w:r>
            <w:r w:rsidR="00946B4F" w:rsidRPr="00533B3E">
              <w:t>000</w:t>
            </w:r>
          </w:p>
        </w:tc>
      </w:tr>
      <w:tr w:rsidR="00946B4F" w:rsidRPr="00946B4F" w14:paraId="7984498C" w14:textId="77777777" w:rsidTr="00BB7A86">
        <w:trPr>
          <w:cnfStyle w:val="000000010000" w:firstRow="0" w:lastRow="0" w:firstColumn="0" w:lastColumn="0" w:oddVBand="0" w:evenVBand="0" w:oddHBand="0" w:evenHBand="1" w:firstRowFirstColumn="0" w:firstRowLastColumn="0" w:lastRowFirstColumn="0" w:lastRowLastColumn="0"/>
          <w:trHeight w:val="300"/>
        </w:trPr>
        <w:tc>
          <w:tcPr>
            <w:tcW w:w="4795" w:type="dxa"/>
            <w:hideMark/>
          </w:tcPr>
          <w:p w14:paraId="3403EF1A" w14:textId="31CBA0F3" w:rsidR="00946B4F" w:rsidRPr="00946B4F" w:rsidRDefault="00946B4F" w:rsidP="00864021">
            <w:pPr>
              <w:pStyle w:val="TableTextLeft"/>
            </w:pPr>
            <w:r w:rsidRPr="00533B3E">
              <w:t>Interpreting services</w:t>
            </w:r>
          </w:p>
        </w:tc>
        <w:tc>
          <w:tcPr>
            <w:tcW w:w="4275" w:type="dxa"/>
            <w:hideMark/>
          </w:tcPr>
          <w:p w14:paraId="15F88147" w14:textId="6A341591" w:rsidR="00946B4F" w:rsidRPr="00946B4F" w:rsidRDefault="00946B4F" w:rsidP="004E62D9">
            <w:pPr>
              <w:pStyle w:val="TableTextRight"/>
            </w:pPr>
            <w:r w:rsidRPr="00533B3E">
              <w:t>$100</w:t>
            </w:r>
            <w:r w:rsidR="005452C8">
              <w:rPr>
                <w:rStyle w:val="Strong"/>
              </w:rPr>
              <w:noBreakHyphen/>
            </w:r>
            <w:r w:rsidRPr="00533B3E">
              <w:t>$300</w:t>
            </w:r>
          </w:p>
        </w:tc>
      </w:tr>
      <w:tr w:rsidR="00946B4F" w:rsidRPr="00946B4F" w14:paraId="7825E246" w14:textId="77777777" w:rsidTr="00BB7A86">
        <w:trPr>
          <w:cnfStyle w:val="000000100000" w:firstRow="0" w:lastRow="0" w:firstColumn="0" w:lastColumn="0" w:oddVBand="0" w:evenVBand="0" w:oddHBand="1" w:evenHBand="0" w:firstRowFirstColumn="0" w:firstRowLastColumn="0" w:lastRowFirstColumn="0" w:lastRowLastColumn="0"/>
          <w:trHeight w:val="300"/>
        </w:trPr>
        <w:tc>
          <w:tcPr>
            <w:tcW w:w="4795" w:type="dxa"/>
            <w:hideMark/>
          </w:tcPr>
          <w:p w14:paraId="63066802" w14:textId="67B91091" w:rsidR="00946B4F" w:rsidRPr="00946B4F" w:rsidRDefault="00946B4F" w:rsidP="00864021">
            <w:pPr>
              <w:pStyle w:val="TableTextLeft"/>
            </w:pPr>
            <w:r w:rsidRPr="00533B3E">
              <w:t>Pre</w:t>
            </w:r>
            <w:r w:rsidR="003A0D5E">
              <w:noBreakHyphen/>
            </w:r>
            <w:r w:rsidRPr="00533B3E">
              <w:t>mediation preparation</w:t>
            </w:r>
          </w:p>
        </w:tc>
        <w:tc>
          <w:tcPr>
            <w:tcW w:w="4275" w:type="dxa"/>
            <w:hideMark/>
          </w:tcPr>
          <w:p w14:paraId="07D10127" w14:textId="5BE8F6DE" w:rsidR="00946B4F" w:rsidRPr="00946B4F" w:rsidRDefault="00946B4F" w:rsidP="004E62D9">
            <w:pPr>
              <w:pStyle w:val="TableTextRight"/>
            </w:pPr>
            <w:r w:rsidRPr="00533B3E">
              <w:t>$300</w:t>
            </w:r>
            <w:r w:rsidR="005452C8">
              <w:rPr>
                <w:rStyle w:val="Strong"/>
              </w:rPr>
              <w:noBreakHyphen/>
            </w:r>
            <w:r w:rsidR="0039693B">
              <w:t>$</w:t>
            </w:r>
            <w:r w:rsidRPr="00533B3E">
              <w:t>2</w:t>
            </w:r>
            <w:r w:rsidR="003150DA" w:rsidRPr="00533B3E">
              <w:t>,</w:t>
            </w:r>
            <w:r w:rsidRPr="00533B3E">
              <w:t>000</w:t>
            </w:r>
          </w:p>
        </w:tc>
      </w:tr>
    </w:tbl>
    <w:p w14:paraId="6007339D" w14:textId="5284EDE1" w:rsidR="00BB7A86" w:rsidRPr="004D4530" w:rsidRDefault="00BB7A86" w:rsidP="00BB7A86">
      <w:pPr>
        <w:pStyle w:val="ChartorTablenoteandsource"/>
      </w:pPr>
      <w:r>
        <w:t>Please refer to Appendix I for table notes and sources</w:t>
      </w:r>
      <w:r w:rsidR="003150DA">
        <w:t>.</w:t>
      </w:r>
    </w:p>
    <w:p w14:paraId="3439D5A4" w14:textId="77777777" w:rsidR="00533B3E" w:rsidRDefault="00533B3E">
      <w:pPr>
        <w:spacing w:before="0" w:after="160" w:line="259" w:lineRule="auto"/>
        <w:rPr>
          <w:b/>
          <w:szCs w:val="22"/>
          <w:lang w:val="en-US"/>
        </w:rPr>
      </w:pPr>
      <w:r>
        <w:rPr>
          <w:b/>
          <w:szCs w:val="22"/>
          <w:lang w:val="en-US"/>
        </w:rPr>
        <w:br w:type="page"/>
      </w:r>
    </w:p>
    <w:p w14:paraId="2079659E" w14:textId="08569BFC" w:rsidR="00293756" w:rsidRDefault="00293756" w:rsidP="00533B3E">
      <w:r w:rsidRPr="00533B3E">
        <w:rPr>
          <w:rStyle w:val="Strong"/>
        </w:rPr>
        <w:lastRenderedPageBreak/>
        <w:t xml:space="preserve">The </w:t>
      </w:r>
      <w:proofErr w:type="spellStart"/>
      <w:r w:rsidRPr="00533B3E">
        <w:rPr>
          <w:rStyle w:val="Strong"/>
        </w:rPr>
        <w:t>mediat</w:t>
      </w:r>
      <w:proofErr w:type="spellEnd"/>
      <w:r>
        <w:rPr>
          <w:b/>
          <w:szCs w:val="22"/>
          <w:lang w:val="en-US"/>
        </w:rPr>
        <w:t>or</w:t>
      </w:r>
      <w:r w:rsidRPr="0010234A">
        <w:rPr>
          <w:b/>
          <w:szCs w:val="22"/>
          <w:lang w:val="en-US"/>
        </w:rPr>
        <w:t xml:space="preserve"> survey also confirmed that </w:t>
      </w:r>
      <w:r>
        <w:rPr>
          <w:b/>
          <w:szCs w:val="22"/>
          <w:lang w:val="en-US"/>
        </w:rPr>
        <w:t xml:space="preserve">a </w:t>
      </w:r>
      <w:r w:rsidRPr="0010234A">
        <w:rPr>
          <w:b/>
          <w:szCs w:val="22"/>
          <w:lang w:val="en-US"/>
        </w:rPr>
        <w:t xml:space="preserve">mediation </w:t>
      </w:r>
      <w:r>
        <w:rPr>
          <w:b/>
          <w:szCs w:val="22"/>
          <w:lang w:val="en-US"/>
        </w:rPr>
        <w:t xml:space="preserve">panel </w:t>
      </w:r>
      <w:r w:rsidRPr="0010234A">
        <w:rPr>
          <w:b/>
          <w:szCs w:val="22"/>
          <w:lang w:val="en-US"/>
        </w:rPr>
        <w:t>would improve ASBFEO’s mediation process.</w:t>
      </w:r>
      <w:r w:rsidRPr="0010234A">
        <w:rPr>
          <w:lang w:val="en-US"/>
        </w:rPr>
        <w:t xml:space="preserve"> These improvements include providing induction, training and collaboration with colleagues for mediators and supporting multicultural communities in participating effectively in mediation through prompt engagement of interpreters. Appendix </w:t>
      </w:r>
      <w:r>
        <w:rPr>
          <w:lang w:val="en-US"/>
        </w:rPr>
        <w:t>D</w:t>
      </w:r>
      <w:r w:rsidRPr="0010234A">
        <w:rPr>
          <w:lang w:val="en-US"/>
        </w:rPr>
        <w:t xml:space="preserve"> contains further information on the mediator survey</w:t>
      </w:r>
      <w:r w:rsidR="00CF1574">
        <w:rPr>
          <w:lang w:val="en-US"/>
        </w:rPr>
        <w:t>.</w:t>
      </w:r>
    </w:p>
    <w:p w14:paraId="32F9EC06" w14:textId="5C56051D" w:rsidR="0054186A" w:rsidRDefault="00FE395B" w:rsidP="00533B3E">
      <w:r w:rsidRPr="00533B3E">
        <w:rPr>
          <w:rStyle w:val="Strong"/>
        </w:rPr>
        <w:t>The ASBFEO Act could be amended to allow ASBFEO to conduct ADR processes including pre</w:t>
      </w:r>
      <w:r w:rsidR="003A0D5E">
        <w:rPr>
          <w:rStyle w:val="Strong"/>
        </w:rPr>
        <w:noBreakHyphen/>
      </w:r>
      <w:r w:rsidRPr="00533B3E">
        <w:rPr>
          <w:rStyle w:val="Strong"/>
        </w:rPr>
        <w:t xml:space="preserve">mediation and </w:t>
      </w:r>
      <w:r w:rsidR="00E869B6" w:rsidRPr="00533B3E">
        <w:rPr>
          <w:rStyle w:val="Strong"/>
        </w:rPr>
        <w:t>a</w:t>
      </w:r>
      <w:r w:rsidR="008D6E14" w:rsidRPr="00533B3E">
        <w:rPr>
          <w:rStyle w:val="Strong"/>
        </w:rPr>
        <w:t xml:space="preserve"> </w:t>
      </w:r>
      <w:r w:rsidRPr="00533B3E">
        <w:rPr>
          <w:rStyle w:val="Strong"/>
        </w:rPr>
        <w:t>mediation</w:t>
      </w:r>
      <w:r w:rsidR="00E869B6" w:rsidRPr="00533B3E">
        <w:rPr>
          <w:rStyle w:val="Strong"/>
        </w:rPr>
        <w:t xml:space="preserve"> panel</w:t>
      </w:r>
      <w:r w:rsidRPr="00533B3E">
        <w:rPr>
          <w:rStyle w:val="Strong"/>
        </w:rPr>
        <w:t>.</w:t>
      </w:r>
      <w:r>
        <w:t xml:space="preserve"> This could be achieved by repealing Section 73 and making amendments to Part 4</w:t>
      </w:r>
      <w:r w:rsidR="00684EA2">
        <w:t>.</w:t>
      </w:r>
      <w:r w:rsidR="00567019">
        <w:t xml:space="preserve"> </w:t>
      </w:r>
      <w:r w:rsidR="0054186A">
        <w:t xml:space="preserve">This would enable </w:t>
      </w:r>
      <w:r w:rsidR="0054186A" w:rsidRPr="00004DA7">
        <w:t xml:space="preserve">ASBFEO </w:t>
      </w:r>
      <w:r w:rsidR="0054186A">
        <w:t xml:space="preserve">to </w:t>
      </w:r>
      <w:r w:rsidR="0054186A" w:rsidRPr="00004DA7">
        <w:t xml:space="preserve">procure </w:t>
      </w:r>
      <w:r w:rsidR="0054186A">
        <w:t xml:space="preserve">a </w:t>
      </w:r>
      <w:r w:rsidR="0054186A" w:rsidRPr="00004DA7">
        <w:t xml:space="preserve">mediation panel and appoint </w:t>
      </w:r>
      <w:r w:rsidR="0054186A">
        <w:t>an independent</w:t>
      </w:r>
      <w:r w:rsidR="0054186A" w:rsidRPr="00004DA7">
        <w:t xml:space="preserve"> mediato</w:t>
      </w:r>
      <w:r w:rsidR="0054186A">
        <w:t xml:space="preserve">r </w:t>
      </w:r>
      <w:r w:rsidR="00C42615">
        <w:t xml:space="preserve">to which </w:t>
      </w:r>
      <w:r w:rsidR="0054186A">
        <w:t>both parties agree</w:t>
      </w:r>
      <w:r w:rsidR="00C42615">
        <w:t>.</w:t>
      </w:r>
      <w:r w:rsidR="0054186A">
        <w:t xml:space="preserve"> Allowing</w:t>
      </w:r>
      <w:r w:rsidR="0054186A" w:rsidDel="00CF1574">
        <w:t xml:space="preserve"> </w:t>
      </w:r>
      <w:r w:rsidR="0054186A">
        <w:t xml:space="preserve">ASBFEO to conduct ADR has </w:t>
      </w:r>
      <w:r w:rsidR="005353C8">
        <w:t>multiple</w:t>
      </w:r>
      <w:r w:rsidR="0054186A">
        <w:t xml:space="preserve"> benefits</w:t>
      </w:r>
      <w:r w:rsidR="005353C8">
        <w:t>, including</w:t>
      </w:r>
      <w:r w:rsidR="0054186A">
        <w:t>:</w:t>
      </w:r>
    </w:p>
    <w:p w14:paraId="38E0702E" w14:textId="362DE1BE" w:rsidR="0054186A" w:rsidRPr="00DF198C" w:rsidRDefault="0054186A" w:rsidP="0054186A">
      <w:pPr>
        <w:pStyle w:val="Bullet"/>
      </w:pPr>
      <w:r w:rsidRPr="00DF198C">
        <w:t>allowing</w:t>
      </w:r>
      <w:r w:rsidRPr="00DF198C" w:rsidDel="00CF1574">
        <w:t xml:space="preserve"> </w:t>
      </w:r>
      <w:r w:rsidRPr="00DF198C">
        <w:t>ASBFEO to set a specific lower mediation fee and manage the allocation of a mediator with the right experience</w:t>
      </w:r>
    </w:p>
    <w:p w14:paraId="153C71ED" w14:textId="77777777" w:rsidR="0054186A" w:rsidRDefault="0054186A" w:rsidP="0054186A">
      <w:pPr>
        <w:pStyle w:val="Bullet"/>
      </w:pPr>
      <w:r>
        <w:t>f</w:t>
      </w:r>
      <w:r w:rsidRPr="006A46D5">
        <w:t>acilitat</w:t>
      </w:r>
      <w:r>
        <w:t>ing the provision of</w:t>
      </w:r>
      <w:r w:rsidRPr="006A46D5">
        <w:t xml:space="preserve"> introductory/preparatory information to an</w:t>
      </w:r>
      <w:r w:rsidRPr="00414D0A">
        <w:t xml:space="preserve"> ADR provider ahead of </w:t>
      </w:r>
      <w:r>
        <w:t xml:space="preserve">mediation, and </w:t>
      </w:r>
    </w:p>
    <w:p w14:paraId="4AEB4313" w14:textId="53421C01" w:rsidR="0054186A" w:rsidRPr="00DF198C" w:rsidRDefault="0054186A" w:rsidP="0054186A">
      <w:pPr>
        <w:pStyle w:val="Bullet"/>
      </w:pPr>
      <w:r>
        <w:t>allowing</w:t>
      </w:r>
      <w:r w:rsidDel="001042D7">
        <w:t xml:space="preserve"> </w:t>
      </w:r>
      <w:r>
        <w:t>ASBFEO staff to conduct pre</w:t>
      </w:r>
      <w:r w:rsidR="003A0D5E">
        <w:noBreakHyphen/>
      </w:r>
      <w:r>
        <w:t xml:space="preserve">mediation to reduce delays and resolving </w:t>
      </w:r>
      <w:proofErr w:type="gramStart"/>
      <w:r>
        <w:t>less</w:t>
      </w:r>
      <w:proofErr w:type="gramEnd"/>
      <w:r>
        <w:t xml:space="preserve"> complex disputes.</w:t>
      </w:r>
      <w:r w:rsidRPr="00DF198C">
        <w:t xml:space="preserve"> </w:t>
      </w:r>
    </w:p>
    <w:p w14:paraId="11E087EF" w14:textId="1922E0E2" w:rsidR="00946B4F" w:rsidRPr="00946B4F" w:rsidRDefault="0054186A" w:rsidP="00E14B32">
      <w:pPr>
        <w:pStyle w:val="Bullet"/>
        <w:numPr>
          <w:ilvl w:val="0"/>
          <w:numId w:val="0"/>
        </w:numPr>
      </w:pPr>
      <w:r w:rsidRPr="0010234A">
        <w:rPr>
          <w:szCs w:val="22"/>
          <w:lang w:val="en-US"/>
        </w:rPr>
        <w:t>In the interim, ASBFEO could provide further details of the mediator’s expertise when providing the details to the disputant parties</w:t>
      </w:r>
      <w:r>
        <w:rPr>
          <w:szCs w:val="22"/>
          <w:lang w:val="en-US"/>
        </w:rPr>
        <w:t>.</w:t>
      </w:r>
    </w:p>
    <w:p w14:paraId="16804ECC" w14:textId="71196E80" w:rsidR="00C156F9" w:rsidRDefault="00946B4F" w:rsidP="00483890">
      <w:pPr>
        <w:rPr>
          <w:lang w:val="en-US"/>
        </w:rPr>
      </w:pPr>
      <w:r w:rsidRPr="00483890">
        <w:rPr>
          <w:rStyle w:val="Strong"/>
        </w:rPr>
        <w:t xml:space="preserve">The </w:t>
      </w:r>
      <w:r w:rsidR="00635454">
        <w:rPr>
          <w:rStyle w:val="Strong"/>
        </w:rPr>
        <w:t>R</w:t>
      </w:r>
      <w:r w:rsidRPr="00483890">
        <w:rPr>
          <w:rStyle w:val="Strong"/>
        </w:rPr>
        <w:t>eview considered ASBFEO</w:t>
      </w:r>
      <w:r w:rsidR="00916FA5" w:rsidRPr="00483890">
        <w:rPr>
          <w:rStyle w:val="Strong"/>
        </w:rPr>
        <w:t>’</w:t>
      </w:r>
      <w:r w:rsidRPr="00483890">
        <w:rPr>
          <w:rStyle w:val="Strong"/>
        </w:rPr>
        <w:t xml:space="preserve">s independence and impartiality </w:t>
      </w:r>
      <w:r w:rsidR="00834757">
        <w:rPr>
          <w:b/>
          <w:bCs/>
          <w:lang w:val="en-US"/>
        </w:rPr>
        <w:t>when recommending changes to the assistance function,</w:t>
      </w:r>
      <w:r w:rsidR="00834757" w:rsidRPr="00946B4F">
        <w:rPr>
          <w:b/>
          <w:bCs/>
          <w:lang w:val="en-US"/>
        </w:rPr>
        <w:t xml:space="preserve"> especially in the context of </w:t>
      </w:r>
      <w:r w:rsidR="00834757">
        <w:rPr>
          <w:b/>
          <w:bCs/>
          <w:lang w:val="en-US"/>
        </w:rPr>
        <w:t>separating the</w:t>
      </w:r>
      <w:r w:rsidR="00834757" w:rsidRPr="00946B4F">
        <w:rPr>
          <w:b/>
          <w:bCs/>
          <w:lang w:val="en-US"/>
        </w:rPr>
        <w:t xml:space="preserve"> </w:t>
      </w:r>
      <w:r w:rsidRPr="00483890">
        <w:rPr>
          <w:rStyle w:val="Strong"/>
        </w:rPr>
        <w:t>assistance and advocacy functions.</w:t>
      </w:r>
      <w:r w:rsidRPr="00946B4F">
        <w:rPr>
          <w:lang w:val="en-US"/>
        </w:rPr>
        <w:t xml:space="preserve"> Th</w:t>
      </w:r>
      <w:r w:rsidR="00702D6F">
        <w:rPr>
          <w:lang w:val="en-US"/>
        </w:rPr>
        <w:t>e</w:t>
      </w:r>
      <w:r w:rsidR="00DC5AA8">
        <w:rPr>
          <w:lang w:val="en-US"/>
        </w:rPr>
        <w:t xml:space="preserve">se issues were also considered by </w:t>
      </w:r>
      <w:r w:rsidRPr="00946B4F">
        <w:rPr>
          <w:lang w:val="en-US"/>
        </w:rPr>
        <w:t>McClusk</w:t>
      </w:r>
      <w:r w:rsidR="0058448E">
        <w:rPr>
          <w:lang w:val="en-US"/>
        </w:rPr>
        <w:t>e</w:t>
      </w:r>
      <w:r w:rsidRPr="00946B4F">
        <w:rPr>
          <w:lang w:val="en-US"/>
        </w:rPr>
        <w:t>y Review</w:t>
      </w:r>
      <w:r w:rsidR="00A41004">
        <w:rPr>
          <w:lang w:val="en-US"/>
        </w:rPr>
        <w:t xml:space="preserve"> and</w:t>
      </w:r>
      <w:r w:rsidR="008235C1">
        <w:rPr>
          <w:lang w:val="en-US"/>
        </w:rPr>
        <w:t xml:space="preserve"> </w:t>
      </w:r>
      <w:r w:rsidR="00C156F9">
        <w:rPr>
          <w:lang w:val="en-US"/>
        </w:rPr>
        <w:t>formed on</w:t>
      </w:r>
      <w:r w:rsidR="008235C1">
        <w:rPr>
          <w:lang w:val="en-US"/>
        </w:rPr>
        <w:t>e</w:t>
      </w:r>
      <w:r w:rsidR="00C156F9">
        <w:rPr>
          <w:lang w:val="en-US"/>
        </w:rPr>
        <w:t xml:space="preserve"> of its recommendations</w:t>
      </w:r>
      <w:r w:rsidR="00C77CFF">
        <w:rPr>
          <w:lang w:val="en-US"/>
        </w:rPr>
        <w:t>:</w:t>
      </w:r>
      <w:r w:rsidR="00C156F9">
        <w:rPr>
          <w:lang w:val="en-US"/>
        </w:rPr>
        <w:t xml:space="preserve"> </w:t>
      </w:r>
      <w:r w:rsidR="006F6E06">
        <w:rPr>
          <w:rStyle w:val="Emphasis"/>
        </w:rPr>
        <w:t>‘</w:t>
      </w:r>
      <w:r w:rsidR="00C156F9" w:rsidRPr="00533B3E">
        <w:rPr>
          <w:rStyle w:val="Emphasis"/>
        </w:rPr>
        <w:t>A</w:t>
      </w:r>
      <w:r w:rsidRPr="00533B3E">
        <w:rPr>
          <w:rStyle w:val="Emphasis"/>
        </w:rPr>
        <w:t>ny expansion of ASBFEO</w:t>
      </w:r>
      <w:r w:rsidR="00916FA5">
        <w:rPr>
          <w:rStyle w:val="Emphasis"/>
        </w:rPr>
        <w:t>’</w:t>
      </w:r>
      <w:r w:rsidRPr="00533B3E">
        <w:rPr>
          <w:rStyle w:val="Emphasis"/>
        </w:rPr>
        <w:t xml:space="preserve">s assistance function should </w:t>
      </w:r>
      <w:r w:rsidR="006F6E06" w:rsidRPr="00533B3E">
        <w:rPr>
          <w:rStyle w:val="Emphasis"/>
        </w:rPr>
        <w:t xml:space="preserve">be carefully considered </w:t>
      </w:r>
      <w:proofErr w:type="gramStart"/>
      <w:r w:rsidR="005A6268" w:rsidRPr="00533B3E">
        <w:rPr>
          <w:rStyle w:val="Emphasis"/>
        </w:rPr>
        <w:t>in light of</w:t>
      </w:r>
      <w:proofErr w:type="gramEnd"/>
      <w:r w:rsidR="005A6268" w:rsidRPr="00533B3E">
        <w:rPr>
          <w:rStyle w:val="Emphasis"/>
        </w:rPr>
        <w:t xml:space="preserve"> its important </w:t>
      </w:r>
      <w:r w:rsidRPr="00533B3E">
        <w:rPr>
          <w:rStyle w:val="Emphasis"/>
        </w:rPr>
        <w:t xml:space="preserve">advocacy </w:t>
      </w:r>
      <w:r w:rsidR="005A6268" w:rsidRPr="00533B3E">
        <w:rPr>
          <w:rStyle w:val="Emphasis"/>
        </w:rPr>
        <w:t xml:space="preserve">role </w:t>
      </w:r>
      <w:r w:rsidR="00ED585D" w:rsidRPr="00533B3E">
        <w:rPr>
          <w:rStyle w:val="Emphasis"/>
        </w:rPr>
        <w:t>and o</w:t>
      </w:r>
      <w:r w:rsidR="003931F9" w:rsidRPr="00533B3E">
        <w:rPr>
          <w:rStyle w:val="Emphasis"/>
        </w:rPr>
        <w:t>ccur only</w:t>
      </w:r>
      <w:r w:rsidR="00C5435B" w:rsidRPr="00533B3E">
        <w:rPr>
          <w:rStyle w:val="Emphasis"/>
        </w:rPr>
        <w:t xml:space="preserve"> if there is a gap</w:t>
      </w:r>
      <w:r w:rsidR="005D7016" w:rsidRPr="00533B3E">
        <w:rPr>
          <w:rStyle w:val="Emphasis"/>
        </w:rPr>
        <w:t>.</w:t>
      </w:r>
      <w:r w:rsidR="003A0D5E">
        <w:rPr>
          <w:rStyle w:val="Emphasis"/>
        </w:rPr>
        <w:t>’</w:t>
      </w:r>
      <w:r w:rsidR="00065357">
        <w:rPr>
          <w:rStyle w:val="Emphasis"/>
          <w:rFonts w:ascii="ZWAdobeF" w:hAnsi="ZWAdobeF" w:cs="ZWAdobeF"/>
          <w:i w:val="0"/>
          <w:color w:val="auto"/>
          <w:sz w:val="2"/>
          <w:szCs w:val="2"/>
        </w:rPr>
        <w:t>72F</w:t>
      </w:r>
      <w:r w:rsidR="00B172E9" w:rsidRPr="00A226B1">
        <w:rPr>
          <w:rStyle w:val="FootnoteReference"/>
          <w:sz w:val="22"/>
          <w:szCs w:val="24"/>
          <w:vertAlign w:val="superscript"/>
          <w:lang w:val="en-US"/>
        </w:rPr>
        <w:footnoteReference w:id="74"/>
      </w:r>
    </w:p>
    <w:p w14:paraId="6DCB9AE9" w14:textId="29FEFE37" w:rsidR="00946B4F" w:rsidRPr="00946B4F" w:rsidRDefault="00946B4F" w:rsidP="00483890">
      <w:r w:rsidRPr="00946B4F">
        <w:rPr>
          <w:lang w:val="en-US"/>
        </w:rPr>
        <w:t>Impartiality is essential for the role of the Ombudsman in the assistance role, and ASBFEO has resolved this by separating the assistance and advocacy functions into teams led by different senior executive service officers.</w:t>
      </w:r>
    </w:p>
    <w:p w14:paraId="3702DA9A" w14:textId="02CB1519" w:rsidR="00946B4F" w:rsidRPr="00533B3E" w:rsidRDefault="00946B4F" w:rsidP="00483890">
      <w:r w:rsidRPr="00533B3E">
        <w:t>The</w:t>
      </w:r>
      <w:r w:rsidRPr="00533B3E" w:rsidDel="003A0A67">
        <w:t xml:space="preserve"> </w:t>
      </w:r>
      <w:r w:rsidRPr="00533B3E">
        <w:t xml:space="preserve">SBCs have </w:t>
      </w:r>
      <w:r w:rsidR="0054186A" w:rsidRPr="00533B3E">
        <w:t>also</w:t>
      </w:r>
      <w:r w:rsidRPr="00533B3E">
        <w:t xml:space="preserve"> demonstrated that </w:t>
      </w:r>
      <w:r w:rsidR="00D01F0D" w:rsidRPr="00533B3E">
        <w:t xml:space="preserve">it is possible to </w:t>
      </w:r>
      <w:r w:rsidR="00192C09" w:rsidRPr="00533B3E">
        <w:t xml:space="preserve">remain impartial while </w:t>
      </w:r>
      <w:r w:rsidR="00194FC8" w:rsidRPr="00533B3E">
        <w:t xml:space="preserve">procuring and </w:t>
      </w:r>
      <w:r w:rsidR="00CB58F1" w:rsidRPr="00533B3E">
        <w:t xml:space="preserve">appointing a </w:t>
      </w:r>
      <w:r w:rsidR="00194FC8" w:rsidRPr="00533B3E">
        <w:t xml:space="preserve">panel of independent </w:t>
      </w:r>
      <w:r w:rsidR="00F01C30" w:rsidRPr="00533B3E">
        <w:t>mediators</w:t>
      </w:r>
      <w:r w:rsidR="00C55A6A" w:rsidRPr="00533B3E">
        <w:t xml:space="preserve"> and </w:t>
      </w:r>
      <w:r w:rsidRPr="00533B3E">
        <w:t>advocating for small businesses</w:t>
      </w:r>
      <w:r w:rsidR="00C55A6A" w:rsidRPr="00533B3E">
        <w:t>.</w:t>
      </w:r>
    </w:p>
    <w:p w14:paraId="6BCA7AC2" w14:textId="6344C988" w:rsidR="00FB071B" w:rsidRPr="0010234A" w:rsidRDefault="00367DFC" w:rsidP="00533B3E">
      <w:pPr>
        <w:rPr>
          <w:lang w:val="en-US"/>
        </w:rPr>
      </w:pPr>
      <w:r w:rsidRPr="00533B3E">
        <w:rPr>
          <w:rStyle w:val="Strong"/>
        </w:rPr>
        <w:t>ASBFEO</w:t>
      </w:r>
      <w:r>
        <w:rPr>
          <w:rStyle w:val="Strong"/>
        </w:rPr>
        <w:t>’</w:t>
      </w:r>
      <w:r w:rsidRPr="00533B3E">
        <w:rPr>
          <w:rStyle w:val="Strong"/>
        </w:rPr>
        <w:t xml:space="preserve">s assistance function has matured over </w:t>
      </w:r>
      <w:r w:rsidR="00280DBC" w:rsidRPr="00533B3E">
        <w:rPr>
          <w:rStyle w:val="Strong"/>
        </w:rPr>
        <w:t>10</w:t>
      </w:r>
      <w:r w:rsidRPr="00533B3E">
        <w:rPr>
          <w:rStyle w:val="Strong"/>
        </w:rPr>
        <w:t xml:space="preserve"> years of operation.</w:t>
      </w:r>
      <w:r w:rsidRPr="0010234A">
        <w:rPr>
          <w:b/>
          <w:lang w:val="en-US"/>
        </w:rPr>
        <w:t xml:space="preserve"> </w:t>
      </w:r>
      <w:r w:rsidRPr="0010234A">
        <w:rPr>
          <w:lang w:val="en-US"/>
        </w:rPr>
        <w:t xml:space="preserve">The </w:t>
      </w:r>
      <w:r w:rsidR="002446FF">
        <w:rPr>
          <w:lang w:val="en-US"/>
        </w:rPr>
        <w:t>R</w:t>
      </w:r>
      <w:r w:rsidRPr="0010234A">
        <w:rPr>
          <w:lang w:val="en-US"/>
        </w:rPr>
        <w:t>eview determined that to be effective in providing a low</w:t>
      </w:r>
      <w:r w:rsidR="003A0D5E">
        <w:rPr>
          <w:lang w:val="en-US"/>
        </w:rPr>
        <w:noBreakHyphen/>
      </w:r>
      <w:r w:rsidRPr="0010234A">
        <w:rPr>
          <w:lang w:val="en-US"/>
        </w:rPr>
        <w:t xml:space="preserve">cost dispute resolution service, </w:t>
      </w:r>
      <w:r w:rsidR="007B6798">
        <w:rPr>
          <w:lang w:val="en-US"/>
        </w:rPr>
        <w:t xml:space="preserve">the </w:t>
      </w:r>
      <w:r w:rsidR="002446FF">
        <w:rPr>
          <w:lang w:val="en-US"/>
        </w:rPr>
        <w:t xml:space="preserve">Australian </w:t>
      </w:r>
      <w:r w:rsidR="007B6798">
        <w:rPr>
          <w:lang w:val="en-US"/>
        </w:rPr>
        <w:t>Government</w:t>
      </w:r>
      <w:r w:rsidR="00682837">
        <w:rPr>
          <w:lang w:val="en-US"/>
        </w:rPr>
        <w:t xml:space="preserve"> </w:t>
      </w:r>
      <w:r w:rsidR="002426E2">
        <w:rPr>
          <w:lang w:val="en-US"/>
        </w:rPr>
        <w:t xml:space="preserve">should </w:t>
      </w:r>
      <w:r w:rsidRPr="0010234A">
        <w:rPr>
          <w:lang w:val="en-US"/>
        </w:rPr>
        <w:t xml:space="preserve">consider amending </w:t>
      </w:r>
      <w:r w:rsidR="007B6798">
        <w:rPr>
          <w:lang w:val="en-US"/>
        </w:rPr>
        <w:t xml:space="preserve">the ASBFEO Act </w:t>
      </w:r>
      <w:r w:rsidR="000E478F">
        <w:rPr>
          <w:lang w:val="en-US"/>
        </w:rPr>
        <w:t xml:space="preserve">to </w:t>
      </w:r>
      <w:r w:rsidRPr="0010234A">
        <w:rPr>
          <w:lang w:val="en-US"/>
        </w:rPr>
        <w:t>allo</w:t>
      </w:r>
      <w:r w:rsidR="002C0326">
        <w:rPr>
          <w:lang w:val="en-US"/>
        </w:rPr>
        <w:t>w</w:t>
      </w:r>
      <w:r w:rsidRPr="0010234A">
        <w:rPr>
          <w:lang w:val="en-US"/>
        </w:rPr>
        <w:t xml:space="preserve"> Case Managers to negotiate a resolution before mediation (pre</w:t>
      </w:r>
      <w:r w:rsidR="003A0D5E">
        <w:rPr>
          <w:lang w:val="en-US"/>
        </w:rPr>
        <w:noBreakHyphen/>
      </w:r>
      <w:r w:rsidRPr="0010234A">
        <w:rPr>
          <w:lang w:val="en-US"/>
        </w:rPr>
        <w:t xml:space="preserve">mediation) and </w:t>
      </w:r>
      <w:r w:rsidR="006D1154">
        <w:rPr>
          <w:lang w:val="en-US"/>
        </w:rPr>
        <w:t xml:space="preserve">for </w:t>
      </w:r>
      <w:r w:rsidR="006E61E5">
        <w:rPr>
          <w:lang w:val="en-US"/>
        </w:rPr>
        <w:t xml:space="preserve">ASBFEO to </w:t>
      </w:r>
      <w:r w:rsidRPr="0010234A">
        <w:rPr>
          <w:lang w:val="en-US"/>
        </w:rPr>
        <w:t>procu</w:t>
      </w:r>
      <w:r w:rsidR="006E61E5">
        <w:rPr>
          <w:lang w:val="en-US"/>
        </w:rPr>
        <w:t>re</w:t>
      </w:r>
      <w:r w:rsidRPr="0010234A">
        <w:rPr>
          <w:lang w:val="en-US"/>
        </w:rPr>
        <w:t xml:space="preserve"> a</w:t>
      </w:r>
      <w:r w:rsidR="00683993">
        <w:rPr>
          <w:lang w:val="en-US"/>
        </w:rPr>
        <w:t xml:space="preserve"> </w:t>
      </w:r>
      <w:r w:rsidRPr="0010234A">
        <w:rPr>
          <w:lang w:val="en-US"/>
        </w:rPr>
        <w:t xml:space="preserve">mediation panel to allow </w:t>
      </w:r>
      <w:r w:rsidR="005C1AAA">
        <w:rPr>
          <w:lang w:val="en-US"/>
        </w:rPr>
        <w:t xml:space="preserve">it </w:t>
      </w:r>
      <w:r w:rsidRPr="0010234A">
        <w:rPr>
          <w:lang w:val="en-US"/>
        </w:rPr>
        <w:t>to appoint a</w:t>
      </w:r>
      <w:r w:rsidR="002C0326">
        <w:rPr>
          <w:lang w:val="en-US"/>
        </w:rPr>
        <w:t>n indepen</w:t>
      </w:r>
      <w:r w:rsidR="006E61E5">
        <w:rPr>
          <w:lang w:val="en-US"/>
        </w:rPr>
        <w:t>d</w:t>
      </w:r>
      <w:r w:rsidR="000E478F">
        <w:rPr>
          <w:lang w:val="en-US"/>
        </w:rPr>
        <w:t>ent</w:t>
      </w:r>
      <w:r w:rsidRPr="0010234A">
        <w:rPr>
          <w:lang w:val="en-US"/>
        </w:rPr>
        <w:t xml:space="preserve"> mediator to conduct the mediation. </w:t>
      </w:r>
      <w:r w:rsidR="00FB071B" w:rsidRPr="0010234A">
        <w:rPr>
          <w:lang w:val="en-US"/>
        </w:rPr>
        <w:t>If request</w:t>
      </w:r>
      <w:r w:rsidR="00FB071B">
        <w:rPr>
          <w:lang w:val="en-US"/>
        </w:rPr>
        <w:t>s</w:t>
      </w:r>
      <w:r w:rsidR="00FB071B" w:rsidRPr="0010234A">
        <w:rPr>
          <w:lang w:val="en-US"/>
        </w:rPr>
        <w:t xml:space="preserve"> for assistance increases due to </w:t>
      </w:r>
      <w:r w:rsidR="00FB071B">
        <w:rPr>
          <w:lang w:val="en-US"/>
        </w:rPr>
        <w:t>these reforms a</w:t>
      </w:r>
      <w:r w:rsidR="00FB071B" w:rsidRPr="0010234A">
        <w:rPr>
          <w:lang w:val="en-US"/>
        </w:rPr>
        <w:t>dditional funding may be warranted.</w:t>
      </w:r>
    </w:p>
    <w:p w14:paraId="36202DE9" w14:textId="77D2604D" w:rsidR="00367DFC" w:rsidRPr="0010234A" w:rsidRDefault="00367DFC" w:rsidP="0010234A">
      <w:pPr>
        <w:pStyle w:val="BoxText"/>
        <w:rPr>
          <w:szCs w:val="22"/>
          <w:lang w:val="en-US"/>
        </w:rPr>
      </w:pPr>
    </w:p>
    <w:p w14:paraId="03890676" w14:textId="77777777" w:rsidR="00946B4F" w:rsidRPr="00946B4F" w:rsidRDefault="00946B4F" w:rsidP="00864021">
      <w:pPr>
        <w:pStyle w:val="Heading3"/>
      </w:pPr>
      <w:bookmarkStart w:id="63" w:name="_Toc199940972"/>
      <w:r w:rsidRPr="00946B4F">
        <w:rPr>
          <w:lang w:val="en-US"/>
        </w:rPr>
        <w:lastRenderedPageBreak/>
        <w:t>Recommendation</w:t>
      </w:r>
      <w:bookmarkEnd w:id="63"/>
      <w:r w:rsidRPr="00946B4F">
        <w:t> </w:t>
      </w:r>
    </w:p>
    <w:tbl>
      <w:tblPr>
        <w:tblStyle w:val="BoxStyle"/>
        <w:tblW w:w="5000" w:type="pct"/>
        <w:shd w:val="clear" w:color="auto" w:fill="F4F0EC"/>
        <w:tblLook w:val="0620" w:firstRow="1" w:lastRow="0" w:firstColumn="0" w:lastColumn="0" w:noHBand="1" w:noVBand="1"/>
      </w:tblPr>
      <w:tblGrid>
        <w:gridCol w:w="9070"/>
      </w:tblGrid>
      <w:tr w:rsidR="003E0C0B" w14:paraId="41F89700" w14:textId="77777777" w:rsidTr="004C4118">
        <w:tc>
          <w:tcPr>
            <w:tcW w:w="5000" w:type="pct"/>
            <w:shd w:val="clear" w:color="auto" w:fill="F4F0EC"/>
            <w:hideMark/>
          </w:tcPr>
          <w:p w14:paraId="16DD3180" w14:textId="50F8D352" w:rsidR="00FC61D5" w:rsidRPr="00533B3E" w:rsidRDefault="0037644D" w:rsidP="00533B3E">
            <w:pPr>
              <w:pStyle w:val="BoxText"/>
            </w:pPr>
            <w:r w:rsidRPr="00AA4DFA">
              <w:rPr>
                <w:rStyle w:val="Strong"/>
              </w:rPr>
              <w:t>Recommendation 7:</w:t>
            </w:r>
            <w:r w:rsidRPr="00533B3E">
              <w:rPr>
                <w:rStyle w:val="Strong"/>
                <w:b w:val="0"/>
              </w:rPr>
              <w:t xml:space="preserve"> </w:t>
            </w:r>
            <w:r w:rsidRPr="00533B3E">
              <w:t xml:space="preserve">The Australian Government should consider amending the </w:t>
            </w:r>
            <w:r w:rsidRPr="00533B3E">
              <w:rPr>
                <w:rStyle w:val="Emphasis"/>
              </w:rPr>
              <w:t>Australian Small Business and Family Enterprise Ombudsman Act 2015</w:t>
            </w:r>
            <w:r w:rsidRPr="00533B3E">
              <w:t xml:space="preserve"> </w:t>
            </w:r>
            <w:r w:rsidRPr="00AA4DFA">
              <w:t>(</w:t>
            </w:r>
            <w:proofErr w:type="spellStart"/>
            <w:r w:rsidRPr="00AA4DFA">
              <w:t>Cth</w:t>
            </w:r>
            <w:proofErr w:type="spellEnd"/>
            <w:r w:rsidRPr="00AA4DFA">
              <w:t>) to</w:t>
            </w:r>
            <w:r w:rsidRPr="00533B3E">
              <w:t xml:space="preserve"> enable ASBFEO to undertake </w:t>
            </w:r>
            <w:r w:rsidRPr="00AA4DFA">
              <w:t>Alternative Dispute Resolution (</w:t>
            </w:r>
            <w:r w:rsidRPr="00533B3E">
              <w:t>ADR) by:</w:t>
            </w:r>
          </w:p>
          <w:p w14:paraId="3EC0B8A4" w14:textId="614D9FE2" w:rsidR="00FC61D5" w:rsidRPr="00C740D8" w:rsidRDefault="00FC61D5" w:rsidP="00E93003">
            <w:pPr>
              <w:pStyle w:val="Boxbullet"/>
              <w:rPr>
                <w:lang w:val="en-US"/>
              </w:rPr>
            </w:pPr>
            <w:r w:rsidRPr="002C23E4">
              <w:rPr>
                <w:lang w:val="en-US"/>
              </w:rPr>
              <w:t>Allowing Case Managers to negotiate a resolution before mediation (pre</w:t>
            </w:r>
            <w:r w:rsidR="003A0D5E">
              <w:rPr>
                <w:lang w:val="en-US"/>
              </w:rPr>
              <w:noBreakHyphen/>
            </w:r>
            <w:r w:rsidRPr="002C23E4">
              <w:rPr>
                <w:lang w:val="en-US"/>
              </w:rPr>
              <w:t xml:space="preserve">mediation), including: </w:t>
            </w:r>
          </w:p>
          <w:p w14:paraId="02784DD0" w14:textId="77777777" w:rsidR="00FC61D5" w:rsidRPr="00C740D8" w:rsidRDefault="00FC61D5" w:rsidP="00E93003">
            <w:pPr>
              <w:pStyle w:val="Boxdash"/>
            </w:pPr>
            <w:r w:rsidRPr="002C23E4">
              <w:t>assessing if there is a legitimate dispute</w:t>
            </w:r>
          </w:p>
          <w:p w14:paraId="5C4DDD0F" w14:textId="77777777" w:rsidR="00FC61D5" w:rsidRPr="00C740D8" w:rsidRDefault="00FC61D5" w:rsidP="00E93003">
            <w:pPr>
              <w:pStyle w:val="Boxdash"/>
            </w:pPr>
            <w:r w:rsidRPr="002C23E4">
              <w:t xml:space="preserve">talking to both parties to ensure they </w:t>
            </w:r>
            <w:r w:rsidRPr="002C23E4">
              <w:rPr>
                <w:lang w:val="en-US"/>
              </w:rPr>
              <w:t xml:space="preserve">understand the issues well, and working with them to settle the dispute without </w:t>
            </w:r>
            <w:r w:rsidRPr="002C23E4">
              <w:t>mediation</w:t>
            </w:r>
          </w:p>
          <w:p w14:paraId="322660A5" w14:textId="77777777" w:rsidR="00FC61D5" w:rsidRPr="00C740D8" w:rsidRDefault="00FC61D5" w:rsidP="00E93003">
            <w:pPr>
              <w:pStyle w:val="Boxdash"/>
            </w:pPr>
            <w:r w:rsidRPr="002C23E4">
              <w:t>preparing both parties for mediation so they understand the mediation process and the role of the mediator.</w:t>
            </w:r>
          </w:p>
          <w:p w14:paraId="05565C68" w14:textId="77777777" w:rsidR="00FC61D5" w:rsidRPr="00C740D8" w:rsidRDefault="00FC61D5" w:rsidP="00E93003">
            <w:pPr>
              <w:pStyle w:val="Boxbullet"/>
            </w:pPr>
            <w:r w:rsidRPr="002C23E4">
              <w:rPr>
                <w:lang w:val="en-US"/>
              </w:rPr>
              <w:t>Procuring a mediation panel whereby independent mediators are chosen based on their mediation success rate and expertise in the field.</w:t>
            </w:r>
          </w:p>
          <w:p w14:paraId="5D23B9AD" w14:textId="77777777" w:rsidR="00FC61D5" w:rsidRPr="00C740D8" w:rsidDel="00054D5C" w:rsidRDefault="00FC61D5" w:rsidP="00E93003">
            <w:pPr>
              <w:pStyle w:val="Boxbullet"/>
            </w:pPr>
            <w:r w:rsidRPr="002C23E4">
              <w:t>Using certificates when a party refuses to negotiate in good faith at mediation.</w:t>
            </w:r>
            <w:r w:rsidRPr="002C23E4" w:rsidDel="00054D5C">
              <w:t xml:space="preserve"> </w:t>
            </w:r>
          </w:p>
          <w:p w14:paraId="3E970F05" w14:textId="186B101B" w:rsidR="00FC61D5" w:rsidRPr="00C740D8" w:rsidDel="00054D5C" w:rsidRDefault="00FC61D5" w:rsidP="00E93003">
            <w:pPr>
              <w:pStyle w:val="Boxbullet"/>
            </w:pPr>
            <w:r w:rsidRPr="002C23E4">
              <w:t>Expanding the use of ASBFEO</w:t>
            </w:r>
            <w:r>
              <w:t>’</w:t>
            </w:r>
            <w:r w:rsidRPr="002C23E4">
              <w:t xml:space="preserve">s information powers and notification powers in cases of parties </w:t>
            </w:r>
            <w:r>
              <w:t>‘</w:t>
            </w:r>
            <w:r w:rsidRPr="002C23E4">
              <w:t>ghosting</w:t>
            </w:r>
            <w:r>
              <w:t>’</w:t>
            </w:r>
            <w:r w:rsidRPr="002C23E4">
              <w:t xml:space="preserve"> or avoiding calls, emails and written correspondence.</w:t>
            </w:r>
          </w:p>
          <w:p w14:paraId="54FE7C6F" w14:textId="327A7314" w:rsidR="003E0C0B" w:rsidRPr="00833D5F" w:rsidRDefault="00FC61D5" w:rsidP="00E93003">
            <w:pPr>
              <w:pStyle w:val="BoxText"/>
            </w:pPr>
            <w:r w:rsidRPr="002C23E4">
              <w:rPr>
                <w:lang w:val="en-US"/>
              </w:rPr>
              <w:t xml:space="preserve">The Australian Government could consider </w:t>
            </w:r>
            <w:proofErr w:type="spellStart"/>
            <w:r w:rsidRPr="002C23E4">
              <w:rPr>
                <w:lang w:val="en-US"/>
              </w:rPr>
              <w:t>subsidising</w:t>
            </w:r>
            <w:proofErr w:type="spellEnd"/>
            <w:r w:rsidRPr="002C23E4">
              <w:rPr>
                <w:lang w:val="en-US"/>
              </w:rPr>
              <w:t xml:space="preserve"> the cost of mediation to make it more accessible to small businesses. </w:t>
            </w:r>
          </w:p>
        </w:tc>
      </w:tr>
    </w:tbl>
    <w:p w14:paraId="459C7B13" w14:textId="7678079F" w:rsidR="00946B4F" w:rsidRPr="00946B4F" w:rsidRDefault="00946B4F" w:rsidP="00E57EA2">
      <w:pPr>
        <w:pStyle w:val="Heading2"/>
      </w:pPr>
      <w:bookmarkStart w:id="64" w:name="_Toc199940973"/>
      <w:r w:rsidRPr="00946B4F">
        <w:rPr>
          <w:lang w:val="en-US"/>
        </w:rPr>
        <w:t xml:space="preserve">Small Business Tax Concierge </w:t>
      </w:r>
      <w:r w:rsidR="00F63401">
        <w:rPr>
          <w:lang w:val="en-US"/>
        </w:rPr>
        <w:t>s</w:t>
      </w:r>
      <w:r w:rsidRPr="00946B4F">
        <w:rPr>
          <w:lang w:val="en-US"/>
        </w:rPr>
        <w:t>ervice (SBTC)</w:t>
      </w:r>
      <w:bookmarkEnd w:id="64"/>
      <w:r w:rsidRPr="00946B4F">
        <w:t> </w:t>
      </w:r>
    </w:p>
    <w:p w14:paraId="1F2A530F" w14:textId="155DBE90" w:rsidR="00946B4F" w:rsidRPr="00946B4F" w:rsidRDefault="00946B4F" w:rsidP="005F30E5">
      <w:r w:rsidRPr="005F30E5">
        <w:rPr>
          <w:rStyle w:val="Strong"/>
        </w:rPr>
        <w:t xml:space="preserve">ASBFEO </w:t>
      </w:r>
      <w:r w:rsidR="007B63EA">
        <w:rPr>
          <w:rStyle w:val="Strong"/>
        </w:rPr>
        <w:t>assists</w:t>
      </w:r>
      <w:r w:rsidRPr="005F30E5" w:rsidDel="007B63EA">
        <w:rPr>
          <w:rStyle w:val="Strong"/>
        </w:rPr>
        <w:t xml:space="preserve"> </w:t>
      </w:r>
      <w:r w:rsidRPr="005F30E5">
        <w:rPr>
          <w:rStyle w:val="Strong"/>
        </w:rPr>
        <w:t xml:space="preserve">small businesses in dispute with the </w:t>
      </w:r>
      <w:r w:rsidR="000C26E0">
        <w:rPr>
          <w:rStyle w:val="Strong"/>
        </w:rPr>
        <w:t>ATO</w:t>
      </w:r>
      <w:r w:rsidRPr="005F30E5">
        <w:rPr>
          <w:rStyle w:val="Strong"/>
        </w:rPr>
        <w:t xml:space="preserve"> through the </w:t>
      </w:r>
      <w:r w:rsidR="00662C71">
        <w:rPr>
          <w:rStyle w:val="Strong"/>
        </w:rPr>
        <w:t>SBTC</w:t>
      </w:r>
      <w:r w:rsidRPr="005F30E5">
        <w:rPr>
          <w:rStyle w:val="Strong"/>
        </w:rPr>
        <w:t xml:space="preserve"> service.</w:t>
      </w:r>
      <w:r w:rsidRPr="00946B4F">
        <w:t xml:space="preserve"> The SBTC service aids small businesses in deciding whether to lodge an application to the </w:t>
      </w:r>
      <w:r w:rsidR="00BE18DD">
        <w:t>Administrative Review Tribunal (</w:t>
      </w:r>
      <w:r w:rsidR="008C7E8E" w:rsidRPr="004D375A">
        <w:t>ART</w:t>
      </w:r>
      <w:r w:rsidR="00BE18DD">
        <w:t>)</w:t>
      </w:r>
      <w:r w:rsidR="008C7E8E" w:rsidRPr="00946B4F">
        <w:t xml:space="preserve"> and</w:t>
      </w:r>
      <w:r w:rsidRPr="00946B4F">
        <w:t xml:space="preserve"> offers access to subsidised legal advice. Support includes providing </w:t>
      </w:r>
      <w:r w:rsidRPr="00946B4F">
        <w:rPr>
          <w:lang w:val="en-US"/>
        </w:rPr>
        <w:t>information about the ART</w:t>
      </w:r>
      <w:r w:rsidR="00916FA5">
        <w:rPr>
          <w:lang w:val="en-US"/>
        </w:rPr>
        <w:t>’</w:t>
      </w:r>
      <w:r w:rsidRPr="00946B4F">
        <w:rPr>
          <w:lang w:val="en-US"/>
        </w:rPr>
        <w:t>s procedures</w:t>
      </w:r>
      <w:r w:rsidRPr="00946B4F">
        <w:t>, drafting applications and compiling relevant documents. Additionally,</w:t>
      </w:r>
      <w:r w:rsidRPr="00946B4F" w:rsidDel="002446FF">
        <w:t xml:space="preserve"> </w:t>
      </w:r>
      <w:r w:rsidRPr="00946B4F">
        <w:t>ASBFEO supports cases for the Compensation for Detriment and Defective Administration Scheme</w:t>
      </w:r>
      <w:r w:rsidR="00916FA5">
        <w:t xml:space="preserve">. </w:t>
      </w:r>
    </w:p>
    <w:p w14:paraId="35C1210B" w14:textId="6A8D2CD5" w:rsidR="005F30E5" w:rsidRDefault="00946B4F" w:rsidP="005F30E5">
      <w:r w:rsidRPr="005F30E5">
        <w:rPr>
          <w:rStyle w:val="Strong"/>
        </w:rPr>
        <w:t xml:space="preserve">The SBTC </w:t>
      </w:r>
      <w:r w:rsidR="00612959">
        <w:rPr>
          <w:rStyle w:val="Strong"/>
        </w:rPr>
        <w:t>service</w:t>
      </w:r>
      <w:r w:rsidRPr="005F30E5">
        <w:rPr>
          <w:rStyle w:val="Strong"/>
        </w:rPr>
        <w:t xml:space="preserve"> has low usage, with few cases referred to </w:t>
      </w:r>
      <w:r w:rsidR="00612959">
        <w:rPr>
          <w:rStyle w:val="Strong"/>
        </w:rPr>
        <w:t>it</w:t>
      </w:r>
      <w:r w:rsidRPr="005F30E5">
        <w:rPr>
          <w:rStyle w:val="Strong"/>
        </w:rPr>
        <w:t xml:space="preserve"> and fewer referred to a SBTC lawyer</w:t>
      </w:r>
      <w:r w:rsidR="007B63EA">
        <w:rPr>
          <w:rStyle w:val="Strong"/>
        </w:rPr>
        <w:t>,</w:t>
      </w:r>
      <w:r w:rsidRPr="005F30E5">
        <w:rPr>
          <w:rStyle w:val="Strong"/>
        </w:rPr>
        <w:t xml:space="preserve"> as shown in Table </w:t>
      </w:r>
      <w:r w:rsidR="00AC767F">
        <w:rPr>
          <w:rStyle w:val="Strong"/>
        </w:rPr>
        <w:t>4.8</w:t>
      </w:r>
      <w:r w:rsidRPr="005F30E5">
        <w:rPr>
          <w:rStyle w:val="Strong"/>
        </w:rPr>
        <w:t>.</w:t>
      </w:r>
      <w:r w:rsidRPr="00946B4F">
        <w:t xml:space="preserve"> Referrals to a lawyer decreased from 40</w:t>
      </w:r>
      <w:r w:rsidR="00065580">
        <w:t> </w:t>
      </w:r>
      <w:r w:rsidRPr="00946B4F">
        <w:t xml:space="preserve">per cent </w:t>
      </w:r>
      <w:r w:rsidR="001C4A87">
        <w:t>of</w:t>
      </w:r>
      <w:r w:rsidR="00882AA2">
        <w:t xml:space="preserve"> SBTC</w:t>
      </w:r>
      <w:r w:rsidR="001C4A87">
        <w:t xml:space="preserve"> </w:t>
      </w:r>
      <w:r w:rsidRPr="00946B4F">
        <w:t>cases in 2021</w:t>
      </w:r>
      <w:r w:rsidR="00065580" w:rsidRPr="00065580">
        <w:t>–</w:t>
      </w:r>
      <w:r w:rsidRPr="00946B4F">
        <w:t>22 to 31</w:t>
      </w:r>
      <w:r w:rsidR="00DA173C">
        <w:t> </w:t>
      </w:r>
      <w:r w:rsidRPr="00946B4F">
        <w:t>per cent in 2023</w:t>
      </w:r>
      <w:r w:rsidR="00065580" w:rsidRPr="00065580">
        <w:t>–</w:t>
      </w:r>
      <w:r w:rsidRPr="00946B4F">
        <w:t>24</w:t>
      </w:r>
      <w:r w:rsidR="00112917">
        <w:t>.</w:t>
      </w:r>
      <w:r w:rsidRPr="00946B4F" w:rsidDel="00112917">
        <w:t xml:space="preserve"> </w:t>
      </w:r>
      <w:r w:rsidRPr="00946B4F">
        <w:t xml:space="preserve">ASBFEO does not track outcomes post referral to SBTC lawyers, so it </w:t>
      </w:r>
      <w:r w:rsidR="007B63EA">
        <w:t xml:space="preserve">is </w:t>
      </w:r>
      <w:r w:rsidRPr="00946B4F">
        <w:t>difficult to determine if the cases have been successfully resolved.</w:t>
      </w:r>
    </w:p>
    <w:p w14:paraId="4D1D7E7C" w14:textId="2998ECE8" w:rsidR="00946B4F" w:rsidRPr="00617DA9" w:rsidRDefault="000A179C" w:rsidP="00A562EB">
      <w:pPr>
        <w:pStyle w:val="TableMainHeading"/>
        <w:rPr>
          <w:lang w:val="en-US"/>
        </w:rPr>
      </w:pPr>
      <w:bookmarkStart w:id="65" w:name="_Hlk199245208"/>
      <w:r w:rsidRPr="00617DA9">
        <w:rPr>
          <w:lang w:val="en-US"/>
        </w:rPr>
        <w:t>Table 4.8</w:t>
      </w:r>
      <w:r w:rsidR="002310C9" w:rsidRPr="00617DA9">
        <w:rPr>
          <w:lang w:val="en-US"/>
        </w:rPr>
        <w:t>:</w:t>
      </w:r>
      <w:r w:rsidRPr="00617DA9">
        <w:rPr>
          <w:lang w:val="en-US"/>
        </w:rPr>
        <w:t xml:space="preserve"> Small business tax concierge – </w:t>
      </w:r>
      <w:r w:rsidR="002446FF" w:rsidRPr="00617DA9">
        <w:rPr>
          <w:lang w:val="en-US"/>
        </w:rPr>
        <w:t>o</w:t>
      </w:r>
      <w:r w:rsidRPr="00617DA9">
        <w:rPr>
          <w:lang w:val="en-US"/>
        </w:rPr>
        <w:t>utcomes </w:t>
      </w:r>
      <w:bookmarkEnd w:id="65"/>
      <w:r w:rsidRPr="00617DA9">
        <w:rPr>
          <w:lang w:val="en-US"/>
        </w:rPr>
        <w:t xml:space="preserve">  </w:t>
      </w:r>
    </w:p>
    <w:tbl>
      <w:tblPr>
        <w:tblStyle w:val="TableGrid"/>
        <w:tblW w:w="9000" w:type="dxa"/>
        <w:tblLook w:val="04A0" w:firstRow="1" w:lastRow="0" w:firstColumn="1" w:lastColumn="0" w:noHBand="0" w:noVBand="1"/>
      </w:tblPr>
      <w:tblGrid>
        <w:gridCol w:w="4536"/>
        <w:gridCol w:w="1039"/>
        <w:gridCol w:w="1040"/>
        <w:gridCol w:w="1040"/>
        <w:gridCol w:w="1345"/>
      </w:tblGrid>
      <w:tr w:rsidR="00946B4F" w:rsidRPr="00946B4F" w14:paraId="0653B0D7" w14:textId="77777777" w:rsidTr="00DA173C">
        <w:trPr>
          <w:cnfStyle w:val="100000000000" w:firstRow="1" w:lastRow="0" w:firstColumn="0" w:lastColumn="0" w:oddVBand="0" w:evenVBand="0" w:oddHBand="0" w:evenHBand="0" w:firstRowFirstColumn="0" w:firstRowLastColumn="0" w:lastRowFirstColumn="0" w:lastRowLastColumn="0"/>
          <w:trHeight w:val="300"/>
        </w:trPr>
        <w:tc>
          <w:tcPr>
            <w:tcW w:w="4536" w:type="dxa"/>
            <w:hideMark/>
          </w:tcPr>
          <w:p w14:paraId="1638C052" w14:textId="77777777" w:rsidR="00946B4F" w:rsidRPr="00946B4F" w:rsidRDefault="00946B4F" w:rsidP="00A562EB">
            <w:pPr>
              <w:pStyle w:val="TableTextLeft"/>
            </w:pPr>
            <w:r w:rsidRPr="00946B4F">
              <w:t>  </w:t>
            </w:r>
          </w:p>
        </w:tc>
        <w:tc>
          <w:tcPr>
            <w:tcW w:w="1039" w:type="dxa"/>
            <w:hideMark/>
          </w:tcPr>
          <w:p w14:paraId="1A36B57A" w14:textId="69A9EFD4" w:rsidR="00946B4F" w:rsidRPr="00DA173C" w:rsidRDefault="00946B4F" w:rsidP="00C739BB">
            <w:pPr>
              <w:pStyle w:val="TableColumnHeadingRight"/>
              <w:rPr>
                <w:rStyle w:val="Strong"/>
                <w:b/>
              </w:rPr>
            </w:pPr>
            <w:r w:rsidRPr="00DA173C">
              <w:rPr>
                <w:rStyle w:val="Strong"/>
                <w:b/>
              </w:rPr>
              <w:t>2021</w:t>
            </w:r>
            <w:r w:rsidR="00D05414" w:rsidRPr="00DA173C">
              <w:rPr>
                <w:rStyle w:val="Strong"/>
                <w:b/>
              </w:rPr>
              <w:t>–</w:t>
            </w:r>
            <w:r w:rsidRPr="00DA173C">
              <w:rPr>
                <w:rStyle w:val="Strong"/>
                <w:b/>
                <w:bCs w:val="0"/>
              </w:rPr>
              <w:t>22</w:t>
            </w:r>
          </w:p>
        </w:tc>
        <w:tc>
          <w:tcPr>
            <w:tcW w:w="1040" w:type="dxa"/>
            <w:hideMark/>
          </w:tcPr>
          <w:p w14:paraId="3FDCB8D3" w14:textId="71DAF394" w:rsidR="00946B4F" w:rsidRPr="00DA173C" w:rsidRDefault="00946B4F" w:rsidP="00C739BB">
            <w:pPr>
              <w:pStyle w:val="TableColumnHeadingRight"/>
              <w:rPr>
                <w:rStyle w:val="Strong"/>
                <w:b/>
              </w:rPr>
            </w:pPr>
            <w:r w:rsidRPr="00DA173C">
              <w:rPr>
                <w:rStyle w:val="Strong"/>
                <w:b/>
              </w:rPr>
              <w:t>2022</w:t>
            </w:r>
            <w:r w:rsidR="00D05414" w:rsidRPr="00DA173C">
              <w:rPr>
                <w:rStyle w:val="Strong"/>
                <w:b/>
              </w:rPr>
              <w:t>–</w:t>
            </w:r>
            <w:r w:rsidRPr="00DA173C">
              <w:rPr>
                <w:rStyle w:val="Strong"/>
                <w:b/>
                <w:bCs w:val="0"/>
              </w:rPr>
              <w:t>23</w:t>
            </w:r>
          </w:p>
        </w:tc>
        <w:tc>
          <w:tcPr>
            <w:tcW w:w="1040" w:type="dxa"/>
            <w:hideMark/>
          </w:tcPr>
          <w:p w14:paraId="11AB56A3" w14:textId="4A4B9D87" w:rsidR="00946B4F" w:rsidRPr="00DA173C" w:rsidRDefault="00946B4F" w:rsidP="00C739BB">
            <w:pPr>
              <w:pStyle w:val="TableColumnHeadingRight"/>
              <w:rPr>
                <w:rStyle w:val="Strong"/>
                <w:b/>
              </w:rPr>
            </w:pPr>
            <w:r w:rsidRPr="00DA173C">
              <w:rPr>
                <w:rStyle w:val="Strong"/>
                <w:b/>
              </w:rPr>
              <w:t>2023</w:t>
            </w:r>
            <w:r w:rsidR="00D05414" w:rsidRPr="00DA173C">
              <w:rPr>
                <w:rStyle w:val="Strong"/>
                <w:b/>
              </w:rPr>
              <w:t>–</w:t>
            </w:r>
            <w:r w:rsidRPr="00DA173C">
              <w:rPr>
                <w:rStyle w:val="Strong"/>
                <w:b/>
                <w:bCs w:val="0"/>
              </w:rPr>
              <w:t>24</w:t>
            </w:r>
          </w:p>
        </w:tc>
        <w:tc>
          <w:tcPr>
            <w:tcW w:w="1345" w:type="dxa"/>
            <w:hideMark/>
          </w:tcPr>
          <w:p w14:paraId="752778D6" w14:textId="7C5C71C9" w:rsidR="00946B4F" w:rsidRPr="00DA173C" w:rsidRDefault="00946B4F" w:rsidP="00C739BB">
            <w:pPr>
              <w:pStyle w:val="TableColumnHeadingRight"/>
              <w:rPr>
                <w:rStyle w:val="Strong"/>
                <w:b/>
              </w:rPr>
            </w:pPr>
            <w:r w:rsidRPr="00DA173C">
              <w:rPr>
                <w:rStyle w:val="Strong"/>
                <w:b/>
              </w:rPr>
              <w:t>3</w:t>
            </w:r>
            <w:r w:rsidR="003A0D5E">
              <w:rPr>
                <w:rStyle w:val="Strong"/>
                <w:b/>
                <w:bCs w:val="0"/>
              </w:rPr>
              <w:noBreakHyphen/>
            </w:r>
            <w:r w:rsidRPr="00DA173C">
              <w:rPr>
                <w:rStyle w:val="Strong"/>
                <w:b/>
              </w:rPr>
              <w:t>y</w:t>
            </w:r>
            <w:r w:rsidR="008662D1" w:rsidRPr="00DA173C">
              <w:rPr>
                <w:rStyle w:val="Strong"/>
                <w:b/>
              </w:rPr>
              <w:t>ea</w:t>
            </w:r>
            <w:r w:rsidRPr="00DA173C">
              <w:rPr>
                <w:rStyle w:val="Strong"/>
                <w:b/>
              </w:rPr>
              <w:t xml:space="preserve">r </w:t>
            </w:r>
            <w:r w:rsidRPr="00DA173C">
              <w:rPr>
                <w:rStyle w:val="Strong"/>
                <w:b/>
                <w:bCs w:val="0"/>
              </w:rPr>
              <w:t>tota</w:t>
            </w:r>
            <w:r w:rsidR="00C739BB">
              <w:rPr>
                <w:rStyle w:val="Strong"/>
                <w:b/>
                <w:bCs w:val="0"/>
              </w:rPr>
              <w:t>l</w:t>
            </w:r>
          </w:p>
        </w:tc>
      </w:tr>
      <w:tr w:rsidR="00946B4F" w:rsidRPr="00946B4F" w14:paraId="6AA891FE" w14:textId="77777777" w:rsidTr="00DA173C">
        <w:trPr>
          <w:cnfStyle w:val="000000100000" w:firstRow="0" w:lastRow="0" w:firstColumn="0" w:lastColumn="0" w:oddVBand="0" w:evenVBand="0" w:oddHBand="1" w:evenHBand="0" w:firstRowFirstColumn="0" w:firstRowLastColumn="0" w:lastRowFirstColumn="0" w:lastRowLastColumn="0"/>
          <w:trHeight w:val="300"/>
        </w:trPr>
        <w:tc>
          <w:tcPr>
            <w:tcW w:w="4536" w:type="dxa"/>
            <w:hideMark/>
          </w:tcPr>
          <w:p w14:paraId="53B3EEC3" w14:textId="04EFEC7C" w:rsidR="00946B4F" w:rsidRPr="00946B4F" w:rsidRDefault="00946B4F" w:rsidP="00A562EB">
            <w:pPr>
              <w:pStyle w:val="TableTextLeft"/>
            </w:pPr>
            <w:r w:rsidRPr="00946B4F">
              <w:t>Case management: contacted complainant</w:t>
            </w:r>
          </w:p>
        </w:tc>
        <w:tc>
          <w:tcPr>
            <w:tcW w:w="1039" w:type="dxa"/>
            <w:hideMark/>
          </w:tcPr>
          <w:p w14:paraId="38DB93B2" w14:textId="43925091" w:rsidR="00946B4F" w:rsidRPr="00946B4F" w:rsidRDefault="00946B4F" w:rsidP="00C739BB">
            <w:pPr>
              <w:pStyle w:val="TableTextRight"/>
            </w:pPr>
            <w:r w:rsidRPr="00946B4F">
              <w:t>17</w:t>
            </w:r>
          </w:p>
        </w:tc>
        <w:tc>
          <w:tcPr>
            <w:tcW w:w="1040" w:type="dxa"/>
            <w:hideMark/>
          </w:tcPr>
          <w:p w14:paraId="5ABDD9DF" w14:textId="7113ED4A" w:rsidR="00946B4F" w:rsidRPr="00946B4F" w:rsidRDefault="00946B4F" w:rsidP="00C739BB">
            <w:pPr>
              <w:pStyle w:val="TableTextRight"/>
            </w:pPr>
            <w:r w:rsidRPr="00946B4F">
              <w:t>23</w:t>
            </w:r>
          </w:p>
        </w:tc>
        <w:tc>
          <w:tcPr>
            <w:tcW w:w="1040" w:type="dxa"/>
            <w:hideMark/>
          </w:tcPr>
          <w:p w14:paraId="405C216B" w14:textId="2C7557C0" w:rsidR="00946B4F" w:rsidRPr="00946B4F" w:rsidRDefault="00946B4F" w:rsidP="00C739BB">
            <w:pPr>
              <w:pStyle w:val="TableTextRight"/>
            </w:pPr>
            <w:r w:rsidRPr="00946B4F">
              <w:t>29</w:t>
            </w:r>
          </w:p>
        </w:tc>
        <w:tc>
          <w:tcPr>
            <w:tcW w:w="1345" w:type="dxa"/>
            <w:hideMark/>
          </w:tcPr>
          <w:p w14:paraId="297AE4CF" w14:textId="396FE9C9" w:rsidR="00946B4F" w:rsidRPr="00946B4F" w:rsidRDefault="00946B4F" w:rsidP="00C739BB">
            <w:pPr>
              <w:pStyle w:val="TableTextRight"/>
            </w:pPr>
            <w:r w:rsidRPr="00946B4F">
              <w:t>69</w:t>
            </w:r>
          </w:p>
        </w:tc>
      </w:tr>
      <w:tr w:rsidR="00946B4F" w:rsidRPr="00946B4F" w14:paraId="0B7E0A27" w14:textId="77777777" w:rsidTr="00DA173C">
        <w:trPr>
          <w:cnfStyle w:val="000000010000" w:firstRow="0" w:lastRow="0" w:firstColumn="0" w:lastColumn="0" w:oddVBand="0" w:evenVBand="0" w:oddHBand="0" w:evenHBand="1" w:firstRowFirstColumn="0" w:firstRowLastColumn="0" w:lastRowFirstColumn="0" w:lastRowLastColumn="0"/>
          <w:trHeight w:val="300"/>
        </w:trPr>
        <w:tc>
          <w:tcPr>
            <w:tcW w:w="4536" w:type="dxa"/>
            <w:hideMark/>
          </w:tcPr>
          <w:p w14:paraId="5FF5B156" w14:textId="0E42DDC8" w:rsidR="00946B4F" w:rsidRPr="00946B4F" w:rsidRDefault="00946B4F" w:rsidP="00A562EB">
            <w:pPr>
              <w:pStyle w:val="TableTextLeft"/>
            </w:pPr>
            <w:r w:rsidRPr="00946B4F">
              <w:t>Case management: contacted both parties</w:t>
            </w:r>
          </w:p>
        </w:tc>
        <w:tc>
          <w:tcPr>
            <w:tcW w:w="1039" w:type="dxa"/>
            <w:hideMark/>
          </w:tcPr>
          <w:p w14:paraId="6FA117F1" w14:textId="0F3D4171" w:rsidR="00946B4F" w:rsidRPr="00946B4F" w:rsidRDefault="00946B4F" w:rsidP="00C739BB">
            <w:pPr>
              <w:pStyle w:val="TableTextRight"/>
            </w:pPr>
            <w:r w:rsidRPr="00946B4F">
              <w:t>2</w:t>
            </w:r>
          </w:p>
        </w:tc>
        <w:tc>
          <w:tcPr>
            <w:tcW w:w="1040" w:type="dxa"/>
            <w:hideMark/>
          </w:tcPr>
          <w:p w14:paraId="12206161" w14:textId="19AAC432" w:rsidR="00946B4F" w:rsidRPr="00946B4F" w:rsidRDefault="00946B4F" w:rsidP="00C739BB">
            <w:pPr>
              <w:pStyle w:val="TableTextRight"/>
            </w:pPr>
            <w:r w:rsidRPr="00946B4F">
              <w:t>1</w:t>
            </w:r>
          </w:p>
        </w:tc>
        <w:tc>
          <w:tcPr>
            <w:tcW w:w="1040" w:type="dxa"/>
            <w:hideMark/>
          </w:tcPr>
          <w:p w14:paraId="7F447E35" w14:textId="6088142E" w:rsidR="00946B4F" w:rsidRPr="00946B4F" w:rsidRDefault="00946B4F" w:rsidP="00C739BB">
            <w:pPr>
              <w:pStyle w:val="TableTextRight"/>
            </w:pPr>
            <w:r w:rsidRPr="00946B4F">
              <w:t>0</w:t>
            </w:r>
          </w:p>
        </w:tc>
        <w:tc>
          <w:tcPr>
            <w:tcW w:w="1345" w:type="dxa"/>
            <w:hideMark/>
          </w:tcPr>
          <w:p w14:paraId="01AAAB66" w14:textId="137C4CA0" w:rsidR="00946B4F" w:rsidRPr="00946B4F" w:rsidRDefault="00946B4F" w:rsidP="00C739BB">
            <w:pPr>
              <w:pStyle w:val="TableTextRight"/>
            </w:pPr>
            <w:r w:rsidRPr="00946B4F">
              <w:t>3</w:t>
            </w:r>
          </w:p>
        </w:tc>
      </w:tr>
      <w:tr w:rsidR="00946B4F" w:rsidRPr="00946B4F" w14:paraId="0BC64263" w14:textId="77777777" w:rsidTr="00DA173C">
        <w:trPr>
          <w:cnfStyle w:val="000000100000" w:firstRow="0" w:lastRow="0" w:firstColumn="0" w:lastColumn="0" w:oddVBand="0" w:evenVBand="0" w:oddHBand="1" w:evenHBand="0" w:firstRowFirstColumn="0" w:firstRowLastColumn="0" w:lastRowFirstColumn="0" w:lastRowLastColumn="0"/>
          <w:trHeight w:val="300"/>
        </w:trPr>
        <w:tc>
          <w:tcPr>
            <w:tcW w:w="4536" w:type="dxa"/>
            <w:hideMark/>
          </w:tcPr>
          <w:p w14:paraId="7D582015" w14:textId="4FED6048" w:rsidR="00946B4F" w:rsidRPr="00946B4F" w:rsidRDefault="00946B4F" w:rsidP="00A562EB">
            <w:pPr>
              <w:pStyle w:val="TableTextLeft"/>
            </w:pPr>
            <w:r w:rsidRPr="00946B4F">
              <w:t>Referred to SBTC lawyer</w:t>
            </w:r>
          </w:p>
        </w:tc>
        <w:tc>
          <w:tcPr>
            <w:tcW w:w="1039" w:type="dxa"/>
            <w:hideMark/>
          </w:tcPr>
          <w:p w14:paraId="38D3B304" w14:textId="0161E60D" w:rsidR="00946B4F" w:rsidRPr="00946B4F" w:rsidRDefault="00946B4F" w:rsidP="00C739BB">
            <w:pPr>
              <w:pStyle w:val="TableTextRight"/>
            </w:pPr>
            <w:r w:rsidRPr="00946B4F">
              <w:t>22</w:t>
            </w:r>
          </w:p>
        </w:tc>
        <w:tc>
          <w:tcPr>
            <w:tcW w:w="1040" w:type="dxa"/>
            <w:hideMark/>
          </w:tcPr>
          <w:p w14:paraId="2C8772A7" w14:textId="0F18FD9F" w:rsidR="00946B4F" w:rsidRPr="00946B4F" w:rsidRDefault="00946B4F" w:rsidP="00C739BB">
            <w:pPr>
              <w:pStyle w:val="TableTextRight"/>
            </w:pPr>
            <w:r w:rsidRPr="00946B4F">
              <w:t>15</w:t>
            </w:r>
          </w:p>
        </w:tc>
        <w:tc>
          <w:tcPr>
            <w:tcW w:w="1040" w:type="dxa"/>
            <w:hideMark/>
          </w:tcPr>
          <w:p w14:paraId="63462E1B" w14:textId="39B54210" w:rsidR="00946B4F" w:rsidRPr="00946B4F" w:rsidRDefault="00946B4F" w:rsidP="00C739BB">
            <w:pPr>
              <w:pStyle w:val="TableTextRight"/>
            </w:pPr>
            <w:r w:rsidRPr="00946B4F">
              <w:t>13</w:t>
            </w:r>
          </w:p>
        </w:tc>
        <w:tc>
          <w:tcPr>
            <w:tcW w:w="1345" w:type="dxa"/>
            <w:hideMark/>
          </w:tcPr>
          <w:p w14:paraId="1663BFEA" w14:textId="3D920959" w:rsidR="00946B4F" w:rsidRPr="00946B4F" w:rsidRDefault="00946B4F" w:rsidP="00C739BB">
            <w:pPr>
              <w:pStyle w:val="TableTextRight"/>
            </w:pPr>
            <w:r w:rsidRPr="00946B4F">
              <w:t>50</w:t>
            </w:r>
          </w:p>
        </w:tc>
      </w:tr>
      <w:tr w:rsidR="00946B4F" w:rsidRPr="00946B4F" w14:paraId="3FC71ACE" w14:textId="77777777" w:rsidTr="00DA173C">
        <w:trPr>
          <w:cnfStyle w:val="000000010000" w:firstRow="0" w:lastRow="0" w:firstColumn="0" w:lastColumn="0" w:oddVBand="0" w:evenVBand="0" w:oddHBand="0" w:evenHBand="1" w:firstRowFirstColumn="0" w:firstRowLastColumn="0" w:lastRowFirstColumn="0" w:lastRowLastColumn="0"/>
          <w:trHeight w:val="300"/>
        </w:trPr>
        <w:tc>
          <w:tcPr>
            <w:tcW w:w="4536" w:type="dxa"/>
            <w:hideMark/>
          </w:tcPr>
          <w:p w14:paraId="4FED834A" w14:textId="01818174" w:rsidR="00946B4F" w:rsidRPr="00946B4F" w:rsidRDefault="00946B4F" w:rsidP="00A562EB">
            <w:pPr>
              <w:pStyle w:val="TableTextLeft"/>
            </w:pPr>
            <w:r w:rsidRPr="00946B4F">
              <w:t xml:space="preserve">Referred to </w:t>
            </w:r>
            <w:r w:rsidR="00CA5E9E">
              <w:t xml:space="preserve">Former </w:t>
            </w:r>
            <w:r w:rsidR="00962188" w:rsidRPr="00962188">
              <w:t xml:space="preserve">Administrative Appeals Tribunal </w:t>
            </w:r>
            <w:r w:rsidR="00962188">
              <w:t>(</w:t>
            </w:r>
            <w:r w:rsidRPr="004C749D">
              <w:rPr>
                <w:b/>
                <w:bCs/>
              </w:rPr>
              <w:t>AAT</w:t>
            </w:r>
            <w:r w:rsidR="00962188">
              <w:t>)</w:t>
            </w:r>
          </w:p>
        </w:tc>
        <w:tc>
          <w:tcPr>
            <w:tcW w:w="1039" w:type="dxa"/>
            <w:hideMark/>
          </w:tcPr>
          <w:p w14:paraId="65D297FB" w14:textId="64216C30" w:rsidR="00946B4F" w:rsidRPr="00946B4F" w:rsidRDefault="00946B4F" w:rsidP="00C739BB">
            <w:pPr>
              <w:pStyle w:val="TableTextRight"/>
            </w:pPr>
            <w:r w:rsidRPr="00946B4F">
              <w:t>3</w:t>
            </w:r>
          </w:p>
        </w:tc>
        <w:tc>
          <w:tcPr>
            <w:tcW w:w="1040" w:type="dxa"/>
            <w:hideMark/>
          </w:tcPr>
          <w:p w14:paraId="5B1D59D0" w14:textId="39BE424C" w:rsidR="00946B4F" w:rsidRPr="00946B4F" w:rsidRDefault="00946B4F" w:rsidP="00C739BB">
            <w:pPr>
              <w:pStyle w:val="TableTextRight"/>
            </w:pPr>
            <w:r w:rsidRPr="00946B4F">
              <w:t>0</w:t>
            </w:r>
          </w:p>
        </w:tc>
        <w:tc>
          <w:tcPr>
            <w:tcW w:w="1040" w:type="dxa"/>
            <w:hideMark/>
          </w:tcPr>
          <w:p w14:paraId="100B7468" w14:textId="3F18A4E0" w:rsidR="00946B4F" w:rsidRPr="00946B4F" w:rsidRDefault="00946B4F" w:rsidP="00C739BB">
            <w:pPr>
              <w:pStyle w:val="TableTextRight"/>
            </w:pPr>
            <w:r w:rsidRPr="00946B4F">
              <w:t>0</w:t>
            </w:r>
          </w:p>
        </w:tc>
        <w:tc>
          <w:tcPr>
            <w:tcW w:w="1345" w:type="dxa"/>
            <w:hideMark/>
          </w:tcPr>
          <w:p w14:paraId="227D6637" w14:textId="465C9C54" w:rsidR="00946B4F" w:rsidRPr="00946B4F" w:rsidRDefault="00946B4F" w:rsidP="00C739BB">
            <w:pPr>
              <w:pStyle w:val="TableTextRight"/>
            </w:pPr>
            <w:r w:rsidRPr="00946B4F">
              <w:t>3</w:t>
            </w:r>
          </w:p>
        </w:tc>
      </w:tr>
      <w:tr w:rsidR="00946B4F" w:rsidRPr="00946B4F" w14:paraId="74766CF0" w14:textId="77777777" w:rsidTr="00DA173C">
        <w:trPr>
          <w:cnfStyle w:val="000000100000" w:firstRow="0" w:lastRow="0" w:firstColumn="0" w:lastColumn="0" w:oddVBand="0" w:evenVBand="0" w:oddHBand="1" w:evenHBand="0" w:firstRowFirstColumn="0" w:firstRowLastColumn="0" w:lastRowFirstColumn="0" w:lastRowLastColumn="0"/>
          <w:trHeight w:val="300"/>
        </w:trPr>
        <w:tc>
          <w:tcPr>
            <w:tcW w:w="4536" w:type="dxa"/>
            <w:hideMark/>
          </w:tcPr>
          <w:p w14:paraId="545C2DF9" w14:textId="6AAAB25A" w:rsidR="00946B4F" w:rsidRPr="00946B4F" w:rsidRDefault="00946B4F" w:rsidP="00A562EB">
            <w:pPr>
              <w:pStyle w:val="TableTextLeft"/>
            </w:pPr>
            <w:r w:rsidRPr="00946B4F">
              <w:t>Referred to ATO </w:t>
            </w:r>
            <w:r w:rsidR="004E3BBC" w:rsidRPr="004C749D">
              <w:rPr>
                <w:vertAlign w:val="superscript"/>
              </w:rPr>
              <w:t>#</w:t>
            </w:r>
          </w:p>
        </w:tc>
        <w:tc>
          <w:tcPr>
            <w:tcW w:w="1039" w:type="dxa"/>
            <w:hideMark/>
          </w:tcPr>
          <w:p w14:paraId="6F5C7AD4" w14:textId="296E6684" w:rsidR="00946B4F" w:rsidRPr="00946B4F" w:rsidRDefault="00946B4F" w:rsidP="00C739BB">
            <w:pPr>
              <w:pStyle w:val="TableTextRight"/>
            </w:pPr>
            <w:r w:rsidRPr="00946B4F">
              <w:t>11</w:t>
            </w:r>
          </w:p>
        </w:tc>
        <w:tc>
          <w:tcPr>
            <w:tcW w:w="1040" w:type="dxa"/>
            <w:hideMark/>
          </w:tcPr>
          <w:p w14:paraId="49E0FAE5" w14:textId="6B842CEE" w:rsidR="00946B4F" w:rsidRPr="00946B4F" w:rsidRDefault="00946B4F" w:rsidP="00C739BB">
            <w:pPr>
              <w:pStyle w:val="TableTextRight"/>
            </w:pPr>
            <w:r w:rsidRPr="00946B4F">
              <w:t>0</w:t>
            </w:r>
          </w:p>
        </w:tc>
        <w:tc>
          <w:tcPr>
            <w:tcW w:w="1040" w:type="dxa"/>
            <w:hideMark/>
          </w:tcPr>
          <w:p w14:paraId="570601FA" w14:textId="2AD4B115" w:rsidR="00946B4F" w:rsidRPr="00946B4F" w:rsidRDefault="00946B4F" w:rsidP="00C739BB">
            <w:pPr>
              <w:pStyle w:val="TableTextRight"/>
            </w:pPr>
            <w:r w:rsidRPr="00946B4F">
              <w:t>0</w:t>
            </w:r>
          </w:p>
        </w:tc>
        <w:tc>
          <w:tcPr>
            <w:tcW w:w="1345" w:type="dxa"/>
            <w:hideMark/>
          </w:tcPr>
          <w:p w14:paraId="1C86A50C" w14:textId="621FB569" w:rsidR="00946B4F" w:rsidRPr="00946B4F" w:rsidRDefault="00946B4F" w:rsidP="00C739BB">
            <w:pPr>
              <w:pStyle w:val="TableTextRight"/>
            </w:pPr>
            <w:r w:rsidRPr="00946B4F">
              <w:t>11</w:t>
            </w:r>
          </w:p>
        </w:tc>
      </w:tr>
      <w:tr w:rsidR="00946B4F" w:rsidRPr="00946B4F" w14:paraId="7E96EFAA" w14:textId="77777777" w:rsidTr="00DA173C">
        <w:trPr>
          <w:cnfStyle w:val="000000010000" w:firstRow="0" w:lastRow="0" w:firstColumn="0" w:lastColumn="0" w:oddVBand="0" w:evenVBand="0" w:oddHBand="0" w:evenHBand="1" w:firstRowFirstColumn="0" w:firstRowLastColumn="0" w:lastRowFirstColumn="0" w:lastRowLastColumn="0"/>
          <w:trHeight w:val="300"/>
        </w:trPr>
        <w:tc>
          <w:tcPr>
            <w:tcW w:w="4536" w:type="dxa"/>
            <w:hideMark/>
          </w:tcPr>
          <w:p w14:paraId="7E3E1A23" w14:textId="2BF995B6" w:rsidR="00946B4F" w:rsidRPr="00A562EB" w:rsidRDefault="00946B4F" w:rsidP="00A562EB">
            <w:pPr>
              <w:pStyle w:val="TableTextLeft"/>
              <w:rPr>
                <w:rStyle w:val="Strong"/>
              </w:rPr>
            </w:pPr>
            <w:r w:rsidRPr="00DA173C">
              <w:rPr>
                <w:rStyle w:val="Strong"/>
              </w:rPr>
              <w:t>TOTAL</w:t>
            </w:r>
          </w:p>
        </w:tc>
        <w:tc>
          <w:tcPr>
            <w:tcW w:w="1039" w:type="dxa"/>
            <w:hideMark/>
          </w:tcPr>
          <w:p w14:paraId="2F7DA0BC" w14:textId="12CB2648" w:rsidR="00946B4F" w:rsidRPr="00A562EB" w:rsidRDefault="00946B4F" w:rsidP="00C739BB">
            <w:pPr>
              <w:pStyle w:val="TableTextRight"/>
              <w:rPr>
                <w:rStyle w:val="Strong"/>
              </w:rPr>
            </w:pPr>
            <w:r w:rsidRPr="00DA173C">
              <w:rPr>
                <w:rStyle w:val="Strong"/>
              </w:rPr>
              <w:t>55</w:t>
            </w:r>
          </w:p>
        </w:tc>
        <w:tc>
          <w:tcPr>
            <w:tcW w:w="1040" w:type="dxa"/>
            <w:hideMark/>
          </w:tcPr>
          <w:p w14:paraId="018C150E" w14:textId="0C630E06" w:rsidR="00946B4F" w:rsidRPr="00A562EB" w:rsidRDefault="00946B4F" w:rsidP="00C739BB">
            <w:pPr>
              <w:pStyle w:val="TableTextRight"/>
              <w:rPr>
                <w:rStyle w:val="Strong"/>
              </w:rPr>
            </w:pPr>
            <w:r w:rsidRPr="00DA173C">
              <w:rPr>
                <w:rStyle w:val="Strong"/>
              </w:rPr>
              <w:t>39</w:t>
            </w:r>
          </w:p>
        </w:tc>
        <w:tc>
          <w:tcPr>
            <w:tcW w:w="1040" w:type="dxa"/>
            <w:hideMark/>
          </w:tcPr>
          <w:p w14:paraId="76107BDF" w14:textId="3F2FD972" w:rsidR="00946B4F" w:rsidRPr="00A562EB" w:rsidRDefault="00946B4F" w:rsidP="00C739BB">
            <w:pPr>
              <w:pStyle w:val="TableTextRight"/>
              <w:rPr>
                <w:rStyle w:val="Strong"/>
              </w:rPr>
            </w:pPr>
            <w:r w:rsidRPr="00DA173C">
              <w:rPr>
                <w:rStyle w:val="Strong"/>
              </w:rPr>
              <w:t>42</w:t>
            </w:r>
          </w:p>
        </w:tc>
        <w:tc>
          <w:tcPr>
            <w:tcW w:w="1345" w:type="dxa"/>
            <w:hideMark/>
          </w:tcPr>
          <w:p w14:paraId="716D0648" w14:textId="4FE05477" w:rsidR="00946B4F" w:rsidRPr="00A562EB" w:rsidRDefault="00946B4F" w:rsidP="00C739BB">
            <w:pPr>
              <w:pStyle w:val="TableTextRight"/>
              <w:rPr>
                <w:rStyle w:val="Strong"/>
              </w:rPr>
            </w:pPr>
            <w:r w:rsidRPr="00DA173C">
              <w:rPr>
                <w:rStyle w:val="Strong"/>
              </w:rPr>
              <w:t>136</w:t>
            </w:r>
          </w:p>
        </w:tc>
      </w:tr>
    </w:tbl>
    <w:p w14:paraId="5FD89ABE" w14:textId="2BCAF3E1" w:rsidR="00BB7A86" w:rsidRPr="004D4530" w:rsidRDefault="00BB7A86" w:rsidP="00BB7A86">
      <w:pPr>
        <w:pStyle w:val="ChartorTablenoteandsource"/>
      </w:pPr>
      <w:r>
        <w:t>Please refer to Appendix I for table notes and sources</w:t>
      </w:r>
      <w:r w:rsidR="002446FF">
        <w:t>.</w:t>
      </w:r>
    </w:p>
    <w:p w14:paraId="50785DBC" w14:textId="77777777" w:rsidR="00946B4F" w:rsidRPr="00946B4F" w:rsidRDefault="00946B4F" w:rsidP="00A562EB">
      <w:pPr>
        <w:pStyle w:val="Heading3"/>
      </w:pPr>
      <w:bookmarkStart w:id="66" w:name="_Toc199940974"/>
      <w:r w:rsidRPr="00946B4F">
        <w:lastRenderedPageBreak/>
        <w:t>Stakeholder feedback</w:t>
      </w:r>
      <w:bookmarkEnd w:id="66"/>
      <w:r w:rsidRPr="00946B4F">
        <w:t> </w:t>
      </w:r>
    </w:p>
    <w:p w14:paraId="750FF104" w14:textId="4C1FE382" w:rsidR="004D76B0" w:rsidRPr="004D76B0" w:rsidRDefault="00946B4F" w:rsidP="004D76B0">
      <w:pPr>
        <w:rPr>
          <w:b/>
          <w:bCs/>
          <w:i/>
          <w:iCs/>
        </w:rPr>
      </w:pPr>
      <w:r w:rsidRPr="005F30E5">
        <w:rPr>
          <w:rStyle w:val="Strong"/>
        </w:rPr>
        <w:t xml:space="preserve">Stakeholder feedback from </w:t>
      </w:r>
      <w:r w:rsidR="00276531">
        <w:rPr>
          <w:rStyle w:val="Strong"/>
        </w:rPr>
        <w:t>the</w:t>
      </w:r>
      <w:r w:rsidRPr="005F30E5">
        <w:rPr>
          <w:rStyle w:val="Strong"/>
        </w:rPr>
        <w:t xml:space="preserve"> ATO, </w:t>
      </w:r>
      <w:r w:rsidR="003149B5" w:rsidRPr="00DA173C">
        <w:rPr>
          <w:rStyle w:val="Strong"/>
          <w:rFonts w:eastAsia="Calibri"/>
        </w:rPr>
        <w:t>Tax Practitioners Board</w:t>
      </w:r>
      <w:r w:rsidRPr="005F30E5">
        <w:rPr>
          <w:rStyle w:val="Strong"/>
        </w:rPr>
        <w:t xml:space="preserve"> and accounting associations indicates limited knowledge of the SBTC service. </w:t>
      </w:r>
      <w:r w:rsidR="004D76B0" w:rsidRPr="0010234A">
        <w:t xml:space="preserve">The ATO advised that </w:t>
      </w:r>
      <w:r w:rsidR="008469AC">
        <w:t xml:space="preserve">it advertised </w:t>
      </w:r>
      <w:r w:rsidR="004D76B0" w:rsidRPr="0010234A">
        <w:t xml:space="preserve">the SBTC as part of </w:t>
      </w:r>
      <w:r w:rsidR="008469AC">
        <w:t>its</w:t>
      </w:r>
      <w:r w:rsidR="004D76B0" w:rsidRPr="0010234A">
        <w:t xml:space="preserve"> dispute pathway and </w:t>
      </w:r>
      <w:r w:rsidR="008469AC">
        <w:t xml:space="preserve">that </w:t>
      </w:r>
      <w:r w:rsidR="00791E9B">
        <w:t>the SBTC</w:t>
      </w:r>
      <w:r w:rsidR="008469AC">
        <w:t xml:space="preserve"> is</w:t>
      </w:r>
      <w:r w:rsidR="008469AC" w:rsidRPr="0010234A">
        <w:t xml:space="preserve"> </w:t>
      </w:r>
      <w:r w:rsidR="004D76B0" w:rsidRPr="0010234A">
        <w:t xml:space="preserve">mentioned in </w:t>
      </w:r>
      <w:r w:rsidR="00276A77">
        <w:t xml:space="preserve">the ATO’s </w:t>
      </w:r>
      <w:r w:rsidR="004D76B0" w:rsidRPr="0010234A">
        <w:t>review</w:t>
      </w:r>
      <w:r w:rsidR="003A0D5E">
        <w:noBreakHyphen/>
      </w:r>
      <w:r w:rsidR="004D76B0" w:rsidRPr="0010234A">
        <w:t>of</w:t>
      </w:r>
      <w:r w:rsidR="003A0D5E">
        <w:noBreakHyphen/>
      </w:r>
      <w:r w:rsidR="004D76B0" w:rsidRPr="0010234A">
        <w:t>decision letters</w:t>
      </w:r>
      <w:r w:rsidR="00276A77">
        <w:t xml:space="preserve"> sent to disputant parties.</w:t>
      </w:r>
      <w:r w:rsidR="00276A77" w:rsidRPr="0010234A">
        <w:t xml:space="preserve"> However, ATO feedback indicates that further promot</w:t>
      </w:r>
      <w:r w:rsidR="00E02753">
        <w:t xml:space="preserve">ion of </w:t>
      </w:r>
      <w:r w:rsidR="00276A77" w:rsidRPr="0010234A">
        <w:t>the service could be considered</w:t>
      </w:r>
      <w:r w:rsidR="00E02753">
        <w:t>,</w:t>
      </w:r>
      <w:r w:rsidR="00276A77" w:rsidRPr="0010234A">
        <w:t xml:space="preserve"> including build</w:t>
      </w:r>
      <w:r w:rsidR="00B47461">
        <w:t>ing</w:t>
      </w:r>
      <w:r w:rsidR="00276A77" w:rsidRPr="0010234A">
        <w:t xml:space="preserve"> awareness of the service with agents and other organisations that support small businesses.</w:t>
      </w:r>
    </w:p>
    <w:p w14:paraId="34B0E7B7" w14:textId="6DB93A8E" w:rsidR="00946B4F" w:rsidRPr="00946B4F" w:rsidRDefault="004D76B0" w:rsidP="005F30E5">
      <w:r w:rsidRPr="00DA173C">
        <w:rPr>
          <w:rStyle w:val="Strong"/>
        </w:rPr>
        <w:t>The ATO suggested that ASBFEO could provide meaningful insights on SBTC cases to help identify systemic issues and improve the overall system.</w:t>
      </w:r>
      <w:r w:rsidR="004C02E6">
        <w:t xml:space="preserve"> </w:t>
      </w:r>
      <w:r w:rsidRPr="0010234A">
        <w:t xml:space="preserve">ASBFEO maintains a close relationship with the ATO and feedback on broader systemic issues would </w:t>
      </w:r>
      <w:r w:rsidR="004C02E6">
        <w:t>help</w:t>
      </w:r>
      <w:r w:rsidR="004C02E6" w:rsidRPr="0010234A">
        <w:t xml:space="preserve"> </w:t>
      </w:r>
      <w:r w:rsidRPr="0010234A">
        <w:t>the ATO identify service improvements.</w:t>
      </w:r>
    </w:p>
    <w:p w14:paraId="171461CC" w14:textId="77777777" w:rsidR="00946B4F" w:rsidRPr="00946B4F" w:rsidRDefault="00946B4F" w:rsidP="00D62359">
      <w:pPr>
        <w:pStyle w:val="Heading3"/>
      </w:pPr>
      <w:bookmarkStart w:id="67" w:name="_Toc199940975"/>
      <w:r w:rsidRPr="00946B4F">
        <w:t>Analysis</w:t>
      </w:r>
      <w:bookmarkEnd w:id="67"/>
      <w:r w:rsidRPr="00946B4F">
        <w:t> </w:t>
      </w:r>
    </w:p>
    <w:p w14:paraId="03F8874F" w14:textId="3E3A8FC4" w:rsidR="00946B4F" w:rsidRPr="00946B4F" w:rsidRDefault="00946B4F" w:rsidP="005F30E5">
      <w:r w:rsidRPr="005F30E5">
        <w:rPr>
          <w:rStyle w:val="Strong"/>
        </w:rPr>
        <w:t>The low usage of the SBTC service may reflect the lack of awareness among tax practitioners and their clients.</w:t>
      </w:r>
      <w:r w:rsidRPr="00946B4F">
        <w:t xml:space="preserve"> ASBFEO should promote the SBTC through forums with tax practitioners and newsletters</w:t>
      </w:r>
      <w:r w:rsidR="00132A65" w:rsidRPr="00132A65">
        <w:t xml:space="preserve"> </w:t>
      </w:r>
      <w:r w:rsidR="00132A65">
        <w:t>t</w:t>
      </w:r>
      <w:r w:rsidR="00132A65" w:rsidRPr="00946B4F">
        <w:t xml:space="preserve">o ensure </w:t>
      </w:r>
      <w:r w:rsidR="00DA07D3">
        <w:t>they</w:t>
      </w:r>
      <w:r w:rsidR="00132A65">
        <w:t xml:space="preserve"> are aware of the service</w:t>
      </w:r>
      <w:r w:rsidR="00916FA5">
        <w:t>.</w:t>
      </w:r>
    </w:p>
    <w:p w14:paraId="1637174F" w14:textId="5266C902" w:rsidR="002A48BA" w:rsidRDefault="002F7792" w:rsidP="00DA173C">
      <w:pPr>
        <w:rPr>
          <w:lang w:val="en-US"/>
        </w:rPr>
      </w:pPr>
      <w:r w:rsidRPr="00DA173C">
        <w:rPr>
          <w:rStyle w:val="Strong"/>
        </w:rPr>
        <w:t>I</w:t>
      </w:r>
      <w:r w:rsidRPr="0010234A">
        <w:rPr>
          <w:b/>
          <w:szCs w:val="22"/>
        </w:rPr>
        <w:t xml:space="preserve">t is hard to analyse the effectiveness of SBTC </w:t>
      </w:r>
      <w:r>
        <w:rPr>
          <w:b/>
          <w:szCs w:val="22"/>
        </w:rPr>
        <w:t>w</w:t>
      </w:r>
      <w:r w:rsidR="002A48BA" w:rsidRPr="0010234A">
        <w:rPr>
          <w:b/>
          <w:szCs w:val="22"/>
        </w:rPr>
        <w:t>ithout meaningful statistics on individual SBTC cases.</w:t>
      </w:r>
      <w:r w:rsidR="002A48BA" w:rsidRPr="0010234A">
        <w:t xml:space="preserve"> </w:t>
      </w:r>
      <w:r w:rsidR="002A48BA" w:rsidRPr="0010234A">
        <w:rPr>
          <w:lang w:val="en-US"/>
        </w:rPr>
        <w:t>ASBFEO could develop a survey of the SBTC service</w:t>
      </w:r>
      <w:r w:rsidR="00544327">
        <w:rPr>
          <w:lang w:val="en-US"/>
        </w:rPr>
        <w:t xml:space="preserve"> to be</w:t>
      </w:r>
      <w:r w:rsidR="002A48BA" w:rsidRPr="0010234A">
        <w:rPr>
          <w:lang w:val="en-US"/>
        </w:rPr>
        <w:t xml:space="preserve"> completed by participants at the preliminary assistance stage or after legal advice is obtained. The survey could cover satisfaction with the case officer and the lawyer, </w:t>
      </w:r>
      <w:r w:rsidR="00544327">
        <w:rPr>
          <w:lang w:val="en-US"/>
        </w:rPr>
        <w:t xml:space="preserve">with </w:t>
      </w:r>
      <w:r w:rsidR="002A48BA" w:rsidRPr="0010234A">
        <w:rPr>
          <w:lang w:val="en-US"/>
        </w:rPr>
        <w:t>ASBFEO publish</w:t>
      </w:r>
      <w:r w:rsidR="00544327">
        <w:rPr>
          <w:lang w:val="en-US"/>
        </w:rPr>
        <w:t>ing</w:t>
      </w:r>
      <w:r w:rsidR="002A48BA" w:rsidRPr="0010234A">
        <w:rPr>
          <w:lang w:val="en-US"/>
        </w:rPr>
        <w:t xml:space="preserve"> the results in quarterly and annual reports. The survey will measure how efficiently and effectively ASBFEO has supported small businesses. Satisfaction surveys are discussed more broadly later in this chapter</w:t>
      </w:r>
      <w:r w:rsidR="002A48BA">
        <w:rPr>
          <w:lang w:val="en-US"/>
        </w:rPr>
        <w:t>.</w:t>
      </w:r>
    </w:p>
    <w:p w14:paraId="2F2777B5" w14:textId="565CCF27" w:rsidR="00140218" w:rsidRPr="0010234A" w:rsidRDefault="00140218" w:rsidP="005F30E5">
      <w:pPr>
        <w:rPr>
          <w:szCs w:val="22"/>
          <w:lang w:val="en-US"/>
        </w:rPr>
      </w:pPr>
      <w:r w:rsidRPr="0010234A">
        <w:rPr>
          <w:szCs w:val="22"/>
          <w:lang w:val="en-US"/>
        </w:rPr>
        <w:t xml:space="preserve">The SBTC was implemented in </w:t>
      </w:r>
      <w:r w:rsidR="00C76D6F">
        <w:rPr>
          <w:szCs w:val="22"/>
          <w:lang w:val="en-US"/>
        </w:rPr>
        <w:t xml:space="preserve">2019 </w:t>
      </w:r>
      <w:r w:rsidRPr="0010234A">
        <w:rPr>
          <w:szCs w:val="22"/>
          <w:lang w:val="en-US"/>
        </w:rPr>
        <w:t>and would benefit from a post implementation review to determine its effectiveness in supporting small business taxation disputes</w:t>
      </w:r>
      <w:r>
        <w:rPr>
          <w:szCs w:val="22"/>
          <w:lang w:val="en-US"/>
        </w:rPr>
        <w:t>.</w:t>
      </w:r>
    </w:p>
    <w:p w14:paraId="337458D9" w14:textId="77777777" w:rsidR="00946B4F" w:rsidRPr="00946B4F" w:rsidRDefault="00946B4F" w:rsidP="00D62359">
      <w:pPr>
        <w:pStyle w:val="Heading3"/>
      </w:pPr>
      <w:bookmarkStart w:id="68" w:name="_Toc199940976"/>
      <w:r w:rsidRPr="00946B4F">
        <w:t>Recommendation</w:t>
      </w:r>
      <w:bookmarkEnd w:id="68"/>
      <w:r w:rsidRPr="00946B4F">
        <w:t> </w:t>
      </w:r>
    </w:p>
    <w:tbl>
      <w:tblPr>
        <w:tblStyle w:val="BoxStyle"/>
        <w:tblW w:w="5000" w:type="pct"/>
        <w:shd w:val="clear" w:color="auto" w:fill="F4F0EC"/>
        <w:tblLook w:val="0620" w:firstRow="1" w:lastRow="0" w:firstColumn="0" w:lastColumn="0" w:noHBand="1" w:noVBand="1"/>
      </w:tblPr>
      <w:tblGrid>
        <w:gridCol w:w="9070"/>
      </w:tblGrid>
      <w:tr w:rsidR="00991620" w14:paraId="4B774383" w14:textId="77777777" w:rsidTr="004C4118">
        <w:tc>
          <w:tcPr>
            <w:tcW w:w="5000" w:type="pct"/>
            <w:shd w:val="clear" w:color="auto" w:fill="F4F0EC"/>
            <w:hideMark/>
          </w:tcPr>
          <w:p w14:paraId="31BBB4A0" w14:textId="77777777" w:rsidR="00991620" w:rsidRPr="00946B4F" w:rsidRDefault="00991620" w:rsidP="00DA173C">
            <w:pPr>
              <w:pStyle w:val="BoxText"/>
            </w:pPr>
            <w:r w:rsidRPr="00991620">
              <w:rPr>
                <w:rStyle w:val="Strong"/>
              </w:rPr>
              <w:t xml:space="preserve">Recommendation 8: </w:t>
            </w:r>
            <w:r w:rsidRPr="004D1FDF">
              <w:rPr>
                <w:rStyle w:val="Strong"/>
                <w:b w:val="0"/>
              </w:rPr>
              <w:t>ASBFEO should</w:t>
            </w:r>
            <w:r w:rsidRPr="00991620">
              <w:rPr>
                <w:rStyle w:val="Strong"/>
              </w:rPr>
              <w:t>:</w:t>
            </w:r>
          </w:p>
          <w:p w14:paraId="090D2D1A" w14:textId="6BE0CBDC" w:rsidR="00991620" w:rsidRPr="00F70C55" w:rsidRDefault="00991620" w:rsidP="00DA173C">
            <w:pPr>
              <w:pStyle w:val="Boxbullet"/>
            </w:pPr>
            <w:r>
              <w:rPr>
                <w:rStyle w:val="Strong"/>
                <w:b w:val="0"/>
              </w:rPr>
              <w:t>c</w:t>
            </w:r>
            <w:r w:rsidRPr="00F70C55">
              <w:rPr>
                <w:rStyle w:val="Strong"/>
                <w:b w:val="0"/>
              </w:rPr>
              <w:t>onduct a post</w:t>
            </w:r>
            <w:r w:rsidR="003A0D5E">
              <w:rPr>
                <w:rStyle w:val="Strong"/>
                <w:b w:val="0"/>
              </w:rPr>
              <w:noBreakHyphen/>
            </w:r>
            <w:r w:rsidRPr="00F70C55">
              <w:rPr>
                <w:rStyle w:val="Strong"/>
                <w:b w:val="0"/>
              </w:rPr>
              <w:t xml:space="preserve">implementation review of the </w:t>
            </w:r>
            <w:r w:rsidR="0018114A" w:rsidRPr="00F70C55">
              <w:rPr>
                <w:rStyle w:val="Strong"/>
                <w:b w:val="0"/>
                <w:bCs w:val="0"/>
              </w:rPr>
              <w:t>S</w:t>
            </w:r>
            <w:r w:rsidR="0018114A">
              <w:rPr>
                <w:rStyle w:val="Strong"/>
                <w:b w:val="0"/>
                <w:bCs w:val="0"/>
              </w:rPr>
              <w:t xml:space="preserve">mall </w:t>
            </w:r>
            <w:r w:rsidR="0018114A" w:rsidRPr="00F70C55">
              <w:rPr>
                <w:rStyle w:val="Strong"/>
                <w:b w:val="0"/>
                <w:bCs w:val="0"/>
              </w:rPr>
              <w:t>B</w:t>
            </w:r>
            <w:r w:rsidR="0018114A">
              <w:rPr>
                <w:rStyle w:val="Strong"/>
                <w:b w:val="0"/>
                <w:bCs w:val="0"/>
              </w:rPr>
              <w:t xml:space="preserve">usiness </w:t>
            </w:r>
            <w:r w:rsidR="0018114A" w:rsidRPr="00F70C55">
              <w:rPr>
                <w:rStyle w:val="Strong"/>
                <w:b w:val="0"/>
                <w:bCs w:val="0"/>
              </w:rPr>
              <w:t>T</w:t>
            </w:r>
            <w:r w:rsidR="0018114A">
              <w:rPr>
                <w:rStyle w:val="Strong"/>
                <w:b w:val="0"/>
                <w:bCs w:val="0"/>
              </w:rPr>
              <w:t xml:space="preserve">ax </w:t>
            </w:r>
            <w:r w:rsidR="0018114A" w:rsidRPr="00F70C55">
              <w:rPr>
                <w:rStyle w:val="Strong"/>
                <w:b w:val="0"/>
                <w:bCs w:val="0"/>
              </w:rPr>
              <w:t>C</w:t>
            </w:r>
            <w:r w:rsidR="0018114A">
              <w:rPr>
                <w:rStyle w:val="Strong"/>
                <w:b w:val="0"/>
                <w:bCs w:val="0"/>
              </w:rPr>
              <w:t>oncierge (</w:t>
            </w:r>
            <w:r w:rsidRPr="00F70C55">
              <w:rPr>
                <w:rStyle w:val="Strong"/>
                <w:b w:val="0"/>
              </w:rPr>
              <w:t>SBTC</w:t>
            </w:r>
            <w:r w:rsidR="0018114A">
              <w:rPr>
                <w:rStyle w:val="Strong"/>
                <w:b w:val="0"/>
                <w:bCs w:val="0"/>
              </w:rPr>
              <w:t>)</w:t>
            </w:r>
            <w:r w:rsidRPr="00F70C55">
              <w:rPr>
                <w:rStyle w:val="Strong"/>
                <w:b w:val="0"/>
              </w:rPr>
              <w:t xml:space="preserve"> service in 2 years to determine its effectiveness. Evaluation </w:t>
            </w:r>
            <w:r w:rsidRPr="00F70C55">
              <w:rPr>
                <w:lang w:val="en-US"/>
              </w:rPr>
              <w:t xml:space="preserve">measures should be developed, and the </w:t>
            </w:r>
            <w:r>
              <w:rPr>
                <w:lang w:val="en-US"/>
              </w:rPr>
              <w:t>D</w:t>
            </w:r>
            <w:r w:rsidRPr="00F70C55">
              <w:rPr>
                <w:lang w:val="en-US"/>
              </w:rPr>
              <w:t>ata team should track these outcomes</w:t>
            </w:r>
          </w:p>
          <w:p w14:paraId="30FF4142" w14:textId="7F2D7B66" w:rsidR="00991620" w:rsidRPr="00833D5F" w:rsidRDefault="00991620" w:rsidP="00DA173C">
            <w:pPr>
              <w:pStyle w:val="Boxbullet"/>
            </w:pPr>
            <w:r>
              <w:t>p</w:t>
            </w:r>
            <w:r w:rsidRPr="00F70C55">
              <w:t>romote awareness of the SBTC through mechanisms such as forums with tax practitioners</w:t>
            </w:r>
            <w:r>
              <w:t>,</w:t>
            </w:r>
            <w:r w:rsidRPr="00F70C55">
              <w:t xml:space="preserve"> and newsletters.</w:t>
            </w:r>
          </w:p>
        </w:tc>
      </w:tr>
    </w:tbl>
    <w:p w14:paraId="4E5772EF" w14:textId="77777777" w:rsidR="00403AAD" w:rsidRPr="00403AAD" w:rsidRDefault="00403AAD" w:rsidP="00403AAD">
      <w:r w:rsidRPr="00403AAD">
        <w:br w:type="page"/>
      </w:r>
    </w:p>
    <w:p w14:paraId="3126D965" w14:textId="4319C2EA" w:rsidR="00946B4F" w:rsidRDefault="00946B4F" w:rsidP="006B3222">
      <w:pPr>
        <w:pStyle w:val="Heading2"/>
      </w:pPr>
      <w:bookmarkStart w:id="69" w:name="_Toc199940977"/>
      <w:r w:rsidRPr="00946B4F">
        <w:rPr>
          <w:lang w:val="en-US"/>
        </w:rPr>
        <w:lastRenderedPageBreak/>
        <w:t>Reporting and intelligence</w:t>
      </w:r>
      <w:bookmarkEnd w:id="69"/>
      <w:r w:rsidRPr="00946B4F">
        <w:rPr>
          <w:lang w:val="en-US"/>
        </w:rPr>
        <w:t xml:space="preserve"> </w:t>
      </w:r>
    </w:p>
    <w:p w14:paraId="4789CCD0" w14:textId="7250F436" w:rsidR="00BE37BE" w:rsidRPr="00946B4F" w:rsidRDefault="00BE37BE" w:rsidP="00BE37BE">
      <w:r w:rsidRPr="008316F4">
        <w:rPr>
          <w:rStyle w:val="Strong"/>
        </w:rPr>
        <w:t xml:space="preserve">ASBFEO </w:t>
      </w:r>
      <w:r w:rsidR="006D5CCF" w:rsidRPr="008316F4">
        <w:rPr>
          <w:rStyle w:val="Strong"/>
        </w:rPr>
        <w:t>is required</w:t>
      </w:r>
      <w:r w:rsidRPr="008316F4">
        <w:rPr>
          <w:rStyle w:val="Strong"/>
        </w:rPr>
        <w:t xml:space="preserve"> to report to the Minister for Small Business annually under Section 23</w:t>
      </w:r>
      <w:r w:rsidR="00560D3F" w:rsidRPr="008316F4">
        <w:rPr>
          <w:rStyle w:val="Strong"/>
        </w:rPr>
        <w:t>,</w:t>
      </w:r>
      <w:r w:rsidRPr="008316F4">
        <w:rPr>
          <w:rStyle w:val="Strong"/>
        </w:rPr>
        <w:t xml:space="preserve"> and quarterly under Section 40</w:t>
      </w:r>
      <w:r w:rsidR="00560D3F" w:rsidRPr="008316F4">
        <w:rPr>
          <w:rStyle w:val="Strong"/>
        </w:rPr>
        <w:t>,</w:t>
      </w:r>
      <w:r w:rsidR="006D5CCF" w:rsidRPr="008316F4">
        <w:rPr>
          <w:rStyle w:val="Strong"/>
        </w:rPr>
        <w:t xml:space="preserve"> of the ASBFEO Act</w:t>
      </w:r>
      <w:r w:rsidRPr="008316F4">
        <w:rPr>
          <w:rStyle w:val="Strong"/>
        </w:rPr>
        <w:t>.</w:t>
      </w:r>
      <w:r w:rsidRPr="00946B4F">
        <w:rPr>
          <w:lang w:val="en-US"/>
        </w:rPr>
        <w:t xml:space="preserve"> ASBFEO</w:t>
      </w:r>
      <w:r>
        <w:rPr>
          <w:lang w:val="en-US"/>
        </w:rPr>
        <w:t>’</w:t>
      </w:r>
      <w:r w:rsidRPr="00946B4F">
        <w:rPr>
          <w:lang w:val="en-US"/>
        </w:rPr>
        <w:t>s quarterly reports are comprehensive and</w:t>
      </w:r>
      <w:r w:rsidR="00430C5D">
        <w:rPr>
          <w:lang w:val="en-US"/>
        </w:rPr>
        <w:t>,</w:t>
      </w:r>
      <w:r w:rsidRPr="00946B4F">
        <w:rPr>
          <w:lang w:val="en-US"/>
        </w:rPr>
        <w:t xml:space="preserve"> in addition to the legislated requirements, provide an overview of outreach activities, assistance activities and short case studies drawing out common issues or disputes small businesses are facing and tips to resolve</w:t>
      </w:r>
      <w:r w:rsidR="009532D5">
        <w:rPr>
          <w:lang w:val="en-US"/>
        </w:rPr>
        <w:t xml:space="preserve"> them</w:t>
      </w:r>
      <w:r w:rsidRPr="00946B4F">
        <w:rPr>
          <w:lang w:val="en-US"/>
        </w:rPr>
        <w:t>. The ASBFEO Act requires the annual report to include information on activity and outcomes within the assistance function</w:t>
      </w:r>
      <w:r w:rsidR="0032621F">
        <w:rPr>
          <w:lang w:val="en-US"/>
        </w:rPr>
        <w:t>.</w:t>
      </w:r>
    </w:p>
    <w:p w14:paraId="0C831531" w14:textId="44525BDE" w:rsidR="00BE37BE" w:rsidRPr="00946B4F" w:rsidRDefault="00BE37BE" w:rsidP="00BE37BE">
      <w:r w:rsidRPr="00946B4F">
        <w:rPr>
          <w:lang w:val="en-US"/>
        </w:rPr>
        <w:t xml:space="preserve">ASBFEO recently </w:t>
      </w:r>
      <w:r w:rsidR="000A50A6">
        <w:rPr>
          <w:lang w:val="en-US"/>
        </w:rPr>
        <w:t>engaged</w:t>
      </w:r>
      <w:r w:rsidRPr="00946B4F">
        <w:rPr>
          <w:lang w:val="en-US"/>
        </w:rPr>
        <w:t xml:space="preserve"> a programmer to </w:t>
      </w:r>
      <w:r w:rsidR="00396F96" w:rsidRPr="00946B4F">
        <w:rPr>
          <w:lang w:val="en-US"/>
        </w:rPr>
        <w:t>updat</w:t>
      </w:r>
      <w:r w:rsidR="00396F96">
        <w:rPr>
          <w:lang w:val="en-US"/>
        </w:rPr>
        <w:t xml:space="preserve">e its </w:t>
      </w:r>
      <w:r w:rsidRPr="00946B4F">
        <w:rPr>
          <w:lang w:val="en-US"/>
        </w:rPr>
        <w:t xml:space="preserve">CRM and tracking system, </w:t>
      </w:r>
      <w:r w:rsidR="00396F96">
        <w:rPr>
          <w:lang w:val="en-US"/>
        </w:rPr>
        <w:t>to</w:t>
      </w:r>
      <w:r w:rsidRPr="00946B4F">
        <w:rPr>
          <w:lang w:val="en-US"/>
        </w:rPr>
        <w:t xml:space="preserve"> help with reporting of data</w:t>
      </w:r>
      <w:r>
        <w:rPr>
          <w:lang w:val="en-US"/>
        </w:rPr>
        <w:t xml:space="preserve">. </w:t>
      </w:r>
    </w:p>
    <w:p w14:paraId="1BD0B32C" w14:textId="3FF80C8A" w:rsidR="00BE37BE" w:rsidRPr="00946B4F" w:rsidRDefault="00BE37BE" w:rsidP="00BE37BE">
      <w:pPr>
        <w:pStyle w:val="Heading3"/>
      </w:pPr>
      <w:bookmarkStart w:id="70" w:name="_Toc199940978"/>
      <w:r w:rsidRPr="00946B4F">
        <w:rPr>
          <w:lang w:val="en-US"/>
        </w:rPr>
        <w:t xml:space="preserve">Stakeholder </w:t>
      </w:r>
      <w:r w:rsidR="00396F96">
        <w:rPr>
          <w:lang w:val="en-US"/>
        </w:rPr>
        <w:t>v</w:t>
      </w:r>
      <w:r w:rsidRPr="00946B4F">
        <w:rPr>
          <w:lang w:val="en-US"/>
        </w:rPr>
        <w:t>iews</w:t>
      </w:r>
      <w:bookmarkEnd w:id="70"/>
      <w:r w:rsidRPr="00946B4F">
        <w:t> </w:t>
      </w:r>
    </w:p>
    <w:p w14:paraId="30766591" w14:textId="0FE5D2BC" w:rsidR="00BE37BE" w:rsidRPr="00946B4F" w:rsidRDefault="00BE37BE" w:rsidP="00BE37BE">
      <w:r w:rsidRPr="005F30E5">
        <w:rPr>
          <w:rStyle w:val="Strong"/>
        </w:rPr>
        <w:t>Stakeholders indicated that</w:t>
      </w:r>
      <w:r w:rsidR="00396F96" w:rsidDel="00DB7026">
        <w:rPr>
          <w:rStyle w:val="Strong"/>
        </w:rPr>
        <w:t xml:space="preserve"> </w:t>
      </w:r>
      <w:r w:rsidRPr="005F30E5">
        <w:rPr>
          <w:rStyle w:val="Strong"/>
        </w:rPr>
        <w:t>ASBFEO could do more to share trends and emerging risks of disputes in easy to digest format.</w:t>
      </w:r>
      <w:r w:rsidRPr="00946B4F">
        <w:rPr>
          <w:b/>
          <w:bCs/>
          <w:lang w:val="en-US"/>
        </w:rPr>
        <w:t xml:space="preserve"> </w:t>
      </w:r>
      <w:r w:rsidRPr="00946B4F">
        <w:rPr>
          <w:lang w:val="en-US"/>
        </w:rPr>
        <w:t xml:space="preserve">The </w:t>
      </w:r>
      <w:r w:rsidR="000647FC" w:rsidRPr="00916FA5">
        <w:rPr>
          <w:rFonts w:eastAsia="Calibri"/>
        </w:rPr>
        <w:t>Motor Trade</w:t>
      </w:r>
      <w:r w:rsidR="000647FC">
        <w:rPr>
          <w:rFonts w:eastAsia="Calibri"/>
        </w:rPr>
        <w:t>s</w:t>
      </w:r>
      <w:r w:rsidR="000647FC" w:rsidRPr="00916FA5">
        <w:rPr>
          <w:rFonts w:eastAsia="Calibri"/>
        </w:rPr>
        <w:t xml:space="preserve"> Association of Australia </w:t>
      </w:r>
      <w:r w:rsidR="000647FC">
        <w:rPr>
          <w:lang w:val="en-US"/>
        </w:rPr>
        <w:t>(</w:t>
      </w:r>
      <w:r w:rsidRPr="004C749D">
        <w:rPr>
          <w:b/>
          <w:lang w:val="en-US"/>
        </w:rPr>
        <w:t>MTAA</w:t>
      </w:r>
      <w:r w:rsidR="000647FC">
        <w:rPr>
          <w:lang w:val="en-US"/>
        </w:rPr>
        <w:t>)</w:t>
      </w:r>
      <w:r w:rsidRPr="00946B4F">
        <w:rPr>
          <w:lang w:val="en-US"/>
        </w:rPr>
        <w:t xml:space="preserve"> noted in </w:t>
      </w:r>
      <w:r w:rsidR="00396F96">
        <w:rPr>
          <w:lang w:val="en-US"/>
        </w:rPr>
        <w:t>its</w:t>
      </w:r>
      <w:r w:rsidR="00396F96" w:rsidRPr="00946B4F">
        <w:rPr>
          <w:lang w:val="en-US"/>
        </w:rPr>
        <w:t xml:space="preserve"> </w:t>
      </w:r>
      <w:r w:rsidRPr="00946B4F">
        <w:rPr>
          <w:lang w:val="en-US"/>
        </w:rPr>
        <w:t xml:space="preserve">submission to the Review that </w:t>
      </w:r>
      <w:r>
        <w:rPr>
          <w:rStyle w:val="Emphasis"/>
        </w:rPr>
        <w:t>‘</w:t>
      </w:r>
      <w:r w:rsidRPr="008316F4">
        <w:rPr>
          <w:rStyle w:val="Emphasis"/>
        </w:rPr>
        <w:t>... if the ASBFEO could educate business on the key risks and opportunities in emerging trends before they become mainstream all parties would benefit</w:t>
      </w:r>
      <w:r w:rsidR="009D5225" w:rsidRPr="008316F4">
        <w:rPr>
          <w:rStyle w:val="Emphasis"/>
        </w:rPr>
        <w:t>.</w:t>
      </w:r>
      <w:r w:rsidR="003A0D5E">
        <w:rPr>
          <w:rStyle w:val="Emphasis"/>
        </w:rPr>
        <w:t>’</w:t>
      </w:r>
      <w:r w:rsidR="00065357">
        <w:rPr>
          <w:rStyle w:val="Emphasis"/>
          <w:rFonts w:ascii="ZWAdobeF" w:hAnsi="ZWAdobeF" w:cs="ZWAdobeF"/>
          <w:i w:val="0"/>
          <w:color w:val="auto"/>
          <w:sz w:val="2"/>
          <w:szCs w:val="2"/>
        </w:rPr>
        <w:t>73F</w:t>
      </w:r>
      <w:r w:rsidR="004E7442" w:rsidRPr="00A226B1">
        <w:rPr>
          <w:rStyle w:val="FootnoteReference"/>
          <w:sz w:val="22"/>
          <w:szCs w:val="22"/>
          <w:vertAlign w:val="superscript"/>
          <w:lang w:val="en-US"/>
        </w:rPr>
        <w:footnoteReference w:id="75"/>
      </w:r>
      <w:r w:rsidRPr="00946B4F">
        <w:rPr>
          <w:lang w:val="en-US"/>
        </w:rPr>
        <w:t xml:space="preserve"> The </w:t>
      </w:r>
      <w:r w:rsidR="0040281E" w:rsidRPr="008A0423">
        <w:rPr>
          <w:lang w:val="en-US"/>
        </w:rPr>
        <w:t>SBDH</w:t>
      </w:r>
      <w:r w:rsidRPr="00946B4F">
        <w:rPr>
          <w:lang w:val="en-US"/>
        </w:rPr>
        <w:t xml:space="preserve"> made similar observations</w:t>
      </w:r>
      <w:r>
        <w:rPr>
          <w:lang w:val="en-US"/>
        </w:rPr>
        <w:t>.</w:t>
      </w:r>
    </w:p>
    <w:p w14:paraId="49234990" w14:textId="4D0D52FE" w:rsidR="00BE37BE" w:rsidRPr="005F30E5" w:rsidRDefault="00BE37BE" w:rsidP="00BE37BE">
      <w:pPr>
        <w:rPr>
          <w:rStyle w:val="Emphasis"/>
        </w:rPr>
      </w:pPr>
      <w:r>
        <w:rPr>
          <w:rStyle w:val="Emphasis"/>
        </w:rPr>
        <w:t>‘</w:t>
      </w:r>
      <w:r w:rsidRPr="005F30E5">
        <w:rPr>
          <w:rStyle w:val="Emphasis"/>
        </w:rPr>
        <w:t>…</w:t>
      </w:r>
      <w:r>
        <w:rPr>
          <w:rStyle w:val="Emphasis"/>
        </w:rPr>
        <w:t xml:space="preserve"> </w:t>
      </w:r>
      <w:r w:rsidRPr="005F30E5">
        <w:rPr>
          <w:rStyle w:val="Emphasis"/>
        </w:rPr>
        <w:t>there is opportunity for ASBFEO to provide greater public visibility to and understanding of the issues presenting to their assistance function, particularly issues and challenges arising from systemic poor practices or gaps in regulatory frameworks.</w:t>
      </w:r>
      <w:r w:rsidR="003A0D5E">
        <w:rPr>
          <w:rStyle w:val="Emphasis"/>
        </w:rPr>
        <w:t>’</w:t>
      </w:r>
      <w:r w:rsidR="00065357">
        <w:rPr>
          <w:rStyle w:val="Emphasis"/>
          <w:rFonts w:ascii="ZWAdobeF" w:hAnsi="ZWAdobeF" w:cs="ZWAdobeF"/>
          <w:i w:val="0"/>
          <w:color w:val="auto"/>
          <w:sz w:val="2"/>
          <w:szCs w:val="2"/>
        </w:rPr>
        <w:t>74F</w:t>
      </w:r>
      <w:r w:rsidR="007C2450" w:rsidRPr="00265870">
        <w:rPr>
          <w:rStyle w:val="FootnoteReference"/>
          <w:sz w:val="22"/>
          <w:szCs w:val="24"/>
          <w:vertAlign w:val="superscript"/>
        </w:rPr>
        <w:footnoteReference w:id="76"/>
      </w:r>
    </w:p>
    <w:p w14:paraId="69C9E3A4" w14:textId="5B86200C" w:rsidR="00BE37BE" w:rsidRPr="00946B4F" w:rsidRDefault="0040281E" w:rsidP="00BE37BE">
      <w:r>
        <w:rPr>
          <w:lang w:val="en-US"/>
        </w:rPr>
        <w:t>SBDH</w:t>
      </w:r>
      <w:r w:rsidR="00BE37BE" w:rsidRPr="00946B4F">
        <w:rPr>
          <w:lang w:val="en-US"/>
        </w:rPr>
        <w:t xml:space="preserve"> identified the </w:t>
      </w:r>
      <w:r w:rsidR="00B452B1" w:rsidRPr="004C3C11">
        <w:rPr>
          <w:lang w:val="en-US"/>
        </w:rPr>
        <w:t>AFCA</w:t>
      </w:r>
      <w:r w:rsidR="00B47E83">
        <w:rPr>
          <w:lang w:val="en-US"/>
        </w:rPr>
        <w:t>’s</w:t>
      </w:r>
      <w:r w:rsidR="00BE37BE" w:rsidRPr="00946B4F">
        <w:rPr>
          <w:lang w:val="en-US"/>
        </w:rPr>
        <w:t xml:space="preserve"> Systemic Issues Insight Report as an example</w:t>
      </w:r>
      <w:r w:rsidR="00D76460">
        <w:rPr>
          <w:lang w:val="en-US"/>
        </w:rPr>
        <w:t>.</w:t>
      </w:r>
      <w:r w:rsidR="00065357">
        <w:rPr>
          <w:rFonts w:ascii="ZWAdobeF" w:hAnsi="ZWAdobeF" w:cs="ZWAdobeF"/>
          <w:color w:val="auto"/>
          <w:sz w:val="2"/>
          <w:szCs w:val="2"/>
          <w:lang w:val="en-US"/>
        </w:rPr>
        <w:t>75F</w:t>
      </w:r>
      <w:r w:rsidR="003A38EF" w:rsidRPr="00A226B1">
        <w:rPr>
          <w:rStyle w:val="FootnoteReference"/>
          <w:sz w:val="22"/>
          <w:szCs w:val="24"/>
          <w:vertAlign w:val="superscript"/>
          <w:lang w:val="en-US"/>
        </w:rPr>
        <w:footnoteReference w:id="77"/>
      </w:r>
    </w:p>
    <w:p w14:paraId="012EEB9D" w14:textId="77777777" w:rsidR="00BE37BE" w:rsidRPr="00946B4F" w:rsidRDefault="00BE37BE" w:rsidP="00BE37BE">
      <w:pPr>
        <w:pStyle w:val="Heading3"/>
      </w:pPr>
      <w:bookmarkStart w:id="71" w:name="_Toc199940979"/>
      <w:r w:rsidRPr="00946B4F">
        <w:rPr>
          <w:lang w:val="en-US"/>
        </w:rPr>
        <w:t>Analysis</w:t>
      </w:r>
      <w:bookmarkEnd w:id="71"/>
      <w:r w:rsidRPr="00946B4F">
        <w:rPr>
          <w:lang w:val="en-US"/>
        </w:rPr>
        <w:t> </w:t>
      </w:r>
      <w:r w:rsidRPr="00946B4F">
        <w:t> </w:t>
      </w:r>
    </w:p>
    <w:p w14:paraId="67FAC6E8" w14:textId="20684827" w:rsidR="00273CFE" w:rsidRDefault="00BE37BE" w:rsidP="00BE37BE">
      <w:pPr>
        <w:rPr>
          <w:lang w:val="en-US"/>
        </w:rPr>
      </w:pPr>
      <w:r w:rsidRPr="00DD58AD">
        <w:rPr>
          <w:rStyle w:val="Strong"/>
        </w:rPr>
        <w:t xml:space="preserve">Reporting on assistance data is important </w:t>
      </w:r>
      <w:r w:rsidR="00C80948">
        <w:rPr>
          <w:rStyle w:val="Strong"/>
        </w:rPr>
        <w:t>to ensure</w:t>
      </w:r>
      <w:r w:rsidRPr="00DD58AD">
        <w:rPr>
          <w:rStyle w:val="Strong"/>
        </w:rPr>
        <w:t xml:space="preserve"> that ASBFEO has sufficient evidence to support its advocacy activities in relation to its assistance function.</w:t>
      </w:r>
      <w:r>
        <w:rPr>
          <w:lang w:val="en-US"/>
        </w:rPr>
        <w:t xml:space="preserve"> </w:t>
      </w:r>
      <w:r w:rsidRPr="00946B4F">
        <w:rPr>
          <w:lang w:val="en-US"/>
        </w:rPr>
        <w:t>There have been discrepancies between the data in the quarterly and annual reports relating to activity in the assistance function. However, this has improved recently, with data for 2023</w:t>
      </w:r>
      <w:r w:rsidR="00715F41">
        <w:rPr>
          <w:lang w:val="en-US"/>
        </w:rPr>
        <w:t>–</w:t>
      </w:r>
      <w:r w:rsidRPr="00946B4F">
        <w:rPr>
          <w:lang w:val="en-US"/>
        </w:rPr>
        <w:t>24 consistently reported across publications.</w:t>
      </w:r>
    </w:p>
    <w:p w14:paraId="035A68A9" w14:textId="3B66D182" w:rsidR="00BE37BE" w:rsidRPr="00946B4F" w:rsidRDefault="00BE37BE" w:rsidP="00BE37BE">
      <w:r w:rsidRPr="007336EC">
        <w:rPr>
          <w:rStyle w:val="Strong"/>
        </w:rPr>
        <w:t xml:space="preserve">ASBFEO cannot currently report how resolution is achieved, how long a case takes to finalise, and how many touchpoints are made. </w:t>
      </w:r>
      <w:r w:rsidRPr="004D1FDF">
        <w:rPr>
          <w:rStyle w:val="Strong"/>
          <w:b w:val="0"/>
        </w:rPr>
        <w:t xml:space="preserve">In addition, ASBFEO does not have data available to provide insights into dispute reasons and specifics of resolutions. </w:t>
      </w:r>
      <w:r w:rsidRPr="00946B4F">
        <w:rPr>
          <w:lang w:val="en-US"/>
        </w:rPr>
        <w:t>For example,</w:t>
      </w:r>
      <w:r w:rsidRPr="00946B4F" w:rsidDel="000039EC">
        <w:rPr>
          <w:lang w:val="en-US"/>
        </w:rPr>
        <w:t xml:space="preserve"> </w:t>
      </w:r>
      <w:r w:rsidRPr="00946B4F">
        <w:rPr>
          <w:lang w:val="en-US"/>
        </w:rPr>
        <w:t xml:space="preserve">ASBFEO cannot identify which provision of the Franchising </w:t>
      </w:r>
      <w:r w:rsidR="00556A85">
        <w:rPr>
          <w:lang w:val="en-US"/>
        </w:rPr>
        <w:t>C</w:t>
      </w:r>
      <w:r w:rsidRPr="00946B4F">
        <w:rPr>
          <w:lang w:val="en-US"/>
        </w:rPr>
        <w:t xml:space="preserve">ode of </w:t>
      </w:r>
      <w:r w:rsidR="00556A85">
        <w:rPr>
          <w:lang w:val="en-US"/>
        </w:rPr>
        <w:t>C</w:t>
      </w:r>
      <w:r w:rsidRPr="00946B4F">
        <w:rPr>
          <w:lang w:val="en-US"/>
        </w:rPr>
        <w:t xml:space="preserve">onduct is creating a dispute or requires ADR. Some of the underlying observations </w:t>
      </w:r>
      <w:r w:rsidR="00567ECF">
        <w:rPr>
          <w:lang w:val="en-US"/>
        </w:rPr>
        <w:t>in the</w:t>
      </w:r>
      <w:r w:rsidRPr="00946B4F">
        <w:rPr>
          <w:lang w:val="en-US"/>
        </w:rPr>
        <w:t xml:space="preserve"> McGregor Review remain consistent with what was observed in this reporting period.</w:t>
      </w:r>
      <w:r w:rsidR="00065357">
        <w:rPr>
          <w:rFonts w:ascii="ZWAdobeF" w:hAnsi="ZWAdobeF" w:cs="ZWAdobeF"/>
          <w:color w:val="auto"/>
          <w:sz w:val="2"/>
          <w:szCs w:val="2"/>
          <w:lang w:val="en-US"/>
        </w:rPr>
        <w:t>76F</w:t>
      </w:r>
      <w:r w:rsidR="00370538" w:rsidRPr="00A226B1">
        <w:rPr>
          <w:rStyle w:val="FootnoteReference"/>
          <w:sz w:val="22"/>
          <w:szCs w:val="24"/>
          <w:vertAlign w:val="superscript"/>
          <w:lang w:val="en-US"/>
        </w:rPr>
        <w:footnoteReference w:id="78"/>
      </w:r>
      <w:r w:rsidRPr="00A226B1">
        <w:rPr>
          <w:sz w:val="28"/>
          <w:szCs w:val="24"/>
          <w:lang w:val="en-US"/>
        </w:rPr>
        <w:t xml:space="preserve"> </w:t>
      </w:r>
      <w:r w:rsidRPr="00946B4F">
        <w:rPr>
          <w:lang w:val="en-US"/>
        </w:rPr>
        <w:t xml:space="preserve">It is expected that the recommendations to </w:t>
      </w:r>
      <w:r w:rsidR="008A13CA">
        <w:rPr>
          <w:lang w:val="en-US"/>
        </w:rPr>
        <w:t xml:space="preserve">review </w:t>
      </w:r>
      <w:r w:rsidRPr="00946B4F">
        <w:rPr>
          <w:lang w:val="en-US"/>
        </w:rPr>
        <w:t>reporting will improve outcomes.</w:t>
      </w:r>
    </w:p>
    <w:p w14:paraId="3E6DC1C2" w14:textId="489BF4FC" w:rsidR="00BE37BE" w:rsidRPr="00626D8F" w:rsidRDefault="00BE37BE" w:rsidP="00BE37BE">
      <w:r w:rsidRPr="007336EC">
        <w:rPr>
          <w:rStyle w:val="Strong"/>
        </w:rPr>
        <w:lastRenderedPageBreak/>
        <w:t xml:space="preserve">To benefit </w:t>
      </w:r>
      <w:r w:rsidR="00B80067">
        <w:rPr>
          <w:rStyle w:val="Strong"/>
        </w:rPr>
        <w:t>its</w:t>
      </w:r>
      <w:r w:rsidR="00B80067" w:rsidRPr="007336EC">
        <w:rPr>
          <w:rStyle w:val="Strong"/>
        </w:rPr>
        <w:t xml:space="preserve"> </w:t>
      </w:r>
      <w:r w:rsidRPr="007336EC">
        <w:rPr>
          <w:rStyle w:val="Strong"/>
        </w:rPr>
        <w:t>wide range of stakeholders,</w:t>
      </w:r>
      <w:r w:rsidR="00B80067">
        <w:rPr>
          <w:rStyle w:val="Strong"/>
        </w:rPr>
        <w:t xml:space="preserve"> </w:t>
      </w:r>
      <w:r w:rsidRPr="007336EC">
        <w:rPr>
          <w:rStyle w:val="Strong"/>
        </w:rPr>
        <w:t>ASBFEO should consider communicat</w:t>
      </w:r>
      <w:r w:rsidR="00C835B6">
        <w:rPr>
          <w:rStyle w:val="Strong"/>
        </w:rPr>
        <w:t>ing</w:t>
      </w:r>
      <w:r w:rsidRPr="007336EC">
        <w:rPr>
          <w:rStyle w:val="Strong"/>
        </w:rPr>
        <w:t xml:space="preserve"> themes and trends in disputes more effectively, and the potential to use one</w:t>
      </w:r>
      <w:r w:rsidRPr="007336EC">
        <w:rPr>
          <w:rStyle w:val="Strong"/>
        </w:rPr>
        <w:noBreakHyphen/>
        <w:t>page briefs on key policy reforms.</w:t>
      </w:r>
      <w:r w:rsidRPr="00946B4F">
        <w:rPr>
          <w:lang w:val="en-US"/>
        </w:rPr>
        <w:t xml:space="preserve"> </w:t>
      </w:r>
      <w:r w:rsidR="000039EC">
        <w:rPr>
          <w:lang w:val="en-US"/>
        </w:rPr>
        <w:t>D</w:t>
      </w:r>
      <w:r w:rsidRPr="00946B4F">
        <w:rPr>
          <w:lang w:val="en-US"/>
        </w:rPr>
        <w:t>ata on disputes could provide valuable evidence regarding the trends and costs of disputes</w:t>
      </w:r>
      <w:r w:rsidR="00B44B62">
        <w:rPr>
          <w:lang w:val="en-US"/>
        </w:rPr>
        <w:t>. T</w:t>
      </w:r>
      <w:r w:rsidR="000B77E9">
        <w:rPr>
          <w:lang w:val="en-US"/>
        </w:rPr>
        <w:t xml:space="preserve">he </w:t>
      </w:r>
      <w:r w:rsidR="00FC742C">
        <w:rPr>
          <w:lang w:val="en-US"/>
        </w:rPr>
        <w:t>R</w:t>
      </w:r>
      <w:r w:rsidR="000B77E9">
        <w:rPr>
          <w:lang w:val="en-US"/>
        </w:rPr>
        <w:t xml:space="preserve">eview </w:t>
      </w:r>
      <w:r w:rsidRPr="00946B4F">
        <w:rPr>
          <w:lang w:val="en-US"/>
        </w:rPr>
        <w:t>recommends</w:t>
      </w:r>
      <w:r w:rsidRPr="00946B4F" w:rsidDel="000039EC">
        <w:rPr>
          <w:lang w:val="en-US"/>
        </w:rPr>
        <w:t xml:space="preserve"> </w:t>
      </w:r>
      <w:r w:rsidRPr="00946B4F">
        <w:rPr>
          <w:lang w:val="en-US"/>
        </w:rPr>
        <w:t xml:space="preserve">ASBFEO undertake rigorous analysis of disputes to inform advocacy work. For example, systemic trends could include the cost of a franchising dispute to a small business owner and common contraventions of the Franchising Code </w:t>
      </w:r>
      <w:r w:rsidR="00A13871">
        <w:rPr>
          <w:lang w:val="en-US"/>
        </w:rPr>
        <w:t xml:space="preserve">of Conduct </w:t>
      </w:r>
      <w:r w:rsidRPr="00946B4F">
        <w:rPr>
          <w:lang w:val="en-US"/>
        </w:rPr>
        <w:t>by franchisors. Further, the data could be used to inform best practice guides for potential disputants or parties wanting to understand the process and trade</w:t>
      </w:r>
      <w:r>
        <w:rPr>
          <w:lang w:val="en-US"/>
        </w:rPr>
        <w:noBreakHyphen/>
      </w:r>
      <w:r w:rsidRPr="00946B4F">
        <w:rPr>
          <w:lang w:val="en-US"/>
        </w:rPr>
        <w:t xml:space="preserve">offs </w:t>
      </w:r>
      <w:r w:rsidR="00C575E0">
        <w:rPr>
          <w:lang w:val="en-US"/>
        </w:rPr>
        <w:t>when</w:t>
      </w:r>
      <w:r w:rsidR="00C575E0" w:rsidRPr="00946B4F">
        <w:rPr>
          <w:lang w:val="en-US"/>
        </w:rPr>
        <w:t xml:space="preserve"> </w:t>
      </w:r>
      <w:proofErr w:type="gramStart"/>
      <w:r w:rsidDel="00C575E0">
        <w:t>taking action</w:t>
      </w:r>
      <w:proofErr w:type="gramEnd"/>
      <w:r w:rsidDel="00C575E0">
        <w:t>.</w:t>
      </w:r>
    </w:p>
    <w:p w14:paraId="13AF0952" w14:textId="77777777" w:rsidR="00BE37BE" w:rsidRPr="00946B4F" w:rsidRDefault="00BE37BE" w:rsidP="00BE37BE">
      <w:pPr>
        <w:pStyle w:val="Heading3"/>
      </w:pPr>
      <w:bookmarkStart w:id="72" w:name="_Toc199940980"/>
      <w:r w:rsidRPr="00946B4F">
        <w:rPr>
          <w:lang w:val="en-US"/>
        </w:rPr>
        <w:t>Recommendation</w:t>
      </w:r>
      <w:bookmarkEnd w:id="72"/>
      <w:r w:rsidRPr="00946B4F">
        <w:t> </w:t>
      </w:r>
    </w:p>
    <w:tbl>
      <w:tblPr>
        <w:tblStyle w:val="BoxStyle"/>
        <w:tblW w:w="5000" w:type="pct"/>
        <w:shd w:val="clear" w:color="auto" w:fill="F4F0EC"/>
        <w:tblLook w:val="0620" w:firstRow="1" w:lastRow="0" w:firstColumn="0" w:lastColumn="0" w:noHBand="1" w:noVBand="1"/>
      </w:tblPr>
      <w:tblGrid>
        <w:gridCol w:w="9070"/>
      </w:tblGrid>
      <w:tr w:rsidR="00991620" w14:paraId="25A502B3" w14:textId="77777777" w:rsidTr="004C4118">
        <w:tc>
          <w:tcPr>
            <w:tcW w:w="5000" w:type="pct"/>
            <w:shd w:val="clear" w:color="auto" w:fill="F4F0EC"/>
            <w:hideMark/>
          </w:tcPr>
          <w:p w14:paraId="07DF4ECF" w14:textId="0EB1E806" w:rsidR="00181094" w:rsidRPr="00194454" w:rsidRDefault="00181094" w:rsidP="008316F4">
            <w:pPr>
              <w:pStyle w:val="BoxText"/>
              <w:rPr>
                <w:b/>
                <w:bCs/>
              </w:rPr>
            </w:pPr>
            <w:r w:rsidRPr="008316F4">
              <w:rPr>
                <w:rStyle w:val="Strong"/>
              </w:rPr>
              <w:t>Recommendation 9:</w:t>
            </w:r>
            <w:r w:rsidRPr="00194454">
              <w:rPr>
                <w:b/>
                <w:bCs/>
                <w:lang w:val="en-US"/>
              </w:rPr>
              <w:t xml:space="preserve"> </w:t>
            </w:r>
            <w:r w:rsidRPr="00194454">
              <w:rPr>
                <w:lang w:val="en-US"/>
              </w:rPr>
              <w:t xml:space="preserve">ASBFEO should review </w:t>
            </w:r>
            <w:r>
              <w:rPr>
                <w:lang w:val="en-US"/>
              </w:rPr>
              <w:t>its</w:t>
            </w:r>
            <w:r w:rsidRPr="00194454">
              <w:rPr>
                <w:lang w:val="en-US"/>
              </w:rPr>
              <w:t xml:space="preserve"> reporting</w:t>
            </w:r>
            <w:r>
              <w:rPr>
                <w:lang w:val="en-US"/>
              </w:rPr>
              <w:t xml:space="preserve"> systems to ensure</w:t>
            </w:r>
            <w:r w:rsidRPr="00194454">
              <w:rPr>
                <w:lang w:val="en-US"/>
              </w:rPr>
              <w:t>:</w:t>
            </w:r>
            <w:r w:rsidRPr="00194454">
              <w:rPr>
                <w:b/>
                <w:bCs/>
              </w:rPr>
              <w:t> </w:t>
            </w:r>
          </w:p>
          <w:p w14:paraId="1CDF0516" w14:textId="5A1EE58D" w:rsidR="00181094" w:rsidRPr="00946B4F" w:rsidRDefault="00181094" w:rsidP="008316F4">
            <w:pPr>
              <w:pStyle w:val="Boxbullet"/>
            </w:pPr>
            <w:r>
              <w:t>a</w:t>
            </w:r>
            <w:r w:rsidRPr="00946B4F">
              <w:t xml:space="preserve">ssistance and disputes activity </w:t>
            </w:r>
            <w:proofErr w:type="gramStart"/>
            <w:r>
              <w:t>is</w:t>
            </w:r>
            <w:proofErr w:type="gramEnd"/>
            <w:r>
              <w:t xml:space="preserve"> </w:t>
            </w:r>
            <w:r w:rsidRPr="00946B4F">
              <w:t>consistently track</w:t>
            </w:r>
            <w:r>
              <w:t>ed across</w:t>
            </w:r>
            <w:r w:rsidRPr="00946B4F">
              <w:t xml:space="preserve"> </w:t>
            </w:r>
            <w:r>
              <w:t xml:space="preserve">reporting periods </w:t>
            </w:r>
            <w:r w:rsidRPr="00946B4F">
              <w:t xml:space="preserve">and </w:t>
            </w:r>
            <w:r>
              <w:t xml:space="preserve">dispute cases </w:t>
            </w:r>
            <w:r w:rsidRPr="00946B4F">
              <w:t>report</w:t>
            </w:r>
            <w:r>
              <w:t>ed</w:t>
            </w:r>
            <w:r w:rsidRPr="00946B4F">
              <w:t xml:space="preserve"> </w:t>
            </w:r>
            <w:r>
              <w:t xml:space="preserve">to </w:t>
            </w:r>
            <w:r w:rsidRPr="00946B4F">
              <w:t>includ</w:t>
            </w:r>
            <w:r>
              <w:t>e</w:t>
            </w:r>
            <w:r w:rsidRPr="00946B4F">
              <w:t xml:space="preserve"> the types of disputes</w:t>
            </w:r>
            <w:r>
              <w:t xml:space="preserve"> and </w:t>
            </w:r>
            <w:r w:rsidRPr="00946B4F">
              <w:t>the outcomes reached</w:t>
            </w:r>
            <w:r>
              <w:t xml:space="preserve"> </w:t>
            </w:r>
          </w:p>
          <w:p w14:paraId="32B5ECC7" w14:textId="030FBA46" w:rsidR="00991620" w:rsidRPr="00946B4F" w:rsidRDefault="00991620" w:rsidP="008316F4">
            <w:pPr>
              <w:pStyle w:val="Boxbullet"/>
            </w:pPr>
            <w:r w:rsidRPr="00946B4F">
              <w:t xml:space="preserve">intelligence gathered from </w:t>
            </w:r>
            <w:r w:rsidRPr="008647B2">
              <w:t xml:space="preserve">analysing requests for assistance </w:t>
            </w:r>
            <w:r>
              <w:t xml:space="preserve">is </w:t>
            </w:r>
            <w:r w:rsidRPr="00946B4F">
              <w:t>used for case studies and case pathways on the website</w:t>
            </w:r>
            <w:r w:rsidRPr="00946B4F">
              <w:rPr>
                <w:lang w:val="en-US"/>
              </w:rPr>
              <w:t xml:space="preserve">, and </w:t>
            </w:r>
            <w:r w:rsidR="00181094">
              <w:rPr>
                <w:lang w:val="en-US"/>
              </w:rPr>
              <w:t xml:space="preserve">the </w:t>
            </w:r>
            <w:r w:rsidRPr="00946B4F">
              <w:rPr>
                <w:lang w:val="en-US"/>
              </w:rPr>
              <w:t xml:space="preserve">advocacy agenda on systemic </w:t>
            </w:r>
            <w:r w:rsidR="00181094" w:rsidRPr="00946B4F">
              <w:rPr>
                <w:lang w:val="en-US"/>
              </w:rPr>
              <w:t>issues</w:t>
            </w:r>
            <w:r w:rsidR="00181094" w:rsidRPr="00946B4F">
              <w:rPr>
                <w:rFonts w:ascii="Arial" w:hAnsi="Arial" w:cs="Arial"/>
              </w:rPr>
              <w:t>  </w:t>
            </w:r>
            <w:r w:rsidRPr="00946B4F">
              <w:rPr>
                <w:rFonts w:ascii="Aptos" w:hAnsi="Aptos" w:cs="Aptos"/>
              </w:rPr>
              <w:t> </w:t>
            </w:r>
          </w:p>
          <w:p w14:paraId="0849666A" w14:textId="7C6E1991" w:rsidR="00991620" w:rsidRDefault="00DC51C7" w:rsidP="008316F4">
            <w:pPr>
              <w:pStyle w:val="Boxbullet"/>
            </w:pPr>
            <w:r>
              <w:t xml:space="preserve">it </w:t>
            </w:r>
            <w:r w:rsidR="00991620" w:rsidRPr="00946B4F">
              <w:t>communicate</w:t>
            </w:r>
            <w:r w:rsidR="00991620">
              <w:t>s</w:t>
            </w:r>
            <w:r w:rsidR="00991620" w:rsidRPr="00946B4F">
              <w:t xml:space="preserve"> themes and trends in disputes more effectivel</w:t>
            </w:r>
            <w:r w:rsidR="00991620">
              <w:t>y</w:t>
            </w:r>
          </w:p>
          <w:p w14:paraId="74922511" w14:textId="342F0470" w:rsidR="00991620" w:rsidRPr="00833D5F" w:rsidRDefault="00DC51C7" w:rsidP="008316F4">
            <w:pPr>
              <w:pStyle w:val="Boxbullet"/>
            </w:pPr>
            <w:r>
              <w:t>it</w:t>
            </w:r>
            <w:r w:rsidR="00895FE6">
              <w:t xml:space="preserve"> </w:t>
            </w:r>
            <w:r w:rsidR="00991620">
              <w:t>uses</w:t>
            </w:r>
            <w:r w:rsidR="00991620" w:rsidRPr="00946B4F">
              <w:t xml:space="preserve"> one</w:t>
            </w:r>
            <w:r w:rsidR="00991620">
              <w:noBreakHyphen/>
            </w:r>
            <w:r w:rsidR="00991620" w:rsidRPr="00946B4F">
              <w:t xml:space="preserve">page briefs </w:t>
            </w:r>
            <w:r w:rsidR="00991620">
              <w:t xml:space="preserve">to highlight </w:t>
            </w:r>
            <w:r w:rsidR="00991620" w:rsidRPr="00946B4F">
              <w:t>key policy reforms</w:t>
            </w:r>
            <w:r w:rsidR="00991620">
              <w:t xml:space="preserve"> that may address issues arising from trends and themes in disputes</w:t>
            </w:r>
            <w:r w:rsidR="00991620" w:rsidRPr="00946B4F">
              <w:t>.</w:t>
            </w:r>
          </w:p>
        </w:tc>
      </w:tr>
    </w:tbl>
    <w:p w14:paraId="3A6EBCC7" w14:textId="77777777" w:rsidR="00946B4F" w:rsidRPr="00946B4F" w:rsidRDefault="00946B4F" w:rsidP="00665CC0">
      <w:pPr>
        <w:pStyle w:val="Heading3"/>
      </w:pPr>
      <w:bookmarkStart w:id="73" w:name="_Toc199940981"/>
      <w:r w:rsidRPr="00946B4F">
        <w:rPr>
          <w:lang w:val="en-US"/>
        </w:rPr>
        <w:t>Service standards</w:t>
      </w:r>
      <w:bookmarkEnd w:id="73"/>
      <w:r w:rsidRPr="00946B4F">
        <w:t> </w:t>
      </w:r>
    </w:p>
    <w:p w14:paraId="3413B68B" w14:textId="1E4B7900" w:rsidR="005D4100" w:rsidRPr="0010234A" w:rsidRDefault="009762B6" w:rsidP="008316F4">
      <w:pPr>
        <w:rPr>
          <w:rStyle w:val="Strong"/>
          <w:b w:val="0"/>
          <w:szCs w:val="22"/>
        </w:rPr>
      </w:pPr>
      <w:r w:rsidRPr="008316F4">
        <w:rPr>
          <w:rStyle w:val="Strong"/>
        </w:rPr>
        <w:t>ASBFEO does not have formal service standards for the time taken</w:t>
      </w:r>
      <w:r>
        <w:rPr>
          <w:b/>
          <w:szCs w:val="22"/>
          <w:lang w:val="en-US"/>
        </w:rPr>
        <w:t xml:space="preserve"> for the Case Management team</w:t>
      </w:r>
      <w:r w:rsidRPr="0010234A">
        <w:rPr>
          <w:b/>
          <w:szCs w:val="22"/>
          <w:lang w:val="en-US"/>
        </w:rPr>
        <w:t xml:space="preserve"> to respond to an enquiry or to </w:t>
      </w:r>
      <w:proofErr w:type="spellStart"/>
      <w:r w:rsidRPr="0010234A">
        <w:rPr>
          <w:b/>
          <w:szCs w:val="22"/>
          <w:lang w:val="en-US"/>
        </w:rPr>
        <w:t>finalise</w:t>
      </w:r>
      <w:proofErr w:type="spellEnd"/>
      <w:r w:rsidRPr="0010234A">
        <w:rPr>
          <w:b/>
          <w:szCs w:val="22"/>
          <w:lang w:val="en-US"/>
        </w:rPr>
        <w:t xml:space="preserve"> or refer </w:t>
      </w:r>
      <w:r>
        <w:rPr>
          <w:b/>
          <w:szCs w:val="22"/>
          <w:lang w:val="en-US"/>
        </w:rPr>
        <w:t xml:space="preserve">a case </w:t>
      </w:r>
      <w:r w:rsidRPr="0010234A">
        <w:rPr>
          <w:b/>
          <w:szCs w:val="22"/>
          <w:lang w:val="en-US"/>
        </w:rPr>
        <w:t>for mediation.</w:t>
      </w:r>
      <w:r w:rsidRPr="0010234A">
        <w:rPr>
          <w:lang w:val="en-US"/>
        </w:rPr>
        <w:t xml:space="preserve"> </w:t>
      </w:r>
      <w:r w:rsidR="005D4100" w:rsidRPr="0010234A">
        <w:rPr>
          <w:lang w:val="en-US"/>
        </w:rPr>
        <w:t>ASBFEO only has service standards for the Contact Centre. Similar agencies, such as the Commonwealth Ombudsman, have service standards included in their published service charter. To ensure</w:t>
      </w:r>
      <w:r w:rsidR="005D4100" w:rsidRPr="0010234A" w:rsidDel="005E69EA">
        <w:rPr>
          <w:lang w:val="en-US"/>
        </w:rPr>
        <w:t xml:space="preserve"> </w:t>
      </w:r>
      <w:r w:rsidR="005D4100" w:rsidRPr="0010234A">
        <w:rPr>
          <w:lang w:val="en-US"/>
        </w:rPr>
        <w:t>ASBFEO</w:t>
      </w:r>
      <w:r w:rsidR="005D4100">
        <w:rPr>
          <w:lang w:val="en-US"/>
        </w:rPr>
        <w:t>’</w:t>
      </w:r>
      <w:r w:rsidR="005D4100" w:rsidRPr="0010234A">
        <w:rPr>
          <w:lang w:val="en-US"/>
        </w:rPr>
        <w:t xml:space="preserve">s services are effective and convenient, service standards for the Case Management </w:t>
      </w:r>
      <w:r w:rsidR="00763058">
        <w:rPr>
          <w:lang w:val="en-US"/>
        </w:rPr>
        <w:t>t</w:t>
      </w:r>
      <w:r w:rsidR="005D4100" w:rsidRPr="0010234A">
        <w:rPr>
          <w:lang w:val="en-US"/>
        </w:rPr>
        <w:t xml:space="preserve">eam should be introduced and published on the ASBFEO website. ASBFEO could </w:t>
      </w:r>
      <w:r w:rsidR="005D4100" w:rsidRPr="0010234A">
        <w:t>also report on average time to close a request for assistance (measured in days) and produce an aged case report. </w:t>
      </w:r>
    </w:p>
    <w:p w14:paraId="5EFDE736" w14:textId="3BD4FDDA" w:rsidR="00CC66FA" w:rsidRPr="00946B4F" w:rsidRDefault="00CC66FA" w:rsidP="00CC66FA">
      <w:pPr>
        <w:pStyle w:val="Heading3"/>
      </w:pPr>
      <w:bookmarkStart w:id="74" w:name="_Toc199940982"/>
      <w:r>
        <w:t>Recommendation</w:t>
      </w:r>
      <w:bookmarkEnd w:id="74"/>
    </w:p>
    <w:tbl>
      <w:tblPr>
        <w:tblStyle w:val="BoxStyle"/>
        <w:tblW w:w="5000" w:type="pct"/>
        <w:shd w:val="clear" w:color="auto" w:fill="F4F0EC"/>
        <w:tblLook w:val="0620" w:firstRow="1" w:lastRow="0" w:firstColumn="0" w:lastColumn="0" w:noHBand="1" w:noVBand="1"/>
      </w:tblPr>
      <w:tblGrid>
        <w:gridCol w:w="9070"/>
      </w:tblGrid>
      <w:tr w:rsidR="00776240" w14:paraId="40EEB5D9" w14:textId="77777777" w:rsidTr="004C4118">
        <w:tc>
          <w:tcPr>
            <w:tcW w:w="5000" w:type="pct"/>
            <w:shd w:val="clear" w:color="auto" w:fill="F4F0EC"/>
            <w:hideMark/>
          </w:tcPr>
          <w:p w14:paraId="7543B11E" w14:textId="3740E8CF" w:rsidR="00776240" w:rsidRPr="001415C3" w:rsidRDefault="00776240" w:rsidP="005A5221">
            <w:pPr>
              <w:pStyle w:val="BoxText"/>
            </w:pPr>
            <w:r w:rsidRPr="005F30E5">
              <w:rPr>
                <w:rStyle w:val="Strong"/>
              </w:rPr>
              <w:t xml:space="preserve">Recommendation </w:t>
            </w:r>
            <w:r>
              <w:rPr>
                <w:rStyle w:val="Strong"/>
              </w:rPr>
              <w:t>10</w:t>
            </w:r>
            <w:r w:rsidRPr="005F30E5">
              <w:rPr>
                <w:rStyle w:val="Strong"/>
              </w:rPr>
              <w:t>:</w:t>
            </w:r>
            <w:r w:rsidRPr="00946B4F">
              <w:rPr>
                <w:lang w:val="en-US"/>
              </w:rPr>
              <w:t xml:space="preserve"> ASBFEO should develop assistance service standards and </w:t>
            </w:r>
            <w:r w:rsidRPr="004D1FDF">
              <w:rPr>
                <w:lang w:val="en-US"/>
              </w:rPr>
              <w:t xml:space="preserve">key performance indicators to measure </w:t>
            </w:r>
            <w:r w:rsidRPr="00946B4F">
              <w:rPr>
                <w:lang w:val="en-US"/>
              </w:rPr>
              <w:t>effectiveness and publish the results</w:t>
            </w:r>
            <w:r>
              <w:rPr>
                <w:lang w:val="en-US"/>
              </w:rPr>
              <w:t xml:space="preserve"> where appropriate</w:t>
            </w:r>
            <w:r w:rsidRPr="00946B4F">
              <w:rPr>
                <w:lang w:val="en-US"/>
              </w:rPr>
              <w:t>.</w:t>
            </w:r>
            <w:r w:rsidRPr="00946B4F">
              <w:t> </w:t>
            </w:r>
          </w:p>
        </w:tc>
      </w:tr>
    </w:tbl>
    <w:p w14:paraId="7F8141A7" w14:textId="77777777" w:rsidR="005F30E5" w:rsidRDefault="005F30E5">
      <w:pPr>
        <w:spacing w:before="0" w:after="160" w:line="259" w:lineRule="auto"/>
      </w:pPr>
      <w:r>
        <w:br w:type="page"/>
      </w:r>
    </w:p>
    <w:p w14:paraId="0F8ECB18" w14:textId="66C01E42" w:rsidR="00946B4F" w:rsidRPr="00946B4F" w:rsidRDefault="00946B4F" w:rsidP="00BF60E7">
      <w:pPr>
        <w:pStyle w:val="Heading3"/>
      </w:pPr>
      <w:bookmarkStart w:id="75" w:name="_Toc199940983"/>
      <w:r w:rsidRPr="00946B4F">
        <w:rPr>
          <w:lang w:val="en-US"/>
        </w:rPr>
        <w:lastRenderedPageBreak/>
        <w:t xml:space="preserve">Satisfaction </w:t>
      </w:r>
      <w:r w:rsidR="00065605">
        <w:rPr>
          <w:lang w:val="en-US"/>
        </w:rPr>
        <w:t>s</w:t>
      </w:r>
      <w:r w:rsidRPr="00946B4F">
        <w:rPr>
          <w:lang w:val="en-US"/>
        </w:rPr>
        <w:t>urveys</w:t>
      </w:r>
      <w:bookmarkEnd w:id="75"/>
      <w:r w:rsidRPr="00946B4F">
        <w:t> </w:t>
      </w:r>
    </w:p>
    <w:p w14:paraId="2CD9D802" w14:textId="22C12EC0" w:rsidR="00565222" w:rsidRPr="005F30E5" w:rsidRDefault="00565222" w:rsidP="00565222">
      <w:pPr>
        <w:rPr>
          <w:rStyle w:val="Strong"/>
        </w:rPr>
      </w:pPr>
      <w:r w:rsidRPr="005F30E5">
        <w:rPr>
          <w:rStyle w:val="Strong"/>
        </w:rPr>
        <w:t>ASBFEO do</w:t>
      </w:r>
      <w:r w:rsidR="00065605">
        <w:rPr>
          <w:rStyle w:val="Strong"/>
        </w:rPr>
        <w:t>es</w:t>
      </w:r>
      <w:r>
        <w:rPr>
          <w:rStyle w:val="Strong"/>
        </w:rPr>
        <w:t xml:space="preserve"> not conduct</w:t>
      </w:r>
      <w:r w:rsidRPr="005F30E5">
        <w:rPr>
          <w:rStyle w:val="Strong"/>
        </w:rPr>
        <w:t xml:space="preserve"> a satisfaction survey </w:t>
      </w:r>
      <w:r>
        <w:rPr>
          <w:b/>
          <w:bCs/>
          <w:lang w:val="en-US"/>
        </w:rPr>
        <w:t xml:space="preserve">for parties using </w:t>
      </w:r>
      <w:r w:rsidR="00065605">
        <w:rPr>
          <w:b/>
          <w:bCs/>
          <w:lang w:val="en-US"/>
        </w:rPr>
        <w:t xml:space="preserve">its </w:t>
      </w:r>
      <w:r>
        <w:rPr>
          <w:b/>
          <w:bCs/>
          <w:lang w:val="en-US"/>
        </w:rPr>
        <w:t>assistance service,</w:t>
      </w:r>
      <w:r w:rsidRPr="00946B4F">
        <w:rPr>
          <w:b/>
          <w:bCs/>
          <w:lang w:val="en-US"/>
        </w:rPr>
        <w:t xml:space="preserve"> </w:t>
      </w:r>
      <w:r>
        <w:rPr>
          <w:rStyle w:val="Strong"/>
        </w:rPr>
        <w:t>however as part of the ISO accreditation t</w:t>
      </w:r>
      <w:r w:rsidRPr="005F30E5">
        <w:rPr>
          <w:rStyle w:val="Strong"/>
        </w:rPr>
        <w:t xml:space="preserve">hey </w:t>
      </w:r>
      <w:r>
        <w:rPr>
          <w:rStyle w:val="Strong"/>
        </w:rPr>
        <w:t>will be</w:t>
      </w:r>
      <w:r w:rsidRPr="005F30E5">
        <w:rPr>
          <w:rStyle w:val="Strong"/>
        </w:rPr>
        <w:t xml:space="preserve"> developing one </w:t>
      </w:r>
      <w:r>
        <w:rPr>
          <w:rStyle w:val="Strong"/>
        </w:rPr>
        <w:t>to include</w:t>
      </w:r>
      <w:r w:rsidRPr="005F30E5">
        <w:rPr>
          <w:rStyle w:val="Strong"/>
        </w:rPr>
        <w:t xml:space="preserve"> the following</w:t>
      </w:r>
      <w:r>
        <w:rPr>
          <w:rStyle w:val="Strong"/>
        </w:rPr>
        <w:t>:</w:t>
      </w:r>
    </w:p>
    <w:p w14:paraId="739D6AD3" w14:textId="54F3AB68" w:rsidR="00946B4F" w:rsidRPr="00946B4F" w:rsidRDefault="00E36CE6" w:rsidP="005F30E5">
      <w:pPr>
        <w:pStyle w:val="Bullet"/>
      </w:pPr>
      <w:r>
        <w:t>s</w:t>
      </w:r>
      <w:r w:rsidR="00946B4F" w:rsidRPr="00946B4F">
        <w:t xml:space="preserve">atisfaction with </w:t>
      </w:r>
      <w:r w:rsidR="00246DDA">
        <w:t xml:space="preserve">the </w:t>
      </w:r>
      <w:r w:rsidR="00946B4F" w:rsidRPr="00946B4F">
        <w:t>quality and timeliness of service, and whether the small business would recommend the service to others</w:t>
      </w:r>
    </w:p>
    <w:p w14:paraId="791813D0" w14:textId="5B88CFAA" w:rsidR="00946B4F" w:rsidRPr="00946B4F" w:rsidRDefault="00E36CE6" w:rsidP="005F30E5">
      <w:pPr>
        <w:pStyle w:val="Bullet"/>
      </w:pPr>
      <w:r>
        <w:t>w</w:t>
      </w:r>
      <w:r w:rsidR="00946B4F" w:rsidRPr="00946B4F">
        <w:t xml:space="preserve">hether their dispute has </w:t>
      </w:r>
      <w:r w:rsidR="00246DDA">
        <w:t xml:space="preserve">been </w:t>
      </w:r>
      <w:r w:rsidR="00946B4F" w:rsidRPr="00946B4F">
        <w:t xml:space="preserve">resolved in whole or part, and whether </w:t>
      </w:r>
      <w:r w:rsidR="00246DDA">
        <w:t xml:space="preserve">the parties </w:t>
      </w:r>
      <w:r w:rsidR="00946B4F" w:rsidRPr="00946B4F">
        <w:t>are still working on a resolution</w:t>
      </w:r>
    </w:p>
    <w:p w14:paraId="2BBD19CF" w14:textId="2A938EC4" w:rsidR="00946B4F" w:rsidRPr="00946B4F" w:rsidRDefault="006C134B" w:rsidP="005F30E5">
      <w:pPr>
        <w:pStyle w:val="Bullet"/>
      </w:pPr>
      <w:r>
        <w:t>w</w:t>
      </w:r>
      <w:r w:rsidR="00946B4F" w:rsidRPr="00946B4F">
        <w:t>hether they believe the other party acted in good faith.  </w:t>
      </w:r>
    </w:p>
    <w:p w14:paraId="1093EECC" w14:textId="77777777" w:rsidR="00946B4F" w:rsidRPr="00946B4F" w:rsidRDefault="00946B4F" w:rsidP="00875575">
      <w:pPr>
        <w:pStyle w:val="Heading3"/>
      </w:pPr>
      <w:bookmarkStart w:id="76" w:name="_Toc199940984"/>
      <w:r w:rsidRPr="00946B4F">
        <w:t>Analysis</w:t>
      </w:r>
      <w:bookmarkEnd w:id="76"/>
      <w:r w:rsidRPr="00946B4F">
        <w:t> </w:t>
      </w:r>
    </w:p>
    <w:p w14:paraId="2F8C19B3" w14:textId="0170DD07" w:rsidR="007F2810" w:rsidRPr="0010234A" w:rsidRDefault="007F2810" w:rsidP="005A5221">
      <w:r w:rsidRPr="005A5221">
        <w:rPr>
          <w:rStyle w:val="Strong"/>
        </w:rPr>
        <w:t>ASBFEO could benefit from feedback on its assistance services to determine if the process is efficient, effective and convenient for small businesses</w:t>
      </w:r>
      <w:r w:rsidRPr="0010234A">
        <w:rPr>
          <w:lang w:val="en-US"/>
        </w:rPr>
        <w:t xml:space="preserve">. Participants could complete a survey when the ADR process is </w:t>
      </w:r>
      <w:proofErr w:type="spellStart"/>
      <w:r w:rsidRPr="0010234A">
        <w:rPr>
          <w:lang w:val="en-US"/>
        </w:rPr>
        <w:t>finalised</w:t>
      </w:r>
      <w:proofErr w:type="spellEnd"/>
      <w:r w:rsidRPr="0010234A">
        <w:rPr>
          <w:lang w:val="en-US"/>
        </w:rPr>
        <w:t xml:space="preserve">. Satisfaction surveys could </w:t>
      </w:r>
      <w:r>
        <w:rPr>
          <w:lang w:val="en-US"/>
        </w:rPr>
        <w:t xml:space="preserve">also </w:t>
      </w:r>
      <w:r w:rsidRPr="0010234A">
        <w:rPr>
          <w:lang w:val="en-US"/>
        </w:rPr>
        <w:t>be completed for SBTC and low</w:t>
      </w:r>
      <w:r w:rsidR="003A0D5E">
        <w:rPr>
          <w:lang w:val="en-US"/>
        </w:rPr>
        <w:noBreakHyphen/>
      </w:r>
      <w:r w:rsidRPr="0010234A">
        <w:rPr>
          <w:lang w:val="en-US"/>
        </w:rPr>
        <w:t xml:space="preserve">cost legal advice, both at the preliminary assistance stage and after </w:t>
      </w:r>
      <w:r>
        <w:rPr>
          <w:lang w:val="en-US"/>
        </w:rPr>
        <w:t>the mediation</w:t>
      </w:r>
      <w:r w:rsidRPr="0010234A">
        <w:rPr>
          <w:lang w:val="en-US"/>
        </w:rPr>
        <w:t>.</w:t>
      </w:r>
    </w:p>
    <w:p w14:paraId="5C42E519" w14:textId="1DF2D34F" w:rsidR="00F62F78" w:rsidRDefault="00F62F78" w:rsidP="005A5221">
      <w:pPr>
        <w:rPr>
          <w:lang w:val="en-US"/>
        </w:rPr>
      </w:pPr>
      <w:r w:rsidRPr="005A5221">
        <w:rPr>
          <w:rStyle w:val="Strong"/>
        </w:rPr>
        <w:t>Surveys should cover satisfaction with the expertise of the case officer and mediator, and the information provided.</w:t>
      </w:r>
      <w:r w:rsidRPr="0010234A">
        <w:rPr>
          <w:b/>
          <w:lang w:val="en-US"/>
        </w:rPr>
        <w:t xml:space="preserve"> </w:t>
      </w:r>
      <w:r w:rsidRPr="0010234A">
        <w:rPr>
          <w:lang w:val="en-US"/>
        </w:rPr>
        <w:t xml:space="preserve">ASBFEO should review the </w:t>
      </w:r>
      <w:r w:rsidR="00843038">
        <w:rPr>
          <w:lang w:val="en-US"/>
        </w:rPr>
        <w:t>s</w:t>
      </w:r>
      <w:r w:rsidRPr="0010234A">
        <w:rPr>
          <w:lang w:val="en-US"/>
        </w:rPr>
        <w:t>tate SBCs</w:t>
      </w:r>
      <w:r w:rsidR="00843038">
        <w:rPr>
          <w:lang w:val="en-US"/>
        </w:rPr>
        <w:t>’</w:t>
      </w:r>
      <w:r w:rsidRPr="0010234A">
        <w:rPr>
          <w:lang w:val="en-US"/>
        </w:rPr>
        <w:t xml:space="preserve"> surveys as best practice. For example, the </w:t>
      </w:r>
      <w:r w:rsidR="00614B2E">
        <w:rPr>
          <w:lang w:val="en-US"/>
        </w:rPr>
        <w:t>VSBC</w:t>
      </w:r>
      <w:r w:rsidRPr="0010234A">
        <w:rPr>
          <w:lang w:val="en-US"/>
        </w:rPr>
        <w:t xml:space="preserve">, </w:t>
      </w:r>
      <w:r w:rsidR="009E4BC7" w:rsidRPr="009E4BC7">
        <w:t>New South Wales</w:t>
      </w:r>
      <w:r w:rsidR="009E4BC7" w:rsidRPr="009E4BC7" w:rsidDel="009E4BC7">
        <w:rPr>
          <w:lang w:val="en-US"/>
        </w:rPr>
        <w:t xml:space="preserve"> </w:t>
      </w:r>
      <w:r w:rsidR="00F0546D">
        <w:rPr>
          <w:lang w:val="en-US"/>
        </w:rPr>
        <w:t xml:space="preserve">SBC </w:t>
      </w:r>
      <w:r w:rsidRPr="0010234A">
        <w:rPr>
          <w:lang w:val="en-US"/>
        </w:rPr>
        <w:t xml:space="preserve">and </w:t>
      </w:r>
      <w:r w:rsidR="00246FAE" w:rsidRPr="004C3C11">
        <w:rPr>
          <w:rStyle w:val="Strong"/>
          <w:rFonts w:eastAsia="Calibri"/>
          <w:b w:val="0"/>
          <w:szCs w:val="22"/>
        </w:rPr>
        <w:t>SBDC</w:t>
      </w:r>
      <w:r w:rsidR="00246FAE" w:rsidRPr="004C3C11">
        <w:rPr>
          <w:rStyle w:val="Strong"/>
          <w:rFonts w:eastAsia="Calibri"/>
          <w:szCs w:val="22"/>
        </w:rPr>
        <w:t> </w:t>
      </w:r>
      <w:r w:rsidR="00246FAE" w:rsidRPr="004C3C11">
        <w:rPr>
          <w:rStyle w:val="Strong"/>
          <w:rFonts w:eastAsia="Calibri"/>
          <w:b w:val="0"/>
          <w:szCs w:val="22"/>
        </w:rPr>
        <w:t>(WA)</w:t>
      </w:r>
      <w:r w:rsidR="00662D2D" w:rsidRPr="004C3C11">
        <w:rPr>
          <w:rStyle w:val="Strong"/>
          <w:rFonts w:eastAsia="Calibri"/>
          <w:szCs w:val="22"/>
        </w:rPr>
        <w:t xml:space="preserve"> </w:t>
      </w:r>
      <w:r w:rsidRPr="0010234A">
        <w:rPr>
          <w:lang w:val="en-US"/>
        </w:rPr>
        <w:t xml:space="preserve">use mediation surveys to obtain feedback from the parties and mediators. Satisfaction surveys will </w:t>
      </w:r>
      <w:r w:rsidR="00207ABA">
        <w:rPr>
          <w:lang w:val="en-US"/>
        </w:rPr>
        <w:t>help measure</w:t>
      </w:r>
      <w:r w:rsidRPr="0010234A">
        <w:rPr>
          <w:lang w:val="en-US"/>
        </w:rPr>
        <w:t xml:space="preserve"> how efficient or effective ASBFEO </w:t>
      </w:r>
      <w:r w:rsidR="00207ABA">
        <w:rPr>
          <w:lang w:val="en-US"/>
        </w:rPr>
        <w:t>has</w:t>
      </w:r>
      <w:r w:rsidR="00207ABA" w:rsidRPr="0010234A">
        <w:rPr>
          <w:lang w:val="en-US"/>
        </w:rPr>
        <w:t xml:space="preserve"> </w:t>
      </w:r>
      <w:r w:rsidRPr="0010234A">
        <w:rPr>
          <w:lang w:val="en-US"/>
        </w:rPr>
        <w:t>been in supporting a small business.</w:t>
      </w:r>
    </w:p>
    <w:p w14:paraId="6EFF3279" w14:textId="68B501AF" w:rsidR="00BA067E" w:rsidRPr="001415C3" w:rsidRDefault="003967C6" w:rsidP="001415C3">
      <w:pPr>
        <w:pStyle w:val="Heading3"/>
        <w:rPr>
          <w:rStyle w:val="Strong"/>
          <w:b w:val="0"/>
          <w:bCs w:val="0"/>
        </w:rPr>
      </w:pPr>
      <w:bookmarkStart w:id="77" w:name="_Toc199940985"/>
      <w:r>
        <w:t>Recommendation</w:t>
      </w:r>
      <w:bookmarkEnd w:id="77"/>
    </w:p>
    <w:tbl>
      <w:tblPr>
        <w:tblStyle w:val="BoxStyle"/>
        <w:tblW w:w="5000" w:type="pct"/>
        <w:shd w:val="clear" w:color="auto" w:fill="F4F0EC"/>
        <w:tblLook w:val="0620" w:firstRow="1" w:lastRow="0" w:firstColumn="0" w:lastColumn="0" w:noHBand="1" w:noVBand="1"/>
      </w:tblPr>
      <w:tblGrid>
        <w:gridCol w:w="9070"/>
      </w:tblGrid>
      <w:tr w:rsidR="00BA067E" w14:paraId="193EBA0F" w14:textId="77777777" w:rsidTr="004C4118">
        <w:tc>
          <w:tcPr>
            <w:tcW w:w="5000" w:type="pct"/>
            <w:shd w:val="clear" w:color="auto" w:fill="F4F0EC"/>
            <w:hideMark/>
          </w:tcPr>
          <w:p w14:paraId="6EDFC2BD" w14:textId="5008455C" w:rsidR="00BA067E" w:rsidRPr="00896BC2" w:rsidRDefault="00BA067E" w:rsidP="005A5221">
            <w:pPr>
              <w:pStyle w:val="BoxText"/>
            </w:pPr>
            <w:r w:rsidRPr="005F30E5">
              <w:rPr>
                <w:rStyle w:val="Strong"/>
              </w:rPr>
              <w:t xml:space="preserve">Recommendation </w:t>
            </w:r>
            <w:r>
              <w:rPr>
                <w:rStyle w:val="Strong"/>
              </w:rPr>
              <w:t>11</w:t>
            </w:r>
            <w:r w:rsidRPr="005F30E5">
              <w:rPr>
                <w:rStyle w:val="Strong"/>
              </w:rPr>
              <w:t xml:space="preserve">: </w:t>
            </w:r>
            <w:r w:rsidRPr="006E0C0E">
              <w:rPr>
                <w:lang w:val="en-US"/>
              </w:rPr>
              <w:t xml:space="preserve">ASBFEO should </w:t>
            </w:r>
            <w:r>
              <w:rPr>
                <w:lang w:val="en-US"/>
              </w:rPr>
              <w:t xml:space="preserve">develop surveys that </w:t>
            </w:r>
            <w:r w:rsidRPr="006E0C0E">
              <w:rPr>
                <w:lang w:val="en-US"/>
              </w:rPr>
              <w:t>cover the preliminary assistance stage and/or after mediation</w:t>
            </w:r>
            <w:r>
              <w:rPr>
                <w:lang w:val="en-US"/>
              </w:rPr>
              <w:t>.</w:t>
            </w:r>
            <w:r w:rsidRPr="005F30E5">
              <w:rPr>
                <w:rStyle w:val="Strong"/>
              </w:rPr>
              <w:t xml:space="preserve"> </w:t>
            </w:r>
            <w:r w:rsidRPr="00946B4F">
              <w:rPr>
                <w:lang w:val="en-US"/>
              </w:rPr>
              <w:t>Surveys should also be undertaken for SBTC and low</w:t>
            </w:r>
            <w:r>
              <w:rPr>
                <w:lang w:val="en-US"/>
              </w:rPr>
              <w:noBreakHyphen/>
            </w:r>
            <w:r w:rsidRPr="00946B4F">
              <w:rPr>
                <w:lang w:val="en-US"/>
              </w:rPr>
              <w:t>cost legal advice.</w:t>
            </w:r>
            <w:r w:rsidRPr="00946B4F">
              <w:t> </w:t>
            </w:r>
          </w:p>
        </w:tc>
      </w:tr>
    </w:tbl>
    <w:p w14:paraId="7A61EEE2" w14:textId="49A273AB" w:rsidR="00946B4F" w:rsidRPr="00946B4F" w:rsidRDefault="00946B4F" w:rsidP="00BF60E7">
      <w:pPr>
        <w:pStyle w:val="Heading3"/>
      </w:pPr>
      <w:bookmarkStart w:id="78" w:name="_Toc199940986"/>
      <w:r w:rsidRPr="00946B4F">
        <w:rPr>
          <w:lang w:val="en-US"/>
        </w:rPr>
        <w:t>Complaints</w:t>
      </w:r>
      <w:bookmarkEnd w:id="78"/>
    </w:p>
    <w:p w14:paraId="1A165249" w14:textId="4F1BEF2E" w:rsidR="00946B4F" w:rsidRPr="00946B4F" w:rsidRDefault="00946B4F" w:rsidP="005F30E5">
      <w:r w:rsidRPr="005F30E5">
        <w:rPr>
          <w:rStyle w:val="Strong"/>
        </w:rPr>
        <w:t xml:space="preserve">A review of </w:t>
      </w:r>
      <w:r w:rsidR="00A220F8">
        <w:rPr>
          <w:rStyle w:val="Strong"/>
        </w:rPr>
        <w:t xml:space="preserve">the </w:t>
      </w:r>
      <w:r w:rsidRPr="005F30E5">
        <w:rPr>
          <w:rStyle w:val="Strong"/>
        </w:rPr>
        <w:t>complaints process on the website found that the process for managing complaints was not clearly visible or accessible</w:t>
      </w:r>
      <w:r w:rsidR="005F30E5">
        <w:rPr>
          <w:rStyle w:val="Strong"/>
        </w:rPr>
        <w:t>.</w:t>
      </w:r>
      <w:r w:rsidRPr="00946B4F">
        <w:t xml:space="preserve"> ASBFEO complaints management process is included in ASBFEO</w:t>
      </w:r>
      <w:r w:rsidR="00916FA5">
        <w:t>’</w:t>
      </w:r>
      <w:r w:rsidRPr="00946B4F">
        <w:t>s Assistance Charter. The Charter is available at:</w:t>
      </w:r>
    </w:p>
    <w:p w14:paraId="655F697F" w14:textId="2458C459" w:rsidR="00946B4F" w:rsidRPr="00946B4F" w:rsidRDefault="00946B4F" w:rsidP="005F30E5">
      <w:hyperlink r:id="rId47" w:tgtFrame="_blank" w:history="1">
        <w:r w:rsidRPr="00946B4F">
          <w:rPr>
            <w:rStyle w:val="Hyperlink"/>
          </w:rPr>
          <w:t>https://www.asbfeo.gov.au/disputes</w:t>
        </w:r>
        <w:r w:rsidR="00916FA5">
          <w:rPr>
            <w:rStyle w:val="Hyperlink"/>
          </w:rPr>
          <w:noBreakHyphen/>
        </w:r>
        <w:r w:rsidRPr="00946B4F">
          <w:rPr>
            <w:rStyle w:val="Hyperlink"/>
          </w:rPr>
          <w:t>assistance/how</w:t>
        </w:r>
        <w:r w:rsidR="00916FA5">
          <w:rPr>
            <w:rStyle w:val="Hyperlink"/>
          </w:rPr>
          <w:noBreakHyphen/>
        </w:r>
        <w:r w:rsidRPr="00946B4F">
          <w:rPr>
            <w:rStyle w:val="Hyperlink"/>
          </w:rPr>
          <w:t>we</w:t>
        </w:r>
        <w:r w:rsidR="00916FA5">
          <w:rPr>
            <w:rStyle w:val="Hyperlink"/>
          </w:rPr>
          <w:noBreakHyphen/>
        </w:r>
        <w:r w:rsidRPr="00946B4F">
          <w:rPr>
            <w:rStyle w:val="Hyperlink"/>
          </w:rPr>
          <w:t>help</w:t>
        </w:r>
      </w:hyperlink>
      <w:r w:rsidRPr="00946B4F">
        <w:t>  </w:t>
      </w:r>
    </w:p>
    <w:p w14:paraId="185F2912" w14:textId="6FBADF2C" w:rsidR="00946B4F" w:rsidRPr="00946B4F" w:rsidRDefault="00946B4F" w:rsidP="005F30E5">
      <w:r w:rsidRPr="00946B4F">
        <w:t>Complaints are logged by ASBFEO</w:t>
      </w:r>
      <w:r w:rsidR="00916FA5">
        <w:t>’</w:t>
      </w:r>
      <w:r w:rsidRPr="00946B4F">
        <w:t xml:space="preserve">s Contact Centre and referred to </w:t>
      </w:r>
      <w:hyperlink r:id="rId48" w:tgtFrame="_blank" w:history="1">
        <w:r w:rsidRPr="00946B4F">
          <w:rPr>
            <w:rStyle w:val="Hyperlink"/>
          </w:rPr>
          <w:t>info@asbfeo.gov.au</w:t>
        </w:r>
      </w:hyperlink>
      <w:r w:rsidRPr="00946B4F">
        <w:t>.</w:t>
      </w:r>
      <w:r w:rsidRPr="00946B4F">
        <w:rPr>
          <w:b/>
          <w:bCs/>
        </w:rPr>
        <w:t> </w:t>
      </w:r>
      <w:r w:rsidRPr="00946B4F">
        <w:t> </w:t>
      </w:r>
    </w:p>
    <w:p w14:paraId="38CEF3B0" w14:textId="54F8F9D5" w:rsidR="0064146E" w:rsidRPr="000A7A96" w:rsidRDefault="0064146E" w:rsidP="0064146E">
      <w:pPr>
        <w:pStyle w:val="BoxText"/>
        <w:rPr>
          <w:sz w:val="22"/>
          <w:szCs w:val="22"/>
        </w:rPr>
      </w:pPr>
      <w:r w:rsidRPr="000A7A96">
        <w:rPr>
          <w:rStyle w:val="Strong"/>
          <w:sz w:val="22"/>
          <w:szCs w:val="22"/>
        </w:rPr>
        <w:t>ASBFEO’s ambition is to achieve ISO accreditation for the assistance function.</w:t>
      </w:r>
      <w:r w:rsidRPr="000A7A96">
        <w:rPr>
          <w:sz w:val="22"/>
          <w:szCs w:val="22"/>
        </w:rPr>
        <w:t xml:space="preserve"> To achieve this accreditation, further work is required to improve and innovate customer service and complaint handling. This should also include service standards and satisfaction surveys. ASBFEO has advised that this work is on the Assistance </w:t>
      </w:r>
      <w:r w:rsidR="0062756D" w:rsidRPr="000A7A96">
        <w:rPr>
          <w:sz w:val="22"/>
          <w:szCs w:val="22"/>
        </w:rPr>
        <w:t>t</w:t>
      </w:r>
      <w:r w:rsidRPr="000A7A96">
        <w:rPr>
          <w:sz w:val="22"/>
          <w:szCs w:val="22"/>
        </w:rPr>
        <w:t>eam’s forward work program.  </w:t>
      </w:r>
    </w:p>
    <w:p w14:paraId="75B1553A" w14:textId="625ACB21" w:rsidR="007336EC" w:rsidRDefault="007336EC" w:rsidP="00695440">
      <w:pPr>
        <w:pStyle w:val="BoxText"/>
        <w:sectPr w:rsidR="007336EC" w:rsidSect="00BC6471">
          <w:type w:val="oddPage"/>
          <w:pgSz w:w="11906" w:h="16838" w:code="9"/>
          <w:pgMar w:top="1843" w:right="1418" w:bottom="1418" w:left="1418" w:header="709" w:footer="709" w:gutter="0"/>
          <w:cols w:space="708"/>
          <w:docGrid w:linePitch="360"/>
        </w:sectPr>
      </w:pPr>
    </w:p>
    <w:p w14:paraId="38A7F4B5" w14:textId="6FE6F0FE" w:rsidR="001D18F1" w:rsidRDefault="001D18F1" w:rsidP="001D18F1">
      <w:pPr>
        <w:pStyle w:val="Heading1"/>
        <w:rPr>
          <w:bCs/>
        </w:rPr>
      </w:pPr>
      <w:bookmarkStart w:id="79" w:name="_Toc199940987"/>
      <w:r>
        <w:lastRenderedPageBreak/>
        <w:t>Chapter 5</w:t>
      </w:r>
      <w:r w:rsidR="00906BA2">
        <w:t xml:space="preserve">: </w:t>
      </w:r>
      <w:r w:rsidR="00F94CA0" w:rsidRPr="00F94CA0">
        <w:rPr>
          <w:bCs/>
        </w:rPr>
        <w:t>ASBFEO</w:t>
      </w:r>
      <w:r w:rsidR="00916FA5">
        <w:rPr>
          <w:bCs/>
        </w:rPr>
        <w:t>’</w:t>
      </w:r>
      <w:r w:rsidR="00F94CA0" w:rsidRPr="00F94CA0">
        <w:rPr>
          <w:bCs/>
        </w:rPr>
        <w:t xml:space="preserve">s role in the </w:t>
      </w:r>
      <w:r w:rsidR="00E540C1">
        <w:rPr>
          <w:bCs/>
        </w:rPr>
        <w:t>f</w:t>
      </w:r>
      <w:r w:rsidR="00F94CA0" w:rsidRPr="00F94CA0">
        <w:rPr>
          <w:bCs/>
        </w:rPr>
        <w:t xml:space="preserve">ranchising </w:t>
      </w:r>
      <w:r w:rsidR="00E540C1">
        <w:rPr>
          <w:bCs/>
        </w:rPr>
        <w:t>s</w:t>
      </w:r>
      <w:r w:rsidR="00F94CA0" w:rsidRPr="00F94CA0">
        <w:rPr>
          <w:bCs/>
        </w:rPr>
        <w:t>ector</w:t>
      </w:r>
      <w:bookmarkEnd w:id="79"/>
      <w:r w:rsidR="00F94CA0" w:rsidRPr="00F94CA0">
        <w:rPr>
          <w:bCs/>
        </w:rPr>
        <w:t> </w:t>
      </w:r>
    </w:p>
    <w:p w14:paraId="657A117A" w14:textId="21E37DEC" w:rsidR="00F94CA0" w:rsidRPr="00F94CA0" w:rsidRDefault="00F94CA0" w:rsidP="00F94CA0">
      <w:pPr>
        <w:pStyle w:val="Heading2"/>
      </w:pPr>
      <w:bookmarkStart w:id="80" w:name="_Toc199940988"/>
      <w:r>
        <w:t>Summary</w:t>
      </w:r>
      <w:bookmarkEnd w:id="80"/>
    </w:p>
    <w:tbl>
      <w:tblPr>
        <w:tblStyle w:val="BoxStyle"/>
        <w:tblW w:w="5000" w:type="pct"/>
        <w:shd w:val="clear" w:color="auto" w:fill="F4F0EC"/>
        <w:tblLook w:val="0620" w:firstRow="1" w:lastRow="0" w:firstColumn="0" w:lastColumn="0" w:noHBand="1" w:noVBand="1"/>
      </w:tblPr>
      <w:tblGrid>
        <w:gridCol w:w="9070"/>
      </w:tblGrid>
      <w:tr w:rsidR="00F94CA0" w14:paraId="6CD0E7DC" w14:textId="77777777" w:rsidTr="004C4118">
        <w:tc>
          <w:tcPr>
            <w:tcW w:w="5000" w:type="pct"/>
            <w:shd w:val="clear" w:color="auto" w:fill="F4F0EC"/>
            <w:hideMark/>
          </w:tcPr>
          <w:p w14:paraId="131F9D04" w14:textId="208232AF" w:rsidR="00BC0BB4" w:rsidRPr="006654FA" w:rsidRDefault="00BC0BB4" w:rsidP="00032971">
            <w:pPr>
              <w:pStyle w:val="BoxText"/>
            </w:pPr>
            <w:r w:rsidRPr="00CB5388">
              <w:t>Stakeholders noted that ASBFEO plays a</w:t>
            </w:r>
            <w:r>
              <w:t xml:space="preserve"> vital</w:t>
            </w:r>
            <w:r w:rsidRPr="00CB5388">
              <w:t xml:space="preserve"> role in </w:t>
            </w:r>
            <w:r w:rsidRPr="00D81AA6">
              <w:t xml:space="preserve">the franchising sector. </w:t>
            </w:r>
            <w:r w:rsidRPr="00CB5388">
              <w:t xml:space="preserve">ASBFEO </w:t>
            </w:r>
            <w:r>
              <w:t>provides access to low</w:t>
            </w:r>
            <w:r w:rsidR="003A0D5E">
              <w:noBreakHyphen/>
            </w:r>
            <w:r>
              <w:t xml:space="preserve">cost dispute resolution as </w:t>
            </w:r>
            <w:r w:rsidRPr="00CB5388">
              <w:t xml:space="preserve">the </w:t>
            </w:r>
            <w:r w:rsidR="00BD3369" w:rsidRPr="00AA4DFA">
              <w:t>DRA</w:t>
            </w:r>
            <w:r w:rsidRPr="00CB5388">
              <w:t xml:space="preserve"> under the Franchising Code</w:t>
            </w:r>
            <w:r w:rsidR="00ED23A5">
              <w:t xml:space="preserve"> of Conduct</w:t>
            </w:r>
            <w:r>
              <w:t>. A</w:t>
            </w:r>
            <w:r w:rsidRPr="00CB5388">
              <w:t>SBFEO advocates</w:t>
            </w:r>
            <w:r>
              <w:t xml:space="preserve"> effectively</w:t>
            </w:r>
            <w:r w:rsidRPr="00CB5388">
              <w:t xml:space="preserve"> for the </w:t>
            </w:r>
            <w:r>
              <w:t>franchising sector by representing its views in policy forums and supporting reforms</w:t>
            </w:r>
            <w:r w:rsidRPr="00CB5388">
              <w:t xml:space="preserve"> relating to franchising</w:t>
            </w:r>
            <w:r>
              <w:t>.</w:t>
            </w:r>
            <w:r>
              <w:rPr>
                <w:vertAlign w:val="superscript"/>
              </w:rPr>
              <w:t xml:space="preserve"> </w:t>
            </w:r>
            <w:r w:rsidR="00B04D11">
              <w:t>It</w:t>
            </w:r>
            <w:r>
              <w:t xml:space="preserve"> also interprets the Franchising Code </w:t>
            </w:r>
            <w:r w:rsidR="005A5892">
              <w:t>of Conduct</w:t>
            </w:r>
            <w:r>
              <w:t xml:space="preserve"> by developing</w:t>
            </w:r>
            <w:r w:rsidRPr="00CB5388">
              <w:t xml:space="preserve"> best practice guidance </w:t>
            </w:r>
            <w:r>
              <w:t>to franchisees.</w:t>
            </w:r>
          </w:p>
          <w:p w14:paraId="3D9A8AF0" w14:textId="4EE2C3FB" w:rsidR="00F94CA0" w:rsidRDefault="00BC0BB4" w:rsidP="00032971">
            <w:pPr>
              <w:pStyle w:val="BoxText"/>
            </w:pPr>
            <w:r w:rsidRPr="00FB1EC2">
              <w:t>The</w:t>
            </w:r>
            <w:r>
              <w:t xml:space="preserve"> </w:t>
            </w:r>
            <w:r w:rsidR="00A60D20">
              <w:t xml:space="preserve">Franchising </w:t>
            </w:r>
            <w:r w:rsidR="008C7E8E">
              <w:t>Review recommended</w:t>
            </w:r>
            <w:r>
              <w:t xml:space="preserve"> improvements to access justice for franchisees by providing low</w:t>
            </w:r>
            <w:r w:rsidR="003A0D5E">
              <w:noBreakHyphen/>
            </w:r>
            <w:r>
              <w:t>cost legal advice before formal ADR, publicly naming franchis</w:t>
            </w:r>
            <w:r w:rsidR="00C23682">
              <w:t>or</w:t>
            </w:r>
            <w:r>
              <w:t xml:space="preserve">s who have not participated in meaningful ADR and improving guidance material for franchisees. The </w:t>
            </w:r>
            <w:r w:rsidR="004560BD">
              <w:t>Review</w:t>
            </w:r>
            <w:r>
              <w:t xml:space="preserve"> considered the Franchising Reviews findings in </w:t>
            </w:r>
            <w:r w:rsidRPr="00FB1EC2">
              <w:t xml:space="preserve">assessing the efficacy of ASBFEO’s role in the franchising sector. </w:t>
            </w:r>
            <w:r w:rsidRPr="00FB1EC2">
              <w:rPr>
                <w:lang w:val="en-US"/>
              </w:rPr>
              <w:t xml:space="preserve">The </w:t>
            </w:r>
            <w:r>
              <w:rPr>
                <w:lang w:val="en-US"/>
              </w:rPr>
              <w:t>R</w:t>
            </w:r>
            <w:r w:rsidRPr="00FB1EC2">
              <w:rPr>
                <w:lang w:val="en-US"/>
              </w:rPr>
              <w:t>eview found that</w:t>
            </w:r>
            <w:r>
              <w:rPr>
                <w:lang w:val="en-US"/>
              </w:rPr>
              <w:t>,</w:t>
            </w:r>
            <w:r w:rsidRPr="00FB1EC2">
              <w:t xml:space="preserve"> as recommendations of the Franchising Review have only been recently implemented or are still to be implemented</w:t>
            </w:r>
            <w:r>
              <w:t>,</w:t>
            </w:r>
            <w:r w:rsidRPr="00FB1EC2">
              <w:t xml:space="preserve"> it is too early to assess their effectiveness. </w:t>
            </w:r>
            <w:r w:rsidR="004560BD" w:rsidRPr="00FB1EC2">
              <w:t>The</w:t>
            </w:r>
            <w:r w:rsidR="004560BD">
              <w:t xml:space="preserve"> Franchising Review’s</w:t>
            </w:r>
            <w:r w:rsidR="004560BD" w:rsidRPr="00FB1EC2">
              <w:t xml:space="preserve"> recommendations </w:t>
            </w:r>
            <w:r w:rsidR="004560BD">
              <w:t xml:space="preserve">that ASBFEO is implementing </w:t>
            </w:r>
            <w:r w:rsidR="004560BD" w:rsidRPr="00FB1EC2">
              <w:t xml:space="preserve">should be </w:t>
            </w:r>
            <w:r w:rsidR="004560BD">
              <w:t>evaluat</w:t>
            </w:r>
            <w:r w:rsidR="004560BD" w:rsidRPr="00FB1EC2">
              <w:t>ed as part of the next statutory review of ASBFEO</w:t>
            </w:r>
            <w:r w:rsidR="004560BD">
              <w:t>, and</w:t>
            </w:r>
            <w:r w:rsidR="004560BD" w:rsidRPr="00FB1EC2">
              <w:t xml:space="preserve"> low</w:t>
            </w:r>
            <w:r w:rsidR="003A0D5E">
              <w:noBreakHyphen/>
            </w:r>
            <w:r w:rsidR="004560BD" w:rsidRPr="00FB1EC2">
              <w:t>cost legal advice should be reviewed</w:t>
            </w:r>
            <w:r w:rsidR="004560BD">
              <w:t xml:space="preserve"> by ASBFEO</w:t>
            </w:r>
            <w:r w:rsidR="004560BD" w:rsidRPr="00FB1EC2">
              <w:t xml:space="preserve"> 2 year</w:t>
            </w:r>
            <w:r w:rsidR="00A5681A">
              <w:t>s</w:t>
            </w:r>
            <w:r w:rsidR="004560BD" w:rsidRPr="00FB1EC2">
              <w:t xml:space="preserve"> </w:t>
            </w:r>
            <w:r w:rsidR="005F1D73">
              <w:t xml:space="preserve">after </w:t>
            </w:r>
            <w:r w:rsidR="004560BD" w:rsidRPr="00FB1EC2">
              <w:t>implementation.</w:t>
            </w:r>
          </w:p>
        </w:tc>
      </w:tr>
    </w:tbl>
    <w:p w14:paraId="1DB6D387" w14:textId="2D85152F" w:rsidR="001D18F1" w:rsidRDefault="00FB1EC2" w:rsidP="006C147A">
      <w:pPr>
        <w:pStyle w:val="Heading2"/>
      </w:pPr>
      <w:bookmarkStart w:id="81" w:name="_Toc199940989"/>
      <w:r>
        <w:t>Overview</w:t>
      </w:r>
      <w:bookmarkEnd w:id="81"/>
    </w:p>
    <w:p w14:paraId="609461AD" w14:textId="60CDEC2E" w:rsidR="004F6271" w:rsidRPr="004F6271" w:rsidRDefault="004F6271" w:rsidP="007336EC">
      <w:r w:rsidRPr="007336EC">
        <w:rPr>
          <w:rStyle w:val="Strong"/>
        </w:rPr>
        <w:t xml:space="preserve">ASBFEO plays a key role in the franchising sector, providing information and services for dispute resolution and advocating </w:t>
      </w:r>
      <w:r w:rsidR="007A6FA0">
        <w:rPr>
          <w:rStyle w:val="Strong"/>
        </w:rPr>
        <w:t xml:space="preserve">for </w:t>
      </w:r>
      <w:r w:rsidRPr="007336EC">
        <w:rPr>
          <w:rStyle w:val="Strong"/>
        </w:rPr>
        <w:t>small businesses in the franchising sector.</w:t>
      </w:r>
      <w:r w:rsidRPr="004F6271">
        <w:rPr>
          <w:lang w:val="en-US"/>
        </w:rPr>
        <w:t xml:space="preserve"> Franchising often involves power imbalances and information asymmetry between franchisors and franchisees, with franchisors</w:t>
      </w:r>
      <w:r w:rsidR="007A6FA0">
        <w:rPr>
          <w:lang w:val="en-US"/>
        </w:rPr>
        <w:t xml:space="preserve"> usually</w:t>
      </w:r>
      <w:r w:rsidRPr="004F6271" w:rsidDel="007A6FA0">
        <w:rPr>
          <w:lang w:val="en-US"/>
        </w:rPr>
        <w:t xml:space="preserve"> </w:t>
      </w:r>
      <w:r w:rsidRPr="004F6271">
        <w:rPr>
          <w:lang w:val="en-US"/>
        </w:rPr>
        <w:t>having greater resources and access to information.</w:t>
      </w:r>
    </w:p>
    <w:p w14:paraId="3774185E" w14:textId="1F33AD07" w:rsidR="004F6271" w:rsidRPr="004F6271" w:rsidRDefault="004F6271" w:rsidP="004F6271">
      <w:r w:rsidRPr="007336EC">
        <w:rPr>
          <w:rStyle w:val="Strong"/>
        </w:rPr>
        <w:t xml:space="preserve">The </w:t>
      </w:r>
      <w:r w:rsidR="00EB123E">
        <w:rPr>
          <w:rStyle w:val="Strong"/>
        </w:rPr>
        <w:t xml:space="preserve">Franchising Review </w:t>
      </w:r>
      <w:r w:rsidRPr="007336EC">
        <w:rPr>
          <w:rStyle w:val="Strong"/>
        </w:rPr>
        <w:t xml:space="preserve">included </w:t>
      </w:r>
      <w:r w:rsidR="00B377B3">
        <w:rPr>
          <w:rStyle w:val="Strong"/>
        </w:rPr>
        <w:t>7 </w:t>
      </w:r>
      <w:r w:rsidRPr="007336EC">
        <w:rPr>
          <w:rStyle w:val="Strong"/>
        </w:rPr>
        <w:t>recommendations to be co</w:t>
      </w:r>
      <w:r w:rsidR="00916FA5" w:rsidRPr="007336EC">
        <w:rPr>
          <w:rStyle w:val="Strong"/>
        </w:rPr>
        <w:noBreakHyphen/>
      </w:r>
      <w:r w:rsidRPr="007336EC">
        <w:rPr>
          <w:rStyle w:val="Strong"/>
        </w:rPr>
        <w:t>designed or implemented by ASBFEO.</w:t>
      </w:r>
      <w:r w:rsidRPr="004F6271">
        <w:rPr>
          <w:b/>
          <w:bCs/>
        </w:rPr>
        <w:t xml:space="preserve"> </w:t>
      </w:r>
      <w:r w:rsidRPr="004F6271">
        <w:t>The Franchising Code of Conduct</w:t>
      </w:r>
      <w:r w:rsidR="003577C9">
        <w:t xml:space="preserve"> </w:t>
      </w:r>
      <w:r w:rsidRPr="00E83670">
        <w:t>governs</w:t>
      </w:r>
      <w:r w:rsidRPr="004F6271">
        <w:t xml:space="preserve"> the relationship between franchisors, franchisees, and prospective franchisees.</w:t>
      </w:r>
      <w:r w:rsidR="00065357">
        <w:rPr>
          <w:rFonts w:ascii="ZWAdobeF" w:hAnsi="ZWAdobeF" w:cs="ZWAdobeF"/>
          <w:color w:val="auto"/>
          <w:sz w:val="2"/>
          <w:szCs w:val="2"/>
        </w:rPr>
        <w:t>77F</w:t>
      </w:r>
      <w:r w:rsidR="00A226B1" w:rsidRPr="00A226B1">
        <w:rPr>
          <w:rStyle w:val="FootnoteReference"/>
          <w:sz w:val="22"/>
          <w:szCs w:val="22"/>
          <w:vertAlign w:val="superscript"/>
        </w:rPr>
        <w:footnoteReference w:id="79"/>
      </w:r>
      <w:r w:rsidR="00A226B1" w:rsidRPr="00A226B1">
        <w:rPr>
          <w:vertAlign w:val="superscript"/>
        </w:rPr>
        <w:t xml:space="preserve"> </w:t>
      </w:r>
      <w:r w:rsidRPr="004F6271">
        <w:t xml:space="preserve"> It is mandatory and prescribed by regulation under the </w:t>
      </w:r>
      <w:r w:rsidRPr="007336EC">
        <w:rPr>
          <w:rStyle w:val="Emphasis"/>
        </w:rPr>
        <w:t>Competition and Consumer Act 2010</w:t>
      </w:r>
      <w:r w:rsidRPr="004F6271">
        <w:rPr>
          <w:i/>
          <w:iCs/>
        </w:rPr>
        <w:t xml:space="preserve"> </w:t>
      </w:r>
      <w:r w:rsidRPr="004F6271">
        <w:t>and includes rules for disclosure, requirements to address power imbalances and mechanisms for dispute resolution</w:t>
      </w:r>
      <w:r w:rsidR="00916FA5">
        <w:t xml:space="preserve">. </w:t>
      </w:r>
    </w:p>
    <w:p w14:paraId="7BD7A4E9" w14:textId="4FC8B034" w:rsidR="004F6271" w:rsidRPr="004F6271" w:rsidRDefault="004F6271" w:rsidP="004F6271">
      <w:r w:rsidRPr="007336EC">
        <w:rPr>
          <w:rStyle w:val="Strong"/>
        </w:rPr>
        <w:t xml:space="preserve">ASBFEO participated in the Franchising Review through a formal submission and </w:t>
      </w:r>
      <w:r w:rsidR="007A6FA0">
        <w:rPr>
          <w:rStyle w:val="Strong"/>
        </w:rPr>
        <w:t xml:space="preserve">feedback during </w:t>
      </w:r>
      <w:r w:rsidRPr="007336EC">
        <w:rPr>
          <w:rStyle w:val="Strong"/>
        </w:rPr>
        <w:t>the consultation processes.</w:t>
      </w:r>
      <w:r w:rsidR="00065357">
        <w:rPr>
          <w:rStyle w:val="Strong"/>
          <w:rFonts w:ascii="ZWAdobeF" w:hAnsi="ZWAdobeF" w:cs="ZWAdobeF"/>
          <w:b w:val="0"/>
          <w:color w:val="auto"/>
          <w:sz w:val="2"/>
          <w:szCs w:val="2"/>
        </w:rPr>
        <w:t>78F</w:t>
      </w:r>
      <w:r w:rsidR="0084502E" w:rsidRPr="00A226B1">
        <w:rPr>
          <w:rStyle w:val="FootnoteReference"/>
          <w:sz w:val="22"/>
          <w:szCs w:val="24"/>
          <w:vertAlign w:val="superscript"/>
        </w:rPr>
        <w:footnoteReference w:id="80"/>
      </w:r>
      <w:r w:rsidRPr="00A226B1">
        <w:rPr>
          <w:sz w:val="28"/>
          <w:szCs w:val="24"/>
          <w:vertAlign w:val="superscript"/>
        </w:rPr>
        <w:t xml:space="preserve"> </w:t>
      </w:r>
      <w:r w:rsidRPr="004F6271">
        <w:t xml:space="preserve">ASBFEO also made a submission to the subsequent inquiry into the feasibility of a licensing regime for </w:t>
      </w:r>
      <w:r w:rsidR="007A6FA0">
        <w:t xml:space="preserve">the </w:t>
      </w:r>
      <w:r w:rsidRPr="004F6271">
        <w:t>franchise sector. </w:t>
      </w:r>
    </w:p>
    <w:p w14:paraId="1ADE8BE3" w14:textId="51204D13" w:rsidR="004F6271" w:rsidRPr="004F6271" w:rsidRDefault="004F6271" w:rsidP="004F6271">
      <w:r w:rsidRPr="007336EC">
        <w:rPr>
          <w:rStyle w:val="Strong"/>
        </w:rPr>
        <w:t xml:space="preserve">The </w:t>
      </w:r>
      <w:proofErr w:type="spellStart"/>
      <w:r w:rsidRPr="007336EC">
        <w:rPr>
          <w:rStyle w:val="Strong"/>
        </w:rPr>
        <w:t>T</w:t>
      </w:r>
      <w:r w:rsidR="00F84073">
        <w:rPr>
          <w:rStyle w:val="Strong"/>
        </w:rPr>
        <w:t>o</w:t>
      </w:r>
      <w:r w:rsidRPr="007336EC">
        <w:rPr>
          <w:rStyle w:val="Strong"/>
        </w:rPr>
        <w:t>R</w:t>
      </w:r>
      <w:proofErr w:type="spellEnd"/>
      <w:r w:rsidRPr="007336EC">
        <w:rPr>
          <w:rStyle w:val="Strong"/>
        </w:rPr>
        <w:t xml:space="preserve"> for the </w:t>
      </w:r>
      <w:r w:rsidR="009E2B74">
        <w:rPr>
          <w:rStyle w:val="Strong"/>
        </w:rPr>
        <w:t>R</w:t>
      </w:r>
      <w:r w:rsidRPr="007336EC">
        <w:rPr>
          <w:rStyle w:val="Strong"/>
        </w:rPr>
        <w:t>eview included assessing the efficacy of ASBFEO</w:t>
      </w:r>
      <w:r w:rsidR="00916FA5" w:rsidRPr="007336EC">
        <w:rPr>
          <w:rStyle w:val="Strong"/>
        </w:rPr>
        <w:t>’</w:t>
      </w:r>
      <w:r w:rsidRPr="007336EC">
        <w:rPr>
          <w:rStyle w:val="Strong"/>
        </w:rPr>
        <w:t>s role in the franchising sector, considering the findings of the Franchising Review</w:t>
      </w:r>
      <w:r w:rsidR="00916FA5" w:rsidRPr="007336EC">
        <w:rPr>
          <w:rStyle w:val="Strong"/>
        </w:rPr>
        <w:t>.</w:t>
      </w:r>
      <w:r w:rsidR="00916FA5">
        <w:rPr>
          <w:b/>
          <w:bCs/>
        </w:rPr>
        <w:t xml:space="preserve"> </w:t>
      </w:r>
      <w:r w:rsidRPr="004F6271">
        <w:t>The Franchising Review made several recommendations to improve access to justice for franchisees, including prov</w:t>
      </w:r>
      <w:r w:rsidR="007A6FA0">
        <w:t>id</w:t>
      </w:r>
      <w:r w:rsidRPr="004F6271">
        <w:t>ing low</w:t>
      </w:r>
      <w:r w:rsidR="00916FA5">
        <w:noBreakHyphen/>
      </w:r>
      <w:r w:rsidRPr="004F6271">
        <w:t xml:space="preserve">cost legal </w:t>
      </w:r>
      <w:r w:rsidRPr="004F6271">
        <w:lastRenderedPageBreak/>
        <w:t xml:space="preserve">advice prior to formal </w:t>
      </w:r>
      <w:r w:rsidRPr="00DD203E">
        <w:t>ADR</w:t>
      </w:r>
      <w:r w:rsidRPr="004F6271">
        <w:t xml:space="preserve"> and publicly naming franchisors who have not participated meaningfully in </w:t>
      </w:r>
      <w:r w:rsidR="00D055B5" w:rsidRPr="005661FA">
        <w:t>ADR</w:t>
      </w:r>
      <w:r w:rsidRPr="004F6271">
        <w:t xml:space="preserve">. It also recommended that ASBFEO and ACCC, jointly develop best practice guidance and education to improve standards of conduct for the franchising sector. </w:t>
      </w:r>
      <w:r w:rsidR="00CF0526">
        <w:t>Refer to</w:t>
      </w:r>
      <w:r w:rsidRPr="004F6271">
        <w:t xml:space="preserve"> Appendix </w:t>
      </w:r>
      <w:r w:rsidR="009037A2">
        <w:t>F</w:t>
      </w:r>
      <w:r w:rsidRPr="004F6271">
        <w:t xml:space="preserve"> for a list of the recommendations relating to ASBFEO and the Government response</w:t>
      </w:r>
      <w:r w:rsidR="00916FA5">
        <w:t xml:space="preserve">. </w:t>
      </w:r>
    </w:p>
    <w:p w14:paraId="66A94613" w14:textId="1BD6EEE1" w:rsidR="004F6271" w:rsidRPr="004F6271" w:rsidRDefault="004F6271" w:rsidP="004F6271">
      <w:r w:rsidRPr="00526B3E">
        <w:rPr>
          <w:rStyle w:val="Strong"/>
        </w:rPr>
        <w:t xml:space="preserve">The Franchising </w:t>
      </w:r>
      <w:r w:rsidR="002C1BA5">
        <w:rPr>
          <w:rStyle w:val="Strong"/>
        </w:rPr>
        <w:t>R</w:t>
      </w:r>
      <w:r w:rsidRPr="00526B3E">
        <w:rPr>
          <w:rStyle w:val="Strong"/>
        </w:rPr>
        <w:t>eview also considered the effectiveness of current dispute resolution mechanisms.</w:t>
      </w:r>
      <w:r w:rsidRPr="004F6271">
        <w:t xml:space="preserve"> The Franchising Review conducted a survey to assess franchisees</w:t>
      </w:r>
      <w:r w:rsidR="00916FA5">
        <w:t>’</w:t>
      </w:r>
      <w:r w:rsidRPr="004F6271">
        <w:t xml:space="preserve"> level</w:t>
      </w:r>
      <w:r w:rsidR="000D4748">
        <w:t>s</w:t>
      </w:r>
      <w:r w:rsidRPr="004F6271">
        <w:t xml:space="preserve"> of awareness of</w:t>
      </w:r>
      <w:r w:rsidRPr="004F6271" w:rsidDel="000D4748">
        <w:t xml:space="preserve"> </w:t>
      </w:r>
      <w:r w:rsidR="0018102C">
        <w:t>and feedback on</w:t>
      </w:r>
      <w:r w:rsidR="000D4748" w:rsidRPr="004F6271">
        <w:t xml:space="preserve"> </w:t>
      </w:r>
      <w:r w:rsidRPr="004F6271">
        <w:t>ASBFEO</w:t>
      </w:r>
      <w:r w:rsidR="00916FA5">
        <w:t>’</w:t>
      </w:r>
      <w:r w:rsidRPr="004F6271">
        <w:t>s dispute resolution services. The survey revealed that approximately 50 per cent of franchisees were aware of the service, and those who interacted with ASBFEO were generally satisfied.</w:t>
      </w:r>
      <w:r w:rsidR="00065357">
        <w:rPr>
          <w:rFonts w:ascii="ZWAdobeF" w:hAnsi="ZWAdobeF" w:cs="ZWAdobeF"/>
          <w:color w:val="auto"/>
          <w:sz w:val="2"/>
          <w:szCs w:val="2"/>
        </w:rPr>
        <w:t>79F</w:t>
      </w:r>
      <w:r w:rsidR="00E73EB0" w:rsidRPr="00A226B1">
        <w:rPr>
          <w:rStyle w:val="FootnoteReference"/>
          <w:vertAlign w:val="superscript"/>
        </w:rPr>
        <w:footnoteReference w:id="81"/>
      </w:r>
      <w:r w:rsidR="00E73EB0">
        <w:t xml:space="preserve"> </w:t>
      </w:r>
      <w:r w:rsidRPr="004F6271">
        <w:t xml:space="preserve">However, it found that stakeholders had mixed views </w:t>
      </w:r>
      <w:r w:rsidR="00AC61E3">
        <w:t>about</w:t>
      </w:r>
      <w:r w:rsidR="00AC61E3" w:rsidRPr="004F6271">
        <w:t xml:space="preserve"> </w:t>
      </w:r>
      <w:r w:rsidRPr="004F6271">
        <w:t xml:space="preserve">whether </w:t>
      </w:r>
      <w:r w:rsidR="007D1F55">
        <w:t xml:space="preserve">the </w:t>
      </w:r>
      <w:r w:rsidRPr="004F6271">
        <w:t xml:space="preserve">current dispute resolution mechanism was sufficient. Stakeholders also noted that seeking ADR through ASBFEO is more expensive than through </w:t>
      </w:r>
      <w:r w:rsidR="00AC61E3">
        <w:t>s</w:t>
      </w:r>
      <w:r w:rsidRPr="004F6271">
        <w:t xml:space="preserve">tate </w:t>
      </w:r>
      <w:r w:rsidR="00AC3B70">
        <w:t>SBCs</w:t>
      </w:r>
      <w:r w:rsidRPr="004F6271">
        <w:t xml:space="preserve">. Stakeholders also suggested that more information could be provided about voluntary arbitration under the </w:t>
      </w:r>
      <w:r w:rsidR="00C626A9">
        <w:t>Franchising Code of Conduct</w:t>
      </w:r>
      <w:r w:rsidRPr="004F6271">
        <w:t>. </w:t>
      </w:r>
    </w:p>
    <w:p w14:paraId="06F2331A" w14:textId="77777777" w:rsidR="004F6271" w:rsidRPr="004F6271" w:rsidRDefault="004F6271" w:rsidP="004F6271">
      <w:pPr>
        <w:pStyle w:val="Heading2"/>
      </w:pPr>
      <w:bookmarkStart w:id="82" w:name="_Toc199940990"/>
      <w:r w:rsidRPr="004F6271">
        <w:t>Advocacy</w:t>
      </w:r>
      <w:bookmarkEnd w:id="82"/>
      <w:r w:rsidRPr="004F6271">
        <w:t> </w:t>
      </w:r>
    </w:p>
    <w:p w14:paraId="149F2B03" w14:textId="1F517B84" w:rsidR="004F6271" w:rsidRPr="004F6271" w:rsidRDefault="004F6271" w:rsidP="004F6271">
      <w:r w:rsidRPr="007336EC">
        <w:rPr>
          <w:rStyle w:val="Strong"/>
        </w:rPr>
        <w:t xml:space="preserve">ASBFEO advocates for the </w:t>
      </w:r>
      <w:r w:rsidR="00AC61E3">
        <w:rPr>
          <w:rStyle w:val="Strong"/>
        </w:rPr>
        <w:t>f</w:t>
      </w:r>
      <w:r w:rsidRPr="007336EC">
        <w:rPr>
          <w:rStyle w:val="Strong"/>
        </w:rPr>
        <w:t xml:space="preserve">ranchising sector by ensuring </w:t>
      </w:r>
      <w:r w:rsidR="00AC61E3">
        <w:rPr>
          <w:rStyle w:val="Strong"/>
        </w:rPr>
        <w:t>its</w:t>
      </w:r>
      <w:r w:rsidR="00AC61E3" w:rsidRPr="007336EC">
        <w:rPr>
          <w:rStyle w:val="Strong"/>
        </w:rPr>
        <w:t xml:space="preserve"> </w:t>
      </w:r>
      <w:r w:rsidRPr="007336EC">
        <w:rPr>
          <w:rStyle w:val="Strong"/>
        </w:rPr>
        <w:t>views are represented in policy forums and government reform relating to franchising.</w:t>
      </w:r>
      <w:r w:rsidRPr="004F6271">
        <w:t xml:space="preserve"> </w:t>
      </w:r>
      <w:proofErr w:type="gramStart"/>
      <w:r w:rsidRPr="004F6271">
        <w:t>In particular, ASBFEO</w:t>
      </w:r>
      <w:proofErr w:type="gramEnd"/>
      <w:r w:rsidRPr="004F6271">
        <w:t xml:space="preserve"> attends and contributes to the </w:t>
      </w:r>
      <w:r w:rsidR="00C92610">
        <w:t>ACCC’s</w:t>
      </w:r>
      <w:r w:rsidRPr="004F6271">
        <w:t xml:space="preserve"> Small Business and Franchising Consultative Committee. It also produces submissions to reviews relating to the franchising sector.</w:t>
      </w:r>
    </w:p>
    <w:p w14:paraId="3941DF44" w14:textId="4BB83259" w:rsidR="004F6271" w:rsidRPr="004F6271" w:rsidRDefault="004F6271" w:rsidP="004F6271">
      <w:r w:rsidRPr="007336EC">
        <w:rPr>
          <w:rStyle w:val="Strong"/>
        </w:rPr>
        <w:t>Stakeholders found that ASBFEO</w:t>
      </w:r>
      <w:r w:rsidR="00916FA5" w:rsidRPr="007336EC">
        <w:rPr>
          <w:rStyle w:val="Strong"/>
        </w:rPr>
        <w:t>’</w:t>
      </w:r>
      <w:r w:rsidRPr="007336EC">
        <w:rPr>
          <w:rStyle w:val="Strong"/>
        </w:rPr>
        <w:t>s advocacy for the franchising sector was effective and valuable.</w:t>
      </w:r>
      <w:r w:rsidRPr="004F6271">
        <w:t xml:space="preserve"> It</w:t>
      </w:r>
      <w:r w:rsidR="00011732">
        <w:t>s</w:t>
      </w:r>
      <w:r w:rsidRPr="004F6271">
        <w:t xml:space="preserve"> willingness to lodge submissions for franchising</w:t>
      </w:r>
      <w:r w:rsidR="003A0D5E">
        <w:noBreakHyphen/>
      </w:r>
      <w:r w:rsidRPr="004F6271">
        <w:t>related reviews provided a strong voice for the franchising community. </w:t>
      </w:r>
    </w:p>
    <w:p w14:paraId="2F1F10FD" w14:textId="05F1010A" w:rsidR="004F6271" w:rsidRPr="004F6271" w:rsidRDefault="00304951" w:rsidP="004F6271">
      <w:r>
        <w:rPr>
          <w:rStyle w:val="Emphasis"/>
        </w:rPr>
        <w:t>‘</w:t>
      </w:r>
      <w:r w:rsidR="004F6271" w:rsidRPr="0033383B">
        <w:rPr>
          <w:rStyle w:val="Emphasis"/>
        </w:rPr>
        <w:t>ASBFEO submissions made last year on the National Competition Policy and the Franchising Code of Conduct Review were valuable contributions to the debates from an organisation with direct experience and expertise.</w:t>
      </w:r>
      <w:r w:rsidR="003A0D5E">
        <w:rPr>
          <w:rStyle w:val="Emphasis"/>
        </w:rPr>
        <w:t>’</w:t>
      </w:r>
      <w:r w:rsidR="00065357">
        <w:rPr>
          <w:rStyle w:val="Emphasis"/>
          <w:rFonts w:ascii="ZWAdobeF" w:hAnsi="ZWAdobeF" w:cs="ZWAdobeF"/>
          <w:i w:val="0"/>
          <w:color w:val="auto"/>
          <w:sz w:val="2"/>
          <w:szCs w:val="2"/>
        </w:rPr>
        <w:t>80F</w:t>
      </w:r>
      <w:r w:rsidR="00870E1A" w:rsidRPr="00A226B1">
        <w:rPr>
          <w:rStyle w:val="FootnoteReference"/>
          <w:sz w:val="22"/>
          <w:szCs w:val="24"/>
          <w:vertAlign w:val="superscript"/>
          <w:lang w:val="en-US"/>
        </w:rPr>
        <w:footnoteReference w:id="82"/>
      </w:r>
    </w:p>
    <w:p w14:paraId="55DB9938" w14:textId="7EBABB3E" w:rsidR="004F6271" w:rsidRPr="004F6271" w:rsidRDefault="004F6271" w:rsidP="004F6271">
      <w:r w:rsidRPr="007336EC">
        <w:rPr>
          <w:rStyle w:val="Strong"/>
        </w:rPr>
        <w:t xml:space="preserve">In particular, the </w:t>
      </w:r>
      <w:r w:rsidR="00747D32" w:rsidRPr="004C749D">
        <w:rPr>
          <w:b/>
          <w:bCs/>
        </w:rPr>
        <w:t>Australian Automotive Dealers Association</w:t>
      </w:r>
      <w:r w:rsidR="00747D32">
        <w:t xml:space="preserve"> (</w:t>
      </w:r>
      <w:r w:rsidRPr="007336EC">
        <w:rPr>
          <w:rStyle w:val="Strong"/>
        </w:rPr>
        <w:t>AADA</w:t>
      </w:r>
      <w:r w:rsidR="00747D32">
        <w:rPr>
          <w:rStyle w:val="Strong"/>
        </w:rPr>
        <w:t>)</w:t>
      </w:r>
      <w:r w:rsidRPr="007336EC">
        <w:rPr>
          <w:rStyle w:val="Strong"/>
        </w:rPr>
        <w:t xml:space="preserve"> appreciated </w:t>
      </w:r>
      <w:r w:rsidR="00AC61E3">
        <w:rPr>
          <w:rStyle w:val="Strong"/>
        </w:rPr>
        <w:t xml:space="preserve">the </w:t>
      </w:r>
      <w:r w:rsidRPr="007336EC">
        <w:rPr>
          <w:rStyle w:val="Strong"/>
        </w:rPr>
        <w:t>ASBFEO calling out harmful unfair business practices</w:t>
      </w:r>
      <w:r w:rsidRPr="004F6271">
        <w:t xml:space="preserve">. </w:t>
      </w:r>
      <w:r w:rsidR="00AC61E3">
        <w:t xml:space="preserve">The </w:t>
      </w:r>
      <w:r w:rsidRPr="004F6271">
        <w:t>ASBFEO</w:t>
      </w:r>
      <w:r w:rsidR="00916FA5">
        <w:t>’</w:t>
      </w:r>
      <w:r w:rsidRPr="004F6271">
        <w:t>s willingness to call out bad behaviour ensures that franchisees have their concerns heard by the Government. </w:t>
      </w:r>
    </w:p>
    <w:p w14:paraId="6491D4FB" w14:textId="267EC1D1" w:rsidR="004F6271" w:rsidRPr="004F6271" w:rsidRDefault="00F928CC" w:rsidP="004F6271">
      <w:r>
        <w:t>‘</w:t>
      </w:r>
      <w:r w:rsidR="004F6271" w:rsidRPr="0033383B">
        <w:rPr>
          <w:rStyle w:val="Emphasis"/>
        </w:rPr>
        <w:t>AADA appreciates the advocacy of ASBFEO on matters of harmful unfair business practices which ought to be illegal in the franchise business relationship but have slipped through the net</w:t>
      </w:r>
      <w:r w:rsidRPr="0033383B">
        <w:rPr>
          <w:rStyle w:val="Emphasis"/>
        </w:rPr>
        <w:t>.</w:t>
      </w:r>
      <w:r w:rsidR="003A0D5E">
        <w:rPr>
          <w:rStyle w:val="Emphasis"/>
        </w:rPr>
        <w:t>’</w:t>
      </w:r>
      <w:r w:rsidR="00065357">
        <w:rPr>
          <w:rStyle w:val="Emphasis"/>
          <w:rFonts w:ascii="ZWAdobeF" w:hAnsi="ZWAdobeF" w:cs="ZWAdobeF"/>
          <w:i w:val="0"/>
          <w:color w:val="auto"/>
          <w:sz w:val="2"/>
          <w:szCs w:val="2"/>
        </w:rPr>
        <w:t>81F</w:t>
      </w:r>
      <w:r w:rsidR="004D1373" w:rsidRPr="00A226B1">
        <w:rPr>
          <w:rStyle w:val="FootnoteReference"/>
          <w:sz w:val="22"/>
          <w:szCs w:val="24"/>
          <w:vertAlign w:val="superscript"/>
        </w:rPr>
        <w:footnoteReference w:id="83"/>
      </w:r>
    </w:p>
    <w:p w14:paraId="46E7FD27" w14:textId="620B0F37" w:rsidR="004F6271" w:rsidRPr="004F6271" w:rsidRDefault="004F6271" w:rsidP="004F6271">
      <w:r w:rsidRPr="000741AA">
        <w:rPr>
          <w:rStyle w:val="Strong"/>
        </w:rPr>
        <w:t>ASBFEO has a good understanding of issues and challenges in the franchising sector and uses this knowledge to educate the sector.</w:t>
      </w:r>
      <w:r w:rsidRPr="004F6271">
        <w:rPr>
          <w:b/>
          <w:bCs/>
        </w:rPr>
        <w:t xml:space="preserve"> </w:t>
      </w:r>
      <w:r w:rsidRPr="004F6271">
        <w:t>Stakeholders found that ASBFEO</w:t>
      </w:r>
      <w:r w:rsidR="00916FA5">
        <w:t>’</w:t>
      </w:r>
      <w:r w:rsidRPr="004F6271">
        <w:t>s communication and engagement on franchising issues were effective.</w:t>
      </w:r>
    </w:p>
    <w:p w14:paraId="4CE79862" w14:textId="28958BBF" w:rsidR="004F6271" w:rsidRPr="00D02C1C" w:rsidRDefault="00A42D68" w:rsidP="004F6271">
      <w:pPr>
        <w:rPr>
          <w:i/>
        </w:rPr>
      </w:pPr>
      <w:r>
        <w:rPr>
          <w:rStyle w:val="Emphasis"/>
        </w:rPr>
        <w:t>‘</w:t>
      </w:r>
      <w:r w:rsidR="004F6271" w:rsidRPr="0033383B">
        <w:rPr>
          <w:rStyle w:val="Emphasis"/>
        </w:rPr>
        <w:t>AADA supports ASBFEO, the Ombudsman, and staff in the ongoing efforts to assist business owners, particularly franchisees</w:t>
      </w:r>
      <w:r w:rsidR="00AC61E3" w:rsidRPr="0033383B">
        <w:rPr>
          <w:rStyle w:val="Emphasis"/>
        </w:rPr>
        <w:t>.</w:t>
      </w:r>
      <w:r w:rsidR="003A0D5E">
        <w:rPr>
          <w:rStyle w:val="Emphasis"/>
        </w:rPr>
        <w:t>’</w:t>
      </w:r>
      <w:r w:rsidR="00065357">
        <w:rPr>
          <w:rStyle w:val="Emphasis"/>
          <w:rFonts w:ascii="ZWAdobeF" w:hAnsi="ZWAdobeF" w:cs="ZWAdobeF"/>
          <w:i w:val="0"/>
          <w:color w:val="auto"/>
          <w:sz w:val="2"/>
          <w:szCs w:val="2"/>
        </w:rPr>
        <w:t>82F</w:t>
      </w:r>
      <w:r w:rsidR="00C4627D" w:rsidRPr="00A226B1">
        <w:rPr>
          <w:rStyle w:val="FootnoteReference"/>
          <w:sz w:val="22"/>
          <w:szCs w:val="24"/>
          <w:vertAlign w:val="superscript"/>
          <w:lang w:val="en-US"/>
        </w:rPr>
        <w:footnoteReference w:id="84"/>
      </w:r>
    </w:p>
    <w:p w14:paraId="6BCDD1EC" w14:textId="1B2B97CF" w:rsidR="004F6271" w:rsidRPr="004F6271" w:rsidRDefault="00A42D68" w:rsidP="004F6271">
      <w:r>
        <w:rPr>
          <w:rStyle w:val="Emphasis"/>
        </w:rPr>
        <w:lastRenderedPageBreak/>
        <w:t>‘</w:t>
      </w:r>
      <w:r w:rsidR="004F6271" w:rsidRPr="0033383B">
        <w:rPr>
          <w:rStyle w:val="Emphasis"/>
        </w:rPr>
        <w:t>ASBFEO is an active and regular communicator in all parts of Australia including country regions. Active outreach is important for ASBFEO to be seen and to actively seek feedback from small business owners. The emphasis on outreach should continue.</w:t>
      </w:r>
      <w:r w:rsidR="003A0D5E">
        <w:rPr>
          <w:rStyle w:val="Emphasis"/>
        </w:rPr>
        <w:t>’</w:t>
      </w:r>
      <w:r w:rsidR="00065357">
        <w:rPr>
          <w:rStyle w:val="Emphasis"/>
          <w:rFonts w:ascii="ZWAdobeF" w:hAnsi="ZWAdobeF" w:cs="ZWAdobeF"/>
          <w:i w:val="0"/>
          <w:color w:val="auto"/>
          <w:sz w:val="2"/>
          <w:szCs w:val="2"/>
        </w:rPr>
        <w:t>83F</w:t>
      </w:r>
      <w:r w:rsidRPr="00A226B1">
        <w:rPr>
          <w:rStyle w:val="FootnoteReference"/>
          <w:sz w:val="22"/>
          <w:szCs w:val="24"/>
          <w:vertAlign w:val="superscript"/>
          <w:lang w:val="en-US"/>
        </w:rPr>
        <w:footnoteReference w:id="85"/>
      </w:r>
    </w:p>
    <w:p w14:paraId="51FB4145" w14:textId="6EB75C99" w:rsidR="004F6271" w:rsidRPr="004F6271" w:rsidRDefault="004F6271" w:rsidP="004F6271">
      <w:r w:rsidRPr="00AA4DFA">
        <w:rPr>
          <w:rStyle w:val="Strong"/>
          <w:b w:val="0"/>
        </w:rPr>
        <w:t xml:space="preserve">MTAA </w:t>
      </w:r>
      <w:r w:rsidR="00AC61E3" w:rsidRPr="00AA4DFA">
        <w:rPr>
          <w:rStyle w:val="Strong"/>
          <w:b w:val="0"/>
        </w:rPr>
        <w:t xml:space="preserve">was </w:t>
      </w:r>
      <w:r w:rsidRPr="00AA4DFA">
        <w:rPr>
          <w:rStyle w:val="Strong"/>
          <w:b w:val="0"/>
        </w:rPr>
        <w:t>pleased with the level of engagement with the Ombudsman however they would like to see a reinvigoration of engagement including the productive quarterly meetings which were recently discontinued</w:t>
      </w:r>
      <w:r w:rsidR="00D93950">
        <w:rPr>
          <w:rStyle w:val="Strong"/>
        </w:rPr>
        <w:t>.</w:t>
      </w:r>
      <w:r w:rsidR="00065357">
        <w:rPr>
          <w:rStyle w:val="Strong"/>
          <w:rFonts w:ascii="ZWAdobeF" w:hAnsi="ZWAdobeF" w:cs="ZWAdobeF"/>
          <w:b w:val="0"/>
          <w:color w:val="auto"/>
          <w:sz w:val="2"/>
          <w:szCs w:val="2"/>
        </w:rPr>
        <w:t>84F</w:t>
      </w:r>
      <w:r w:rsidR="00CA2511" w:rsidRPr="00A226B1">
        <w:rPr>
          <w:rStyle w:val="FootnoteReference"/>
          <w:sz w:val="22"/>
          <w:szCs w:val="24"/>
          <w:vertAlign w:val="superscript"/>
        </w:rPr>
        <w:footnoteReference w:id="86"/>
      </w:r>
      <w:r w:rsidRPr="004F6271" w:rsidDel="001B4F5C">
        <w:rPr>
          <w:lang w:val="en-US"/>
        </w:rPr>
        <w:t xml:space="preserve"> </w:t>
      </w:r>
      <w:r w:rsidRPr="004F6271">
        <w:rPr>
          <w:lang w:val="en-US"/>
        </w:rPr>
        <w:t>ASBFEO should review its stakeholder consultation to ensure that it is fit for purpose.</w:t>
      </w:r>
    </w:p>
    <w:p w14:paraId="77B5637B" w14:textId="6B0D3075" w:rsidR="00901B98" w:rsidRPr="004F6271" w:rsidRDefault="00901B98" w:rsidP="004F6271">
      <w:r w:rsidRPr="00AA4DFA">
        <w:rPr>
          <w:rStyle w:val="Strong"/>
          <w:b w:val="0"/>
        </w:rPr>
        <w:t xml:space="preserve">At the </w:t>
      </w:r>
      <w:r w:rsidR="00942127" w:rsidRPr="00AA4DFA">
        <w:rPr>
          <w:rStyle w:val="Strong"/>
          <w:b w:val="0"/>
        </w:rPr>
        <w:t>f</w:t>
      </w:r>
      <w:r w:rsidRPr="00AA4DFA">
        <w:rPr>
          <w:rStyle w:val="Strong"/>
          <w:b w:val="0"/>
        </w:rPr>
        <w:t xml:space="preserve">ranchising roundtable, an industry body questioned ASBFEO’s independence during the Franchising Review as it </w:t>
      </w:r>
      <w:r w:rsidRPr="00AA4DFA">
        <w:t>was not clear that a balanced approach to its advocacy recognised that some franchisors are also small businesses.</w:t>
      </w:r>
      <w:r>
        <w:rPr>
          <w:b/>
          <w:bCs/>
          <w:i/>
          <w:iCs/>
        </w:rPr>
        <w:t xml:space="preserve"> </w:t>
      </w:r>
      <w:r w:rsidRPr="004F6271">
        <w:t>ASBFEO will need to be mindful of the views of all small businesses when advocating on an issue. </w:t>
      </w:r>
    </w:p>
    <w:p w14:paraId="2F03DBB2" w14:textId="2CF83E17" w:rsidR="004F6271" w:rsidRPr="000741AA" w:rsidRDefault="004F6271" w:rsidP="004F6271">
      <w:pPr>
        <w:rPr>
          <w:rStyle w:val="Strong"/>
        </w:rPr>
      </w:pPr>
      <w:r w:rsidRPr="000741AA">
        <w:rPr>
          <w:rStyle w:val="Strong"/>
        </w:rPr>
        <w:t>Stakeholders also noted that ASBFEO plays an important role in assisting with interpreting the Franchising Code</w:t>
      </w:r>
      <w:r w:rsidR="00E65C7C">
        <w:rPr>
          <w:rStyle w:val="Strong"/>
        </w:rPr>
        <w:t xml:space="preserve"> of Conduct</w:t>
      </w:r>
      <w:r w:rsidRPr="000741AA">
        <w:rPr>
          <w:rStyle w:val="Strong"/>
        </w:rPr>
        <w:t>, which provides information and best practice guidance for the sector</w:t>
      </w:r>
      <w:r w:rsidR="00916FA5" w:rsidRPr="000741AA">
        <w:rPr>
          <w:rStyle w:val="Strong"/>
        </w:rPr>
        <w:t xml:space="preserve">. </w:t>
      </w:r>
    </w:p>
    <w:p w14:paraId="420FF728" w14:textId="18EBB719" w:rsidR="004F6271" w:rsidRPr="004F6271" w:rsidRDefault="00331F05" w:rsidP="004F6271">
      <w:r>
        <w:rPr>
          <w:rStyle w:val="Emphasis"/>
        </w:rPr>
        <w:t>‘</w:t>
      </w:r>
      <w:r w:rsidR="004F6271" w:rsidRPr="0033383B">
        <w:rPr>
          <w:rStyle w:val="Emphasis"/>
        </w:rPr>
        <w:t>ASBFEO understands the issues facing small business owners, the problems of one</w:t>
      </w:r>
      <w:r w:rsidR="00916FA5">
        <w:rPr>
          <w:rStyle w:val="Emphasis"/>
        </w:rPr>
        <w:noBreakHyphen/>
      </w:r>
      <w:r w:rsidR="004F6271" w:rsidRPr="0033383B">
        <w:rPr>
          <w:rStyle w:val="Emphasis"/>
        </w:rPr>
        <w:t>sided business relationships, and the imbalance of power.</w:t>
      </w:r>
      <w:r w:rsidR="003A0D5E">
        <w:rPr>
          <w:rStyle w:val="Emphasis"/>
        </w:rPr>
        <w:t>’</w:t>
      </w:r>
      <w:r w:rsidR="00065357">
        <w:rPr>
          <w:rStyle w:val="Emphasis"/>
          <w:rFonts w:ascii="ZWAdobeF" w:hAnsi="ZWAdobeF" w:cs="ZWAdobeF"/>
          <w:i w:val="0"/>
          <w:color w:val="auto"/>
          <w:sz w:val="2"/>
          <w:szCs w:val="2"/>
        </w:rPr>
        <w:t>85F</w:t>
      </w:r>
      <w:r w:rsidR="00B87DCC" w:rsidRPr="00A226B1">
        <w:rPr>
          <w:rStyle w:val="FootnoteReference"/>
          <w:sz w:val="22"/>
          <w:szCs w:val="24"/>
          <w:vertAlign w:val="superscript"/>
        </w:rPr>
        <w:footnoteReference w:id="87"/>
      </w:r>
    </w:p>
    <w:p w14:paraId="79899BE9" w14:textId="4A42E9C6" w:rsidR="004F6271" w:rsidRPr="00AA4DFA" w:rsidRDefault="004F6271" w:rsidP="004F6271">
      <w:r w:rsidRPr="00AA4DFA">
        <w:t>Stakeholder</w:t>
      </w:r>
      <w:r w:rsidR="00275C8A" w:rsidRPr="00AA4DFA">
        <w:t>s</w:t>
      </w:r>
      <w:r w:rsidRPr="00AA4DFA">
        <w:t xml:space="preserve"> suggested better education before entering into a franchise agreement would provide benefits for all parties making them aware of the risks and opportunities. </w:t>
      </w:r>
    </w:p>
    <w:p w14:paraId="2F2F2671" w14:textId="5C2EBC31" w:rsidR="004F6271" w:rsidRPr="00A226B1" w:rsidRDefault="00331F05" w:rsidP="004F6271">
      <w:pPr>
        <w:rPr>
          <w:vertAlign w:val="superscript"/>
        </w:rPr>
      </w:pPr>
      <w:r>
        <w:rPr>
          <w:rStyle w:val="Emphasis"/>
        </w:rPr>
        <w:t>‘</w:t>
      </w:r>
      <w:r w:rsidR="004F6271" w:rsidRPr="0033383B">
        <w:rPr>
          <w:rStyle w:val="Emphasis"/>
        </w:rPr>
        <w:t>If</w:t>
      </w:r>
      <w:r w:rsidR="004F6271" w:rsidRPr="0033383B" w:rsidDel="00444F60">
        <w:rPr>
          <w:rStyle w:val="Emphasis"/>
        </w:rPr>
        <w:t xml:space="preserve"> </w:t>
      </w:r>
      <w:r w:rsidR="004F6271" w:rsidRPr="0033383B">
        <w:rPr>
          <w:rStyle w:val="Emphasis"/>
        </w:rPr>
        <w:t>ASBFEO could educate business on the key risks and opportunities in emerging trends before they become mainstream all parties would benefit.</w:t>
      </w:r>
      <w:r w:rsidR="003A0D5E">
        <w:rPr>
          <w:rStyle w:val="Emphasis"/>
        </w:rPr>
        <w:t>’</w:t>
      </w:r>
      <w:r w:rsidR="00065357">
        <w:rPr>
          <w:rStyle w:val="Emphasis"/>
          <w:rFonts w:ascii="ZWAdobeF" w:hAnsi="ZWAdobeF" w:cs="ZWAdobeF"/>
          <w:i w:val="0"/>
          <w:color w:val="auto"/>
          <w:sz w:val="2"/>
          <w:szCs w:val="2"/>
        </w:rPr>
        <w:t>86F</w:t>
      </w:r>
      <w:r w:rsidRPr="00A226B1">
        <w:rPr>
          <w:rStyle w:val="FootnoteReference"/>
          <w:sz w:val="22"/>
          <w:szCs w:val="24"/>
          <w:vertAlign w:val="superscript"/>
        </w:rPr>
        <w:footnoteReference w:id="88"/>
      </w:r>
    </w:p>
    <w:p w14:paraId="3EE28D00" w14:textId="24A7BF0F" w:rsidR="004F6271" w:rsidRPr="004F6271" w:rsidRDefault="004F6271" w:rsidP="004F6271">
      <w:r w:rsidRPr="0033383B">
        <w:rPr>
          <w:rStyle w:val="Strong"/>
        </w:rPr>
        <w:t xml:space="preserve">Before implementing the </w:t>
      </w:r>
      <w:r w:rsidR="00601D93" w:rsidRPr="0033383B">
        <w:rPr>
          <w:rStyle w:val="Strong"/>
        </w:rPr>
        <w:t xml:space="preserve">Government response to </w:t>
      </w:r>
      <w:r w:rsidR="00444F60" w:rsidRPr="0033383B">
        <w:rPr>
          <w:rStyle w:val="Strong"/>
        </w:rPr>
        <w:t>R</w:t>
      </w:r>
      <w:r w:rsidRPr="0033383B">
        <w:rPr>
          <w:rStyle w:val="Strong"/>
        </w:rPr>
        <w:t>ecommendation</w:t>
      </w:r>
      <w:r w:rsidR="00601D93" w:rsidRPr="0033383B">
        <w:rPr>
          <w:rStyle w:val="Strong"/>
        </w:rPr>
        <w:t xml:space="preserve"> 17</w:t>
      </w:r>
      <w:r w:rsidRPr="0033383B">
        <w:rPr>
          <w:rStyle w:val="Strong"/>
        </w:rPr>
        <w:t xml:space="preserve"> from the Franchising Review, ASBFEO should consult broadly with franchisee and franchisor stakeholders.</w:t>
      </w:r>
      <w:r w:rsidRPr="004F6271">
        <w:t xml:space="preserve"> This should improve the education of the franchising sector. </w:t>
      </w:r>
    </w:p>
    <w:p w14:paraId="14480B93" w14:textId="792B0828" w:rsidR="004F6271" w:rsidRPr="004F6271" w:rsidRDefault="004F6271" w:rsidP="00CE6931">
      <w:pPr>
        <w:pStyle w:val="Heading2"/>
      </w:pPr>
      <w:bookmarkStart w:id="83" w:name="_Toc199940991"/>
      <w:r w:rsidRPr="004F6271">
        <w:t>Assistance</w:t>
      </w:r>
      <w:bookmarkEnd w:id="83"/>
    </w:p>
    <w:p w14:paraId="2AF0C053" w14:textId="2C3EAA1D" w:rsidR="004F6271" w:rsidRPr="004F6271" w:rsidRDefault="004F6271" w:rsidP="004F6271">
      <w:r w:rsidRPr="00526B3E">
        <w:rPr>
          <w:rStyle w:val="Strong"/>
        </w:rPr>
        <w:t xml:space="preserve">ASBFEO </w:t>
      </w:r>
      <w:r w:rsidR="005E3355">
        <w:rPr>
          <w:rStyle w:val="Strong"/>
        </w:rPr>
        <w:t>is</w:t>
      </w:r>
      <w:r w:rsidRPr="00526B3E" w:rsidDel="005E3355">
        <w:rPr>
          <w:rStyle w:val="Strong"/>
        </w:rPr>
        <w:t xml:space="preserve"> </w:t>
      </w:r>
      <w:r w:rsidRPr="00526B3E">
        <w:rPr>
          <w:rStyle w:val="Strong"/>
        </w:rPr>
        <w:t xml:space="preserve">the </w:t>
      </w:r>
      <w:r w:rsidR="008C7E8E">
        <w:rPr>
          <w:rStyle w:val="Strong"/>
        </w:rPr>
        <w:t>D</w:t>
      </w:r>
      <w:r w:rsidR="002B6B82">
        <w:rPr>
          <w:rStyle w:val="Strong"/>
        </w:rPr>
        <w:t>RA</w:t>
      </w:r>
      <w:r w:rsidR="008C7E8E" w:rsidRPr="00526B3E">
        <w:rPr>
          <w:rStyle w:val="Strong"/>
        </w:rPr>
        <w:t xml:space="preserve"> under</w:t>
      </w:r>
      <w:r w:rsidRPr="00526B3E">
        <w:rPr>
          <w:rStyle w:val="Strong"/>
        </w:rPr>
        <w:t xml:space="preserve"> the Franchising Code</w:t>
      </w:r>
      <w:r w:rsidR="007F20E4">
        <w:rPr>
          <w:rStyle w:val="Strong"/>
        </w:rPr>
        <w:t xml:space="preserve"> of Conduct</w:t>
      </w:r>
      <w:r w:rsidRPr="00526B3E">
        <w:rPr>
          <w:rStyle w:val="Strong"/>
        </w:rPr>
        <w:t xml:space="preserve">, providing franchisees and franchisors access to ADR </w:t>
      </w:r>
      <w:r w:rsidR="009A3C0B" w:rsidRPr="00526B3E">
        <w:rPr>
          <w:rStyle w:val="Strong"/>
        </w:rPr>
        <w:t>services</w:t>
      </w:r>
      <w:r w:rsidR="009A3C0B">
        <w:rPr>
          <w:rStyle w:val="Strong"/>
        </w:rPr>
        <w:t>.</w:t>
      </w:r>
      <w:r w:rsidR="00065357">
        <w:rPr>
          <w:rStyle w:val="Strong"/>
          <w:rFonts w:ascii="ZWAdobeF" w:hAnsi="ZWAdobeF" w:cs="ZWAdobeF"/>
          <w:b w:val="0"/>
          <w:color w:val="auto"/>
          <w:sz w:val="2"/>
          <w:szCs w:val="2"/>
        </w:rPr>
        <w:t>87F</w:t>
      </w:r>
      <w:r w:rsidR="00622838" w:rsidRPr="00A226B1">
        <w:rPr>
          <w:rStyle w:val="FootnoteReference"/>
          <w:vertAlign w:val="superscript"/>
        </w:rPr>
        <w:footnoteReference w:id="89"/>
      </w:r>
      <w:r w:rsidRPr="004F6271">
        <w:t xml:space="preserve"> </w:t>
      </w:r>
      <w:r w:rsidRPr="004F6271">
        <w:rPr>
          <w:lang w:val="en-US"/>
        </w:rPr>
        <w:t xml:space="preserve">The role of the DRA is to provide information about the dispute resolution process, recommend ADR services and provide a list of accredited ADR practitioners </w:t>
      </w:r>
      <w:r w:rsidR="002B6B82">
        <w:rPr>
          <w:lang w:val="en-US"/>
        </w:rPr>
        <w:t>to</w:t>
      </w:r>
      <w:r w:rsidR="005E3355">
        <w:rPr>
          <w:lang w:val="en-US"/>
        </w:rPr>
        <w:t xml:space="preserve"> </w:t>
      </w:r>
      <w:r w:rsidRPr="004F6271">
        <w:rPr>
          <w:lang w:val="en-US"/>
        </w:rPr>
        <w:t>conduct mediation, voluntary arbitration or conciliation</w:t>
      </w:r>
      <w:r w:rsidR="00916FA5">
        <w:rPr>
          <w:lang w:val="en-US"/>
        </w:rPr>
        <w:t xml:space="preserve">. </w:t>
      </w:r>
    </w:p>
    <w:p w14:paraId="710EF349" w14:textId="42A1DF56" w:rsidR="004F6271" w:rsidRPr="004F6271" w:rsidRDefault="004F6271" w:rsidP="004F6271">
      <w:r w:rsidRPr="00526B3E">
        <w:rPr>
          <w:rStyle w:val="Strong"/>
        </w:rPr>
        <w:t>SBCs also support the franchising sector in accessing ADR, by referring complaints to ASBFEO or by using their own services in some instances</w:t>
      </w:r>
      <w:r w:rsidR="00916FA5" w:rsidRPr="00526B3E">
        <w:rPr>
          <w:rStyle w:val="Strong"/>
        </w:rPr>
        <w:t>.</w:t>
      </w:r>
      <w:r w:rsidR="00916FA5">
        <w:rPr>
          <w:lang w:val="en-US"/>
        </w:rPr>
        <w:t xml:space="preserve"> </w:t>
      </w:r>
      <w:r w:rsidRPr="004F6271">
        <w:rPr>
          <w:lang w:val="en-US"/>
        </w:rPr>
        <w:t xml:space="preserve">SBCs must </w:t>
      </w:r>
      <w:r w:rsidR="005E3355">
        <w:rPr>
          <w:lang w:val="en-US"/>
        </w:rPr>
        <w:t xml:space="preserve">manage </w:t>
      </w:r>
      <w:r w:rsidR="00702A16">
        <w:rPr>
          <w:lang w:val="en-US"/>
        </w:rPr>
        <w:t>r</w:t>
      </w:r>
      <w:r w:rsidRPr="004F6271">
        <w:rPr>
          <w:lang w:val="en-US"/>
        </w:rPr>
        <w:t xml:space="preserve">etail </w:t>
      </w:r>
      <w:r w:rsidR="00702A16">
        <w:rPr>
          <w:lang w:val="en-US"/>
        </w:rPr>
        <w:t>l</w:t>
      </w:r>
      <w:r w:rsidRPr="004F6271">
        <w:rPr>
          <w:lang w:val="en-US"/>
        </w:rPr>
        <w:t xml:space="preserve">easing disputes involving franchisees </w:t>
      </w:r>
      <w:r w:rsidR="00737542">
        <w:rPr>
          <w:lang w:val="en-US"/>
        </w:rPr>
        <w:t xml:space="preserve">which are </w:t>
      </w:r>
      <w:r w:rsidRPr="004F6271">
        <w:rPr>
          <w:lang w:val="en-US"/>
        </w:rPr>
        <w:t xml:space="preserve">usually based on state legislation. </w:t>
      </w:r>
      <w:r w:rsidR="00A63BFD">
        <w:t>S</w:t>
      </w:r>
      <w:r w:rsidR="006628C3">
        <w:t>outh Australia</w:t>
      </w:r>
      <w:r w:rsidRPr="004F6271">
        <w:t xml:space="preserve"> also has franchising legislation providing dispute resolution, </w:t>
      </w:r>
      <w:proofErr w:type="gramStart"/>
      <w:r w:rsidRPr="004F6271">
        <w:t>similar to</w:t>
      </w:r>
      <w:proofErr w:type="gramEnd"/>
      <w:r w:rsidRPr="004F6271">
        <w:t xml:space="preserve"> the Franchising Code</w:t>
      </w:r>
      <w:r w:rsidR="00A76154">
        <w:t xml:space="preserve"> of Conduct</w:t>
      </w:r>
      <w:r w:rsidRPr="004F6271">
        <w:t>, but this has rarely been used.</w:t>
      </w:r>
      <w:r w:rsidR="00065357">
        <w:rPr>
          <w:rFonts w:ascii="ZWAdobeF" w:hAnsi="ZWAdobeF" w:cs="ZWAdobeF"/>
          <w:color w:val="auto"/>
          <w:sz w:val="2"/>
          <w:szCs w:val="2"/>
        </w:rPr>
        <w:t>88F</w:t>
      </w:r>
      <w:r w:rsidR="007209D0" w:rsidRPr="003C492E">
        <w:rPr>
          <w:rStyle w:val="FootnoteReference"/>
          <w:vertAlign w:val="superscript"/>
        </w:rPr>
        <w:footnoteReference w:id="90"/>
      </w:r>
    </w:p>
    <w:p w14:paraId="65982E21" w14:textId="17C9C1DD" w:rsidR="004F6271" w:rsidRDefault="004F6271" w:rsidP="004F6271">
      <w:r w:rsidRPr="00526B3E">
        <w:rPr>
          <w:rStyle w:val="Strong"/>
        </w:rPr>
        <w:lastRenderedPageBreak/>
        <w:t xml:space="preserve">ASBFEO primarily manages franchising disputes covered by the Franchising Code </w:t>
      </w:r>
      <w:r w:rsidR="00A76154">
        <w:rPr>
          <w:rStyle w:val="Strong"/>
        </w:rPr>
        <w:t>of Conduct</w:t>
      </w:r>
      <w:r w:rsidRPr="00526B3E">
        <w:rPr>
          <w:rStyle w:val="Strong"/>
        </w:rPr>
        <w:t xml:space="preserve"> and cases involv</w:t>
      </w:r>
      <w:r w:rsidR="00737542">
        <w:rPr>
          <w:rStyle w:val="Strong"/>
        </w:rPr>
        <w:t>ing</w:t>
      </w:r>
      <w:r w:rsidRPr="00526B3E">
        <w:rPr>
          <w:rStyle w:val="Strong"/>
        </w:rPr>
        <w:t xml:space="preserve"> parties in </w:t>
      </w:r>
      <w:r w:rsidR="001F0358">
        <w:rPr>
          <w:rStyle w:val="Strong"/>
        </w:rPr>
        <w:t>multiple</w:t>
      </w:r>
      <w:r w:rsidRPr="00526B3E" w:rsidDel="001F0358">
        <w:rPr>
          <w:rStyle w:val="Strong"/>
        </w:rPr>
        <w:t xml:space="preserve"> </w:t>
      </w:r>
      <w:r w:rsidRPr="00526B3E">
        <w:rPr>
          <w:rStyle w:val="Strong"/>
        </w:rPr>
        <w:t>jurisdiction</w:t>
      </w:r>
      <w:r w:rsidR="001F0358">
        <w:rPr>
          <w:rStyle w:val="Strong"/>
        </w:rPr>
        <w:t>s</w:t>
      </w:r>
      <w:r w:rsidRPr="00526B3E">
        <w:rPr>
          <w:rStyle w:val="Strong"/>
        </w:rPr>
        <w:t>.</w:t>
      </w:r>
      <w:r w:rsidRPr="004F6271">
        <w:t xml:space="preserve"> It can also assist franchisees with issues outside of the Franchising Code</w:t>
      </w:r>
      <w:r w:rsidR="004E3BA5">
        <w:t xml:space="preserve"> of Conduct</w:t>
      </w:r>
      <w:r w:rsidRPr="004F6271">
        <w:t xml:space="preserve">, if it does not duplicate the role of the </w:t>
      </w:r>
      <w:r w:rsidR="00E835D2">
        <w:t>s</w:t>
      </w:r>
      <w:r w:rsidRPr="004F6271">
        <w:t xml:space="preserve">tate </w:t>
      </w:r>
      <w:r w:rsidR="004E3BA5">
        <w:t>SBC</w:t>
      </w:r>
      <w:r w:rsidRPr="004F6271">
        <w:t xml:space="preserve"> or another office</w:t>
      </w:r>
      <w:r w:rsidR="00916FA5">
        <w:t xml:space="preserve">. </w:t>
      </w:r>
      <w:r w:rsidR="009156CA">
        <w:t xml:space="preserve">Common issues in franchising disputes are shown in </w:t>
      </w:r>
      <w:r w:rsidR="00AC7CBA">
        <w:t xml:space="preserve">Figure </w:t>
      </w:r>
      <w:r w:rsidR="00062CC8" w:rsidRPr="00A36A34">
        <w:t>5.1</w:t>
      </w:r>
      <w:r w:rsidR="00171928">
        <w:t>.</w:t>
      </w:r>
      <w:r w:rsidR="009156CA" w:rsidRPr="004F6271">
        <w:t> </w:t>
      </w:r>
    </w:p>
    <w:p w14:paraId="611254C6" w14:textId="321EF68E" w:rsidR="008F3AA2" w:rsidRDefault="00AC7CBA" w:rsidP="00A36A34">
      <w:pPr>
        <w:pStyle w:val="TableMainHeading"/>
      </w:pPr>
      <w:r>
        <w:t xml:space="preserve">Figure </w:t>
      </w:r>
      <w:r w:rsidR="008F3AA2">
        <w:t xml:space="preserve">5.1: </w:t>
      </w:r>
      <w:r w:rsidR="00826F8C">
        <w:t>Common issues in franchising disputes</w:t>
      </w:r>
    </w:p>
    <w:tbl>
      <w:tblPr>
        <w:tblStyle w:val="Style1"/>
        <w:tblW w:w="5000" w:type="pct"/>
        <w:tblCellMar>
          <w:top w:w="28" w:type="dxa"/>
          <w:bottom w:w="28" w:type="dxa"/>
        </w:tblCellMar>
        <w:tblLook w:val="04A0" w:firstRow="1" w:lastRow="0" w:firstColumn="1" w:lastColumn="0" w:noHBand="0" w:noVBand="1"/>
      </w:tblPr>
      <w:tblGrid>
        <w:gridCol w:w="846"/>
        <w:gridCol w:w="8224"/>
      </w:tblGrid>
      <w:tr w:rsidR="0098207B" w14:paraId="192D28FD" w14:textId="77777777" w:rsidTr="004E12AE">
        <w:trPr>
          <w:cnfStyle w:val="100000000000" w:firstRow="1" w:lastRow="0" w:firstColumn="0" w:lastColumn="0" w:oddVBand="0" w:evenVBand="0" w:oddHBand="0" w:evenHBand="0" w:firstRowFirstColumn="0" w:firstRowLastColumn="0" w:lastRowFirstColumn="0" w:lastRowLastColumn="0"/>
        </w:trPr>
        <w:tc>
          <w:tcPr>
            <w:tcW w:w="8928" w:type="dxa"/>
            <w:gridSpan w:val="2"/>
          </w:tcPr>
          <w:p w14:paraId="28A9E7C5" w14:textId="1748A9D5" w:rsidR="0098207B" w:rsidRPr="00A36A34" w:rsidRDefault="0098207B" w:rsidP="00886002">
            <w:pPr>
              <w:pStyle w:val="TableColumnHeadingLeft"/>
            </w:pPr>
            <w:r w:rsidRPr="00A36A34">
              <w:t>Some of the common issues found in ASBFEO franchising disputes</w:t>
            </w:r>
            <w:r w:rsidR="000952A2" w:rsidRPr="00A36A34">
              <w:t xml:space="preserve"> include:</w:t>
            </w:r>
            <w:r w:rsidR="00065357">
              <w:rPr>
                <w:rFonts w:ascii="ZWAdobeF" w:hAnsi="ZWAdobeF" w:cs="ZWAdobeF"/>
                <w:b w:val="0"/>
                <w:sz w:val="2"/>
                <w:szCs w:val="2"/>
              </w:rPr>
              <w:t>89F</w:t>
            </w:r>
            <w:r w:rsidR="001C4DCE" w:rsidRPr="00A36A34">
              <w:rPr>
                <w:rStyle w:val="FootnoteReference"/>
                <w:sz w:val="22"/>
                <w:szCs w:val="22"/>
                <w:vertAlign w:val="superscript"/>
              </w:rPr>
              <w:footnoteReference w:id="91"/>
            </w:r>
          </w:p>
        </w:tc>
      </w:tr>
      <w:tr w:rsidR="0098207B" w14:paraId="2AF53546" w14:textId="77777777" w:rsidTr="004E12AE">
        <w:trPr>
          <w:trHeight w:val="431"/>
        </w:trPr>
        <w:tc>
          <w:tcPr>
            <w:tcW w:w="704" w:type="dxa"/>
          </w:tcPr>
          <w:p w14:paraId="748A4321" w14:textId="15C4F46C" w:rsidR="0098207B" w:rsidRDefault="005F1ECE" w:rsidP="0070321F">
            <w:pPr>
              <w:pStyle w:val="TableTextCentered"/>
            </w:pPr>
            <w:r w:rsidRPr="00171928">
              <w:rPr>
                <w:noProof/>
              </w:rPr>
              <w:drawing>
                <wp:inline distT="0" distB="0" distL="0" distR="0" wp14:anchorId="732CB969" wp14:editId="7F0C319A">
                  <wp:extent cx="360000" cy="360000"/>
                  <wp:effectExtent l="0" t="0" r="2540" b="2540"/>
                  <wp:docPr id="141936446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64467" name="Picture 11">
                            <a:extLst>
                              <a:ext uri="{C183D7F6-B498-43B3-948B-1728B52AA6E4}">
                                <adec:decorative xmlns:adec="http://schemas.microsoft.com/office/drawing/2017/decorative" val="1"/>
                              </a:ext>
                            </a:extLst>
                          </pic:cNvPr>
                          <pic:cNvPicPr>
                            <a:picLocks noChangeAspect="1" noChangeArrowheads="1"/>
                          </pic:cNvPicPr>
                        </pic:nvPicPr>
                        <pic:blipFill>
                          <a:blip r:embed="rId49">
                            <a:extLst>
                              <a:ext uri="{96DAC541-7B7A-43D3-8B79-37D633B846F1}">
                                <asvg:svgBlip xmlns:asvg="http://schemas.microsoft.com/office/drawing/2016/SVG/main" r:embed="rId50"/>
                              </a:ext>
                            </a:extLst>
                          </a:blip>
                          <a:stretch>
                            <a:fillRect/>
                          </a:stretch>
                        </pic:blipFill>
                        <pic:spPr bwMode="auto">
                          <a:xfrm>
                            <a:off x="0" y="0"/>
                            <a:ext cx="360000" cy="360000"/>
                          </a:xfrm>
                          <a:prstGeom prst="rect">
                            <a:avLst/>
                          </a:prstGeom>
                        </pic:spPr>
                      </pic:pic>
                    </a:graphicData>
                  </a:graphic>
                </wp:inline>
              </w:drawing>
            </w:r>
          </w:p>
        </w:tc>
        <w:tc>
          <w:tcPr>
            <w:tcW w:w="8224" w:type="dxa"/>
            <w:vAlign w:val="center"/>
          </w:tcPr>
          <w:p w14:paraId="773E454B" w14:textId="770E616B" w:rsidR="0098207B" w:rsidRDefault="0098207B" w:rsidP="00886002">
            <w:pPr>
              <w:pStyle w:val="TableTextLeft"/>
            </w:pPr>
            <w:r w:rsidRPr="00A36A34">
              <w:t>payment disputes, including debts incurred during COVID</w:t>
            </w:r>
            <w:r w:rsidRPr="00A36A34">
              <w:noBreakHyphen/>
              <w:t>19</w:t>
            </w:r>
          </w:p>
        </w:tc>
      </w:tr>
      <w:tr w:rsidR="0098207B" w14:paraId="7927C19B" w14:textId="77777777" w:rsidTr="004E12AE">
        <w:trPr>
          <w:cnfStyle w:val="000000010000" w:firstRow="0" w:lastRow="0" w:firstColumn="0" w:lastColumn="0" w:oddVBand="0" w:evenVBand="0" w:oddHBand="0" w:evenHBand="1" w:firstRowFirstColumn="0" w:firstRowLastColumn="0" w:lastRowFirstColumn="0" w:lastRowLastColumn="0"/>
        </w:trPr>
        <w:tc>
          <w:tcPr>
            <w:tcW w:w="704" w:type="dxa"/>
          </w:tcPr>
          <w:p w14:paraId="1C098EFB" w14:textId="7F4C8718" w:rsidR="0098207B" w:rsidRDefault="005F1ECE" w:rsidP="0070321F">
            <w:pPr>
              <w:pStyle w:val="TableTextCentered"/>
            </w:pPr>
            <w:r w:rsidRPr="00171928">
              <w:rPr>
                <w:noProof/>
              </w:rPr>
              <w:drawing>
                <wp:inline distT="0" distB="0" distL="0" distR="0" wp14:anchorId="47FF74A0" wp14:editId="42F552D9">
                  <wp:extent cx="396000" cy="396000"/>
                  <wp:effectExtent l="0" t="0" r="4445" b="4445"/>
                  <wp:docPr id="204070305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03058" name="Picture 12">
                            <a:extLst>
                              <a:ext uri="{C183D7F6-B498-43B3-948B-1728B52AA6E4}">
                                <adec:decorative xmlns:adec="http://schemas.microsoft.com/office/drawing/2017/decorative" val="1"/>
                              </a:ext>
                            </a:extLst>
                          </pic:cNvPr>
                          <pic:cNvPicPr>
                            <a:picLocks noChangeAspect="1" noChangeArrowheads="1"/>
                          </pic:cNvPicPr>
                        </pic:nvPicPr>
                        <pic:blipFill>
                          <a:blip r:embed="rId51">
                            <a:extLst>
                              <a:ext uri="{96DAC541-7B7A-43D3-8B79-37D633B846F1}">
                                <asvg:svgBlip xmlns:asvg="http://schemas.microsoft.com/office/drawing/2016/SVG/main" r:embed="rId52"/>
                              </a:ext>
                            </a:extLst>
                          </a:blip>
                          <a:stretch>
                            <a:fillRect/>
                          </a:stretch>
                        </pic:blipFill>
                        <pic:spPr bwMode="auto">
                          <a:xfrm>
                            <a:off x="0" y="0"/>
                            <a:ext cx="396000" cy="396000"/>
                          </a:xfrm>
                          <a:prstGeom prst="rect">
                            <a:avLst/>
                          </a:prstGeom>
                        </pic:spPr>
                      </pic:pic>
                    </a:graphicData>
                  </a:graphic>
                </wp:inline>
              </w:drawing>
            </w:r>
          </w:p>
        </w:tc>
        <w:tc>
          <w:tcPr>
            <w:tcW w:w="8224" w:type="dxa"/>
            <w:vAlign w:val="center"/>
          </w:tcPr>
          <w:p w14:paraId="35BEF0C7" w14:textId="3AA7F5C7" w:rsidR="0098207B" w:rsidRDefault="0098207B" w:rsidP="00886002">
            <w:pPr>
              <w:pStyle w:val="TableTextLeft"/>
            </w:pPr>
            <w:r w:rsidRPr="00A36A34">
              <w:t>profitability of the franchise system</w:t>
            </w:r>
          </w:p>
        </w:tc>
      </w:tr>
      <w:tr w:rsidR="0098207B" w14:paraId="506E307C" w14:textId="77777777" w:rsidTr="004E12AE">
        <w:tc>
          <w:tcPr>
            <w:tcW w:w="704" w:type="dxa"/>
          </w:tcPr>
          <w:p w14:paraId="053B43CF" w14:textId="4CCBFAA0" w:rsidR="0098207B" w:rsidRDefault="00171928" w:rsidP="0070321F">
            <w:pPr>
              <w:pStyle w:val="TableTextCentered"/>
            </w:pPr>
            <w:r w:rsidRPr="00171928">
              <w:rPr>
                <w:noProof/>
              </w:rPr>
              <w:drawing>
                <wp:inline distT="0" distB="0" distL="0" distR="0" wp14:anchorId="573F20A9" wp14:editId="0FA87941">
                  <wp:extent cx="360000" cy="360000"/>
                  <wp:effectExtent l="0" t="0" r="2540" b="2540"/>
                  <wp:docPr id="191414093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40934" name="Picture 14">
                            <a:extLst>
                              <a:ext uri="{C183D7F6-B498-43B3-948B-1728B52AA6E4}">
                                <adec:decorative xmlns:adec="http://schemas.microsoft.com/office/drawing/2017/decorative" val="1"/>
                              </a:ext>
                            </a:extLst>
                          </pic:cNvPr>
                          <pic:cNvPicPr>
                            <a:picLocks noChangeAspect="1" noChangeArrowheads="1"/>
                          </pic:cNvPicPr>
                        </pic:nvPicPr>
                        <pic:blipFill>
                          <a:blip r:embed="rId53">
                            <a:extLst>
                              <a:ext uri="{96DAC541-7B7A-43D3-8B79-37D633B846F1}">
                                <asvg:svgBlip xmlns:asvg="http://schemas.microsoft.com/office/drawing/2016/SVG/main" r:embed="rId54"/>
                              </a:ext>
                            </a:extLst>
                          </a:blip>
                          <a:stretch>
                            <a:fillRect/>
                          </a:stretch>
                        </pic:blipFill>
                        <pic:spPr bwMode="auto">
                          <a:xfrm>
                            <a:off x="0" y="0"/>
                            <a:ext cx="360000" cy="360000"/>
                          </a:xfrm>
                          <a:prstGeom prst="rect">
                            <a:avLst/>
                          </a:prstGeom>
                        </pic:spPr>
                      </pic:pic>
                    </a:graphicData>
                  </a:graphic>
                </wp:inline>
              </w:drawing>
            </w:r>
          </w:p>
        </w:tc>
        <w:tc>
          <w:tcPr>
            <w:tcW w:w="8224" w:type="dxa"/>
            <w:vAlign w:val="center"/>
          </w:tcPr>
          <w:p w14:paraId="4DA51046" w14:textId="388A8E37" w:rsidR="0098207B" w:rsidRDefault="0098207B" w:rsidP="00886002">
            <w:pPr>
              <w:pStyle w:val="TableTextLeft"/>
            </w:pPr>
            <w:r w:rsidRPr="00A36A34">
              <w:t>unfair trading practices</w:t>
            </w:r>
          </w:p>
        </w:tc>
      </w:tr>
      <w:tr w:rsidR="0098207B" w14:paraId="268B70E4" w14:textId="77777777" w:rsidTr="004E12AE">
        <w:trPr>
          <w:cnfStyle w:val="000000010000" w:firstRow="0" w:lastRow="0" w:firstColumn="0" w:lastColumn="0" w:oddVBand="0" w:evenVBand="0" w:oddHBand="0" w:evenHBand="1" w:firstRowFirstColumn="0" w:firstRowLastColumn="0" w:lastRowFirstColumn="0" w:lastRowLastColumn="0"/>
        </w:trPr>
        <w:tc>
          <w:tcPr>
            <w:tcW w:w="704" w:type="dxa"/>
          </w:tcPr>
          <w:p w14:paraId="2E46E3D5" w14:textId="574E755F" w:rsidR="0098207B" w:rsidRDefault="00AB4E97" w:rsidP="0070321F">
            <w:pPr>
              <w:pStyle w:val="TableTextCentered"/>
            </w:pPr>
            <w:r w:rsidRPr="00171928">
              <w:rPr>
                <w:noProof/>
              </w:rPr>
              <w:drawing>
                <wp:inline distT="0" distB="0" distL="0" distR="0" wp14:anchorId="6873D867" wp14:editId="54868661">
                  <wp:extent cx="360000" cy="360000"/>
                  <wp:effectExtent l="0" t="0" r="2540" b="2540"/>
                  <wp:docPr id="123953442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34420" name="Picture 9">
                            <a:extLst>
                              <a:ext uri="{C183D7F6-B498-43B3-948B-1728B52AA6E4}">
                                <adec:decorative xmlns:adec="http://schemas.microsoft.com/office/drawing/2017/decorative" val="1"/>
                              </a:ext>
                            </a:extLst>
                          </pic:cNvPr>
                          <pic:cNvPicPr>
                            <a:picLocks noChangeAspect="1" noChangeArrowheads="1"/>
                          </pic:cNvPicPr>
                        </pic:nvPicPr>
                        <pic:blipFill>
                          <a:blip r:embed="rId55">
                            <a:extLst>
                              <a:ext uri="{96DAC541-7B7A-43D3-8B79-37D633B846F1}">
                                <asvg:svgBlip xmlns:asvg="http://schemas.microsoft.com/office/drawing/2016/SVG/main" r:embed="rId56"/>
                              </a:ext>
                            </a:extLst>
                          </a:blip>
                          <a:stretch>
                            <a:fillRect/>
                          </a:stretch>
                        </pic:blipFill>
                        <pic:spPr bwMode="auto">
                          <a:xfrm>
                            <a:off x="0" y="0"/>
                            <a:ext cx="360000" cy="360000"/>
                          </a:xfrm>
                          <a:prstGeom prst="rect">
                            <a:avLst/>
                          </a:prstGeom>
                        </pic:spPr>
                      </pic:pic>
                    </a:graphicData>
                  </a:graphic>
                </wp:inline>
              </w:drawing>
            </w:r>
          </w:p>
        </w:tc>
        <w:tc>
          <w:tcPr>
            <w:tcW w:w="8224" w:type="dxa"/>
            <w:vAlign w:val="center"/>
          </w:tcPr>
          <w:p w14:paraId="709F3399" w14:textId="6C63C819" w:rsidR="0098207B" w:rsidRDefault="0098207B" w:rsidP="00886002">
            <w:pPr>
              <w:pStyle w:val="TableTextLeft"/>
            </w:pPr>
            <w:r w:rsidRPr="00A36A34">
              <w:t>leasing issues</w:t>
            </w:r>
          </w:p>
        </w:tc>
      </w:tr>
      <w:tr w:rsidR="0098207B" w14:paraId="7A94AADF" w14:textId="77777777" w:rsidTr="004E12AE">
        <w:tc>
          <w:tcPr>
            <w:tcW w:w="704" w:type="dxa"/>
          </w:tcPr>
          <w:p w14:paraId="4E769B7E" w14:textId="55126EF9" w:rsidR="0098207B" w:rsidRDefault="00CA49B8" w:rsidP="0070321F">
            <w:pPr>
              <w:pStyle w:val="TableTextCentered"/>
            </w:pPr>
            <w:r w:rsidRPr="00171928">
              <w:rPr>
                <w:noProof/>
              </w:rPr>
              <w:drawing>
                <wp:inline distT="0" distB="0" distL="0" distR="0" wp14:anchorId="6880A3D8" wp14:editId="2DDCC61C">
                  <wp:extent cx="360000" cy="360000"/>
                  <wp:effectExtent l="0" t="0" r="2540" b="2540"/>
                  <wp:docPr id="173369262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92629" name="Picture 6">
                            <a:extLst>
                              <a:ext uri="{C183D7F6-B498-43B3-948B-1728B52AA6E4}">
                                <adec:decorative xmlns:adec="http://schemas.microsoft.com/office/drawing/2017/decorative" val="1"/>
                              </a:ext>
                            </a:extLst>
                          </pic:cNvPr>
                          <pic:cNvPicPr>
                            <a:picLocks noChangeAspect="1" noChangeArrowheads="1"/>
                          </pic:cNvPicPr>
                        </pic:nvPicPr>
                        <pic:blipFill>
                          <a:blip r:embed="rId57">
                            <a:extLst>
                              <a:ext uri="{96DAC541-7B7A-43D3-8B79-37D633B846F1}">
                                <asvg:svgBlip xmlns:asvg="http://schemas.microsoft.com/office/drawing/2016/SVG/main" r:embed="rId58"/>
                              </a:ext>
                            </a:extLst>
                          </a:blip>
                          <a:stretch>
                            <a:fillRect/>
                          </a:stretch>
                        </pic:blipFill>
                        <pic:spPr bwMode="auto">
                          <a:xfrm>
                            <a:off x="0" y="0"/>
                            <a:ext cx="360000" cy="360000"/>
                          </a:xfrm>
                          <a:prstGeom prst="rect">
                            <a:avLst/>
                          </a:prstGeom>
                        </pic:spPr>
                      </pic:pic>
                    </a:graphicData>
                  </a:graphic>
                </wp:inline>
              </w:drawing>
            </w:r>
          </w:p>
        </w:tc>
        <w:tc>
          <w:tcPr>
            <w:tcW w:w="8224" w:type="dxa"/>
            <w:vAlign w:val="center"/>
          </w:tcPr>
          <w:p w14:paraId="3738013F" w14:textId="3D0E8597" w:rsidR="0098207B" w:rsidRDefault="0098207B" w:rsidP="00886002">
            <w:pPr>
              <w:pStyle w:val="TableTextLeft"/>
            </w:pPr>
            <w:r w:rsidRPr="00A36A34">
              <w:t>franchisor</w:t>
            </w:r>
            <w:r w:rsidRPr="00A36A34">
              <w:noBreakHyphen/>
              <w:t>led negotiations</w:t>
            </w:r>
          </w:p>
        </w:tc>
      </w:tr>
      <w:tr w:rsidR="0098207B" w14:paraId="5EF0FABF" w14:textId="77777777" w:rsidTr="004E12AE">
        <w:trPr>
          <w:cnfStyle w:val="000000010000" w:firstRow="0" w:lastRow="0" w:firstColumn="0" w:lastColumn="0" w:oddVBand="0" w:evenVBand="0" w:oddHBand="0" w:evenHBand="1" w:firstRowFirstColumn="0" w:firstRowLastColumn="0" w:lastRowFirstColumn="0" w:lastRowLastColumn="0"/>
        </w:trPr>
        <w:tc>
          <w:tcPr>
            <w:tcW w:w="704" w:type="dxa"/>
          </w:tcPr>
          <w:p w14:paraId="346C16D0" w14:textId="067E578D" w:rsidR="0098207B" w:rsidRDefault="00D96AF5" w:rsidP="0070321F">
            <w:pPr>
              <w:pStyle w:val="TableTextCentered"/>
            </w:pPr>
            <w:r w:rsidRPr="00171928">
              <w:rPr>
                <w:noProof/>
              </w:rPr>
              <w:drawing>
                <wp:inline distT="0" distB="0" distL="0" distR="0" wp14:anchorId="417420CA" wp14:editId="65C66576">
                  <wp:extent cx="360000" cy="360000"/>
                  <wp:effectExtent l="0" t="0" r="2540" b="2540"/>
                  <wp:docPr id="186857910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79106" name="Picture 10">
                            <a:extLst>
                              <a:ext uri="{C183D7F6-B498-43B3-948B-1728B52AA6E4}">
                                <adec:decorative xmlns:adec="http://schemas.microsoft.com/office/drawing/2017/decorative" val="1"/>
                              </a:ext>
                            </a:extLst>
                          </pic:cNvPr>
                          <pic:cNvPicPr>
                            <a:picLocks noChangeAspect="1" noChangeArrowheads="1"/>
                          </pic:cNvPicPr>
                        </pic:nvPicPr>
                        <pic:blipFill>
                          <a:blip r:embed="rId59">
                            <a:extLst>
                              <a:ext uri="{96DAC541-7B7A-43D3-8B79-37D633B846F1}">
                                <asvg:svgBlip xmlns:asvg="http://schemas.microsoft.com/office/drawing/2016/SVG/main" r:embed="rId60"/>
                              </a:ext>
                            </a:extLst>
                          </a:blip>
                          <a:stretch>
                            <a:fillRect/>
                          </a:stretch>
                        </pic:blipFill>
                        <pic:spPr bwMode="auto">
                          <a:xfrm>
                            <a:off x="0" y="0"/>
                            <a:ext cx="360000" cy="360000"/>
                          </a:xfrm>
                          <a:prstGeom prst="rect">
                            <a:avLst/>
                          </a:prstGeom>
                        </pic:spPr>
                      </pic:pic>
                    </a:graphicData>
                  </a:graphic>
                </wp:inline>
              </w:drawing>
            </w:r>
          </w:p>
        </w:tc>
        <w:tc>
          <w:tcPr>
            <w:tcW w:w="8224" w:type="dxa"/>
            <w:vAlign w:val="center"/>
          </w:tcPr>
          <w:p w14:paraId="31B3EF52" w14:textId="64E48D5C" w:rsidR="0098207B" w:rsidRDefault="0098207B" w:rsidP="00886002">
            <w:pPr>
              <w:pStyle w:val="TableTextLeft"/>
            </w:pPr>
            <w:r w:rsidRPr="00A36A34">
              <w:t>deposits paid to franchisors that are not refunded when the small business does not proceed with the purchase of a franchise.</w:t>
            </w:r>
          </w:p>
        </w:tc>
      </w:tr>
      <w:tr w:rsidR="0098207B" w14:paraId="79A80FE5" w14:textId="77777777" w:rsidTr="004E12AE">
        <w:tc>
          <w:tcPr>
            <w:tcW w:w="704" w:type="dxa"/>
          </w:tcPr>
          <w:p w14:paraId="5DD0690C" w14:textId="1CD93AE7" w:rsidR="0098207B" w:rsidRDefault="001B7977" w:rsidP="0070321F">
            <w:pPr>
              <w:pStyle w:val="TableTextCentered"/>
            </w:pPr>
            <w:r w:rsidRPr="00171928">
              <w:rPr>
                <w:noProof/>
              </w:rPr>
              <w:drawing>
                <wp:inline distT="0" distB="0" distL="0" distR="0" wp14:anchorId="0E3CEDFB" wp14:editId="0D45899B">
                  <wp:extent cx="360000" cy="360000"/>
                  <wp:effectExtent l="0" t="0" r="2540" b="2540"/>
                  <wp:docPr id="82715334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53340" name="Picture 8">
                            <a:extLst>
                              <a:ext uri="{C183D7F6-B498-43B3-948B-1728B52AA6E4}">
                                <adec:decorative xmlns:adec="http://schemas.microsoft.com/office/drawing/2017/decorative" val="1"/>
                              </a:ext>
                            </a:extLst>
                          </pic:cNvPr>
                          <pic:cNvPicPr>
                            <a:picLocks noChangeAspect="1" noChangeArrowheads="1"/>
                          </pic:cNvPicPr>
                        </pic:nvPicPr>
                        <pic:blipFill>
                          <a:blip r:embed="rId61">
                            <a:extLst>
                              <a:ext uri="{96DAC541-7B7A-43D3-8B79-37D633B846F1}">
                                <asvg:svgBlip xmlns:asvg="http://schemas.microsoft.com/office/drawing/2016/SVG/main" r:embed="rId62"/>
                              </a:ext>
                            </a:extLst>
                          </a:blip>
                          <a:stretch>
                            <a:fillRect/>
                          </a:stretch>
                        </pic:blipFill>
                        <pic:spPr bwMode="auto">
                          <a:xfrm>
                            <a:off x="0" y="0"/>
                            <a:ext cx="360000" cy="360000"/>
                          </a:xfrm>
                          <a:prstGeom prst="rect">
                            <a:avLst/>
                          </a:prstGeom>
                        </pic:spPr>
                      </pic:pic>
                    </a:graphicData>
                  </a:graphic>
                </wp:inline>
              </w:drawing>
            </w:r>
          </w:p>
        </w:tc>
        <w:tc>
          <w:tcPr>
            <w:tcW w:w="8224" w:type="dxa"/>
            <w:vAlign w:val="center"/>
          </w:tcPr>
          <w:p w14:paraId="1F5ACE46" w14:textId="4A07C243" w:rsidR="0098207B" w:rsidRDefault="0098207B" w:rsidP="00886002">
            <w:pPr>
              <w:pStyle w:val="TableTextLeft"/>
            </w:pPr>
            <w:r w:rsidRPr="00A36A34">
              <w:t>issues with the termination, sale, or transfer of a franchise</w:t>
            </w:r>
          </w:p>
        </w:tc>
      </w:tr>
      <w:tr w:rsidR="0098207B" w14:paraId="57FEE71D" w14:textId="77777777" w:rsidTr="004E12AE">
        <w:trPr>
          <w:cnfStyle w:val="000000010000" w:firstRow="0" w:lastRow="0" w:firstColumn="0" w:lastColumn="0" w:oddVBand="0" w:evenVBand="0" w:oddHBand="0" w:evenHBand="1" w:firstRowFirstColumn="0" w:firstRowLastColumn="0" w:lastRowFirstColumn="0" w:lastRowLastColumn="0"/>
        </w:trPr>
        <w:tc>
          <w:tcPr>
            <w:tcW w:w="704" w:type="dxa"/>
          </w:tcPr>
          <w:p w14:paraId="0B9E6410" w14:textId="1C3D76E3" w:rsidR="0098207B" w:rsidRDefault="00353B50" w:rsidP="0070321F">
            <w:pPr>
              <w:pStyle w:val="TableTextCentered"/>
            </w:pPr>
            <w:r w:rsidRPr="00171928">
              <w:rPr>
                <w:noProof/>
              </w:rPr>
              <w:drawing>
                <wp:inline distT="0" distB="0" distL="0" distR="0" wp14:anchorId="73141C09" wp14:editId="6296750C">
                  <wp:extent cx="360000" cy="360000"/>
                  <wp:effectExtent l="0" t="0" r="2540" b="2540"/>
                  <wp:docPr id="205348957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89573" name="Picture 13">
                            <a:extLst>
                              <a:ext uri="{C183D7F6-B498-43B3-948B-1728B52AA6E4}">
                                <adec:decorative xmlns:adec="http://schemas.microsoft.com/office/drawing/2017/decorative" val="1"/>
                              </a:ext>
                            </a:extLst>
                          </pic:cNvPr>
                          <pic:cNvPicPr>
                            <a:picLocks noChangeAspect="1" noChangeArrowheads="1"/>
                          </pic:cNvPicPr>
                        </pic:nvPicPr>
                        <pic:blipFill>
                          <a:blip r:embed="rId63">
                            <a:extLst>
                              <a:ext uri="{96DAC541-7B7A-43D3-8B79-37D633B846F1}">
                                <asvg:svgBlip xmlns:asvg="http://schemas.microsoft.com/office/drawing/2016/SVG/main" r:embed="rId64"/>
                              </a:ext>
                            </a:extLst>
                          </a:blip>
                          <a:stretch>
                            <a:fillRect/>
                          </a:stretch>
                        </pic:blipFill>
                        <pic:spPr bwMode="auto">
                          <a:xfrm>
                            <a:off x="0" y="0"/>
                            <a:ext cx="360000" cy="360000"/>
                          </a:xfrm>
                          <a:prstGeom prst="rect">
                            <a:avLst/>
                          </a:prstGeom>
                        </pic:spPr>
                      </pic:pic>
                    </a:graphicData>
                  </a:graphic>
                </wp:inline>
              </w:drawing>
            </w:r>
          </w:p>
        </w:tc>
        <w:tc>
          <w:tcPr>
            <w:tcW w:w="8224" w:type="dxa"/>
            <w:vAlign w:val="center"/>
          </w:tcPr>
          <w:p w14:paraId="56716A11" w14:textId="11F3617A" w:rsidR="0098207B" w:rsidRDefault="0098207B" w:rsidP="00886002">
            <w:pPr>
              <w:pStyle w:val="TableTextLeft"/>
            </w:pPr>
            <w:r w:rsidRPr="00A36A34">
              <w:t>touts that prove to be untrue, such as the provision of leads or territorial exclusivity</w:t>
            </w:r>
          </w:p>
        </w:tc>
      </w:tr>
      <w:tr w:rsidR="00886002" w14:paraId="6E0633A0" w14:textId="77777777" w:rsidTr="004E12AE">
        <w:tc>
          <w:tcPr>
            <w:tcW w:w="704" w:type="dxa"/>
            <w:tcBorders>
              <w:bottom w:val="single" w:sz="4" w:space="0" w:color="4D4D4D" w:themeColor="accent6"/>
            </w:tcBorders>
          </w:tcPr>
          <w:p w14:paraId="07765115" w14:textId="197F959E" w:rsidR="00886002" w:rsidRDefault="005A3C79" w:rsidP="0070321F">
            <w:pPr>
              <w:pStyle w:val="TableTextCentered"/>
            </w:pPr>
            <w:r>
              <w:rPr>
                <w:noProof/>
              </w:rPr>
              <w:drawing>
                <wp:inline distT="0" distB="0" distL="0" distR="0" wp14:anchorId="121F9D9A" wp14:editId="1594A8C6">
                  <wp:extent cx="360000" cy="360000"/>
                  <wp:effectExtent l="0" t="0" r="2540" b="2540"/>
                  <wp:docPr id="156508317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83173" name="Picture 7">
                            <a:extLst>
                              <a:ext uri="{C183D7F6-B498-43B3-948B-1728B52AA6E4}">
                                <adec:decorative xmlns:adec="http://schemas.microsoft.com/office/drawing/2017/decorative" val="1"/>
                              </a:ext>
                            </a:extLst>
                          </pic:cNvPr>
                          <pic:cNvPicPr>
                            <a:picLocks noChangeAspect="1" noChangeArrowheads="1"/>
                          </pic:cNvPicPr>
                        </pic:nvPicPr>
                        <pic:blipFill>
                          <a:blip r:embed="rId65">
                            <a:extLst>
                              <a:ext uri="{96DAC541-7B7A-43D3-8B79-37D633B846F1}">
                                <asvg:svgBlip xmlns:asvg="http://schemas.microsoft.com/office/drawing/2016/SVG/main" r:embed="rId66"/>
                              </a:ext>
                            </a:extLst>
                          </a:blip>
                          <a:stretch>
                            <a:fillRect/>
                          </a:stretch>
                        </pic:blipFill>
                        <pic:spPr bwMode="auto">
                          <a:xfrm>
                            <a:off x="0" y="0"/>
                            <a:ext cx="360000" cy="360000"/>
                          </a:xfrm>
                          <a:prstGeom prst="rect">
                            <a:avLst/>
                          </a:prstGeom>
                        </pic:spPr>
                      </pic:pic>
                    </a:graphicData>
                  </a:graphic>
                </wp:inline>
              </w:drawing>
            </w:r>
          </w:p>
        </w:tc>
        <w:tc>
          <w:tcPr>
            <w:tcW w:w="8224" w:type="dxa"/>
            <w:tcBorders>
              <w:bottom w:val="single" w:sz="4" w:space="0" w:color="4D4D4D" w:themeColor="accent6"/>
            </w:tcBorders>
            <w:vAlign w:val="center"/>
          </w:tcPr>
          <w:p w14:paraId="61114162" w14:textId="1F1FF8F1" w:rsidR="00886002" w:rsidRPr="00D27E1F" w:rsidRDefault="00886002" w:rsidP="00886002">
            <w:pPr>
              <w:pStyle w:val="TableTextLeft"/>
              <w:rPr>
                <w:highlight w:val="yellow"/>
              </w:rPr>
            </w:pPr>
            <w:r w:rsidRPr="00886002">
              <w:t>intersection of the Franchising Code with state</w:t>
            </w:r>
            <w:r w:rsidR="003A0D5E">
              <w:noBreakHyphen/>
            </w:r>
            <w:r w:rsidRPr="00886002">
              <w:t>based retail leasing legislation.</w:t>
            </w:r>
          </w:p>
        </w:tc>
      </w:tr>
    </w:tbl>
    <w:p w14:paraId="242EBC7D" w14:textId="0E0D1E68" w:rsidR="004F6271" w:rsidRPr="009432AD" w:rsidRDefault="004F6271" w:rsidP="004F6271">
      <w:pPr>
        <w:rPr>
          <w:rStyle w:val="Strong"/>
        </w:rPr>
      </w:pPr>
      <w:r w:rsidRPr="009432AD">
        <w:rPr>
          <w:rStyle w:val="Strong"/>
        </w:rPr>
        <w:t>Stakeholders agreed that ASBFEO plays an important role in dispute resolution for the franchising sector:</w:t>
      </w:r>
    </w:p>
    <w:p w14:paraId="3001BE8F" w14:textId="635240DD" w:rsidR="004F6271" w:rsidRPr="004F6271" w:rsidRDefault="000952A2" w:rsidP="004F6271">
      <w:r>
        <w:rPr>
          <w:rStyle w:val="Emphasis"/>
        </w:rPr>
        <w:t>‘</w:t>
      </w:r>
      <w:r w:rsidR="004F6271" w:rsidRPr="009A3E05">
        <w:rPr>
          <w:rStyle w:val="Emphasis"/>
        </w:rPr>
        <w:t>AADA has appreciated the efforts of ASBFEO in assisting AADA with franchising disputes</w:t>
      </w:r>
      <w:r w:rsidRPr="009A3E05">
        <w:rPr>
          <w:rStyle w:val="Emphasis"/>
        </w:rPr>
        <w:t xml:space="preserve"> </w:t>
      </w:r>
      <w:r w:rsidR="004F6271" w:rsidRPr="009A3E05">
        <w:rPr>
          <w:rStyle w:val="Emphasis"/>
        </w:rPr>
        <w:t>…</w:t>
      </w:r>
      <w:r w:rsidR="003A0D5E">
        <w:rPr>
          <w:rStyle w:val="Emphasis"/>
        </w:rPr>
        <w:t>’</w:t>
      </w:r>
      <w:r w:rsidR="00065357">
        <w:rPr>
          <w:rStyle w:val="Emphasis"/>
          <w:rFonts w:ascii="ZWAdobeF" w:hAnsi="ZWAdobeF" w:cs="ZWAdobeF"/>
          <w:i w:val="0"/>
          <w:color w:val="auto"/>
          <w:sz w:val="2"/>
          <w:szCs w:val="2"/>
        </w:rPr>
        <w:t>90F</w:t>
      </w:r>
      <w:r w:rsidR="004C313F" w:rsidRPr="003C492E">
        <w:rPr>
          <w:rStyle w:val="FootnoteReference"/>
          <w:iCs/>
          <w:sz w:val="22"/>
          <w:szCs w:val="24"/>
          <w:vertAlign w:val="superscript"/>
          <w:lang w:val="en-US"/>
        </w:rPr>
        <w:footnoteReference w:id="92"/>
      </w:r>
    </w:p>
    <w:p w14:paraId="4DF841CD" w14:textId="23596168" w:rsidR="004F6271" w:rsidRPr="004F6271" w:rsidRDefault="000952A2" w:rsidP="004F6271">
      <w:r>
        <w:rPr>
          <w:i/>
          <w:lang w:val="en-US"/>
        </w:rPr>
        <w:t>‘</w:t>
      </w:r>
      <w:r w:rsidR="004F6271" w:rsidRPr="009C5553">
        <w:rPr>
          <w:i/>
          <w:lang w:val="en-US"/>
        </w:rPr>
        <w:t>ASBFEO</w:t>
      </w:r>
      <w:r w:rsidR="00916FA5" w:rsidRPr="009C5553">
        <w:rPr>
          <w:i/>
          <w:lang w:val="en-US"/>
        </w:rPr>
        <w:t>’</w:t>
      </w:r>
      <w:r w:rsidR="004F6271" w:rsidRPr="009C5553">
        <w:rPr>
          <w:i/>
          <w:lang w:val="en-US"/>
        </w:rPr>
        <w:t>s specific dispute resolution function within the franchising sector is important to those businesses within it, many of which are small businesses</w:t>
      </w:r>
      <w:r w:rsidR="004F6271" w:rsidRPr="004F6271">
        <w:rPr>
          <w:lang w:val="en-US"/>
        </w:rPr>
        <w:t>.</w:t>
      </w:r>
      <w:r w:rsidR="003A0D5E">
        <w:rPr>
          <w:lang w:val="en-US"/>
        </w:rPr>
        <w:t>’</w:t>
      </w:r>
      <w:r w:rsidR="00065357">
        <w:rPr>
          <w:rFonts w:ascii="ZWAdobeF" w:hAnsi="ZWAdobeF" w:cs="ZWAdobeF"/>
          <w:color w:val="auto"/>
          <w:sz w:val="2"/>
          <w:szCs w:val="2"/>
          <w:lang w:val="en-US"/>
        </w:rPr>
        <w:t>91F</w:t>
      </w:r>
      <w:r w:rsidR="004C313F" w:rsidRPr="003C492E">
        <w:rPr>
          <w:rStyle w:val="FootnoteReference"/>
          <w:sz w:val="22"/>
          <w:szCs w:val="24"/>
          <w:vertAlign w:val="superscript"/>
          <w:lang w:val="en-US"/>
        </w:rPr>
        <w:footnoteReference w:id="93"/>
      </w:r>
    </w:p>
    <w:p w14:paraId="480124BF" w14:textId="4C86EE39" w:rsidR="004F6271" w:rsidRPr="004F6271" w:rsidRDefault="004F6271" w:rsidP="004F6271">
      <w:r w:rsidRPr="009432AD">
        <w:rPr>
          <w:rStyle w:val="Strong"/>
        </w:rPr>
        <w:lastRenderedPageBreak/>
        <w:t xml:space="preserve">Franchising disputes make up a small portion of overall cases. </w:t>
      </w:r>
      <w:r w:rsidRPr="004F6271">
        <w:t>From 2021</w:t>
      </w:r>
      <w:r w:rsidR="00FE153E" w:rsidRPr="00FE153E">
        <w:t>–</w:t>
      </w:r>
      <w:r w:rsidRPr="004F6271">
        <w:t>22 to 2023</w:t>
      </w:r>
      <w:r w:rsidR="00FE153E" w:rsidRPr="00FE153E">
        <w:t>–</w:t>
      </w:r>
      <w:r w:rsidRPr="004F6271">
        <w:t>24, approximately 11</w:t>
      </w:r>
      <w:r w:rsidR="00FE153E">
        <w:t> </w:t>
      </w:r>
      <w:r w:rsidRPr="004F6271">
        <w:t>per cent of ASBFEO</w:t>
      </w:r>
      <w:r w:rsidR="00916FA5">
        <w:t>’</w:t>
      </w:r>
      <w:r w:rsidRPr="004F6271">
        <w:t xml:space="preserve">s cases dealt with franchising issues. Table </w:t>
      </w:r>
      <w:r w:rsidR="003B6FA0">
        <w:t>5.1</w:t>
      </w:r>
      <w:r w:rsidRPr="004F6271">
        <w:t xml:space="preserve"> shows that these cases ha</w:t>
      </w:r>
      <w:r w:rsidR="009156CA">
        <w:t>ve</w:t>
      </w:r>
      <w:r w:rsidRPr="004F6271">
        <w:t xml:space="preserve"> decreased from 222</w:t>
      </w:r>
      <w:r w:rsidR="00FE153E">
        <w:t> </w:t>
      </w:r>
      <w:r w:rsidRPr="004F6271">
        <w:t>cases in 2021</w:t>
      </w:r>
      <w:r w:rsidR="00FE153E" w:rsidRPr="00FE153E">
        <w:t>–</w:t>
      </w:r>
      <w:r w:rsidRPr="004F6271">
        <w:t>22 to 124 cases in 2023</w:t>
      </w:r>
      <w:r w:rsidR="00FE153E" w:rsidRPr="00FE153E">
        <w:t>–</w:t>
      </w:r>
      <w:r w:rsidRPr="004F6271">
        <w:t>24</w:t>
      </w:r>
      <w:r w:rsidR="00916FA5">
        <w:t xml:space="preserve">. </w:t>
      </w:r>
    </w:p>
    <w:p w14:paraId="6EEB93F7" w14:textId="033E13EC" w:rsidR="004F6271" w:rsidRPr="00617DA9" w:rsidRDefault="00066C74" w:rsidP="007F0BB7">
      <w:pPr>
        <w:pStyle w:val="TableMainHeading"/>
        <w:rPr>
          <w:lang w:val="en-US"/>
        </w:rPr>
      </w:pPr>
      <w:r w:rsidRPr="00180ACF">
        <w:rPr>
          <w:lang w:val="en-US"/>
        </w:rPr>
        <w:t>Table 5.1: Franchising cases from 2021–22 to 2023–24 </w:t>
      </w:r>
    </w:p>
    <w:tbl>
      <w:tblPr>
        <w:tblStyle w:val="Style1"/>
        <w:tblW w:w="9070" w:type="dxa"/>
        <w:tblLook w:val="04A0" w:firstRow="1" w:lastRow="0" w:firstColumn="1" w:lastColumn="0" w:noHBand="0" w:noVBand="1"/>
      </w:tblPr>
      <w:tblGrid>
        <w:gridCol w:w="3554"/>
        <w:gridCol w:w="1379"/>
        <w:gridCol w:w="1379"/>
        <w:gridCol w:w="1379"/>
        <w:gridCol w:w="1379"/>
      </w:tblGrid>
      <w:tr w:rsidR="004F6271" w:rsidRPr="004F6271" w14:paraId="1F2A4FB5" w14:textId="77777777" w:rsidTr="00D05414">
        <w:trPr>
          <w:cnfStyle w:val="100000000000" w:firstRow="1" w:lastRow="0" w:firstColumn="0" w:lastColumn="0" w:oddVBand="0" w:evenVBand="0" w:oddHBand="0" w:evenHBand="0" w:firstRowFirstColumn="0" w:firstRowLastColumn="0" w:lastRowFirstColumn="0" w:lastRowLastColumn="0"/>
          <w:trHeight w:val="300"/>
        </w:trPr>
        <w:tc>
          <w:tcPr>
            <w:tcW w:w="3554" w:type="dxa"/>
            <w:hideMark/>
          </w:tcPr>
          <w:p w14:paraId="4EBE7FFB" w14:textId="77777777" w:rsidR="004F6271" w:rsidRPr="004F6271" w:rsidRDefault="004F6271" w:rsidP="00F80B42">
            <w:pPr>
              <w:pStyle w:val="TableTextLeft"/>
            </w:pPr>
            <w:r w:rsidRPr="004F6271">
              <w:rPr>
                <w:lang w:val="en-US"/>
              </w:rPr>
              <w:t> </w:t>
            </w:r>
            <w:r w:rsidRPr="004F6271">
              <w:t> </w:t>
            </w:r>
          </w:p>
        </w:tc>
        <w:tc>
          <w:tcPr>
            <w:tcW w:w="1379" w:type="dxa"/>
            <w:hideMark/>
          </w:tcPr>
          <w:p w14:paraId="7D40A841" w14:textId="3097144C" w:rsidR="004F6271" w:rsidRPr="002345D7" w:rsidRDefault="004F6271" w:rsidP="00C739BB">
            <w:pPr>
              <w:pStyle w:val="TableColumnHeadingRight"/>
              <w:rPr>
                <w:rStyle w:val="Strong"/>
                <w:b/>
              </w:rPr>
            </w:pPr>
            <w:r w:rsidRPr="002345D7">
              <w:rPr>
                <w:rStyle w:val="Strong"/>
                <w:b/>
              </w:rPr>
              <w:t>2021</w:t>
            </w:r>
            <w:r w:rsidR="00D05414" w:rsidRPr="002345D7">
              <w:rPr>
                <w:rStyle w:val="Strong"/>
                <w:b/>
              </w:rPr>
              <w:t>–</w:t>
            </w:r>
            <w:r w:rsidRPr="002345D7">
              <w:rPr>
                <w:rStyle w:val="Strong"/>
                <w:b/>
                <w:bCs w:val="0"/>
              </w:rPr>
              <w:t>22</w:t>
            </w:r>
          </w:p>
        </w:tc>
        <w:tc>
          <w:tcPr>
            <w:tcW w:w="1379" w:type="dxa"/>
            <w:hideMark/>
          </w:tcPr>
          <w:p w14:paraId="3483D148" w14:textId="6F61AC5B" w:rsidR="004F6271" w:rsidRPr="002345D7" w:rsidRDefault="004F6271" w:rsidP="00C739BB">
            <w:pPr>
              <w:pStyle w:val="TableColumnHeadingRight"/>
              <w:rPr>
                <w:rStyle w:val="Strong"/>
                <w:b/>
              </w:rPr>
            </w:pPr>
            <w:r w:rsidRPr="002345D7">
              <w:rPr>
                <w:rStyle w:val="Strong"/>
                <w:b/>
              </w:rPr>
              <w:t>2022</w:t>
            </w:r>
            <w:r w:rsidR="00D05414" w:rsidRPr="002345D7">
              <w:rPr>
                <w:rStyle w:val="Strong"/>
                <w:b/>
              </w:rPr>
              <w:t>–</w:t>
            </w:r>
            <w:r w:rsidRPr="002345D7">
              <w:rPr>
                <w:rStyle w:val="Strong"/>
                <w:b/>
                <w:bCs w:val="0"/>
              </w:rPr>
              <w:t>23</w:t>
            </w:r>
          </w:p>
        </w:tc>
        <w:tc>
          <w:tcPr>
            <w:tcW w:w="1379" w:type="dxa"/>
            <w:hideMark/>
          </w:tcPr>
          <w:p w14:paraId="400080D0" w14:textId="54C4AFED" w:rsidR="004F6271" w:rsidRPr="002345D7" w:rsidRDefault="004F6271" w:rsidP="00C739BB">
            <w:pPr>
              <w:pStyle w:val="TableColumnHeadingRight"/>
              <w:rPr>
                <w:rStyle w:val="Strong"/>
                <w:b/>
              </w:rPr>
            </w:pPr>
            <w:r w:rsidRPr="002345D7">
              <w:rPr>
                <w:rStyle w:val="Strong"/>
                <w:b/>
              </w:rPr>
              <w:t>2023</w:t>
            </w:r>
            <w:r w:rsidR="00D05414" w:rsidRPr="002345D7">
              <w:rPr>
                <w:rStyle w:val="Strong"/>
                <w:b/>
              </w:rPr>
              <w:t>–</w:t>
            </w:r>
            <w:r w:rsidRPr="002345D7">
              <w:rPr>
                <w:rStyle w:val="Strong"/>
                <w:b/>
                <w:bCs w:val="0"/>
              </w:rPr>
              <w:t>24</w:t>
            </w:r>
          </w:p>
        </w:tc>
        <w:tc>
          <w:tcPr>
            <w:tcW w:w="1379" w:type="dxa"/>
            <w:hideMark/>
          </w:tcPr>
          <w:p w14:paraId="6E5A743E" w14:textId="1FCED04E" w:rsidR="004F6271" w:rsidRPr="002345D7" w:rsidRDefault="004F6271" w:rsidP="00C739BB">
            <w:pPr>
              <w:pStyle w:val="TableColumnHeadingRight"/>
              <w:rPr>
                <w:rStyle w:val="Strong"/>
                <w:b/>
              </w:rPr>
            </w:pPr>
            <w:r w:rsidRPr="002345D7">
              <w:rPr>
                <w:rStyle w:val="Strong"/>
                <w:b/>
              </w:rPr>
              <w:t>3</w:t>
            </w:r>
            <w:r w:rsidR="003A0D5E">
              <w:rPr>
                <w:rStyle w:val="Strong"/>
                <w:b/>
                <w:bCs w:val="0"/>
              </w:rPr>
              <w:noBreakHyphen/>
            </w:r>
            <w:r w:rsidRPr="002345D7">
              <w:rPr>
                <w:rStyle w:val="Strong"/>
                <w:b/>
              </w:rPr>
              <w:t xml:space="preserve">year </w:t>
            </w:r>
            <w:r w:rsidRPr="002345D7">
              <w:rPr>
                <w:rStyle w:val="Strong"/>
                <w:b/>
                <w:bCs w:val="0"/>
              </w:rPr>
              <w:t>total</w:t>
            </w:r>
          </w:p>
        </w:tc>
      </w:tr>
      <w:tr w:rsidR="004F6271" w:rsidRPr="004F6271" w14:paraId="2C687B5F" w14:textId="77777777" w:rsidTr="00D05414">
        <w:trPr>
          <w:trHeight w:val="300"/>
        </w:trPr>
        <w:tc>
          <w:tcPr>
            <w:tcW w:w="3554" w:type="dxa"/>
            <w:hideMark/>
          </w:tcPr>
          <w:p w14:paraId="35409CDC" w14:textId="77777777" w:rsidR="004F6271" w:rsidRPr="004F6271" w:rsidRDefault="004F6271" w:rsidP="00F80B42">
            <w:pPr>
              <w:pStyle w:val="TableTextLeft"/>
            </w:pPr>
            <w:r w:rsidRPr="009E02D7">
              <w:t>Franchising cases </w:t>
            </w:r>
            <w:r w:rsidRPr="004F6271">
              <w:t> </w:t>
            </w:r>
          </w:p>
        </w:tc>
        <w:tc>
          <w:tcPr>
            <w:tcW w:w="1379" w:type="dxa"/>
            <w:hideMark/>
          </w:tcPr>
          <w:p w14:paraId="0ACE700D" w14:textId="7EB980FB" w:rsidR="004F6271" w:rsidRPr="004F6271" w:rsidRDefault="004F6271" w:rsidP="00C739BB">
            <w:pPr>
              <w:pStyle w:val="TableTextRight"/>
            </w:pPr>
            <w:r w:rsidRPr="009E02D7">
              <w:t>222</w:t>
            </w:r>
          </w:p>
        </w:tc>
        <w:tc>
          <w:tcPr>
            <w:tcW w:w="1379" w:type="dxa"/>
            <w:hideMark/>
          </w:tcPr>
          <w:p w14:paraId="2CAD6B2E" w14:textId="711BF34C" w:rsidR="004F6271" w:rsidRPr="004F6271" w:rsidRDefault="004F6271" w:rsidP="00C739BB">
            <w:pPr>
              <w:pStyle w:val="TableTextRight"/>
            </w:pPr>
            <w:r w:rsidRPr="009E02D7">
              <w:t>154</w:t>
            </w:r>
          </w:p>
        </w:tc>
        <w:tc>
          <w:tcPr>
            <w:tcW w:w="1379" w:type="dxa"/>
            <w:hideMark/>
          </w:tcPr>
          <w:p w14:paraId="13F58FFE" w14:textId="6724B504" w:rsidR="004F6271" w:rsidRPr="004F6271" w:rsidRDefault="004F6271" w:rsidP="00C739BB">
            <w:pPr>
              <w:pStyle w:val="TableTextRight"/>
            </w:pPr>
            <w:r w:rsidRPr="009E02D7">
              <w:t>124</w:t>
            </w:r>
          </w:p>
        </w:tc>
        <w:tc>
          <w:tcPr>
            <w:tcW w:w="1379" w:type="dxa"/>
            <w:hideMark/>
          </w:tcPr>
          <w:p w14:paraId="4EA1B34D" w14:textId="2F60D36C" w:rsidR="004F6271" w:rsidRPr="004F6271" w:rsidRDefault="004F6271" w:rsidP="00C739BB">
            <w:pPr>
              <w:pStyle w:val="TableTextRight"/>
            </w:pPr>
            <w:r w:rsidRPr="009E02D7">
              <w:t>500</w:t>
            </w:r>
          </w:p>
        </w:tc>
      </w:tr>
      <w:tr w:rsidR="004F6271" w:rsidRPr="004F6271" w14:paraId="57C858B1" w14:textId="77777777" w:rsidTr="00D05414">
        <w:trPr>
          <w:cnfStyle w:val="000000010000" w:firstRow="0" w:lastRow="0" w:firstColumn="0" w:lastColumn="0" w:oddVBand="0" w:evenVBand="0" w:oddHBand="0" w:evenHBand="1" w:firstRowFirstColumn="0" w:firstRowLastColumn="0" w:lastRowFirstColumn="0" w:lastRowLastColumn="0"/>
          <w:trHeight w:val="300"/>
        </w:trPr>
        <w:tc>
          <w:tcPr>
            <w:tcW w:w="3554" w:type="dxa"/>
            <w:hideMark/>
          </w:tcPr>
          <w:p w14:paraId="3F51C2A7" w14:textId="77777777" w:rsidR="004F6271" w:rsidRPr="004F6271" w:rsidRDefault="004F6271" w:rsidP="00F80B42">
            <w:pPr>
              <w:pStyle w:val="TableTextLeft"/>
            </w:pPr>
            <w:r w:rsidRPr="009E02D7">
              <w:t>ASBFEO total cases received </w:t>
            </w:r>
            <w:r w:rsidRPr="004F6271">
              <w:t> </w:t>
            </w:r>
          </w:p>
        </w:tc>
        <w:tc>
          <w:tcPr>
            <w:tcW w:w="1379" w:type="dxa"/>
            <w:hideMark/>
          </w:tcPr>
          <w:p w14:paraId="3EA56406" w14:textId="102173B5" w:rsidR="004F6271" w:rsidRPr="004F6271" w:rsidRDefault="004F6271" w:rsidP="00C739BB">
            <w:pPr>
              <w:pStyle w:val="TableTextRight"/>
            </w:pPr>
            <w:r w:rsidRPr="009E02D7">
              <w:t>1</w:t>
            </w:r>
            <w:r w:rsidR="003C0671">
              <w:t>,</w:t>
            </w:r>
            <w:r w:rsidRPr="009E02D7">
              <w:t>601</w:t>
            </w:r>
          </w:p>
        </w:tc>
        <w:tc>
          <w:tcPr>
            <w:tcW w:w="1379" w:type="dxa"/>
            <w:hideMark/>
          </w:tcPr>
          <w:p w14:paraId="69FB0E79" w14:textId="77E5BDD0" w:rsidR="004F6271" w:rsidRPr="004F6271" w:rsidRDefault="004F6271" w:rsidP="00C739BB">
            <w:pPr>
              <w:pStyle w:val="TableTextRight"/>
            </w:pPr>
            <w:r w:rsidRPr="009E02D7">
              <w:t>1</w:t>
            </w:r>
            <w:r w:rsidR="003C0671">
              <w:t>,</w:t>
            </w:r>
            <w:r w:rsidRPr="009E02D7">
              <w:t>469</w:t>
            </w:r>
          </w:p>
        </w:tc>
        <w:tc>
          <w:tcPr>
            <w:tcW w:w="1379" w:type="dxa"/>
            <w:hideMark/>
          </w:tcPr>
          <w:p w14:paraId="5F671F0F" w14:textId="36A21EE7" w:rsidR="004F6271" w:rsidRPr="004F6271" w:rsidRDefault="004F6271" w:rsidP="00C739BB">
            <w:pPr>
              <w:pStyle w:val="TableTextRight"/>
            </w:pPr>
            <w:r w:rsidRPr="009E02D7">
              <w:t>1</w:t>
            </w:r>
            <w:r w:rsidR="003C0671">
              <w:t>,</w:t>
            </w:r>
            <w:r w:rsidRPr="009E02D7">
              <w:t>396</w:t>
            </w:r>
          </w:p>
        </w:tc>
        <w:tc>
          <w:tcPr>
            <w:tcW w:w="1379" w:type="dxa"/>
            <w:hideMark/>
          </w:tcPr>
          <w:p w14:paraId="121F59E5" w14:textId="1FDFC130" w:rsidR="004F6271" w:rsidRPr="004F6271" w:rsidRDefault="004F6271" w:rsidP="00C739BB">
            <w:pPr>
              <w:pStyle w:val="TableTextRight"/>
            </w:pPr>
            <w:r w:rsidRPr="009E02D7">
              <w:t>4</w:t>
            </w:r>
            <w:r w:rsidR="003C0671">
              <w:t>,</w:t>
            </w:r>
            <w:r w:rsidRPr="009E02D7">
              <w:t>466</w:t>
            </w:r>
          </w:p>
        </w:tc>
      </w:tr>
      <w:tr w:rsidR="004F6271" w:rsidRPr="004F6271" w14:paraId="2107F7F0" w14:textId="77777777" w:rsidTr="00D05414">
        <w:trPr>
          <w:trHeight w:val="300"/>
        </w:trPr>
        <w:tc>
          <w:tcPr>
            <w:tcW w:w="3554" w:type="dxa"/>
            <w:tcBorders>
              <w:bottom w:val="single" w:sz="4" w:space="0" w:color="4D4D4D" w:themeColor="accent6"/>
            </w:tcBorders>
            <w:hideMark/>
          </w:tcPr>
          <w:p w14:paraId="3BFF687A" w14:textId="77777777" w:rsidR="004F6271" w:rsidRPr="004F6271" w:rsidRDefault="004F6271" w:rsidP="00F80B42">
            <w:pPr>
              <w:pStyle w:val="TableTextLeft"/>
            </w:pPr>
            <w:r w:rsidRPr="009E02D7">
              <w:t>Franchising as a per cent of total cases </w:t>
            </w:r>
            <w:r w:rsidRPr="004F6271">
              <w:t> </w:t>
            </w:r>
          </w:p>
        </w:tc>
        <w:tc>
          <w:tcPr>
            <w:tcW w:w="1379" w:type="dxa"/>
            <w:tcBorders>
              <w:bottom w:val="single" w:sz="4" w:space="0" w:color="4D4D4D" w:themeColor="accent6"/>
            </w:tcBorders>
            <w:hideMark/>
          </w:tcPr>
          <w:p w14:paraId="5057D28E" w14:textId="17B046E0" w:rsidR="004F6271" w:rsidRPr="004F6271" w:rsidRDefault="004F6271" w:rsidP="00C739BB">
            <w:pPr>
              <w:pStyle w:val="TableTextRight"/>
            </w:pPr>
            <w:r w:rsidRPr="009E02D7">
              <w:t>14%</w:t>
            </w:r>
          </w:p>
        </w:tc>
        <w:tc>
          <w:tcPr>
            <w:tcW w:w="1379" w:type="dxa"/>
            <w:tcBorders>
              <w:bottom w:val="single" w:sz="4" w:space="0" w:color="4D4D4D" w:themeColor="accent6"/>
            </w:tcBorders>
            <w:hideMark/>
          </w:tcPr>
          <w:p w14:paraId="5435814E" w14:textId="14284E57" w:rsidR="004F6271" w:rsidRPr="004F6271" w:rsidRDefault="004F6271" w:rsidP="00C739BB">
            <w:pPr>
              <w:pStyle w:val="TableTextRight"/>
            </w:pPr>
            <w:r w:rsidRPr="009E02D7">
              <w:t>10%</w:t>
            </w:r>
          </w:p>
        </w:tc>
        <w:tc>
          <w:tcPr>
            <w:tcW w:w="1379" w:type="dxa"/>
            <w:tcBorders>
              <w:bottom w:val="single" w:sz="4" w:space="0" w:color="4D4D4D" w:themeColor="accent6"/>
            </w:tcBorders>
            <w:hideMark/>
          </w:tcPr>
          <w:p w14:paraId="23AE6082" w14:textId="0695D125" w:rsidR="004F6271" w:rsidRPr="004F6271" w:rsidRDefault="004F6271" w:rsidP="00C739BB">
            <w:pPr>
              <w:pStyle w:val="TableTextRight"/>
            </w:pPr>
            <w:r w:rsidRPr="009E02D7">
              <w:t>9%</w:t>
            </w:r>
          </w:p>
        </w:tc>
        <w:tc>
          <w:tcPr>
            <w:tcW w:w="1379" w:type="dxa"/>
            <w:tcBorders>
              <w:bottom w:val="single" w:sz="4" w:space="0" w:color="4D4D4D" w:themeColor="accent6"/>
            </w:tcBorders>
            <w:hideMark/>
          </w:tcPr>
          <w:p w14:paraId="73B92687" w14:textId="22ED622A" w:rsidR="004F6271" w:rsidRPr="004F6271" w:rsidRDefault="004F6271" w:rsidP="00C739BB">
            <w:pPr>
              <w:pStyle w:val="TableTextRight"/>
            </w:pPr>
            <w:r w:rsidRPr="009E02D7">
              <w:t>11%</w:t>
            </w:r>
          </w:p>
        </w:tc>
      </w:tr>
    </w:tbl>
    <w:p w14:paraId="6C7338DA" w14:textId="2A77FED6" w:rsidR="00BB7A86" w:rsidRPr="004D4530" w:rsidRDefault="00BB7A86" w:rsidP="00BB7A86">
      <w:pPr>
        <w:pStyle w:val="ChartorTablenoteandsource"/>
      </w:pPr>
      <w:r>
        <w:t>Please refer to Appendix I for table notes and sources</w:t>
      </w:r>
      <w:r w:rsidR="008640E2">
        <w:t>.</w:t>
      </w:r>
    </w:p>
    <w:p w14:paraId="3A4C9A8C" w14:textId="499E81A7" w:rsidR="00770AC1" w:rsidRPr="004F6271" w:rsidRDefault="00DF4F59" w:rsidP="00770AC1">
      <w:r w:rsidRPr="009E02D7">
        <w:rPr>
          <w:rStyle w:val="Strong"/>
        </w:rPr>
        <w:t>Feedback from stakeholders provided the rationale for the low number of franchising disputes sent to ASBFEO.</w:t>
      </w:r>
      <w:r w:rsidRPr="004F6271">
        <w:t xml:space="preserve"> </w:t>
      </w:r>
      <w:r w:rsidR="00770AC1" w:rsidRPr="004F6271">
        <w:t>AADA suggested that new vehicle franchisors prefer not to go to mediation but to court, which disadvantages dealer franchisees.</w:t>
      </w:r>
      <w:r w:rsidR="006A2189">
        <w:t xml:space="preserve"> </w:t>
      </w:r>
      <w:r w:rsidR="00770AC1" w:rsidRPr="004F6271">
        <w:t xml:space="preserve">AADA would welcome additional powers to bring franchisors to the </w:t>
      </w:r>
      <w:r w:rsidR="007D1379">
        <w:t>t</w:t>
      </w:r>
      <w:r w:rsidR="00770AC1" w:rsidRPr="004F6271">
        <w:t>able.</w:t>
      </w:r>
      <w:r w:rsidR="00065357">
        <w:rPr>
          <w:rFonts w:ascii="ZWAdobeF" w:hAnsi="ZWAdobeF" w:cs="ZWAdobeF"/>
          <w:color w:val="auto"/>
          <w:sz w:val="2"/>
          <w:szCs w:val="2"/>
        </w:rPr>
        <w:t>92F</w:t>
      </w:r>
      <w:r w:rsidR="00373DB2" w:rsidRPr="003C492E">
        <w:rPr>
          <w:rStyle w:val="FootnoteReference"/>
          <w:sz w:val="22"/>
          <w:szCs w:val="24"/>
          <w:vertAlign w:val="superscript"/>
        </w:rPr>
        <w:footnoteReference w:id="94"/>
      </w:r>
      <w:r w:rsidR="00770AC1" w:rsidRPr="003C492E">
        <w:rPr>
          <w:sz w:val="28"/>
          <w:szCs w:val="24"/>
          <w:vertAlign w:val="superscript"/>
        </w:rPr>
        <w:t xml:space="preserve"> </w:t>
      </w:r>
      <w:r w:rsidR="00770AC1" w:rsidRPr="004F6271">
        <w:t xml:space="preserve">CPA </w:t>
      </w:r>
      <w:r w:rsidR="004E3BA5">
        <w:t>Australia</w:t>
      </w:r>
      <w:r w:rsidR="00770AC1" w:rsidRPr="004F6271">
        <w:t xml:space="preserve"> stated that </w:t>
      </w:r>
      <w:r w:rsidR="00493B4C">
        <w:t>its</w:t>
      </w:r>
      <w:r w:rsidR="00770AC1" w:rsidRPr="004F6271">
        <w:t xml:space="preserve"> members would seek legal advice rather than contacting ASBFEO if they had a dispute regarding the Franchising Code</w:t>
      </w:r>
      <w:r w:rsidR="000D62F4">
        <w:t xml:space="preserve"> of Conduct</w:t>
      </w:r>
      <w:r w:rsidR="00770AC1" w:rsidRPr="004F6271">
        <w:t xml:space="preserve">. This </w:t>
      </w:r>
      <w:r w:rsidR="00770AC1">
        <w:t xml:space="preserve">feedback </w:t>
      </w:r>
      <w:r w:rsidR="00770AC1" w:rsidRPr="004F6271">
        <w:t xml:space="preserve">is consistent with the </w:t>
      </w:r>
      <w:r w:rsidR="00FD40D0">
        <w:t>stakeholder survey</w:t>
      </w:r>
      <w:r w:rsidR="00770AC1" w:rsidRPr="004F6271">
        <w:t xml:space="preserve"> </w:t>
      </w:r>
      <w:r w:rsidR="00770AC1">
        <w:t>results</w:t>
      </w:r>
      <w:r w:rsidR="000F4EA1">
        <w:t xml:space="preserve"> at Appendix C</w:t>
      </w:r>
      <w:r w:rsidR="00770AC1">
        <w:t xml:space="preserve">, </w:t>
      </w:r>
      <w:r w:rsidR="00770AC1" w:rsidRPr="004F6271">
        <w:t xml:space="preserve">which found that </w:t>
      </w:r>
      <w:r w:rsidR="00770AC1" w:rsidRPr="004F6271">
        <w:rPr>
          <w:lang w:val="en-US"/>
        </w:rPr>
        <w:t>39 per cent of respondents</w:t>
      </w:r>
      <w:r w:rsidR="00770AC1" w:rsidRPr="004F6271">
        <w:t xml:space="preserve"> seek legal advice from professional advis</w:t>
      </w:r>
      <w:r w:rsidR="00AB4422">
        <w:t>e</w:t>
      </w:r>
      <w:r w:rsidR="00770AC1" w:rsidRPr="004F6271">
        <w:t xml:space="preserve">rs </w:t>
      </w:r>
      <w:r w:rsidR="00770AC1" w:rsidRPr="004F6271">
        <w:rPr>
          <w:lang w:val="en-US"/>
        </w:rPr>
        <w:t>such as lawyers and accountants</w:t>
      </w:r>
      <w:r w:rsidR="00770AC1" w:rsidRPr="004F6271">
        <w:t>. Th</w:t>
      </w:r>
      <w:r w:rsidR="00770AC1">
        <w:t>e low number of franchising disputes is</w:t>
      </w:r>
      <w:r w:rsidR="00770AC1" w:rsidRPr="004F6271">
        <w:t xml:space="preserve"> also </w:t>
      </w:r>
      <w:r w:rsidR="00770AC1" w:rsidRPr="004F6271">
        <w:rPr>
          <w:lang w:val="en-US"/>
        </w:rPr>
        <w:t>possibly due to</w:t>
      </w:r>
      <w:r w:rsidR="00770AC1">
        <w:rPr>
          <w:lang w:val="en-US"/>
        </w:rPr>
        <w:t xml:space="preserve"> </w:t>
      </w:r>
      <w:r w:rsidR="00770AC1" w:rsidRPr="004F6271">
        <w:rPr>
          <w:lang w:val="en-US"/>
        </w:rPr>
        <w:t>SBC</w:t>
      </w:r>
      <w:r w:rsidR="00273B3C">
        <w:rPr>
          <w:lang w:val="en-US"/>
        </w:rPr>
        <w:t>s’</w:t>
      </w:r>
      <w:r w:rsidR="00770AC1" w:rsidRPr="004F6271">
        <w:rPr>
          <w:lang w:val="en-US"/>
        </w:rPr>
        <w:t xml:space="preserve"> lower</w:t>
      </w:r>
      <w:r w:rsidR="00BA3AE5">
        <w:rPr>
          <w:lang w:val="en-US"/>
        </w:rPr>
        <w:t xml:space="preserve"> </w:t>
      </w:r>
      <w:r w:rsidR="00770AC1" w:rsidRPr="004F6271">
        <w:rPr>
          <w:lang w:val="en-US"/>
        </w:rPr>
        <w:t>cost mediation services, discussed in Chapter</w:t>
      </w:r>
      <w:r w:rsidR="00493B4C">
        <w:rPr>
          <w:lang w:val="en-US"/>
        </w:rPr>
        <w:t> </w:t>
      </w:r>
      <w:r w:rsidR="00770AC1" w:rsidRPr="004F6271">
        <w:rPr>
          <w:lang w:val="en-US"/>
        </w:rPr>
        <w:t>4.</w:t>
      </w:r>
    </w:p>
    <w:p w14:paraId="27D1C880" w14:textId="1B5B239E" w:rsidR="00770AC1" w:rsidRPr="004F6271" w:rsidRDefault="00770AC1" w:rsidP="00770AC1">
      <w:r w:rsidRPr="009E02D7">
        <w:rPr>
          <w:rStyle w:val="Strong"/>
        </w:rPr>
        <w:t>There is a low rate of franchising cases being resolved</w:t>
      </w:r>
      <w:r w:rsidR="007958E5" w:rsidRPr="009E02D7">
        <w:rPr>
          <w:rStyle w:val="Strong"/>
        </w:rPr>
        <w:t xml:space="preserve"> through </w:t>
      </w:r>
      <w:r w:rsidR="00BA3AE5" w:rsidRPr="009E02D7">
        <w:rPr>
          <w:rStyle w:val="Strong"/>
        </w:rPr>
        <w:t xml:space="preserve">the </w:t>
      </w:r>
      <w:r w:rsidR="007958E5" w:rsidRPr="009E02D7">
        <w:rPr>
          <w:rStyle w:val="Strong"/>
        </w:rPr>
        <w:t>ASBFEO</w:t>
      </w:r>
      <w:r w:rsidRPr="009E02D7">
        <w:rPr>
          <w:rStyle w:val="Strong"/>
        </w:rPr>
        <w:t xml:space="preserve">. </w:t>
      </w:r>
      <w:r w:rsidRPr="004F6271">
        <w:rPr>
          <w:lang w:val="en-US"/>
        </w:rPr>
        <w:t xml:space="preserve">In the past </w:t>
      </w:r>
      <w:r w:rsidR="00BA3AE5">
        <w:rPr>
          <w:lang w:val="en-US"/>
        </w:rPr>
        <w:t>3</w:t>
      </w:r>
      <w:r w:rsidR="00BA3AE5" w:rsidRPr="004F6271">
        <w:rPr>
          <w:lang w:val="en-US"/>
        </w:rPr>
        <w:t xml:space="preserve"> </w:t>
      </w:r>
      <w:r w:rsidRPr="004F6271">
        <w:rPr>
          <w:lang w:val="en-US"/>
        </w:rPr>
        <w:t>years, 90</w:t>
      </w:r>
      <w:r w:rsidR="009E02D7">
        <w:rPr>
          <w:lang w:val="en-US"/>
        </w:rPr>
        <w:t> </w:t>
      </w:r>
      <w:r w:rsidRPr="004F6271">
        <w:rPr>
          <w:lang w:val="en-US"/>
        </w:rPr>
        <w:t xml:space="preserve">per cent of cases referred to ADR </w:t>
      </w:r>
      <w:r>
        <w:rPr>
          <w:lang w:val="en-US"/>
        </w:rPr>
        <w:t>related to</w:t>
      </w:r>
      <w:r w:rsidRPr="004F6271">
        <w:rPr>
          <w:lang w:val="en-US"/>
        </w:rPr>
        <w:t xml:space="preserve"> the Franchising Code</w:t>
      </w:r>
      <w:r w:rsidR="00273B3C">
        <w:rPr>
          <w:lang w:val="en-US"/>
        </w:rPr>
        <w:t xml:space="preserve"> of Conduct</w:t>
      </w:r>
      <w:r w:rsidRPr="004F6271">
        <w:rPr>
          <w:lang w:val="en-US"/>
        </w:rPr>
        <w:t>, and only 39 per cent reached resolution.</w:t>
      </w:r>
      <w:r>
        <w:rPr>
          <w:lang w:val="en-US"/>
        </w:rPr>
        <w:t xml:space="preserve"> Table </w:t>
      </w:r>
      <w:r w:rsidR="007D1379">
        <w:rPr>
          <w:lang w:val="en-US"/>
        </w:rPr>
        <w:t>5.</w:t>
      </w:r>
      <w:r w:rsidR="003B6FA0">
        <w:rPr>
          <w:lang w:val="en-US"/>
        </w:rPr>
        <w:t>2</w:t>
      </w:r>
      <w:r>
        <w:rPr>
          <w:lang w:val="en-US"/>
        </w:rPr>
        <w:t xml:space="preserve"> shows</w:t>
      </w:r>
      <w:r w:rsidDel="00D759DF">
        <w:rPr>
          <w:lang w:val="en-US"/>
        </w:rPr>
        <w:t xml:space="preserve"> </w:t>
      </w:r>
      <w:r>
        <w:t>t</w:t>
      </w:r>
      <w:r w:rsidRPr="004F6271">
        <w:t>he success rate of ADR has also decreased over the period, from 5</w:t>
      </w:r>
      <w:r w:rsidR="003F647B">
        <w:t>1</w:t>
      </w:r>
      <w:r w:rsidRPr="004F6271">
        <w:t xml:space="preserve"> per</w:t>
      </w:r>
      <w:r>
        <w:t xml:space="preserve"> </w:t>
      </w:r>
      <w:r w:rsidRPr="004F6271">
        <w:t>cent in 2021</w:t>
      </w:r>
      <w:r w:rsidR="00BA3AE5">
        <w:t>–</w:t>
      </w:r>
      <w:r w:rsidRPr="004F6271">
        <w:t>22 to 27 per</w:t>
      </w:r>
      <w:r>
        <w:t xml:space="preserve"> </w:t>
      </w:r>
      <w:r w:rsidRPr="004F6271">
        <w:t>cent in 2023</w:t>
      </w:r>
      <w:r w:rsidR="00BA3AE5">
        <w:t>–</w:t>
      </w:r>
      <w:r w:rsidRPr="004F6271">
        <w:t>24. Chapter 4 outline</w:t>
      </w:r>
      <w:r>
        <w:t>d</w:t>
      </w:r>
      <w:r w:rsidRPr="004F6271">
        <w:t xml:space="preserve"> a proposed in</w:t>
      </w:r>
      <w:r w:rsidR="003A0D5E">
        <w:noBreakHyphen/>
      </w:r>
      <w:r w:rsidRPr="004F6271">
        <w:t>house ADR model that would include the franchising disputes and should lead to improved resolution rates. </w:t>
      </w:r>
    </w:p>
    <w:p w14:paraId="4F42E024" w14:textId="7BD07247" w:rsidR="00DE02B3" w:rsidRPr="004F6271" w:rsidRDefault="00DE02B3" w:rsidP="009359D0">
      <w:pPr>
        <w:pStyle w:val="TableMainHeading"/>
      </w:pPr>
      <w:r w:rsidRPr="00DE02B3">
        <w:rPr>
          <w:lang w:val="en-US"/>
        </w:rPr>
        <w:t>Table 5.2: Outcome of cases referred to ADR under the Franchising Code</w:t>
      </w:r>
      <w:r w:rsidRPr="00DE02B3">
        <w:t> </w:t>
      </w:r>
    </w:p>
    <w:tbl>
      <w:tblPr>
        <w:tblStyle w:val="TableGrid"/>
        <w:tblW w:w="9015" w:type="dxa"/>
        <w:tblLook w:val="04A0" w:firstRow="1" w:lastRow="0" w:firstColumn="1" w:lastColumn="0" w:noHBand="0" w:noVBand="1"/>
      </w:tblPr>
      <w:tblGrid>
        <w:gridCol w:w="4665"/>
        <w:gridCol w:w="1080"/>
        <w:gridCol w:w="1080"/>
        <w:gridCol w:w="1080"/>
        <w:gridCol w:w="1110"/>
      </w:tblGrid>
      <w:tr w:rsidR="004F6271" w:rsidRPr="004F6271" w14:paraId="21823172" w14:textId="77777777" w:rsidTr="00BB7A86">
        <w:trPr>
          <w:cnfStyle w:val="100000000000" w:firstRow="1" w:lastRow="0" w:firstColumn="0" w:lastColumn="0" w:oddVBand="0" w:evenVBand="0" w:oddHBand="0" w:evenHBand="0" w:firstRowFirstColumn="0" w:firstRowLastColumn="0" w:lastRowFirstColumn="0" w:lastRowLastColumn="0"/>
          <w:trHeight w:val="300"/>
        </w:trPr>
        <w:tc>
          <w:tcPr>
            <w:tcW w:w="4665" w:type="dxa"/>
            <w:hideMark/>
          </w:tcPr>
          <w:p w14:paraId="05CE5757" w14:textId="283FD943" w:rsidR="004F6271" w:rsidRPr="00D05414" w:rsidRDefault="004F6271" w:rsidP="00D05414">
            <w:pPr>
              <w:pStyle w:val="TableTextLeft"/>
              <w:rPr>
                <w:rStyle w:val="Strong"/>
              </w:rPr>
            </w:pPr>
          </w:p>
        </w:tc>
        <w:tc>
          <w:tcPr>
            <w:tcW w:w="1080" w:type="dxa"/>
            <w:hideMark/>
          </w:tcPr>
          <w:p w14:paraId="57F961BF" w14:textId="5BCF2251" w:rsidR="004F6271" w:rsidRPr="001D725D" w:rsidRDefault="004F6271" w:rsidP="00C739BB">
            <w:pPr>
              <w:pStyle w:val="TableColumnHeadingRight"/>
              <w:rPr>
                <w:rStyle w:val="Strong"/>
                <w:b/>
              </w:rPr>
            </w:pPr>
            <w:r w:rsidRPr="001D725D">
              <w:rPr>
                <w:rStyle w:val="Strong"/>
                <w:b/>
              </w:rPr>
              <w:t>2021</w:t>
            </w:r>
            <w:r w:rsidR="00D05414" w:rsidRPr="001D725D">
              <w:rPr>
                <w:rStyle w:val="Strong"/>
                <w:b/>
              </w:rPr>
              <w:t>–</w:t>
            </w:r>
            <w:r w:rsidRPr="001D725D">
              <w:rPr>
                <w:rStyle w:val="Strong"/>
                <w:b/>
              </w:rPr>
              <w:t>22</w:t>
            </w:r>
          </w:p>
        </w:tc>
        <w:tc>
          <w:tcPr>
            <w:tcW w:w="1080" w:type="dxa"/>
            <w:hideMark/>
          </w:tcPr>
          <w:p w14:paraId="1527BE9F" w14:textId="468AEA2B" w:rsidR="004F6271" w:rsidRPr="001D725D" w:rsidRDefault="004F6271" w:rsidP="00C739BB">
            <w:pPr>
              <w:pStyle w:val="TableColumnHeadingRight"/>
              <w:rPr>
                <w:rStyle w:val="Strong"/>
                <w:b/>
              </w:rPr>
            </w:pPr>
            <w:r w:rsidRPr="001D725D">
              <w:rPr>
                <w:rStyle w:val="Strong"/>
                <w:b/>
              </w:rPr>
              <w:t>2022</w:t>
            </w:r>
            <w:r w:rsidR="00D05414" w:rsidRPr="001D725D">
              <w:rPr>
                <w:rStyle w:val="Strong"/>
                <w:b/>
              </w:rPr>
              <w:t>–</w:t>
            </w:r>
            <w:r w:rsidRPr="001D725D">
              <w:rPr>
                <w:rStyle w:val="Strong"/>
                <w:b/>
              </w:rPr>
              <w:t>23</w:t>
            </w:r>
          </w:p>
        </w:tc>
        <w:tc>
          <w:tcPr>
            <w:tcW w:w="1080" w:type="dxa"/>
            <w:hideMark/>
          </w:tcPr>
          <w:p w14:paraId="30C89242" w14:textId="0B2EC627" w:rsidR="004F6271" w:rsidRPr="001D725D" w:rsidRDefault="004F6271" w:rsidP="00C739BB">
            <w:pPr>
              <w:pStyle w:val="TableColumnHeadingRight"/>
              <w:rPr>
                <w:rStyle w:val="Strong"/>
                <w:b/>
              </w:rPr>
            </w:pPr>
            <w:r w:rsidRPr="001D725D">
              <w:rPr>
                <w:rStyle w:val="Strong"/>
                <w:b/>
              </w:rPr>
              <w:t>2023</w:t>
            </w:r>
            <w:r w:rsidR="00D05414" w:rsidRPr="001D725D">
              <w:rPr>
                <w:rStyle w:val="Strong"/>
                <w:b/>
              </w:rPr>
              <w:t>–</w:t>
            </w:r>
            <w:r w:rsidRPr="001D725D">
              <w:rPr>
                <w:rStyle w:val="Strong"/>
                <w:b/>
              </w:rPr>
              <w:t>24</w:t>
            </w:r>
          </w:p>
        </w:tc>
        <w:tc>
          <w:tcPr>
            <w:tcW w:w="1110" w:type="dxa"/>
            <w:hideMark/>
          </w:tcPr>
          <w:p w14:paraId="199FC62B" w14:textId="4508D82B" w:rsidR="004F6271" w:rsidRPr="001D725D" w:rsidRDefault="004F6271" w:rsidP="00C739BB">
            <w:pPr>
              <w:pStyle w:val="TableColumnHeadingRight"/>
              <w:rPr>
                <w:rStyle w:val="Strong"/>
                <w:b/>
              </w:rPr>
            </w:pPr>
            <w:r w:rsidRPr="001D725D">
              <w:rPr>
                <w:rStyle w:val="Strong"/>
                <w:b/>
              </w:rPr>
              <w:t>Total</w:t>
            </w:r>
          </w:p>
        </w:tc>
      </w:tr>
      <w:tr w:rsidR="004F6271" w:rsidRPr="004F6271" w14:paraId="30DC343E" w14:textId="77777777" w:rsidTr="00BB7A86">
        <w:trPr>
          <w:cnfStyle w:val="000000100000" w:firstRow="0" w:lastRow="0" w:firstColumn="0" w:lastColumn="0" w:oddVBand="0" w:evenVBand="0" w:oddHBand="1" w:evenHBand="0" w:firstRowFirstColumn="0" w:firstRowLastColumn="0" w:lastRowFirstColumn="0" w:lastRowLastColumn="0"/>
          <w:trHeight w:val="300"/>
        </w:trPr>
        <w:tc>
          <w:tcPr>
            <w:tcW w:w="4665" w:type="dxa"/>
            <w:hideMark/>
          </w:tcPr>
          <w:p w14:paraId="1AAFA361" w14:textId="4F8B35DF" w:rsidR="004F6271" w:rsidRPr="004F6271" w:rsidRDefault="004F6271" w:rsidP="005A531B">
            <w:pPr>
              <w:pStyle w:val="TableTextLeft"/>
            </w:pPr>
            <w:r w:rsidRPr="001D725D">
              <w:t>Outcome: Reached resolution</w:t>
            </w:r>
          </w:p>
        </w:tc>
        <w:tc>
          <w:tcPr>
            <w:tcW w:w="1080" w:type="dxa"/>
            <w:hideMark/>
          </w:tcPr>
          <w:p w14:paraId="5F1B8638" w14:textId="164BD7A2" w:rsidR="004F6271" w:rsidRPr="004F6271" w:rsidRDefault="004F6271" w:rsidP="00C739BB">
            <w:pPr>
              <w:pStyle w:val="TableTextRight"/>
            </w:pPr>
            <w:r w:rsidRPr="001D725D">
              <w:t>44</w:t>
            </w:r>
          </w:p>
        </w:tc>
        <w:tc>
          <w:tcPr>
            <w:tcW w:w="1080" w:type="dxa"/>
            <w:hideMark/>
          </w:tcPr>
          <w:p w14:paraId="3DF90536" w14:textId="6452A4BF" w:rsidR="004F6271" w:rsidRPr="004F6271" w:rsidRDefault="004F6271" w:rsidP="00C739BB">
            <w:pPr>
              <w:pStyle w:val="TableTextRight"/>
            </w:pPr>
            <w:r w:rsidRPr="001D725D">
              <w:t>19</w:t>
            </w:r>
          </w:p>
        </w:tc>
        <w:tc>
          <w:tcPr>
            <w:tcW w:w="1080" w:type="dxa"/>
            <w:hideMark/>
          </w:tcPr>
          <w:p w14:paraId="1549AD8E" w14:textId="3F7636F4" w:rsidR="004F6271" w:rsidRPr="004F6271" w:rsidRDefault="004F6271" w:rsidP="00C739BB">
            <w:pPr>
              <w:pStyle w:val="TableTextRight"/>
            </w:pPr>
            <w:r w:rsidRPr="001D725D">
              <w:t>23</w:t>
            </w:r>
          </w:p>
        </w:tc>
        <w:tc>
          <w:tcPr>
            <w:tcW w:w="1110" w:type="dxa"/>
            <w:hideMark/>
          </w:tcPr>
          <w:p w14:paraId="4693D842" w14:textId="067A6046" w:rsidR="004F6271" w:rsidRPr="004F6271" w:rsidRDefault="004F6271" w:rsidP="00C739BB">
            <w:pPr>
              <w:pStyle w:val="TableTextRight"/>
            </w:pPr>
            <w:r w:rsidRPr="001D725D">
              <w:t>86</w:t>
            </w:r>
          </w:p>
        </w:tc>
      </w:tr>
      <w:tr w:rsidR="004F6271" w:rsidRPr="004F6271" w14:paraId="3435C04E" w14:textId="77777777" w:rsidTr="00BB7A86">
        <w:trPr>
          <w:cnfStyle w:val="000000010000" w:firstRow="0" w:lastRow="0" w:firstColumn="0" w:lastColumn="0" w:oddVBand="0" w:evenVBand="0" w:oddHBand="0" w:evenHBand="1" w:firstRowFirstColumn="0" w:firstRowLastColumn="0" w:lastRowFirstColumn="0" w:lastRowLastColumn="0"/>
          <w:trHeight w:val="300"/>
        </w:trPr>
        <w:tc>
          <w:tcPr>
            <w:tcW w:w="4665" w:type="dxa"/>
            <w:hideMark/>
          </w:tcPr>
          <w:p w14:paraId="0ACD0751" w14:textId="131D3EB3" w:rsidR="004F6271" w:rsidRPr="004F6271" w:rsidRDefault="004F6271" w:rsidP="005A531B">
            <w:pPr>
              <w:pStyle w:val="TableTextLeft"/>
            </w:pPr>
            <w:r w:rsidRPr="001D725D">
              <w:t>Outcome: Partially resolved</w:t>
            </w:r>
          </w:p>
        </w:tc>
        <w:tc>
          <w:tcPr>
            <w:tcW w:w="1080" w:type="dxa"/>
            <w:hideMark/>
          </w:tcPr>
          <w:p w14:paraId="769E6B44" w14:textId="0E3B63DF" w:rsidR="004F6271" w:rsidRPr="004F6271" w:rsidRDefault="004F6271" w:rsidP="00C739BB">
            <w:pPr>
              <w:pStyle w:val="TableTextRight"/>
            </w:pPr>
            <w:r w:rsidRPr="001D725D">
              <w:t>6</w:t>
            </w:r>
          </w:p>
        </w:tc>
        <w:tc>
          <w:tcPr>
            <w:tcW w:w="1080" w:type="dxa"/>
            <w:hideMark/>
          </w:tcPr>
          <w:p w14:paraId="3685FC6D" w14:textId="3444EFFB" w:rsidR="004F6271" w:rsidRPr="004F6271" w:rsidRDefault="004F6271" w:rsidP="00C739BB">
            <w:pPr>
              <w:pStyle w:val="TableTextRight"/>
            </w:pPr>
            <w:r w:rsidRPr="001D725D">
              <w:t>2</w:t>
            </w:r>
          </w:p>
        </w:tc>
        <w:tc>
          <w:tcPr>
            <w:tcW w:w="1080" w:type="dxa"/>
            <w:hideMark/>
          </w:tcPr>
          <w:p w14:paraId="4D31AAA7" w14:textId="2E44E1A5" w:rsidR="004F6271" w:rsidRPr="004F6271" w:rsidRDefault="004F6271" w:rsidP="00C739BB">
            <w:pPr>
              <w:pStyle w:val="TableTextRight"/>
            </w:pPr>
            <w:r w:rsidRPr="001D725D">
              <w:t>1</w:t>
            </w:r>
          </w:p>
        </w:tc>
        <w:tc>
          <w:tcPr>
            <w:tcW w:w="1110" w:type="dxa"/>
            <w:hideMark/>
          </w:tcPr>
          <w:p w14:paraId="056CA655" w14:textId="4B617165" w:rsidR="004F6271" w:rsidRPr="004F6271" w:rsidRDefault="004F6271" w:rsidP="00C739BB">
            <w:pPr>
              <w:pStyle w:val="TableTextRight"/>
            </w:pPr>
            <w:r w:rsidRPr="001D725D">
              <w:t>9</w:t>
            </w:r>
          </w:p>
        </w:tc>
      </w:tr>
      <w:tr w:rsidR="004F6271" w:rsidRPr="004F6271" w14:paraId="5AD6DF5C" w14:textId="77777777" w:rsidTr="00BB7A86">
        <w:trPr>
          <w:cnfStyle w:val="000000100000" w:firstRow="0" w:lastRow="0" w:firstColumn="0" w:lastColumn="0" w:oddVBand="0" w:evenVBand="0" w:oddHBand="1" w:evenHBand="0" w:firstRowFirstColumn="0" w:firstRowLastColumn="0" w:lastRowFirstColumn="0" w:lastRowLastColumn="0"/>
          <w:trHeight w:val="300"/>
        </w:trPr>
        <w:tc>
          <w:tcPr>
            <w:tcW w:w="4665" w:type="dxa"/>
            <w:hideMark/>
          </w:tcPr>
          <w:p w14:paraId="0D1F375F" w14:textId="6AAE5261" w:rsidR="004F6271" w:rsidRPr="004F6271" w:rsidRDefault="004F6271" w:rsidP="005A531B">
            <w:pPr>
              <w:pStyle w:val="TableTextLeft"/>
            </w:pPr>
            <w:r w:rsidRPr="001D725D">
              <w:t>Outcome: Unresolved</w:t>
            </w:r>
          </w:p>
        </w:tc>
        <w:tc>
          <w:tcPr>
            <w:tcW w:w="1080" w:type="dxa"/>
            <w:hideMark/>
          </w:tcPr>
          <w:p w14:paraId="019BF27C" w14:textId="4264EC6A" w:rsidR="004F6271" w:rsidRPr="004F6271" w:rsidRDefault="004F6271" w:rsidP="00C739BB">
            <w:pPr>
              <w:pStyle w:val="TableTextRight"/>
            </w:pPr>
            <w:r w:rsidRPr="001D725D">
              <w:t>27</w:t>
            </w:r>
          </w:p>
        </w:tc>
        <w:tc>
          <w:tcPr>
            <w:tcW w:w="1080" w:type="dxa"/>
            <w:hideMark/>
          </w:tcPr>
          <w:p w14:paraId="56B230A6" w14:textId="25D32FC7" w:rsidR="004F6271" w:rsidRPr="004F6271" w:rsidRDefault="004F6271" w:rsidP="00C739BB">
            <w:pPr>
              <w:pStyle w:val="TableTextRight"/>
            </w:pPr>
            <w:r w:rsidRPr="001D725D">
              <w:t>21</w:t>
            </w:r>
          </w:p>
        </w:tc>
        <w:tc>
          <w:tcPr>
            <w:tcW w:w="1080" w:type="dxa"/>
            <w:hideMark/>
          </w:tcPr>
          <w:p w14:paraId="0D013397" w14:textId="6F54ABC5" w:rsidR="004F6271" w:rsidRPr="004F6271" w:rsidRDefault="004F6271" w:rsidP="00C739BB">
            <w:pPr>
              <w:pStyle w:val="TableTextRight"/>
            </w:pPr>
            <w:r w:rsidRPr="001D725D">
              <w:t>59</w:t>
            </w:r>
          </w:p>
        </w:tc>
        <w:tc>
          <w:tcPr>
            <w:tcW w:w="1110" w:type="dxa"/>
            <w:hideMark/>
          </w:tcPr>
          <w:p w14:paraId="0224DA49" w14:textId="4C548B42" w:rsidR="004F6271" w:rsidRPr="004F6271" w:rsidRDefault="004F6271" w:rsidP="00C739BB">
            <w:pPr>
              <w:pStyle w:val="TableTextRight"/>
            </w:pPr>
            <w:r w:rsidRPr="001D725D">
              <w:t>107</w:t>
            </w:r>
          </w:p>
        </w:tc>
      </w:tr>
      <w:tr w:rsidR="004F6271" w:rsidRPr="004F6271" w14:paraId="3AFBA2BF" w14:textId="77777777" w:rsidTr="00BB7A86">
        <w:trPr>
          <w:cnfStyle w:val="000000010000" w:firstRow="0" w:lastRow="0" w:firstColumn="0" w:lastColumn="0" w:oddVBand="0" w:evenVBand="0" w:oddHBand="0" w:evenHBand="1" w:firstRowFirstColumn="0" w:firstRowLastColumn="0" w:lastRowFirstColumn="0" w:lastRowLastColumn="0"/>
          <w:trHeight w:val="300"/>
        </w:trPr>
        <w:tc>
          <w:tcPr>
            <w:tcW w:w="4665" w:type="dxa"/>
            <w:hideMark/>
          </w:tcPr>
          <w:p w14:paraId="0043B926" w14:textId="4296B649" w:rsidR="004F6271" w:rsidRPr="004F6271" w:rsidRDefault="004F6271" w:rsidP="005A531B">
            <w:pPr>
              <w:pStyle w:val="TableTextLeft"/>
            </w:pPr>
            <w:r w:rsidRPr="001D725D">
              <w:t>Outcome: No response</w:t>
            </w:r>
          </w:p>
        </w:tc>
        <w:tc>
          <w:tcPr>
            <w:tcW w:w="1080" w:type="dxa"/>
            <w:hideMark/>
          </w:tcPr>
          <w:p w14:paraId="4122A06D" w14:textId="150D6B24" w:rsidR="004F6271" w:rsidRPr="004F6271" w:rsidRDefault="004F6271" w:rsidP="00C739BB">
            <w:pPr>
              <w:pStyle w:val="TableTextRight"/>
            </w:pPr>
            <w:r w:rsidRPr="001D725D">
              <w:t>10</w:t>
            </w:r>
          </w:p>
        </w:tc>
        <w:tc>
          <w:tcPr>
            <w:tcW w:w="1080" w:type="dxa"/>
            <w:hideMark/>
          </w:tcPr>
          <w:p w14:paraId="68714339" w14:textId="32436287" w:rsidR="004F6271" w:rsidRPr="004F6271" w:rsidRDefault="004F6271" w:rsidP="00C739BB">
            <w:pPr>
              <w:pStyle w:val="TableTextRight"/>
            </w:pPr>
            <w:r w:rsidRPr="001D725D">
              <w:t>7</w:t>
            </w:r>
          </w:p>
        </w:tc>
        <w:tc>
          <w:tcPr>
            <w:tcW w:w="1080" w:type="dxa"/>
            <w:hideMark/>
          </w:tcPr>
          <w:p w14:paraId="5C2CD0D3" w14:textId="7904AF64" w:rsidR="004F6271" w:rsidRPr="004F6271" w:rsidRDefault="004F6271" w:rsidP="00C739BB">
            <w:pPr>
              <w:pStyle w:val="TableTextRight"/>
            </w:pPr>
            <w:r w:rsidRPr="001D725D">
              <w:t>3</w:t>
            </w:r>
          </w:p>
        </w:tc>
        <w:tc>
          <w:tcPr>
            <w:tcW w:w="1110" w:type="dxa"/>
            <w:hideMark/>
          </w:tcPr>
          <w:p w14:paraId="3E5416CE" w14:textId="3C37BBC3" w:rsidR="004F6271" w:rsidRPr="004F6271" w:rsidRDefault="004F6271" w:rsidP="00C739BB">
            <w:pPr>
              <w:pStyle w:val="TableTextRight"/>
            </w:pPr>
            <w:r w:rsidRPr="001D725D">
              <w:t>20</w:t>
            </w:r>
          </w:p>
        </w:tc>
      </w:tr>
      <w:tr w:rsidR="004F6271" w:rsidRPr="004F6271" w14:paraId="5325C60E" w14:textId="77777777" w:rsidTr="00BB7A86">
        <w:trPr>
          <w:cnfStyle w:val="000000100000" w:firstRow="0" w:lastRow="0" w:firstColumn="0" w:lastColumn="0" w:oddVBand="0" w:evenVBand="0" w:oddHBand="1" w:evenHBand="0" w:firstRowFirstColumn="0" w:firstRowLastColumn="0" w:lastRowFirstColumn="0" w:lastRowLastColumn="0"/>
          <w:trHeight w:val="300"/>
        </w:trPr>
        <w:tc>
          <w:tcPr>
            <w:tcW w:w="4665" w:type="dxa"/>
            <w:hideMark/>
          </w:tcPr>
          <w:p w14:paraId="629F3EEB" w14:textId="77777777" w:rsidR="004F6271" w:rsidRPr="005A531B" w:rsidRDefault="004F6271" w:rsidP="005A531B">
            <w:pPr>
              <w:pStyle w:val="TableTextLeft"/>
              <w:rPr>
                <w:rStyle w:val="Strong"/>
              </w:rPr>
            </w:pPr>
            <w:r w:rsidRPr="005A531B">
              <w:rPr>
                <w:rStyle w:val="Strong"/>
              </w:rPr>
              <w:t>TOTAL </w:t>
            </w:r>
          </w:p>
        </w:tc>
        <w:tc>
          <w:tcPr>
            <w:tcW w:w="1080" w:type="dxa"/>
            <w:hideMark/>
          </w:tcPr>
          <w:p w14:paraId="123DACCB" w14:textId="0EB192DA" w:rsidR="004F6271" w:rsidRPr="005A531B" w:rsidRDefault="004F6271" w:rsidP="00C739BB">
            <w:pPr>
              <w:pStyle w:val="TableTextRight"/>
              <w:rPr>
                <w:rStyle w:val="Strong"/>
              </w:rPr>
            </w:pPr>
            <w:r w:rsidRPr="005A531B">
              <w:rPr>
                <w:rStyle w:val="Strong"/>
              </w:rPr>
              <w:t>87</w:t>
            </w:r>
          </w:p>
        </w:tc>
        <w:tc>
          <w:tcPr>
            <w:tcW w:w="1080" w:type="dxa"/>
            <w:hideMark/>
          </w:tcPr>
          <w:p w14:paraId="631A9F0B" w14:textId="1F04AD02" w:rsidR="004F6271" w:rsidRPr="005A531B" w:rsidRDefault="004F6271" w:rsidP="00C739BB">
            <w:pPr>
              <w:pStyle w:val="TableTextRight"/>
              <w:rPr>
                <w:rStyle w:val="Strong"/>
              </w:rPr>
            </w:pPr>
            <w:r w:rsidRPr="005A531B">
              <w:rPr>
                <w:rStyle w:val="Strong"/>
              </w:rPr>
              <w:t>49</w:t>
            </w:r>
          </w:p>
        </w:tc>
        <w:tc>
          <w:tcPr>
            <w:tcW w:w="1080" w:type="dxa"/>
            <w:hideMark/>
          </w:tcPr>
          <w:p w14:paraId="0F5444C9" w14:textId="70CA306F" w:rsidR="004F6271" w:rsidRPr="005A531B" w:rsidRDefault="004F6271" w:rsidP="00C739BB">
            <w:pPr>
              <w:pStyle w:val="TableTextRight"/>
              <w:rPr>
                <w:rStyle w:val="Strong"/>
              </w:rPr>
            </w:pPr>
            <w:r w:rsidRPr="005A531B">
              <w:rPr>
                <w:rStyle w:val="Strong"/>
              </w:rPr>
              <w:t>86</w:t>
            </w:r>
          </w:p>
        </w:tc>
        <w:tc>
          <w:tcPr>
            <w:tcW w:w="1110" w:type="dxa"/>
            <w:hideMark/>
          </w:tcPr>
          <w:p w14:paraId="2EDF9A0E" w14:textId="65C1706D" w:rsidR="004F6271" w:rsidRPr="005A531B" w:rsidRDefault="004F6271" w:rsidP="00C739BB">
            <w:pPr>
              <w:pStyle w:val="TableTextRight"/>
              <w:rPr>
                <w:rStyle w:val="Strong"/>
              </w:rPr>
            </w:pPr>
            <w:r w:rsidRPr="005A531B">
              <w:rPr>
                <w:rStyle w:val="Strong"/>
              </w:rPr>
              <w:t>222</w:t>
            </w:r>
          </w:p>
        </w:tc>
      </w:tr>
    </w:tbl>
    <w:p w14:paraId="1C865FEA" w14:textId="2291ABD7" w:rsidR="00E50755" w:rsidRDefault="00BB7A86" w:rsidP="009359D0">
      <w:pPr>
        <w:pStyle w:val="ChartorTablenoteandsource"/>
      </w:pPr>
      <w:r>
        <w:t>Please refer to Appendix I for table notes and sources</w:t>
      </w:r>
      <w:r w:rsidR="008711F9">
        <w:t>.</w:t>
      </w:r>
    </w:p>
    <w:p w14:paraId="2E47C71A" w14:textId="77777777" w:rsidR="003C1274" w:rsidRDefault="003C1274">
      <w:pPr>
        <w:spacing w:before="0" w:after="160" w:line="259" w:lineRule="auto"/>
        <w:rPr>
          <w:rFonts w:asciiTheme="majorHAnsi" w:hAnsiTheme="majorHAnsi" w:cs="Arial"/>
          <w:color w:val="002B54"/>
          <w:kern w:val="32"/>
          <w:sz w:val="36"/>
          <w:szCs w:val="26"/>
        </w:rPr>
      </w:pPr>
      <w:r>
        <w:br w:type="page"/>
      </w:r>
    </w:p>
    <w:p w14:paraId="4B906414" w14:textId="7D868FCE" w:rsidR="00866A9F" w:rsidRDefault="00866A9F" w:rsidP="002D0C8F">
      <w:pPr>
        <w:pStyle w:val="Heading3"/>
      </w:pPr>
      <w:bookmarkStart w:id="84" w:name="_Toc199940992"/>
      <w:r>
        <w:lastRenderedPageBreak/>
        <w:t>Observation</w:t>
      </w:r>
      <w:bookmarkEnd w:id="84"/>
    </w:p>
    <w:tbl>
      <w:tblPr>
        <w:tblStyle w:val="BoxStyle"/>
        <w:tblW w:w="5000" w:type="pct"/>
        <w:shd w:val="clear" w:color="auto" w:fill="F4F0EC"/>
        <w:tblLook w:val="0620" w:firstRow="1" w:lastRow="0" w:firstColumn="0" w:lastColumn="0" w:noHBand="1" w:noVBand="1"/>
      </w:tblPr>
      <w:tblGrid>
        <w:gridCol w:w="9070"/>
      </w:tblGrid>
      <w:tr w:rsidR="00C60D91" w14:paraId="5878350D" w14:textId="77777777" w:rsidTr="004C4118">
        <w:tc>
          <w:tcPr>
            <w:tcW w:w="5000" w:type="pct"/>
            <w:shd w:val="clear" w:color="auto" w:fill="F4F0EC"/>
            <w:hideMark/>
          </w:tcPr>
          <w:p w14:paraId="36EA602B" w14:textId="4D6DCA9A" w:rsidR="00C60D91" w:rsidRPr="00896BC2" w:rsidRDefault="00C60D91" w:rsidP="001D725D">
            <w:pPr>
              <w:pStyle w:val="BoxText"/>
            </w:pPr>
            <w:r w:rsidRPr="001D725D">
              <w:rPr>
                <w:rStyle w:val="Strong"/>
              </w:rPr>
              <w:t>Observation 3:</w:t>
            </w:r>
            <w:r w:rsidRPr="004F6271">
              <w:t xml:space="preserve"> </w:t>
            </w:r>
            <w:r w:rsidR="002667E6" w:rsidRPr="009A1014">
              <w:t xml:space="preserve">Franchisees need to know </w:t>
            </w:r>
            <w:r w:rsidR="002667E6">
              <w:t>which agency is best suited</w:t>
            </w:r>
            <w:r w:rsidR="002667E6" w:rsidRPr="009A1014">
              <w:t xml:space="preserve"> to deal with their franchising dispute, and their rights during the ADR process.</w:t>
            </w:r>
            <w:r w:rsidR="002667E6" w:rsidRPr="004F6271">
              <w:t xml:space="preserve"> ASBFEO should </w:t>
            </w:r>
            <w:r w:rsidR="002667E6">
              <w:t xml:space="preserve">address </w:t>
            </w:r>
            <w:r w:rsidR="002667E6" w:rsidRPr="004F6271">
              <w:t>th</w:t>
            </w:r>
            <w:r w:rsidR="002667E6">
              <w:t>is</w:t>
            </w:r>
            <w:r w:rsidR="002667E6" w:rsidRPr="004F6271">
              <w:t xml:space="preserve"> when implementing </w:t>
            </w:r>
            <w:r w:rsidR="002667E6">
              <w:t xml:space="preserve">the </w:t>
            </w:r>
            <w:r w:rsidR="00EE6742">
              <w:t xml:space="preserve">2023 </w:t>
            </w:r>
            <w:r w:rsidR="002667E6">
              <w:t xml:space="preserve">Independent Review of the </w:t>
            </w:r>
            <w:r w:rsidR="002667E6" w:rsidRPr="004F6271">
              <w:t xml:space="preserve">Franchising </w:t>
            </w:r>
            <w:r w:rsidR="002667E6">
              <w:t>Code of Conduct R</w:t>
            </w:r>
            <w:r w:rsidR="002667E6" w:rsidRPr="004F6271">
              <w:t xml:space="preserve">ecommendation </w:t>
            </w:r>
            <w:r w:rsidR="002667E6">
              <w:t xml:space="preserve">17 </w:t>
            </w:r>
            <w:r w:rsidR="002667E6" w:rsidRPr="004F6271">
              <w:t>on best practice guidance and education.</w:t>
            </w:r>
            <w:r w:rsidR="002667E6" w:rsidRPr="009A1014" w:rsidDel="002667E6">
              <w:t xml:space="preserve"> </w:t>
            </w:r>
          </w:p>
        </w:tc>
      </w:tr>
    </w:tbl>
    <w:p w14:paraId="59D280AF" w14:textId="29075FFD" w:rsidR="004F6271" w:rsidRPr="004F6271" w:rsidRDefault="004F6271" w:rsidP="00332187">
      <w:pPr>
        <w:pStyle w:val="Heading2"/>
      </w:pPr>
      <w:bookmarkStart w:id="85" w:name="_Toc199940993"/>
      <w:r w:rsidRPr="004F6271">
        <w:rPr>
          <w:lang w:val="en-US"/>
        </w:rPr>
        <w:t xml:space="preserve">Implementation of the Franchising </w:t>
      </w:r>
      <w:r w:rsidR="009B32A9">
        <w:rPr>
          <w:lang w:val="en-US"/>
        </w:rPr>
        <w:t>Review</w:t>
      </w:r>
      <w:bookmarkEnd w:id="85"/>
      <w:r w:rsidRPr="004F6271">
        <w:t> </w:t>
      </w:r>
    </w:p>
    <w:p w14:paraId="7B9FAC70" w14:textId="0F255B2C" w:rsidR="004F6271" w:rsidRPr="004F6271" w:rsidRDefault="004F6271" w:rsidP="004F6271">
      <w:r w:rsidRPr="003E277A">
        <w:rPr>
          <w:rStyle w:val="Strong"/>
        </w:rPr>
        <w:t>The Franchising Review made several recommendations to achieve better access to justice for franchisees.</w:t>
      </w:r>
      <w:r w:rsidRPr="004F6271">
        <w:rPr>
          <w:b/>
          <w:bCs/>
        </w:rPr>
        <w:t xml:space="preserve"> </w:t>
      </w:r>
      <w:r w:rsidRPr="004F6271">
        <w:t xml:space="preserve">Recommendations included </w:t>
      </w:r>
      <w:r w:rsidR="00A036EA">
        <w:t>2</w:t>
      </w:r>
      <w:r w:rsidR="00A036EA" w:rsidRPr="004F6271">
        <w:t xml:space="preserve"> </w:t>
      </w:r>
      <w:r w:rsidRPr="004F6271">
        <w:t xml:space="preserve">measures that have already been implemented </w:t>
      </w:r>
      <w:r w:rsidR="00A240FA">
        <w:t>by ASBFEO</w:t>
      </w:r>
      <w:r w:rsidRPr="004F6271">
        <w:t>: </w:t>
      </w:r>
    </w:p>
    <w:p w14:paraId="37A72FFC" w14:textId="3D24C865" w:rsidR="004F6271" w:rsidRPr="004F6271" w:rsidRDefault="006A1E94" w:rsidP="003E277A">
      <w:pPr>
        <w:pStyle w:val="Bullet"/>
      </w:pPr>
      <w:r>
        <w:t>L</w:t>
      </w:r>
      <w:r w:rsidR="004F6271" w:rsidRPr="004F6271">
        <w:t>ow</w:t>
      </w:r>
      <w:r w:rsidR="003A0D5E">
        <w:noBreakHyphen/>
      </w:r>
      <w:r w:rsidR="004F6271" w:rsidRPr="004F6271">
        <w:t>cost legal advice for franchisees prior to formal ADR</w:t>
      </w:r>
      <w:r>
        <w:t>.</w:t>
      </w:r>
    </w:p>
    <w:p w14:paraId="23E8B495" w14:textId="063DB867" w:rsidR="004F6271" w:rsidRPr="004F6271" w:rsidRDefault="004F6271" w:rsidP="003E277A">
      <w:pPr>
        <w:pStyle w:val="Bullet"/>
      </w:pPr>
      <w:r w:rsidRPr="004F6271">
        <w:t xml:space="preserve">ASBFEO to name franchisors who have not participated meaningfully in </w:t>
      </w:r>
      <w:r w:rsidR="00A036EA">
        <w:t>ADR</w:t>
      </w:r>
      <w:r w:rsidRPr="004F6271">
        <w:t>. </w:t>
      </w:r>
    </w:p>
    <w:p w14:paraId="31649065" w14:textId="49567FED" w:rsidR="004F6271" w:rsidRPr="004F6271" w:rsidRDefault="009615EA" w:rsidP="004F6271">
      <w:r w:rsidRPr="0010234A">
        <w:rPr>
          <w:rStyle w:val="Strong"/>
          <w:b w:val="0"/>
        </w:rPr>
        <w:t>The Franchising Review</w:t>
      </w:r>
      <w:r w:rsidR="00652287">
        <w:rPr>
          <w:b/>
        </w:rPr>
        <w:t xml:space="preserve"> </w:t>
      </w:r>
      <w:r w:rsidR="004F6271" w:rsidRPr="004F6271">
        <w:t>also found that ASBFEO and ACCC</w:t>
      </w:r>
      <w:r w:rsidR="004F6271" w:rsidRPr="004F6271" w:rsidDel="00497C9E">
        <w:t xml:space="preserve"> could </w:t>
      </w:r>
      <w:r w:rsidR="004F6271" w:rsidRPr="004F6271">
        <w:t>implement enhanced information and guidance on best practice for the franchising sector. These recommendations are still being implemented. The ASBFEO Act provides authority for ASBFEO to promote best practice approaches under section 14</w:t>
      </w:r>
      <w:r w:rsidR="003E277A">
        <w:t> </w:t>
      </w:r>
      <w:r w:rsidR="004F6271" w:rsidRPr="004F6271">
        <w:t>(h)</w:t>
      </w:r>
      <w:r w:rsidR="00916FA5">
        <w:t>.</w:t>
      </w:r>
    </w:p>
    <w:p w14:paraId="25F242F3" w14:textId="77D72086" w:rsidR="00A240FA" w:rsidRPr="004F6271" w:rsidRDefault="00A240FA" w:rsidP="00A240FA">
      <w:r w:rsidRPr="003E277A">
        <w:rPr>
          <w:rStyle w:val="Strong"/>
        </w:rPr>
        <w:t xml:space="preserve">The Franchising Review recommended that the </w:t>
      </w:r>
      <w:r w:rsidR="006A1E94">
        <w:rPr>
          <w:rStyle w:val="Strong"/>
        </w:rPr>
        <w:t xml:space="preserve">Australian </w:t>
      </w:r>
      <w:r w:rsidRPr="003E277A">
        <w:rPr>
          <w:rStyle w:val="Strong"/>
        </w:rPr>
        <w:t>Government assist franchisees in accessing low</w:t>
      </w:r>
      <w:r w:rsidRPr="003E277A">
        <w:rPr>
          <w:rStyle w:val="Strong"/>
        </w:rPr>
        <w:noBreakHyphen/>
        <w:t>cost legal advice prior to formal AD</w:t>
      </w:r>
      <w:r>
        <w:rPr>
          <w:rStyle w:val="Strong"/>
        </w:rPr>
        <w:t>R</w:t>
      </w:r>
      <w:r w:rsidRPr="00E51EBF">
        <w:rPr>
          <w:rStyle w:val="Strong"/>
          <w:b w:val="0"/>
          <w:szCs w:val="22"/>
        </w:rPr>
        <w:t>.</w:t>
      </w:r>
      <w:r w:rsidR="00065357">
        <w:rPr>
          <w:rStyle w:val="Strong"/>
          <w:rFonts w:ascii="ZWAdobeF" w:hAnsi="ZWAdobeF" w:cs="ZWAdobeF"/>
          <w:b w:val="0"/>
          <w:color w:val="auto"/>
          <w:sz w:val="2"/>
          <w:szCs w:val="2"/>
        </w:rPr>
        <w:t>93F</w:t>
      </w:r>
      <w:r w:rsidRPr="003C492E">
        <w:rPr>
          <w:rStyle w:val="FootnoteReference"/>
          <w:b/>
          <w:sz w:val="22"/>
          <w:szCs w:val="22"/>
          <w:vertAlign w:val="superscript"/>
        </w:rPr>
        <w:footnoteReference w:id="95"/>
      </w:r>
      <w:r w:rsidRPr="003C492E">
        <w:rPr>
          <w:rStyle w:val="Strong"/>
          <w:b w:val="0"/>
          <w:bCs w:val="0"/>
          <w:szCs w:val="22"/>
          <w:vertAlign w:val="superscript"/>
        </w:rPr>
        <w:t xml:space="preserve"> </w:t>
      </w:r>
      <w:r w:rsidRPr="004F6271">
        <w:t xml:space="preserve">The Government implemented a broader measure from 3 March 2025 which applies not only </w:t>
      </w:r>
      <w:r>
        <w:t xml:space="preserve">to </w:t>
      </w:r>
      <w:r w:rsidRPr="004F6271">
        <w:t xml:space="preserve">franchisees but all small businesses. This measure uses </w:t>
      </w:r>
      <w:r>
        <w:t>a</w:t>
      </w:r>
      <w:r w:rsidRPr="004F6271" w:rsidDel="00427C1A">
        <w:t xml:space="preserve"> </w:t>
      </w:r>
      <w:r w:rsidRPr="004F6271">
        <w:t>similar process to the SBTC discussed in Chapter 4.</w:t>
      </w:r>
    </w:p>
    <w:p w14:paraId="6F5ADD95" w14:textId="34CFA6F1" w:rsidR="00A240FA" w:rsidRPr="00AA4DFA" w:rsidRDefault="00A240FA" w:rsidP="00A240FA">
      <w:pPr>
        <w:rPr>
          <w:rStyle w:val="Strong"/>
          <w:b w:val="0"/>
        </w:rPr>
      </w:pPr>
      <w:r w:rsidRPr="00AA4DFA">
        <w:rPr>
          <w:rStyle w:val="Strong"/>
          <w:b w:val="0"/>
        </w:rPr>
        <w:t>Stakeholders supported the low</w:t>
      </w:r>
      <w:r w:rsidRPr="00AA4DFA">
        <w:rPr>
          <w:rStyle w:val="Strong"/>
          <w:b w:val="0"/>
        </w:rPr>
        <w:noBreakHyphen/>
        <w:t>cost legal services for the franchising sector. </w:t>
      </w:r>
    </w:p>
    <w:p w14:paraId="61A0A96A" w14:textId="65CF9A35" w:rsidR="00A240FA" w:rsidRPr="003C492E" w:rsidRDefault="00A240FA" w:rsidP="00A240FA">
      <w:pPr>
        <w:rPr>
          <w:vertAlign w:val="superscript"/>
        </w:rPr>
      </w:pPr>
      <w:r w:rsidRPr="004F6271">
        <w:rPr>
          <w:lang w:val="en-US"/>
        </w:rPr>
        <w:t xml:space="preserve">MTAA is particularly supportive of the potential expansion of the current </w:t>
      </w:r>
      <w:r>
        <w:rPr>
          <w:lang w:val="en-US"/>
        </w:rPr>
        <w:t>SBTC</w:t>
      </w:r>
      <w:r w:rsidRPr="004F6271">
        <w:rPr>
          <w:lang w:val="en-US"/>
        </w:rPr>
        <w:t xml:space="preserve"> model to a wider service including advice on franchise matters.</w:t>
      </w:r>
      <w:r w:rsidR="00065357">
        <w:rPr>
          <w:rFonts w:ascii="ZWAdobeF" w:hAnsi="ZWAdobeF" w:cs="ZWAdobeF"/>
          <w:color w:val="auto"/>
          <w:sz w:val="2"/>
          <w:szCs w:val="2"/>
          <w:lang w:val="en-US"/>
        </w:rPr>
        <w:t>94F</w:t>
      </w:r>
      <w:r w:rsidRPr="003C492E">
        <w:rPr>
          <w:rStyle w:val="FootnoteReference"/>
          <w:sz w:val="22"/>
          <w:szCs w:val="22"/>
          <w:vertAlign w:val="superscript"/>
          <w:lang w:val="en-US"/>
        </w:rPr>
        <w:footnoteReference w:id="96"/>
      </w:r>
    </w:p>
    <w:p w14:paraId="01E0220D" w14:textId="5C0D82B1" w:rsidR="009763D7" w:rsidRPr="004F6271" w:rsidRDefault="009763D7" w:rsidP="009763D7">
      <w:r w:rsidRPr="003E277A">
        <w:rPr>
          <w:rStyle w:val="Strong"/>
        </w:rPr>
        <w:t>Stakeholders provided views on the effectiveness of the low</w:t>
      </w:r>
      <w:r w:rsidR="003A0D5E">
        <w:rPr>
          <w:rStyle w:val="Strong"/>
        </w:rPr>
        <w:noBreakHyphen/>
      </w:r>
      <w:r w:rsidRPr="003E277A">
        <w:rPr>
          <w:rStyle w:val="Strong"/>
        </w:rPr>
        <w:t>cost legal advice.</w:t>
      </w:r>
      <w:r w:rsidRPr="004D1FDF">
        <w:rPr>
          <w:rStyle w:val="Strong"/>
          <w:b w:val="0"/>
        </w:rPr>
        <w:t xml:space="preserve"> A</w:t>
      </w:r>
      <w:r w:rsidRPr="004F6271">
        <w:t xml:space="preserve"> stakeholder indicated that one hour of legal advice was adequate to determine whether to go to mediation</w:t>
      </w:r>
      <w:r w:rsidR="00DD06F7">
        <w:t>.</w:t>
      </w:r>
      <w:r w:rsidRPr="004F6271">
        <w:t xml:space="preserve"> </w:t>
      </w:r>
      <w:r w:rsidR="00DD06F7">
        <w:t>H</w:t>
      </w:r>
      <w:r>
        <w:t>owever</w:t>
      </w:r>
      <w:r w:rsidR="00DD06F7">
        <w:t>,</w:t>
      </w:r>
      <w:r>
        <w:t xml:space="preserve"> </w:t>
      </w:r>
      <w:r w:rsidRPr="004F6271">
        <w:t xml:space="preserve">further legal advice would be needed </w:t>
      </w:r>
      <w:r w:rsidR="00DD06F7">
        <w:t>a</w:t>
      </w:r>
      <w:r w:rsidRPr="004F6271">
        <w:t xml:space="preserve"> decision </w:t>
      </w:r>
      <w:r w:rsidR="00DD06F7">
        <w:t>was</w:t>
      </w:r>
      <w:r w:rsidR="00DD06F7" w:rsidRPr="004F6271">
        <w:t xml:space="preserve"> </w:t>
      </w:r>
      <w:r w:rsidRPr="004F6271">
        <w:t xml:space="preserve">made to proceed with mediation. Another stakeholder agreed that legal advice before mediation would be beneficial but noted </w:t>
      </w:r>
      <w:r>
        <w:t xml:space="preserve">that </w:t>
      </w:r>
      <w:r w:rsidRPr="004F6271">
        <w:t xml:space="preserve">most parties bring their own lawyers to mediation. </w:t>
      </w:r>
    </w:p>
    <w:p w14:paraId="4EADE64A" w14:textId="77777777" w:rsidR="009B2AB0" w:rsidRDefault="009B2AB0" w:rsidP="004F6271">
      <w:pPr>
        <w:rPr>
          <w:rStyle w:val="Strong"/>
        </w:rPr>
      </w:pPr>
    </w:p>
    <w:p w14:paraId="19719DD5" w14:textId="77777777" w:rsidR="009B2AB0" w:rsidRDefault="009B2AB0" w:rsidP="004F6271">
      <w:pPr>
        <w:rPr>
          <w:rStyle w:val="Strong"/>
        </w:rPr>
      </w:pPr>
    </w:p>
    <w:p w14:paraId="3BE829E2" w14:textId="7267F6BD" w:rsidR="00A240FA" w:rsidRPr="004F6271" w:rsidRDefault="009763D7" w:rsidP="004F6271">
      <w:r w:rsidRPr="003E277A">
        <w:rPr>
          <w:rStyle w:val="Strong"/>
        </w:rPr>
        <w:lastRenderedPageBreak/>
        <w:t>This service provide</w:t>
      </w:r>
      <w:r>
        <w:rPr>
          <w:rStyle w:val="Strong"/>
        </w:rPr>
        <w:t>s</w:t>
      </w:r>
      <w:r w:rsidRPr="003E277A">
        <w:rPr>
          <w:rStyle w:val="Strong"/>
        </w:rPr>
        <w:t xml:space="preserve"> unrepresented small businesses, including franchisees, access to low</w:t>
      </w:r>
      <w:r w:rsidRPr="003E277A">
        <w:rPr>
          <w:rStyle w:val="Strong"/>
        </w:rPr>
        <w:noBreakHyphen/>
        <w:t>cost legal advice to help them navigate business disputes more effectively.</w:t>
      </w:r>
      <w:r w:rsidRPr="004F6271">
        <w:t xml:space="preserve"> It builds on</w:t>
      </w:r>
      <w:r w:rsidRPr="004F6271" w:rsidDel="00FB5E6E">
        <w:t xml:space="preserve"> </w:t>
      </w:r>
      <w:r w:rsidRPr="004F6271">
        <w:t>ASBFEO</w:t>
      </w:r>
      <w:r>
        <w:t>’s</w:t>
      </w:r>
      <w:r w:rsidRPr="004F6271">
        <w:t xml:space="preserve"> existing small business tax concierge service. Effective marketing to the relevant sector is essential for adoption. The effectiveness of the low</w:t>
      </w:r>
      <w:r>
        <w:noBreakHyphen/>
      </w:r>
      <w:r w:rsidRPr="004F6271">
        <w:t>cost legal advice service should be reviewed early.</w:t>
      </w:r>
      <w:r w:rsidRPr="004F6271">
        <w:rPr>
          <w:b/>
          <w:bCs/>
          <w:lang w:val="en-US"/>
        </w:rPr>
        <w:t xml:space="preserve"> </w:t>
      </w:r>
      <w:r w:rsidRPr="004F6271">
        <w:rPr>
          <w:lang w:val="en-US"/>
        </w:rPr>
        <w:t xml:space="preserve">Outcome measures should be developed, and the </w:t>
      </w:r>
      <w:r w:rsidR="00987B1F">
        <w:rPr>
          <w:lang w:val="en-US"/>
        </w:rPr>
        <w:t>D</w:t>
      </w:r>
      <w:r w:rsidRPr="004F6271">
        <w:rPr>
          <w:lang w:val="en-US"/>
        </w:rPr>
        <w:t>ata</w:t>
      </w:r>
      <w:r w:rsidRPr="004F6271" w:rsidDel="00557F9B">
        <w:rPr>
          <w:lang w:val="en-US"/>
        </w:rPr>
        <w:t xml:space="preserve"> </w:t>
      </w:r>
      <w:r w:rsidRPr="004F6271">
        <w:rPr>
          <w:lang w:val="en-US"/>
        </w:rPr>
        <w:t>team should track these outcomes. These outcome measures will be used to assess the measure for a post</w:t>
      </w:r>
      <w:r>
        <w:rPr>
          <w:lang w:val="en-US"/>
        </w:rPr>
        <w:noBreakHyphen/>
      </w:r>
      <w:r w:rsidRPr="004F6271">
        <w:rPr>
          <w:lang w:val="en-US"/>
        </w:rPr>
        <w:t>implementation review.</w:t>
      </w:r>
      <w:r w:rsidRPr="004F6271">
        <w:t> </w:t>
      </w:r>
    </w:p>
    <w:p w14:paraId="7A044B7A" w14:textId="3370A2A8" w:rsidR="004F6271" w:rsidRPr="004F6271" w:rsidRDefault="005E6481" w:rsidP="004F6271">
      <w:r>
        <w:rPr>
          <w:rStyle w:val="Strong"/>
        </w:rPr>
        <w:t>S</w:t>
      </w:r>
      <w:r w:rsidRPr="003E277A">
        <w:rPr>
          <w:rStyle w:val="Strong"/>
        </w:rPr>
        <w:t xml:space="preserve">takeholder </w:t>
      </w:r>
      <w:r>
        <w:rPr>
          <w:rStyle w:val="Strong"/>
        </w:rPr>
        <w:t>c</w:t>
      </w:r>
      <w:r w:rsidR="004F6271" w:rsidRPr="003E277A">
        <w:rPr>
          <w:rStyle w:val="Strong"/>
        </w:rPr>
        <w:t xml:space="preserve">onsensus </w:t>
      </w:r>
      <w:r>
        <w:rPr>
          <w:rStyle w:val="Strong"/>
        </w:rPr>
        <w:t>was</w:t>
      </w:r>
      <w:r w:rsidRPr="003E277A">
        <w:rPr>
          <w:rStyle w:val="Strong"/>
        </w:rPr>
        <w:t xml:space="preserve"> </w:t>
      </w:r>
      <w:r w:rsidR="004F6271" w:rsidRPr="003E277A">
        <w:rPr>
          <w:rStyle w:val="Strong"/>
        </w:rPr>
        <w:t xml:space="preserve">that it is too early to assess the effectiveness of the </w:t>
      </w:r>
      <w:r w:rsidR="00A45066">
        <w:rPr>
          <w:rStyle w:val="Strong"/>
        </w:rPr>
        <w:t>recommendations</w:t>
      </w:r>
      <w:r w:rsidR="00D475CB">
        <w:rPr>
          <w:rStyle w:val="Strong"/>
        </w:rPr>
        <w:t xml:space="preserve"> </w:t>
      </w:r>
      <w:r w:rsidR="004F6271" w:rsidRPr="003E277A">
        <w:rPr>
          <w:rStyle w:val="Strong"/>
        </w:rPr>
        <w:t xml:space="preserve">of the Franchising </w:t>
      </w:r>
      <w:r w:rsidR="002850D8">
        <w:rPr>
          <w:rStyle w:val="Strong"/>
        </w:rPr>
        <w:t>R</w:t>
      </w:r>
      <w:r w:rsidR="004F6271" w:rsidRPr="003E277A">
        <w:rPr>
          <w:rStyle w:val="Strong"/>
        </w:rPr>
        <w:t>eview.</w:t>
      </w:r>
      <w:r w:rsidR="004F6271" w:rsidRPr="004F6271">
        <w:t xml:space="preserve"> </w:t>
      </w:r>
      <w:r w:rsidR="0091012F">
        <w:t>T</w:t>
      </w:r>
      <w:r w:rsidR="004F6271" w:rsidRPr="004F6271">
        <w:t>he</w:t>
      </w:r>
      <w:r w:rsidR="006C6AC2">
        <w:t xml:space="preserve"> </w:t>
      </w:r>
      <w:r w:rsidR="00FB5E6E">
        <w:t xml:space="preserve">Australian </w:t>
      </w:r>
      <w:r w:rsidR="006C6AC2">
        <w:t xml:space="preserve">Government response to these </w:t>
      </w:r>
      <w:r w:rsidR="004F6271" w:rsidRPr="004F6271">
        <w:t xml:space="preserve">recommendations </w:t>
      </w:r>
      <w:r>
        <w:t>has</w:t>
      </w:r>
      <w:r w:rsidRPr="004F6271">
        <w:t xml:space="preserve"> </w:t>
      </w:r>
      <w:r w:rsidR="004F6271" w:rsidRPr="004F6271">
        <w:t xml:space="preserve">only recently </w:t>
      </w:r>
      <w:r w:rsidRPr="004F6271">
        <w:t xml:space="preserve">been </w:t>
      </w:r>
      <w:r w:rsidR="004F6271" w:rsidRPr="004F6271">
        <w:t xml:space="preserve">implemented or </w:t>
      </w:r>
      <w:r>
        <w:t>is</w:t>
      </w:r>
      <w:r w:rsidRPr="004F6271">
        <w:t xml:space="preserve"> </w:t>
      </w:r>
      <w:r w:rsidR="004F6271" w:rsidRPr="004F6271">
        <w:t xml:space="preserve">still </w:t>
      </w:r>
      <w:r>
        <w:t>being</w:t>
      </w:r>
      <w:r w:rsidR="004F6271" w:rsidRPr="004F6271" w:rsidDel="00816449">
        <w:t xml:space="preserve"> </w:t>
      </w:r>
      <w:r w:rsidR="004F6271" w:rsidRPr="004F6271">
        <w:t>implemented</w:t>
      </w:r>
      <w:r w:rsidR="00916FA5" w:rsidDel="0091012F">
        <w:t>.</w:t>
      </w:r>
      <w:r w:rsidR="00916FA5">
        <w:t xml:space="preserve"> </w:t>
      </w:r>
    </w:p>
    <w:p w14:paraId="11D090E4" w14:textId="77777777" w:rsidR="004F6271" w:rsidRPr="004F6271" w:rsidRDefault="004F6271" w:rsidP="00102DC1">
      <w:pPr>
        <w:pStyle w:val="Heading3"/>
      </w:pPr>
      <w:bookmarkStart w:id="86" w:name="_Toc199940994"/>
      <w:r w:rsidRPr="004F6271">
        <w:t>Recommendation</w:t>
      </w:r>
      <w:bookmarkEnd w:id="86"/>
      <w:r w:rsidRPr="004F6271">
        <w:t> </w:t>
      </w:r>
    </w:p>
    <w:tbl>
      <w:tblPr>
        <w:tblStyle w:val="BoxStyle"/>
        <w:tblW w:w="5000" w:type="pct"/>
        <w:shd w:val="clear" w:color="auto" w:fill="F4F0EC"/>
        <w:tblLook w:val="0620" w:firstRow="1" w:lastRow="0" w:firstColumn="0" w:lastColumn="0" w:noHBand="1" w:noVBand="1"/>
      </w:tblPr>
      <w:tblGrid>
        <w:gridCol w:w="9070"/>
      </w:tblGrid>
      <w:tr w:rsidR="00866A9F" w14:paraId="5FB1B92C" w14:textId="77777777" w:rsidTr="004C4118">
        <w:tc>
          <w:tcPr>
            <w:tcW w:w="5000" w:type="pct"/>
            <w:shd w:val="clear" w:color="auto" w:fill="F4F0EC"/>
            <w:hideMark/>
          </w:tcPr>
          <w:p w14:paraId="4175CFCD" w14:textId="6BC6E403" w:rsidR="00866A9F" w:rsidRPr="00896BC2" w:rsidRDefault="00866A9F" w:rsidP="00832ACD">
            <w:pPr>
              <w:pStyle w:val="BoxText"/>
            </w:pPr>
            <w:r w:rsidRPr="00832ACD">
              <w:rPr>
                <w:rStyle w:val="Strong"/>
              </w:rPr>
              <w:t>Recommendation 12:</w:t>
            </w:r>
            <w:r w:rsidRPr="004F6271">
              <w:t xml:space="preserve"> </w:t>
            </w:r>
            <w:r>
              <w:t>A</w:t>
            </w:r>
            <w:r w:rsidRPr="00561AE3">
              <w:t>s part of the next statutory review of ASBFEO</w:t>
            </w:r>
            <w:r>
              <w:t xml:space="preserve">, the Australian Government should assess the implementation of the recommendations specific to ASBFEO from the 2023 </w:t>
            </w:r>
            <w:r w:rsidR="007C20ED" w:rsidRPr="005637EB">
              <w:t>Independent</w:t>
            </w:r>
            <w:r w:rsidRPr="005637EB">
              <w:t xml:space="preserve"> Review</w:t>
            </w:r>
            <w:r w:rsidR="007C20ED" w:rsidRPr="005637EB">
              <w:t xml:space="preserve"> of the Franchising Code of </w:t>
            </w:r>
            <w:r w:rsidR="00D05786" w:rsidRPr="005637EB">
              <w:t>Conduct.</w:t>
            </w:r>
            <w:r w:rsidR="000F389D" w:rsidDel="005637EB">
              <w:t xml:space="preserve"> </w:t>
            </w:r>
          </w:p>
        </w:tc>
      </w:tr>
    </w:tbl>
    <w:p w14:paraId="210CF7A4" w14:textId="0BBA68BE" w:rsidR="004F6271" w:rsidRPr="004F6271" w:rsidRDefault="004F6271" w:rsidP="004F6271"/>
    <w:p w14:paraId="342697A9" w14:textId="58D6EBF0" w:rsidR="003E277A" w:rsidRDefault="003E277A" w:rsidP="004F6271">
      <w:pPr>
        <w:sectPr w:rsidR="003E277A" w:rsidSect="00BC6471">
          <w:type w:val="oddPage"/>
          <w:pgSz w:w="11906" w:h="16838" w:code="9"/>
          <w:pgMar w:top="1843" w:right="1418" w:bottom="1418" w:left="1418" w:header="709" w:footer="709" w:gutter="0"/>
          <w:cols w:space="708"/>
          <w:docGrid w:linePitch="360"/>
        </w:sectPr>
      </w:pPr>
    </w:p>
    <w:p w14:paraId="20E79107" w14:textId="794B8E13" w:rsidR="001D18F1" w:rsidRDefault="001D18F1" w:rsidP="001D18F1">
      <w:pPr>
        <w:pStyle w:val="Heading1"/>
        <w:rPr>
          <w:bCs/>
        </w:rPr>
      </w:pPr>
      <w:bookmarkStart w:id="87" w:name="_Toc199940995"/>
      <w:r>
        <w:lastRenderedPageBreak/>
        <w:t>Chapter 6</w:t>
      </w:r>
      <w:r w:rsidR="00102DC1">
        <w:t xml:space="preserve">: </w:t>
      </w:r>
      <w:r w:rsidR="0017470E" w:rsidRPr="0017470E">
        <w:rPr>
          <w:bCs/>
        </w:rPr>
        <w:t>ASBFEO</w:t>
      </w:r>
      <w:r w:rsidR="00916FA5">
        <w:rPr>
          <w:bCs/>
        </w:rPr>
        <w:t>’</w:t>
      </w:r>
      <w:r w:rsidR="0017470E" w:rsidRPr="0017470E">
        <w:rPr>
          <w:bCs/>
        </w:rPr>
        <w:t xml:space="preserve">s </w:t>
      </w:r>
      <w:r w:rsidR="00E5075B">
        <w:rPr>
          <w:bCs/>
        </w:rPr>
        <w:t>n</w:t>
      </w:r>
      <w:r w:rsidR="0017470E" w:rsidRPr="0017470E">
        <w:rPr>
          <w:bCs/>
        </w:rPr>
        <w:t xml:space="preserve">omenclature and </w:t>
      </w:r>
      <w:r w:rsidR="00E5075B">
        <w:rPr>
          <w:bCs/>
        </w:rPr>
        <w:t>b</w:t>
      </w:r>
      <w:r w:rsidR="0017470E" w:rsidRPr="0017470E">
        <w:rPr>
          <w:bCs/>
        </w:rPr>
        <w:t xml:space="preserve">randing, </w:t>
      </w:r>
      <w:r w:rsidR="00E5075B">
        <w:rPr>
          <w:bCs/>
        </w:rPr>
        <w:t>a</w:t>
      </w:r>
      <w:r w:rsidR="0017470E" w:rsidRPr="0017470E">
        <w:rPr>
          <w:bCs/>
        </w:rPr>
        <w:t xml:space="preserve">dministration and </w:t>
      </w:r>
      <w:r w:rsidR="00E5075B">
        <w:rPr>
          <w:bCs/>
        </w:rPr>
        <w:t>l</w:t>
      </w:r>
      <w:r w:rsidR="0017470E" w:rsidRPr="0017470E">
        <w:rPr>
          <w:bCs/>
        </w:rPr>
        <w:t xml:space="preserve">egislative </w:t>
      </w:r>
      <w:r w:rsidR="00E5075B">
        <w:rPr>
          <w:bCs/>
        </w:rPr>
        <w:t>a</w:t>
      </w:r>
      <w:r w:rsidR="0017470E" w:rsidRPr="0017470E">
        <w:rPr>
          <w:bCs/>
        </w:rPr>
        <w:t>rrangements</w:t>
      </w:r>
      <w:bookmarkEnd w:id="87"/>
    </w:p>
    <w:p w14:paraId="5DCA0B20" w14:textId="6C9077B0" w:rsidR="0017470E" w:rsidRPr="0017470E" w:rsidRDefault="006F2BB2" w:rsidP="006F2BB2">
      <w:pPr>
        <w:pStyle w:val="Heading2"/>
      </w:pPr>
      <w:bookmarkStart w:id="88" w:name="_Toc199940996"/>
      <w:r w:rsidRPr="006F2BB2">
        <w:rPr>
          <w:lang w:val="en-US"/>
        </w:rPr>
        <w:t>Summary</w:t>
      </w:r>
      <w:bookmarkEnd w:id="88"/>
      <w:r w:rsidRPr="006F2BB2">
        <w:t> </w:t>
      </w:r>
    </w:p>
    <w:tbl>
      <w:tblPr>
        <w:tblStyle w:val="BoxStyle"/>
        <w:tblW w:w="5000" w:type="pct"/>
        <w:shd w:val="clear" w:color="auto" w:fill="F4F0EC"/>
        <w:tblLook w:val="0620" w:firstRow="1" w:lastRow="0" w:firstColumn="0" w:lastColumn="0" w:noHBand="1" w:noVBand="1"/>
      </w:tblPr>
      <w:tblGrid>
        <w:gridCol w:w="9070"/>
      </w:tblGrid>
      <w:tr w:rsidR="006F2BB2" w14:paraId="3662C94B" w14:textId="77777777" w:rsidTr="004C4118">
        <w:tc>
          <w:tcPr>
            <w:tcW w:w="5000" w:type="pct"/>
            <w:shd w:val="clear" w:color="auto" w:fill="F4F0EC"/>
            <w:hideMark/>
          </w:tcPr>
          <w:p w14:paraId="488E6ED0" w14:textId="5616DCB9" w:rsidR="00143B44" w:rsidRDefault="00806AE5" w:rsidP="003E277A">
            <w:pPr>
              <w:pStyle w:val="BoxText"/>
            </w:pPr>
            <w:r w:rsidRPr="00832ACD">
              <w:t>ASBFEO</w:t>
            </w:r>
            <w:r w:rsidR="003A0D5E">
              <w:t>’</w:t>
            </w:r>
            <w:r w:rsidRPr="00832ACD">
              <w:t>s remit is unique among comparable countries</w:t>
            </w:r>
            <w:r w:rsidR="00320169" w:rsidRPr="00832ACD">
              <w:t xml:space="preserve"> because</w:t>
            </w:r>
            <w:r w:rsidRPr="00832ACD" w:rsidDel="00320169">
              <w:t xml:space="preserve"> </w:t>
            </w:r>
            <w:r w:rsidRPr="00832ACD">
              <w:t xml:space="preserve">it covers assistance and advocacy functions. However, dispute resolution agencies in similar countries, including Canada and New Zealand, </w:t>
            </w:r>
            <w:r w:rsidR="00103959" w:rsidRPr="00832ACD">
              <w:t>procure</w:t>
            </w:r>
            <w:r w:rsidRPr="00832ACD">
              <w:t xml:space="preserve"> mediation</w:t>
            </w:r>
            <w:r w:rsidR="00103959" w:rsidRPr="00832ACD">
              <w:t xml:space="preserve"> panels</w:t>
            </w:r>
            <w:r w:rsidRPr="00832ACD">
              <w:t>.</w:t>
            </w:r>
          </w:p>
          <w:p w14:paraId="2DF59EA7" w14:textId="1B6727B6" w:rsidR="00143B44" w:rsidRPr="00C13C22" w:rsidRDefault="00143B44" w:rsidP="00143B44">
            <w:pPr>
              <w:pStyle w:val="BoxText"/>
            </w:pPr>
            <w:r w:rsidRPr="00832ACD">
              <w:t>The Review compared ASBFEO</w:t>
            </w:r>
            <w:r>
              <w:t>’</w:t>
            </w:r>
            <w:r w:rsidRPr="00832ACD">
              <w:t xml:space="preserve">s structure to similar agencies and found the current structure suitable. As a smaller office, it is difficult to see how reallocating existing staff away from advocacy or assistance activities to corporate activities, as would be necessary to operate as an independent entity, would benefit the small business sector. </w:t>
            </w:r>
          </w:p>
          <w:p w14:paraId="78170350" w14:textId="4044F8A6" w:rsidR="00E732F9" w:rsidRDefault="00C13C22" w:rsidP="00E732F9">
            <w:pPr>
              <w:pStyle w:val="BoxText"/>
            </w:pPr>
            <w:r w:rsidRPr="00832ACD">
              <w:t xml:space="preserve">Despite having an informative website and large media and social media coverage, a large proportion of small businesses are unaware of ASBFEO. </w:t>
            </w:r>
            <w:r w:rsidR="00E732F9" w:rsidRPr="00832ACD">
              <w:t>The Review recommends that the communication and engagement strategy be revised with a greater focus on the assistance function. It should cover industry associations and legal and accounting professions and special interest groups, including small businesses run by First Nations people and members of the multicultural community.</w:t>
            </w:r>
            <w:r w:rsidR="00E732F9" w:rsidRPr="00C13C22">
              <w:t> </w:t>
            </w:r>
          </w:p>
          <w:p w14:paraId="44095DDD" w14:textId="5BADD669" w:rsidR="006F2BB2" w:rsidRDefault="00B6165E" w:rsidP="003E277A">
            <w:pPr>
              <w:pStyle w:val="BoxText"/>
            </w:pPr>
            <w:r w:rsidRPr="00832ACD">
              <w:t>Most</w:t>
            </w:r>
            <w:r w:rsidR="00C13C22" w:rsidRPr="00832ACD">
              <w:t xml:space="preserve"> stakeholders favour</w:t>
            </w:r>
            <w:r w:rsidRPr="00832ACD">
              <w:t>ed</w:t>
            </w:r>
            <w:r w:rsidR="00C13C22" w:rsidRPr="00832ACD">
              <w:t xml:space="preserve"> a name change for ASBFEO as the current name is difficult to pronounce and does not reflect its functions. The </w:t>
            </w:r>
            <w:r w:rsidR="00E732F9" w:rsidRPr="00832ACD">
              <w:t>R</w:t>
            </w:r>
            <w:r w:rsidR="00C13C22" w:rsidRPr="00832ACD">
              <w:t>eview recommends that the name be changed to incorporate the term Commission</w:t>
            </w:r>
            <w:r w:rsidR="004D552E" w:rsidRPr="00832ACD">
              <w:t>er</w:t>
            </w:r>
            <w:r w:rsidR="00C13C22" w:rsidRPr="00832ACD">
              <w:t xml:space="preserve"> to better reflect the role of ASBFEO. Rebranding will require additional funding to promote awareness of the new brand.</w:t>
            </w:r>
            <w:r w:rsidR="00C13C22" w:rsidRPr="00C13C22">
              <w:t> </w:t>
            </w:r>
          </w:p>
        </w:tc>
      </w:tr>
    </w:tbl>
    <w:p w14:paraId="5022D2DE" w14:textId="12B3F0DA" w:rsidR="001D18F1" w:rsidRDefault="00C13C22" w:rsidP="00C13C22">
      <w:pPr>
        <w:pStyle w:val="Heading2"/>
      </w:pPr>
      <w:bookmarkStart w:id="89" w:name="_Toc199940997"/>
      <w:r w:rsidRPr="00C13C22">
        <w:rPr>
          <w:lang w:val="en-US"/>
        </w:rPr>
        <w:t xml:space="preserve">International </w:t>
      </w:r>
      <w:r w:rsidR="00092B77">
        <w:rPr>
          <w:lang w:val="en-US"/>
        </w:rPr>
        <w:t>j</w:t>
      </w:r>
      <w:r w:rsidRPr="00C13C22">
        <w:rPr>
          <w:lang w:val="en-US"/>
        </w:rPr>
        <w:t>urisdictions</w:t>
      </w:r>
      <w:bookmarkEnd w:id="89"/>
      <w:r w:rsidRPr="00C13C22">
        <w:t> </w:t>
      </w:r>
    </w:p>
    <w:p w14:paraId="6DB11FDE" w14:textId="1C67ADC7" w:rsidR="0048052D" w:rsidRPr="00113DB3" w:rsidRDefault="0048052D" w:rsidP="0048052D">
      <w:pPr>
        <w:rPr>
          <w:b/>
          <w:szCs w:val="22"/>
          <w:lang w:val="en-US"/>
        </w:rPr>
      </w:pPr>
      <w:r w:rsidRPr="00832ACD">
        <w:rPr>
          <w:rStyle w:val="Strong"/>
        </w:rPr>
        <w:t xml:space="preserve">The </w:t>
      </w:r>
      <w:r w:rsidR="00A26D30" w:rsidRPr="00832ACD">
        <w:rPr>
          <w:rStyle w:val="Strong"/>
        </w:rPr>
        <w:t>R</w:t>
      </w:r>
      <w:r w:rsidRPr="00832ACD">
        <w:rPr>
          <w:rStyle w:val="Strong"/>
        </w:rPr>
        <w:t>eview compared</w:t>
      </w:r>
      <w:r w:rsidR="00092B77" w:rsidRPr="00832ACD" w:rsidDel="00571278">
        <w:rPr>
          <w:rStyle w:val="Strong"/>
        </w:rPr>
        <w:t xml:space="preserve"> </w:t>
      </w:r>
      <w:r w:rsidRPr="00832ACD">
        <w:rPr>
          <w:rStyle w:val="Strong"/>
        </w:rPr>
        <w:t>ASBFEO</w:t>
      </w:r>
      <w:r>
        <w:rPr>
          <w:rStyle w:val="Strong"/>
        </w:rPr>
        <w:t>’</w:t>
      </w:r>
      <w:r w:rsidRPr="00832ACD">
        <w:rPr>
          <w:rStyle w:val="Strong"/>
        </w:rPr>
        <w:t xml:space="preserve">s functions with those of similar statutory or administrative bodies in the </w:t>
      </w:r>
      <w:r w:rsidR="00F52F04" w:rsidRPr="00832ACD">
        <w:rPr>
          <w:rStyle w:val="Strong"/>
        </w:rPr>
        <w:t>United Kingdom (</w:t>
      </w:r>
      <w:r w:rsidRPr="00832ACD">
        <w:rPr>
          <w:rStyle w:val="Strong"/>
        </w:rPr>
        <w:t>UK</w:t>
      </w:r>
      <w:r w:rsidR="00F52F04" w:rsidRPr="00832ACD">
        <w:rPr>
          <w:rStyle w:val="Strong"/>
        </w:rPr>
        <w:t>)</w:t>
      </w:r>
      <w:r w:rsidRPr="00832ACD">
        <w:rPr>
          <w:rStyle w:val="Strong"/>
        </w:rPr>
        <w:t>, US, Canada and New Zealand</w:t>
      </w:r>
      <w:r w:rsidR="00255D86">
        <w:rPr>
          <w:rStyle w:val="Strong"/>
        </w:rPr>
        <w:t xml:space="preserve"> as outlined in Appendix G</w:t>
      </w:r>
      <w:r w:rsidRPr="00832ACD">
        <w:rPr>
          <w:rStyle w:val="Strong"/>
        </w:rPr>
        <w:t>.</w:t>
      </w:r>
      <w:r w:rsidRPr="00113DB3">
        <w:rPr>
          <w:b/>
          <w:szCs w:val="22"/>
          <w:lang w:val="en-US"/>
        </w:rPr>
        <w:t xml:space="preserve"> </w:t>
      </w:r>
      <w:r w:rsidRPr="00113DB3">
        <w:rPr>
          <w:szCs w:val="22"/>
          <w:lang w:val="en-US"/>
        </w:rPr>
        <w:t>ASBFEO</w:t>
      </w:r>
      <w:r w:rsidR="003A0D5E">
        <w:rPr>
          <w:szCs w:val="22"/>
          <w:lang w:val="en-US"/>
        </w:rPr>
        <w:t>’</w:t>
      </w:r>
      <w:r w:rsidRPr="00113DB3">
        <w:rPr>
          <w:szCs w:val="22"/>
          <w:lang w:val="en-US"/>
        </w:rPr>
        <w:t>s remit is unique compared to these countries as it covers both assistance and advocacy more comprehensively. </w:t>
      </w:r>
    </w:p>
    <w:p w14:paraId="55395D42" w14:textId="5E502340" w:rsidR="0048052D" w:rsidRPr="00113DB3" w:rsidRDefault="00AE68B0" w:rsidP="0048052D">
      <w:pPr>
        <w:rPr>
          <w:szCs w:val="22"/>
        </w:rPr>
      </w:pPr>
      <w:r w:rsidRPr="00832ACD">
        <w:rPr>
          <w:rStyle w:val="Strong"/>
        </w:rPr>
        <w:t>ASBFEO</w:t>
      </w:r>
      <w:r>
        <w:rPr>
          <w:rStyle w:val="Strong"/>
        </w:rPr>
        <w:t>’</w:t>
      </w:r>
      <w:r w:rsidRPr="00832ACD">
        <w:rPr>
          <w:rStyle w:val="Strong"/>
        </w:rPr>
        <w:t>s advocacy function, focusing on all aspects of the small business sector, is not replicated in other jurisdictions</w:t>
      </w:r>
      <w:r w:rsidR="008F77F3" w:rsidRPr="00832ACD">
        <w:rPr>
          <w:rStyle w:val="Strong"/>
        </w:rPr>
        <w:t>.</w:t>
      </w:r>
      <w:r w:rsidRPr="00113DB3">
        <w:rPr>
          <w:szCs w:val="22"/>
          <w:lang w:val="en-US"/>
        </w:rPr>
        <w:t xml:space="preserve"> </w:t>
      </w:r>
      <w:r w:rsidR="008F77F3">
        <w:rPr>
          <w:szCs w:val="22"/>
          <w:lang w:val="en-US"/>
        </w:rPr>
        <w:t>F</w:t>
      </w:r>
      <w:r w:rsidR="0048052D" w:rsidRPr="00113DB3">
        <w:rPr>
          <w:szCs w:val="22"/>
          <w:lang w:val="en-US"/>
        </w:rPr>
        <w:t xml:space="preserve">or example, the UK </w:t>
      </w:r>
      <w:r w:rsidR="00621635">
        <w:rPr>
          <w:szCs w:val="22"/>
          <w:lang w:val="en-US"/>
        </w:rPr>
        <w:t xml:space="preserve">Office of the </w:t>
      </w:r>
      <w:r w:rsidR="00115ECA" w:rsidRPr="00115ECA">
        <w:rPr>
          <w:szCs w:val="22"/>
          <w:lang w:val="en-US"/>
        </w:rPr>
        <w:t>Small Business Commissioner (</w:t>
      </w:r>
      <w:r w:rsidR="00115ECA" w:rsidRPr="00AD60B0">
        <w:rPr>
          <w:szCs w:val="22"/>
          <w:lang w:val="en-US"/>
        </w:rPr>
        <w:t>OSBC)</w:t>
      </w:r>
      <w:r w:rsidR="00597161">
        <w:rPr>
          <w:b/>
          <w:bCs/>
          <w:szCs w:val="22"/>
          <w:lang w:val="en-US"/>
        </w:rPr>
        <w:t xml:space="preserve"> </w:t>
      </w:r>
      <w:r w:rsidR="0048052D" w:rsidRPr="00113DB3">
        <w:rPr>
          <w:szCs w:val="22"/>
          <w:lang w:val="en-US"/>
        </w:rPr>
        <w:t xml:space="preserve">only advocates for small business payments issues and </w:t>
      </w:r>
      <w:r w:rsidR="00D86D06" w:rsidRPr="00113DB3">
        <w:rPr>
          <w:szCs w:val="22"/>
          <w:lang w:val="en-US"/>
        </w:rPr>
        <w:t xml:space="preserve">Canadian Office of </w:t>
      </w:r>
      <w:r w:rsidR="00D86D06">
        <w:rPr>
          <w:szCs w:val="22"/>
          <w:lang w:val="en-US"/>
        </w:rPr>
        <w:t>Procurement</w:t>
      </w:r>
      <w:r w:rsidR="00D86D06" w:rsidRPr="00113DB3">
        <w:rPr>
          <w:szCs w:val="22"/>
          <w:lang w:val="en-US"/>
        </w:rPr>
        <w:t xml:space="preserve"> Ombud (</w:t>
      </w:r>
      <w:r w:rsidR="00D86D06" w:rsidRPr="00AD60B0">
        <w:rPr>
          <w:szCs w:val="22"/>
          <w:lang w:val="en-US"/>
        </w:rPr>
        <w:t>OPO</w:t>
      </w:r>
      <w:r w:rsidR="00D86D06" w:rsidRPr="00113DB3">
        <w:rPr>
          <w:szCs w:val="22"/>
          <w:lang w:val="en-US"/>
        </w:rPr>
        <w:t xml:space="preserve">) </w:t>
      </w:r>
      <w:r w:rsidR="0048052D" w:rsidRPr="00113DB3">
        <w:rPr>
          <w:szCs w:val="22"/>
          <w:lang w:val="en-US"/>
        </w:rPr>
        <w:t>on procurement issues.</w:t>
      </w:r>
      <w:r w:rsidR="0048052D" w:rsidRPr="00113DB3">
        <w:rPr>
          <w:szCs w:val="22"/>
        </w:rPr>
        <w:t> </w:t>
      </w:r>
    </w:p>
    <w:p w14:paraId="4FE10479" w14:textId="1D88ABF5" w:rsidR="0048052D" w:rsidRDefault="0048052D" w:rsidP="0048052D">
      <w:pPr>
        <w:rPr>
          <w:szCs w:val="22"/>
          <w:lang w:val="en-US"/>
        </w:rPr>
      </w:pPr>
      <w:r w:rsidRPr="00832ACD">
        <w:rPr>
          <w:rStyle w:val="Strong"/>
        </w:rPr>
        <w:t>ASBFEO</w:t>
      </w:r>
      <w:r>
        <w:rPr>
          <w:rStyle w:val="Strong"/>
        </w:rPr>
        <w:t>’</w:t>
      </w:r>
      <w:r w:rsidRPr="00832ACD">
        <w:rPr>
          <w:rStyle w:val="Strong"/>
        </w:rPr>
        <w:t xml:space="preserve">s assistance function is </w:t>
      </w:r>
      <w:r w:rsidR="003652B2" w:rsidRPr="00832ACD">
        <w:rPr>
          <w:rStyle w:val="Strong"/>
        </w:rPr>
        <w:t>also</w:t>
      </w:r>
      <w:r w:rsidRPr="00832ACD">
        <w:rPr>
          <w:rStyle w:val="Strong"/>
        </w:rPr>
        <w:t xml:space="preserve"> broader, covering all small business disputes rather than specific issues.</w:t>
      </w:r>
      <w:r w:rsidRPr="00113DB3">
        <w:rPr>
          <w:b/>
          <w:szCs w:val="22"/>
          <w:lang w:val="en-US"/>
        </w:rPr>
        <w:t xml:space="preserve"> </w:t>
      </w:r>
      <w:r w:rsidRPr="00113DB3">
        <w:rPr>
          <w:szCs w:val="22"/>
          <w:lang w:val="en-US"/>
        </w:rPr>
        <w:t xml:space="preserve">For example, the UK </w:t>
      </w:r>
      <w:r w:rsidR="000B4EEB">
        <w:rPr>
          <w:szCs w:val="22"/>
          <w:lang w:val="en-US"/>
        </w:rPr>
        <w:t>OSBC</w:t>
      </w:r>
      <w:r w:rsidR="000B4EEB" w:rsidRPr="00113DB3">
        <w:rPr>
          <w:szCs w:val="22"/>
          <w:lang w:val="en-US"/>
        </w:rPr>
        <w:t xml:space="preserve"> </w:t>
      </w:r>
      <w:r w:rsidRPr="00113DB3">
        <w:rPr>
          <w:szCs w:val="22"/>
          <w:lang w:val="en-US"/>
        </w:rPr>
        <w:t>only assists in payment disputes, the Canadian O</w:t>
      </w:r>
      <w:r w:rsidR="006116D3">
        <w:rPr>
          <w:szCs w:val="22"/>
          <w:lang w:val="en-US"/>
        </w:rPr>
        <w:t>P</w:t>
      </w:r>
      <w:r w:rsidRPr="00113DB3">
        <w:rPr>
          <w:szCs w:val="22"/>
          <w:lang w:val="en-US"/>
        </w:rPr>
        <w:t>O deals with contracting disputes, and the UK F</w:t>
      </w:r>
      <w:r w:rsidR="00175217" w:rsidRPr="00113DB3">
        <w:rPr>
          <w:szCs w:val="22"/>
          <w:lang w:val="en-US"/>
        </w:rPr>
        <w:t xml:space="preserve">inancial </w:t>
      </w:r>
      <w:r w:rsidRPr="00113DB3">
        <w:rPr>
          <w:szCs w:val="22"/>
          <w:lang w:val="en-US"/>
        </w:rPr>
        <w:t>O</w:t>
      </w:r>
      <w:r w:rsidR="003227A5" w:rsidRPr="00113DB3">
        <w:rPr>
          <w:szCs w:val="22"/>
          <w:lang w:val="en-US"/>
        </w:rPr>
        <w:t>mbudsman</w:t>
      </w:r>
      <w:r w:rsidR="00113DB3" w:rsidRPr="00113DB3">
        <w:rPr>
          <w:szCs w:val="22"/>
          <w:lang w:val="en-US"/>
        </w:rPr>
        <w:t xml:space="preserve"> </w:t>
      </w:r>
      <w:r w:rsidRPr="00113DB3">
        <w:rPr>
          <w:szCs w:val="22"/>
          <w:lang w:val="en-US"/>
        </w:rPr>
        <w:t>S</w:t>
      </w:r>
      <w:r w:rsidR="00113DB3" w:rsidRPr="00113DB3">
        <w:rPr>
          <w:szCs w:val="22"/>
          <w:lang w:val="en-US"/>
        </w:rPr>
        <w:t xml:space="preserve">ervice for </w:t>
      </w:r>
      <w:r w:rsidRPr="00113DB3">
        <w:rPr>
          <w:szCs w:val="22"/>
          <w:lang w:val="en-US"/>
        </w:rPr>
        <w:t>S</w:t>
      </w:r>
      <w:r w:rsidR="00113DB3" w:rsidRPr="00113DB3">
        <w:rPr>
          <w:szCs w:val="22"/>
          <w:lang w:val="en-US"/>
        </w:rPr>
        <w:t xml:space="preserve">mall </w:t>
      </w:r>
      <w:r w:rsidRPr="00113DB3">
        <w:rPr>
          <w:szCs w:val="22"/>
          <w:lang w:val="en-US"/>
        </w:rPr>
        <w:t>B</w:t>
      </w:r>
      <w:r w:rsidR="00113DB3" w:rsidRPr="00113DB3">
        <w:rPr>
          <w:szCs w:val="22"/>
          <w:lang w:val="en-US"/>
        </w:rPr>
        <w:t>usiness</w:t>
      </w:r>
      <w:r w:rsidRPr="00113DB3">
        <w:rPr>
          <w:szCs w:val="22"/>
          <w:lang w:val="en-US"/>
        </w:rPr>
        <w:t xml:space="preserve"> </w:t>
      </w:r>
      <w:r w:rsidR="00462E1F" w:rsidRPr="00462E1F">
        <w:rPr>
          <w:szCs w:val="22"/>
          <w:lang w:val="en-US"/>
        </w:rPr>
        <w:t>(</w:t>
      </w:r>
      <w:r w:rsidR="00462E1F" w:rsidRPr="00AD60B0">
        <w:rPr>
          <w:szCs w:val="22"/>
          <w:lang w:val="en-US"/>
        </w:rPr>
        <w:t>FOSSB</w:t>
      </w:r>
      <w:r w:rsidR="00462E1F" w:rsidRPr="00462E1F">
        <w:rPr>
          <w:szCs w:val="22"/>
          <w:lang w:val="en-US"/>
        </w:rPr>
        <w:t>)</w:t>
      </w:r>
      <w:r w:rsidR="002015B9">
        <w:rPr>
          <w:szCs w:val="22"/>
          <w:lang w:val="en-US"/>
        </w:rPr>
        <w:t xml:space="preserve"> </w:t>
      </w:r>
      <w:r w:rsidRPr="00113DB3">
        <w:rPr>
          <w:szCs w:val="22"/>
          <w:lang w:val="en-US"/>
        </w:rPr>
        <w:t>assists with financial services disputes. The N</w:t>
      </w:r>
      <w:r w:rsidR="007C06F4">
        <w:rPr>
          <w:szCs w:val="22"/>
          <w:lang w:val="en-US"/>
        </w:rPr>
        <w:t xml:space="preserve">ew </w:t>
      </w:r>
      <w:r w:rsidRPr="00113DB3">
        <w:rPr>
          <w:szCs w:val="22"/>
          <w:lang w:val="en-US"/>
        </w:rPr>
        <w:t>Z</w:t>
      </w:r>
      <w:r w:rsidR="007C06F4">
        <w:rPr>
          <w:szCs w:val="22"/>
          <w:lang w:val="en-US"/>
        </w:rPr>
        <w:t>ealand</w:t>
      </w:r>
      <w:r w:rsidR="00FD7CC0" w:rsidRPr="00FD7CC0">
        <w:rPr>
          <w:szCs w:val="22"/>
          <w:lang w:val="en-US"/>
        </w:rPr>
        <w:t xml:space="preserve"> </w:t>
      </w:r>
      <w:r w:rsidR="003243F5">
        <w:rPr>
          <w:szCs w:val="22"/>
          <w:lang w:val="en-US"/>
        </w:rPr>
        <w:t>department</w:t>
      </w:r>
      <w:r w:rsidR="00CC3F5C">
        <w:rPr>
          <w:szCs w:val="22"/>
          <w:lang w:val="en-US"/>
        </w:rPr>
        <w:t xml:space="preserve"> of the</w:t>
      </w:r>
      <w:r w:rsidR="003243F5" w:rsidRPr="00FD7CC0">
        <w:rPr>
          <w:szCs w:val="22"/>
          <w:lang w:val="en-US"/>
        </w:rPr>
        <w:t xml:space="preserve"> </w:t>
      </w:r>
      <w:r w:rsidR="00FD7CC0" w:rsidRPr="00FD7CC0">
        <w:rPr>
          <w:szCs w:val="22"/>
          <w:lang w:val="en-US"/>
        </w:rPr>
        <w:t>Ministry of Business, Innovation and Employment (</w:t>
      </w:r>
      <w:r w:rsidR="00FD7CC0" w:rsidRPr="00AD60B0">
        <w:rPr>
          <w:szCs w:val="22"/>
          <w:lang w:val="en-US"/>
        </w:rPr>
        <w:t>MBIE</w:t>
      </w:r>
      <w:r w:rsidR="00FD7CC0" w:rsidRPr="00FD7CC0">
        <w:rPr>
          <w:szCs w:val="22"/>
          <w:lang w:val="en-US"/>
        </w:rPr>
        <w:t>)</w:t>
      </w:r>
      <w:r w:rsidRPr="00113DB3">
        <w:rPr>
          <w:szCs w:val="22"/>
          <w:lang w:val="en-US"/>
        </w:rPr>
        <w:t xml:space="preserve"> </w:t>
      </w:r>
      <w:r w:rsidR="0062583D">
        <w:rPr>
          <w:szCs w:val="22"/>
          <w:lang w:val="en-US"/>
        </w:rPr>
        <w:t>procures</w:t>
      </w:r>
      <w:r w:rsidRPr="00113DB3">
        <w:rPr>
          <w:szCs w:val="22"/>
          <w:lang w:val="en-US"/>
        </w:rPr>
        <w:t xml:space="preserve"> </w:t>
      </w:r>
      <w:r w:rsidR="0062583D">
        <w:rPr>
          <w:szCs w:val="22"/>
          <w:lang w:val="en-US"/>
        </w:rPr>
        <w:t xml:space="preserve">a </w:t>
      </w:r>
      <w:r w:rsidRPr="00113DB3">
        <w:rPr>
          <w:szCs w:val="22"/>
          <w:lang w:val="en-US"/>
        </w:rPr>
        <w:t xml:space="preserve">mediation </w:t>
      </w:r>
      <w:r w:rsidR="0062583D">
        <w:rPr>
          <w:szCs w:val="22"/>
          <w:lang w:val="en-US"/>
        </w:rPr>
        <w:t xml:space="preserve">panel </w:t>
      </w:r>
      <w:r w:rsidRPr="00113DB3">
        <w:rPr>
          <w:szCs w:val="22"/>
          <w:lang w:val="en-US"/>
        </w:rPr>
        <w:t>but only on employment issues.</w:t>
      </w:r>
    </w:p>
    <w:p w14:paraId="42221ED9" w14:textId="77777777" w:rsidR="00115ECA" w:rsidRPr="00113DB3" w:rsidRDefault="00115ECA" w:rsidP="0048052D">
      <w:pPr>
        <w:rPr>
          <w:szCs w:val="22"/>
        </w:rPr>
      </w:pPr>
    </w:p>
    <w:p w14:paraId="06756F80" w14:textId="7F5BAE55" w:rsidR="0048052D" w:rsidRPr="00113DB3" w:rsidRDefault="0048052D" w:rsidP="0048052D">
      <w:pPr>
        <w:rPr>
          <w:b/>
          <w:szCs w:val="22"/>
          <w:lang w:val="en-US"/>
        </w:rPr>
      </w:pPr>
      <w:r w:rsidRPr="00832ACD">
        <w:rPr>
          <w:rStyle w:val="Strong"/>
        </w:rPr>
        <w:lastRenderedPageBreak/>
        <w:t>While</w:t>
      </w:r>
      <w:r w:rsidRPr="00832ACD" w:rsidDel="003A2E69">
        <w:rPr>
          <w:rStyle w:val="Strong"/>
        </w:rPr>
        <w:t xml:space="preserve"> </w:t>
      </w:r>
      <w:r w:rsidRPr="00832ACD">
        <w:rPr>
          <w:rStyle w:val="Strong"/>
        </w:rPr>
        <w:t>ASBFEO</w:t>
      </w:r>
      <w:r>
        <w:rPr>
          <w:rStyle w:val="Strong"/>
        </w:rPr>
        <w:t>’</w:t>
      </w:r>
      <w:r w:rsidRPr="00832ACD">
        <w:rPr>
          <w:rStyle w:val="Strong"/>
        </w:rPr>
        <w:t>s assistance function provides access to low</w:t>
      </w:r>
      <w:r w:rsidR="003A0D5E">
        <w:rPr>
          <w:rStyle w:val="Strong"/>
        </w:rPr>
        <w:noBreakHyphen/>
      </w:r>
      <w:r w:rsidRPr="00832ACD">
        <w:rPr>
          <w:rStyle w:val="Strong"/>
        </w:rPr>
        <w:t xml:space="preserve">cost dispute resolution services to small businesses, similar agencies in other jurisdictions, including Canada and New Zealand, </w:t>
      </w:r>
      <w:r w:rsidR="00CE036E" w:rsidRPr="00832ACD">
        <w:rPr>
          <w:rStyle w:val="Strong"/>
        </w:rPr>
        <w:t xml:space="preserve">have </w:t>
      </w:r>
      <w:r w:rsidRPr="00832ACD">
        <w:rPr>
          <w:rStyle w:val="Strong"/>
        </w:rPr>
        <w:t>mediation</w:t>
      </w:r>
      <w:r w:rsidR="00CE036E" w:rsidRPr="00832ACD">
        <w:rPr>
          <w:rStyle w:val="Strong"/>
        </w:rPr>
        <w:t xml:space="preserve"> panels</w:t>
      </w:r>
      <w:r w:rsidRPr="00832ACD">
        <w:rPr>
          <w:rStyle w:val="Strong"/>
        </w:rPr>
        <w:t>.</w:t>
      </w:r>
      <w:r w:rsidRPr="00113DB3">
        <w:rPr>
          <w:szCs w:val="22"/>
          <w:lang w:val="en-US"/>
        </w:rPr>
        <w:t xml:space="preserve"> Implementing </w:t>
      </w:r>
      <w:r w:rsidR="00E96399" w:rsidRPr="00113DB3">
        <w:rPr>
          <w:szCs w:val="22"/>
          <w:lang w:val="en-US"/>
        </w:rPr>
        <w:t>R</w:t>
      </w:r>
      <w:r w:rsidRPr="00113DB3">
        <w:rPr>
          <w:szCs w:val="22"/>
          <w:lang w:val="en-US"/>
        </w:rPr>
        <w:t xml:space="preserve">ecommendation </w:t>
      </w:r>
      <w:r w:rsidR="00E96399" w:rsidRPr="00113DB3">
        <w:rPr>
          <w:szCs w:val="22"/>
          <w:lang w:val="en-US"/>
        </w:rPr>
        <w:t>7</w:t>
      </w:r>
      <w:r w:rsidRPr="00113DB3">
        <w:rPr>
          <w:szCs w:val="22"/>
          <w:lang w:val="en-US"/>
        </w:rPr>
        <w:t xml:space="preserve"> to enable ASBFEO to </w:t>
      </w:r>
      <w:r w:rsidR="00CE036E">
        <w:rPr>
          <w:szCs w:val="22"/>
          <w:lang w:val="en-US"/>
        </w:rPr>
        <w:t xml:space="preserve">procure a </w:t>
      </w:r>
      <w:r w:rsidRPr="00113DB3">
        <w:rPr>
          <w:szCs w:val="22"/>
          <w:lang w:val="en-US"/>
        </w:rPr>
        <w:t xml:space="preserve">mediation </w:t>
      </w:r>
      <w:r w:rsidR="00CE036E">
        <w:rPr>
          <w:szCs w:val="22"/>
          <w:lang w:val="en-US"/>
        </w:rPr>
        <w:t xml:space="preserve">panel </w:t>
      </w:r>
      <w:r w:rsidRPr="00113DB3">
        <w:rPr>
          <w:szCs w:val="22"/>
          <w:lang w:val="en-US"/>
        </w:rPr>
        <w:t>is consistent with other international bodies.</w:t>
      </w:r>
      <w:r w:rsidRPr="00113DB3">
        <w:rPr>
          <w:szCs w:val="22"/>
        </w:rPr>
        <w:t> </w:t>
      </w:r>
    </w:p>
    <w:p w14:paraId="474FD171" w14:textId="34BFBC6A" w:rsidR="00877810" w:rsidRPr="00877810" w:rsidRDefault="00877810" w:rsidP="004777E6">
      <w:pPr>
        <w:pStyle w:val="Heading3"/>
      </w:pPr>
      <w:bookmarkStart w:id="90" w:name="_Toc199940998"/>
      <w:r w:rsidRPr="00877810">
        <w:rPr>
          <w:lang w:val="en-US"/>
        </w:rPr>
        <w:t xml:space="preserve">Stakeholder </w:t>
      </w:r>
      <w:r w:rsidR="00C5553D">
        <w:rPr>
          <w:lang w:val="en-US"/>
        </w:rPr>
        <w:t>v</w:t>
      </w:r>
      <w:r w:rsidRPr="00877810">
        <w:rPr>
          <w:lang w:val="en-US"/>
        </w:rPr>
        <w:t>iews</w:t>
      </w:r>
      <w:bookmarkEnd w:id="90"/>
      <w:r w:rsidRPr="00877810">
        <w:t> </w:t>
      </w:r>
    </w:p>
    <w:p w14:paraId="70F4E9CA" w14:textId="51047FFB" w:rsidR="00DD15DA" w:rsidRPr="00877810" w:rsidRDefault="00877810" w:rsidP="00DD15DA">
      <w:r w:rsidRPr="002D050B">
        <w:rPr>
          <w:rStyle w:val="Strong"/>
        </w:rPr>
        <w:t xml:space="preserve">A few stakeholders </w:t>
      </w:r>
      <w:r w:rsidR="00DD15DA" w:rsidRPr="00832ACD">
        <w:rPr>
          <w:rStyle w:val="Strong"/>
        </w:rPr>
        <w:t xml:space="preserve">comparing ASBFEO to similar agencies in other jurisdictions suggested that </w:t>
      </w:r>
      <w:r w:rsidR="001A2A5F" w:rsidRPr="00832ACD">
        <w:rPr>
          <w:rStyle w:val="Strong"/>
        </w:rPr>
        <w:t xml:space="preserve">it </w:t>
      </w:r>
      <w:r w:rsidR="00DD15DA" w:rsidRPr="00832ACD">
        <w:rPr>
          <w:rStyle w:val="Strong"/>
        </w:rPr>
        <w:t>could have a broader role or increased powers.</w:t>
      </w:r>
      <w:r w:rsidR="00DD15DA" w:rsidRPr="00877810">
        <w:rPr>
          <w:b/>
          <w:bCs/>
          <w:lang w:val="en-US"/>
        </w:rPr>
        <w:t xml:space="preserve"> </w:t>
      </w:r>
      <w:r w:rsidR="00DD15DA" w:rsidRPr="00877810">
        <w:rPr>
          <w:lang w:val="en-US"/>
        </w:rPr>
        <w:t>For example, the IPA wanted to broaden ASBFEO</w:t>
      </w:r>
      <w:r w:rsidR="003A0D5E">
        <w:rPr>
          <w:lang w:val="en-US"/>
        </w:rPr>
        <w:t>’</w:t>
      </w:r>
      <w:r w:rsidR="00DD15DA" w:rsidRPr="00877810">
        <w:rPr>
          <w:lang w:val="en-US"/>
        </w:rPr>
        <w:t xml:space="preserve">s scope </w:t>
      </w:r>
      <w:proofErr w:type="gramStart"/>
      <w:r w:rsidR="00DD15DA" w:rsidRPr="00877810">
        <w:rPr>
          <w:lang w:val="en-US"/>
        </w:rPr>
        <w:t>similar to</w:t>
      </w:r>
      <w:proofErr w:type="gramEnd"/>
      <w:r w:rsidR="00DD15DA" w:rsidRPr="00877810">
        <w:rPr>
          <w:lang w:val="en-US"/>
        </w:rPr>
        <w:t xml:space="preserve"> the US </w:t>
      </w:r>
      <w:r w:rsidR="00C46FEE" w:rsidRPr="00C46FEE">
        <w:rPr>
          <w:lang w:val="en-US"/>
        </w:rPr>
        <w:t>Office of the National Ombudsman (</w:t>
      </w:r>
      <w:r w:rsidR="00C46FEE" w:rsidRPr="00F22DF1">
        <w:t>ONO</w:t>
      </w:r>
      <w:r w:rsidR="00C46FEE" w:rsidRPr="00C46FEE">
        <w:rPr>
          <w:lang w:val="en-US"/>
        </w:rPr>
        <w:t>) within the Small Business Administration (</w:t>
      </w:r>
      <w:r w:rsidR="00C46FEE" w:rsidRPr="006928A3">
        <w:rPr>
          <w:lang w:val="en-US"/>
        </w:rPr>
        <w:t>SBA</w:t>
      </w:r>
      <w:r w:rsidR="00C46FEE" w:rsidRPr="00C46FEE">
        <w:rPr>
          <w:lang w:val="en-US"/>
        </w:rPr>
        <w:t>)</w:t>
      </w:r>
      <w:r w:rsidR="00DD15DA" w:rsidRPr="00877810">
        <w:rPr>
          <w:lang w:val="en-US"/>
        </w:rPr>
        <w:t xml:space="preserve">, akin to a </w:t>
      </w:r>
      <w:r w:rsidR="003A0D5E">
        <w:rPr>
          <w:lang w:val="en-US"/>
        </w:rPr>
        <w:t>‘</w:t>
      </w:r>
      <w:r w:rsidR="00DD15DA" w:rsidRPr="00877810">
        <w:rPr>
          <w:lang w:val="en-US"/>
        </w:rPr>
        <w:t>one</w:t>
      </w:r>
      <w:r w:rsidR="003A0D5E">
        <w:rPr>
          <w:lang w:val="en-US"/>
        </w:rPr>
        <w:noBreakHyphen/>
      </w:r>
      <w:r w:rsidR="00DD15DA" w:rsidRPr="00877810">
        <w:rPr>
          <w:lang w:val="en-US"/>
        </w:rPr>
        <w:t>stop</w:t>
      </w:r>
      <w:r w:rsidR="003A0D5E">
        <w:rPr>
          <w:lang w:val="en-US"/>
        </w:rPr>
        <w:noBreakHyphen/>
      </w:r>
      <w:r w:rsidR="00DD15DA" w:rsidRPr="00877810">
        <w:rPr>
          <w:lang w:val="en-US"/>
        </w:rPr>
        <w:t>shop</w:t>
      </w:r>
      <w:r w:rsidR="003A0D5E">
        <w:rPr>
          <w:lang w:val="en-US"/>
        </w:rPr>
        <w:t>’</w:t>
      </w:r>
      <w:r w:rsidR="00DD15DA" w:rsidRPr="00877810">
        <w:rPr>
          <w:lang w:val="en-US"/>
        </w:rPr>
        <w:t xml:space="preserve"> for </w:t>
      </w:r>
      <w:r w:rsidR="001A2A5F">
        <w:rPr>
          <w:lang w:val="en-US"/>
        </w:rPr>
        <w:t>s</w:t>
      </w:r>
      <w:r w:rsidR="00DD15DA" w:rsidRPr="00877810">
        <w:rPr>
          <w:lang w:val="en-US"/>
        </w:rPr>
        <w:t xml:space="preserve">mall </w:t>
      </w:r>
      <w:r w:rsidR="001A2A5F">
        <w:rPr>
          <w:lang w:val="en-US"/>
        </w:rPr>
        <w:t>b</w:t>
      </w:r>
      <w:r w:rsidR="00DD15DA" w:rsidRPr="00877810">
        <w:rPr>
          <w:lang w:val="en-US"/>
        </w:rPr>
        <w:t xml:space="preserve">usiness, covering </w:t>
      </w:r>
      <w:r w:rsidR="001A2A5F">
        <w:rPr>
          <w:lang w:val="en-US"/>
        </w:rPr>
        <w:t>d</w:t>
      </w:r>
      <w:r w:rsidR="00DD15DA" w:rsidRPr="00877810">
        <w:rPr>
          <w:lang w:val="en-US"/>
        </w:rPr>
        <w:t xml:space="preserve">ispute </w:t>
      </w:r>
      <w:r w:rsidR="001A2A5F">
        <w:rPr>
          <w:lang w:val="en-US"/>
        </w:rPr>
        <w:t>r</w:t>
      </w:r>
      <w:r w:rsidR="00DD15DA" w:rsidRPr="00877810">
        <w:rPr>
          <w:lang w:val="en-US"/>
        </w:rPr>
        <w:t>esolution, grants and business development.</w:t>
      </w:r>
      <w:r w:rsidR="00065357">
        <w:rPr>
          <w:rFonts w:ascii="ZWAdobeF" w:hAnsi="ZWAdobeF" w:cs="ZWAdobeF"/>
          <w:color w:val="auto"/>
          <w:sz w:val="2"/>
          <w:szCs w:val="2"/>
          <w:lang w:val="en-US"/>
        </w:rPr>
        <w:t>95F</w:t>
      </w:r>
      <w:r w:rsidR="00640C44" w:rsidRPr="00D61F49">
        <w:rPr>
          <w:rStyle w:val="FootnoteReference"/>
          <w:sz w:val="22"/>
          <w:szCs w:val="24"/>
          <w:vertAlign w:val="superscript"/>
          <w:lang w:val="en-US"/>
        </w:rPr>
        <w:footnoteReference w:id="97"/>
      </w:r>
    </w:p>
    <w:p w14:paraId="7EB9EFAD" w14:textId="61EF57B6" w:rsidR="00DD15DA" w:rsidRPr="00877810" w:rsidRDefault="00DD15DA" w:rsidP="00DD15DA">
      <w:r w:rsidRPr="00832ACD">
        <w:rPr>
          <w:rStyle w:val="Strong"/>
        </w:rPr>
        <w:t xml:space="preserve">The support small businesses receive in Australia is provided primarily by </w:t>
      </w:r>
      <w:r w:rsidR="00D60631" w:rsidRPr="00832ACD">
        <w:rPr>
          <w:rStyle w:val="Strong"/>
        </w:rPr>
        <w:t>3</w:t>
      </w:r>
      <w:r w:rsidRPr="00832ACD">
        <w:rPr>
          <w:rStyle w:val="Strong"/>
        </w:rPr>
        <w:t xml:space="preserve"> agencies, including ASBFEO</w:t>
      </w:r>
      <w:r w:rsidR="00816449" w:rsidRPr="00832ACD">
        <w:rPr>
          <w:rStyle w:val="Strong"/>
        </w:rPr>
        <w:t>.</w:t>
      </w:r>
      <w:r>
        <w:rPr>
          <w:b/>
          <w:bCs/>
          <w:lang w:val="en-US"/>
        </w:rPr>
        <w:t xml:space="preserve"> </w:t>
      </w:r>
      <w:proofErr w:type="spellStart"/>
      <w:r w:rsidRPr="002D7F86">
        <w:rPr>
          <w:lang w:val="en-US"/>
        </w:rPr>
        <w:t>AusIndustry</w:t>
      </w:r>
      <w:proofErr w:type="spellEnd"/>
      <w:r w:rsidRPr="002D7F86">
        <w:rPr>
          <w:lang w:val="en-US"/>
        </w:rPr>
        <w:t xml:space="preserve"> offers programs and services that support small businesses,</w:t>
      </w:r>
      <w:r w:rsidRPr="00E60A8A">
        <w:rPr>
          <w:lang w:val="en-US"/>
        </w:rPr>
        <w:t xml:space="preserve"> including industry growth programs</w:t>
      </w:r>
      <w:r w:rsidR="001A2A5F">
        <w:rPr>
          <w:lang w:val="en-US"/>
        </w:rPr>
        <w:t>,</w:t>
      </w:r>
      <w:r w:rsidRPr="00E60A8A">
        <w:rPr>
          <w:lang w:val="en-US"/>
        </w:rPr>
        <w:t xml:space="preserve"> the single business service website (business.gov.au),</w:t>
      </w:r>
      <w:r w:rsidRPr="00877810">
        <w:rPr>
          <w:lang w:val="en-US"/>
        </w:rPr>
        <w:t xml:space="preserve"> </w:t>
      </w:r>
      <w:r w:rsidR="001F06F0">
        <w:rPr>
          <w:lang w:val="en-US"/>
        </w:rPr>
        <w:t xml:space="preserve">a </w:t>
      </w:r>
      <w:r w:rsidRPr="00877810">
        <w:rPr>
          <w:lang w:val="en-US"/>
        </w:rPr>
        <w:t xml:space="preserve">contact </w:t>
      </w:r>
      <w:proofErr w:type="spellStart"/>
      <w:r w:rsidRPr="00877810">
        <w:rPr>
          <w:lang w:val="en-US"/>
        </w:rPr>
        <w:t>centre</w:t>
      </w:r>
      <w:proofErr w:type="spellEnd"/>
      <w:r>
        <w:rPr>
          <w:lang w:val="en-US"/>
        </w:rPr>
        <w:t xml:space="preserve"> and an </w:t>
      </w:r>
      <w:r w:rsidRPr="00877810">
        <w:rPr>
          <w:lang w:val="en-US"/>
        </w:rPr>
        <w:t>outreach program</w:t>
      </w:r>
      <w:r>
        <w:rPr>
          <w:lang w:val="en-US"/>
        </w:rPr>
        <w:t xml:space="preserve"> in regional Australia</w:t>
      </w:r>
      <w:r w:rsidRPr="00877810">
        <w:rPr>
          <w:lang w:val="en-US"/>
        </w:rPr>
        <w:t>.</w:t>
      </w:r>
      <w:r w:rsidR="00065357">
        <w:rPr>
          <w:rFonts w:ascii="ZWAdobeF" w:hAnsi="ZWAdobeF" w:cs="ZWAdobeF"/>
          <w:color w:val="auto"/>
          <w:sz w:val="2"/>
          <w:szCs w:val="2"/>
          <w:lang w:val="en-US"/>
        </w:rPr>
        <w:t>96F</w:t>
      </w:r>
      <w:r w:rsidR="00142D3F" w:rsidRPr="00D61F49">
        <w:rPr>
          <w:rStyle w:val="FootnoteReference"/>
          <w:sz w:val="22"/>
          <w:szCs w:val="24"/>
          <w:vertAlign w:val="superscript"/>
          <w:lang w:val="en-US"/>
        </w:rPr>
        <w:footnoteReference w:id="98"/>
      </w:r>
      <w:r w:rsidRPr="00D61F49">
        <w:rPr>
          <w:sz w:val="28"/>
          <w:szCs w:val="24"/>
          <w:vertAlign w:val="superscript"/>
          <w:lang w:val="en-US"/>
        </w:rPr>
        <w:t xml:space="preserve"> </w:t>
      </w:r>
      <w:r w:rsidRPr="00877810">
        <w:rPr>
          <w:lang w:val="en-US"/>
        </w:rPr>
        <w:t xml:space="preserve">The Treasury </w:t>
      </w:r>
      <w:r w:rsidR="001F06F0">
        <w:rPr>
          <w:lang w:val="en-US"/>
        </w:rPr>
        <w:t xml:space="preserve">also </w:t>
      </w:r>
      <w:r w:rsidRPr="00877810">
        <w:rPr>
          <w:lang w:val="en-US"/>
        </w:rPr>
        <w:t>support</w:t>
      </w:r>
      <w:r w:rsidR="001F06F0">
        <w:rPr>
          <w:lang w:val="en-US"/>
        </w:rPr>
        <w:t>s</w:t>
      </w:r>
      <w:r w:rsidRPr="00877810">
        <w:rPr>
          <w:lang w:val="en-US"/>
        </w:rPr>
        <w:t xml:space="preserve"> small businesses through focused programs such as wellbeing supports and improving understanding of the digital economy.</w:t>
      </w:r>
      <w:r w:rsidR="00065357">
        <w:rPr>
          <w:rFonts w:ascii="ZWAdobeF" w:hAnsi="ZWAdobeF" w:cs="ZWAdobeF"/>
          <w:color w:val="auto"/>
          <w:sz w:val="2"/>
          <w:szCs w:val="2"/>
          <w:lang w:val="en-US"/>
        </w:rPr>
        <w:t>97F</w:t>
      </w:r>
      <w:r w:rsidR="00A63D13" w:rsidRPr="00D61F49">
        <w:rPr>
          <w:rStyle w:val="FootnoteReference"/>
          <w:vertAlign w:val="superscript"/>
          <w:lang w:val="en-US"/>
        </w:rPr>
        <w:footnoteReference w:id="99"/>
      </w:r>
    </w:p>
    <w:p w14:paraId="02FFAC3F" w14:textId="33A0A57C" w:rsidR="00877810" w:rsidRPr="00877810" w:rsidRDefault="00877810" w:rsidP="00B2355F">
      <w:pPr>
        <w:pStyle w:val="Heading2"/>
      </w:pPr>
      <w:bookmarkStart w:id="91" w:name="_Toc199940999"/>
      <w:r w:rsidRPr="00877810">
        <w:rPr>
          <w:lang w:val="en-US"/>
        </w:rPr>
        <w:t xml:space="preserve">Current </w:t>
      </w:r>
      <w:r w:rsidR="001A2A5F">
        <w:rPr>
          <w:lang w:val="en-US"/>
        </w:rPr>
        <w:t>a</w:t>
      </w:r>
      <w:r w:rsidRPr="00877810">
        <w:rPr>
          <w:lang w:val="en-US"/>
        </w:rPr>
        <w:t xml:space="preserve">dministration and </w:t>
      </w:r>
      <w:r w:rsidR="001A2A5F">
        <w:rPr>
          <w:lang w:val="en-US"/>
        </w:rPr>
        <w:t>l</w:t>
      </w:r>
      <w:r w:rsidRPr="00877810">
        <w:rPr>
          <w:lang w:val="en-US"/>
        </w:rPr>
        <w:t xml:space="preserve">egislative </w:t>
      </w:r>
      <w:r w:rsidR="001A2A5F">
        <w:rPr>
          <w:lang w:val="en-US"/>
        </w:rPr>
        <w:t>a</w:t>
      </w:r>
      <w:r w:rsidRPr="00877810">
        <w:rPr>
          <w:lang w:val="en-US"/>
        </w:rPr>
        <w:t>rrangements</w:t>
      </w:r>
      <w:bookmarkEnd w:id="91"/>
      <w:r w:rsidRPr="00877810">
        <w:t> </w:t>
      </w:r>
    </w:p>
    <w:p w14:paraId="2BC206C3" w14:textId="2B62B0DA" w:rsidR="00877810" w:rsidRPr="00877810" w:rsidRDefault="00877810" w:rsidP="00877810">
      <w:r w:rsidRPr="002D050B">
        <w:rPr>
          <w:rStyle w:val="Strong"/>
        </w:rPr>
        <w:t xml:space="preserve">The Ombudsman is a statutory office established by the </w:t>
      </w:r>
      <w:r w:rsidR="00B37B0F" w:rsidRPr="004C749D">
        <w:rPr>
          <w:rStyle w:val="Strong"/>
        </w:rPr>
        <w:t>ASBFEO Act</w:t>
      </w:r>
      <w:r w:rsidR="00DD15DA">
        <w:rPr>
          <w:rStyle w:val="Strong"/>
          <w:i/>
          <w:iCs/>
        </w:rPr>
        <w:t xml:space="preserve">. </w:t>
      </w:r>
      <w:r w:rsidR="00DD15DA" w:rsidRPr="00624B38">
        <w:rPr>
          <w:rStyle w:val="Strong"/>
        </w:rPr>
        <w:t xml:space="preserve">The </w:t>
      </w:r>
      <w:r w:rsidR="00B37B0F">
        <w:rPr>
          <w:rStyle w:val="Strong"/>
        </w:rPr>
        <w:t>ASBFEO</w:t>
      </w:r>
      <w:r w:rsidR="00DD15DA" w:rsidRPr="00624B38">
        <w:rPr>
          <w:rStyle w:val="Strong"/>
        </w:rPr>
        <w:t xml:space="preserve"> Act</w:t>
      </w:r>
      <w:r w:rsidRPr="002D050B">
        <w:rPr>
          <w:rStyle w:val="Strong"/>
        </w:rPr>
        <w:t xml:space="preserve"> sets out the scope of the Ombudsman role and powers.</w:t>
      </w:r>
      <w:r w:rsidRPr="00877810">
        <w:rPr>
          <w:lang w:val="en-US"/>
        </w:rPr>
        <w:t xml:space="preserve"> The Ombudsman</w:t>
      </w:r>
      <w:r w:rsidR="00916FA5">
        <w:rPr>
          <w:lang w:val="en-US"/>
        </w:rPr>
        <w:t xml:space="preserve"> </w:t>
      </w:r>
      <w:r w:rsidRPr="00877810">
        <w:rPr>
          <w:lang w:val="en-US"/>
        </w:rPr>
        <w:t>is independent from the Department of the</w:t>
      </w:r>
      <w:r w:rsidRPr="00877810" w:rsidDel="003A2E69">
        <w:rPr>
          <w:lang w:val="en-US"/>
        </w:rPr>
        <w:t xml:space="preserve"> </w:t>
      </w:r>
      <w:r w:rsidRPr="00877810">
        <w:rPr>
          <w:lang w:val="en-US"/>
        </w:rPr>
        <w:t xml:space="preserve">Treasury and is assisted by staff within the </w:t>
      </w:r>
      <w:r w:rsidR="001A2A5F">
        <w:rPr>
          <w:lang w:val="en-US"/>
        </w:rPr>
        <w:t>d</w:t>
      </w:r>
      <w:r w:rsidRPr="00877810">
        <w:rPr>
          <w:lang w:val="en-US"/>
        </w:rPr>
        <w:t xml:space="preserve">epartment. Although the office of the Ombudsman has its own branding, website and identity, from a legal point of view, apart from the Ombudsman themselves being independent, it is not an independent or separate entity from the Commonwealth and its staff are part of a </w:t>
      </w:r>
      <w:r w:rsidR="00916FA5">
        <w:rPr>
          <w:lang w:val="en-US"/>
        </w:rPr>
        <w:t>‘</w:t>
      </w:r>
      <w:r w:rsidRPr="00877810">
        <w:rPr>
          <w:lang w:val="en-US"/>
        </w:rPr>
        <w:t>parent</w:t>
      </w:r>
      <w:r w:rsidR="00916FA5">
        <w:rPr>
          <w:lang w:val="en-US"/>
        </w:rPr>
        <w:t>’</w:t>
      </w:r>
      <w:r w:rsidRPr="00877810">
        <w:rPr>
          <w:lang w:val="en-US"/>
        </w:rPr>
        <w:t xml:space="preserve"> agency.</w:t>
      </w:r>
      <w:r w:rsidR="00065357">
        <w:rPr>
          <w:rFonts w:ascii="ZWAdobeF" w:hAnsi="ZWAdobeF" w:cs="ZWAdobeF"/>
          <w:color w:val="auto"/>
          <w:sz w:val="2"/>
          <w:szCs w:val="2"/>
          <w:lang w:val="en-US"/>
        </w:rPr>
        <w:t>98F</w:t>
      </w:r>
      <w:r w:rsidR="003A5754" w:rsidRPr="00D61F49">
        <w:rPr>
          <w:rStyle w:val="FootnoteReference"/>
          <w:sz w:val="22"/>
          <w:szCs w:val="24"/>
          <w:vertAlign w:val="superscript"/>
          <w:lang w:val="en-US"/>
        </w:rPr>
        <w:footnoteReference w:id="100"/>
      </w:r>
    </w:p>
    <w:p w14:paraId="4D8A4061" w14:textId="6169088A" w:rsidR="00877810" w:rsidRPr="00877810" w:rsidRDefault="00877810" w:rsidP="00877810">
      <w:r w:rsidRPr="002D050B">
        <w:rPr>
          <w:rStyle w:val="Strong"/>
        </w:rPr>
        <w:t xml:space="preserve">Since March 2021, the parent agency has been </w:t>
      </w:r>
      <w:r w:rsidR="00DA49BB">
        <w:rPr>
          <w:rStyle w:val="Strong"/>
        </w:rPr>
        <w:t>The</w:t>
      </w:r>
      <w:r w:rsidR="003A2E69">
        <w:rPr>
          <w:rStyle w:val="Strong"/>
        </w:rPr>
        <w:t xml:space="preserve"> Department of the</w:t>
      </w:r>
      <w:r w:rsidR="00DA49BB">
        <w:rPr>
          <w:rStyle w:val="Strong"/>
        </w:rPr>
        <w:t xml:space="preserve"> </w:t>
      </w:r>
      <w:r w:rsidRPr="002D050B">
        <w:rPr>
          <w:rStyle w:val="Strong"/>
        </w:rPr>
        <w:t>Treasury</w:t>
      </w:r>
      <w:r w:rsidR="00DD15DA">
        <w:rPr>
          <w:rStyle w:val="Strong"/>
        </w:rPr>
        <w:t>.</w:t>
      </w:r>
      <w:r w:rsidRPr="00877810">
        <w:rPr>
          <w:lang w:val="en-US"/>
        </w:rPr>
        <w:t xml:space="preserve"> Under the </w:t>
      </w:r>
      <w:r w:rsidRPr="002D050B">
        <w:rPr>
          <w:rStyle w:val="Emphasis"/>
        </w:rPr>
        <w:t>Public Service Act 1999</w:t>
      </w:r>
      <w:r w:rsidRPr="00877810">
        <w:rPr>
          <w:lang w:val="en-US"/>
        </w:rPr>
        <w:t xml:space="preserve"> (</w:t>
      </w:r>
      <w:proofErr w:type="spellStart"/>
      <w:r w:rsidR="009958A9">
        <w:rPr>
          <w:lang w:val="en-US"/>
        </w:rPr>
        <w:t>C</w:t>
      </w:r>
      <w:r w:rsidR="006F3C19">
        <w:rPr>
          <w:lang w:val="en-US"/>
        </w:rPr>
        <w:t>th</w:t>
      </w:r>
      <w:proofErr w:type="spellEnd"/>
      <w:proofErr w:type="gramStart"/>
      <w:r w:rsidR="009958A9">
        <w:rPr>
          <w:lang w:val="en-US"/>
        </w:rPr>
        <w:t>)</w:t>
      </w:r>
      <w:r w:rsidRPr="00877810">
        <w:rPr>
          <w:lang w:val="en-US"/>
        </w:rPr>
        <w:t>(</w:t>
      </w:r>
      <w:proofErr w:type="gramEnd"/>
      <w:r w:rsidRPr="008B690D">
        <w:rPr>
          <w:lang w:val="en-US"/>
        </w:rPr>
        <w:t>Public Service Act</w:t>
      </w:r>
      <w:r w:rsidRPr="00877810">
        <w:rPr>
          <w:lang w:val="en-US"/>
        </w:rPr>
        <w:t xml:space="preserve">), the Secretary of the Treasury is the Agency Head of ASBFEO. Under the </w:t>
      </w:r>
      <w:r w:rsidRPr="002D050B">
        <w:rPr>
          <w:rStyle w:val="Emphasis"/>
        </w:rPr>
        <w:t>Public Governance, Performance and Accountability Act 2013</w:t>
      </w:r>
      <w:r w:rsidRPr="00877810">
        <w:rPr>
          <w:lang w:val="en-US"/>
        </w:rPr>
        <w:t xml:space="preserve"> (</w:t>
      </w:r>
      <w:proofErr w:type="spellStart"/>
      <w:r w:rsidR="005412E4">
        <w:rPr>
          <w:lang w:val="en-US"/>
        </w:rPr>
        <w:t>Cth</w:t>
      </w:r>
      <w:proofErr w:type="spellEnd"/>
      <w:proofErr w:type="gramStart"/>
      <w:r w:rsidR="005412E4">
        <w:rPr>
          <w:lang w:val="en-US"/>
        </w:rPr>
        <w:t>)</w:t>
      </w:r>
      <w:r w:rsidRPr="00877810">
        <w:rPr>
          <w:lang w:val="en-US"/>
        </w:rPr>
        <w:t>(</w:t>
      </w:r>
      <w:proofErr w:type="gramEnd"/>
      <w:r w:rsidRPr="008B690D">
        <w:rPr>
          <w:lang w:val="en-US"/>
        </w:rPr>
        <w:t>PGPA Act</w:t>
      </w:r>
      <w:r w:rsidRPr="00877810">
        <w:rPr>
          <w:lang w:val="en-US"/>
        </w:rPr>
        <w:t>), the Secretary is accountable for ASBFEO</w:t>
      </w:r>
      <w:r w:rsidR="00916FA5">
        <w:rPr>
          <w:lang w:val="en-US"/>
        </w:rPr>
        <w:t>’</w:t>
      </w:r>
      <w:r w:rsidRPr="00877810">
        <w:rPr>
          <w:lang w:val="en-US"/>
        </w:rPr>
        <w:t>s operations, including the entire agency</w:t>
      </w:r>
      <w:r w:rsidR="00916FA5">
        <w:rPr>
          <w:lang w:val="en-US"/>
        </w:rPr>
        <w:t>’</w:t>
      </w:r>
      <w:r w:rsidRPr="00877810">
        <w:rPr>
          <w:lang w:val="en-US"/>
        </w:rPr>
        <w:t>s financial management and compliance with reporting requirements. Staff support</w:t>
      </w:r>
      <w:r w:rsidR="00607D9B">
        <w:rPr>
          <w:lang w:val="en-US"/>
        </w:rPr>
        <w:t>ing</w:t>
      </w:r>
      <w:r w:rsidRPr="00877810">
        <w:rPr>
          <w:lang w:val="en-US"/>
        </w:rPr>
        <w:t xml:space="preserve"> the Ombudsman are made available by the Secretary </w:t>
      </w:r>
      <w:r w:rsidRPr="00877810" w:rsidDel="003A2E69">
        <w:rPr>
          <w:lang w:val="en-US"/>
        </w:rPr>
        <w:t xml:space="preserve">of the Treasury </w:t>
      </w:r>
      <w:r w:rsidRPr="00877810">
        <w:rPr>
          <w:lang w:val="en-US"/>
        </w:rPr>
        <w:t>and are employed subject to Treasury terms and conditions of employment.</w:t>
      </w:r>
    </w:p>
    <w:p w14:paraId="7932BFFF" w14:textId="749537C2" w:rsidR="00D51357" w:rsidRPr="00877810" w:rsidRDefault="00D51357" w:rsidP="00D51357">
      <w:r w:rsidRPr="00C02E58">
        <w:rPr>
          <w:rStyle w:val="Strong"/>
        </w:rPr>
        <w:t xml:space="preserve">In comparison, structures such as statutory authorities or listed entities for PGPA Act purposes can operate more autonomously in managing the funding allocated to them by the </w:t>
      </w:r>
      <w:r w:rsidR="003A2E69" w:rsidRPr="00C02E58">
        <w:rPr>
          <w:rStyle w:val="Strong"/>
        </w:rPr>
        <w:t xml:space="preserve">Australian </w:t>
      </w:r>
      <w:r w:rsidRPr="00C02E58">
        <w:rPr>
          <w:rStyle w:val="Strong"/>
        </w:rPr>
        <w:t>Government.</w:t>
      </w:r>
      <w:r w:rsidRPr="00877810">
        <w:rPr>
          <w:lang w:val="en-US"/>
        </w:rPr>
        <w:t xml:space="preserve"> </w:t>
      </w:r>
      <w:r>
        <w:rPr>
          <w:lang w:val="en-US"/>
        </w:rPr>
        <w:t>T</w:t>
      </w:r>
      <w:r w:rsidRPr="00877810">
        <w:rPr>
          <w:lang w:val="en-US"/>
        </w:rPr>
        <w:t>hese responsibilities create trade</w:t>
      </w:r>
      <w:r w:rsidR="003A0D5E">
        <w:rPr>
          <w:lang w:val="en-US"/>
        </w:rPr>
        <w:noBreakHyphen/>
      </w:r>
      <w:r w:rsidRPr="00877810">
        <w:rPr>
          <w:lang w:val="en-US"/>
        </w:rPr>
        <w:t>offs</w:t>
      </w:r>
      <w:r>
        <w:rPr>
          <w:lang w:val="en-US"/>
        </w:rPr>
        <w:t>,</w:t>
      </w:r>
      <w:r w:rsidRPr="00877810">
        <w:rPr>
          <w:lang w:val="en-US"/>
        </w:rPr>
        <w:t xml:space="preserve"> such as the need to establish their own mechanisms for compliance with the laws under the PGPA Act and the Public Service Act</w:t>
      </w:r>
      <w:r>
        <w:rPr>
          <w:lang w:val="en-US"/>
        </w:rPr>
        <w:t>,</w:t>
      </w:r>
      <w:r w:rsidRPr="00877810">
        <w:rPr>
          <w:lang w:val="en-US"/>
        </w:rPr>
        <w:t xml:space="preserve"> </w:t>
      </w:r>
      <w:r w:rsidR="008E66C5">
        <w:rPr>
          <w:lang w:val="en-US"/>
        </w:rPr>
        <w:t>h</w:t>
      </w:r>
      <w:r w:rsidR="00060737">
        <w:rPr>
          <w:lang w:val="en-US"/>
        </w:rPr>
        <w:t xml:space="preserve">uman </w:t>
      </w:r>
      <w:r w:rsidR="008E66C5">
        <w:rPr>
          <w:lang w:val="en-US"/>
        </w:rPr>
        <w:lastRenderedPageBreak/>
        <w:t>r</w:t>
      </w:r>
      <w:r w:rsidR="00060737">
        <w:rPr>
          <w:lang w:val="en-US"/>
        </w:rPr>
        <w:t>esources</w:t>
      </w:r>
      <w:r w:rsidRPr="00877810">
        <w:rPr>
          <w:lang w:val="en-US"/>
        </w:rPr>
        <w:t xml:space="preserve"> and payroll systems, </w:t>
      </w:r>
      <w:r w:rsidR="00BA4C6E">
        <w:rPr>
          <w:lang w:val="en-US"/>
        </w:rPr>
        <w:t>information technology</w:t>
      </w:r>
      <w:r w:rsidRPr="00877810">
        <w:rPr>
          <w:lang w:val="en-US"/>
        </w:rPr>
        <w:t xml:space="preserve"> </w:t>
      </w:r>
      <w:r>
        <w:rPr>
          <w:lang w:val="en-US"/>
        </w:rPr>
        <w:t xml:space="preserve">and </w:t>
      </w:r>
      <w:r w:rsidRPr="00877810">
        <w:rPr>
          <w:lang w:val="en-US"/>
        </w:rPr>
        <w:t>leases</w:t>
      </w:r>
      <w:r>
        <w:rPr>
          <w:lang w:val="en-US"/>
        </w:rPr>
        <w:t>,</w:t>
      </w:r>
      <w:r w:rsidRPr="00877810">
        <w:rPr>
          <w:lang w:val="en-US"/>
        </w:rPr>
        <w:t xml:space="preserve"> resulting in additional operating costs.</w:t>
      </w:r>
    </w:p>
    <w:p w14:paraId="37DA23EE" w14:textId="7D55E6EA" w:rsidR="00877810" w:rsidRPr="00877810" w:rsidRDefault="00877810" w:rsidP="00B2355F">
      <w:pPr>
        <w:pStyle w:val="Heading3"/>
        <w:rPr>
          <w:lang w:val="en-US"/>
        </w:rPr>
      </w:pPr>
      <w:bookmarkStart w:id="92" w:name="_Toc199941000"/>
      <w:r w:rsidRPr="00877810">
        <w:rPr>
          <w:lang w:val="en-US"/>
        </w:rPr>
        <w:t xml:space="preserve">Stakeholder </w:t>
      </w:r>
      <w:r w:rsidR="00343342">
        <w:rPr>
          <w:lang w:val="en-US"/>
        </w:rPr>
        <w:t>v</w:t>
      </w:r>
      <w:r w:rsidRPr="00877810">
        <w:rPr>
          <w:lang w:val="en-US"/>
        </w:rPr>
        <w:t>iews</w:t>
      </w:r>
      <w:bookmarkEnd w:id="92"/>
    </w:p>
    <w:p w14:paraId="46A12E30" w14:textId="499CBC51" w:rsidR="00877810" w:rsidRPr="00877810" w:rsidRDefault="00877810" w:rsidP="00877810">
      <w:r w:rsidRPr="005F6F08">
        <w:rPr>
          <w:rStyle w:val="Strong"/>
        </w:rPr>
        <w:t xml:space="preserve">ASBFEO and a few stakeholders indicated that </w:t>
      </w:r>
      <w:r w:rsidR="00343342">
        <w:rPr>
          <w:rStyle w:val="Strong"/>
        </w:rPr>
        <w:t>it</w:t>
      </w:r>
      <w:r w:rsidR="00343342" w:rsidRPr="005F6F08">
        <w:rPr>
          <w:rStyle w:val="Strong"/>
        </w:rPr>
        <w:t xml:space="preserve"> </w:t>
      </w:r>
      <w:r w:rsidRPr="005F6F08">
        <w:rPr>
          <w:rStyle w:val="Strong"/>
        </w:rPr>
        <w:t xml:space="preserve">should have an independent statutory structure like the IGTO or the </w:t>
      </w:r>
      <w:r w:rsidR="00343342">
        <w:rPr>
          <w:rStyle w:val="Strong"/>
        </w:rPr>
        <w:t>Fair Work Ombudsman (</w:t>
      </w:r>
      <w:r w:rsidR="00D55CFB" w:rsidRPr="00564AFD">
        <w:rPr>
          <w:rStyle w:val="Strong"/>
        </w:rPr>
        <w:t>FWO</w:t>
      </w:r>
      <w:r w:rsidR="00343342">
        <w:rPr>
          <w:rStyle w:val="Strong"/>
        </w:rPr>
        <w:t>)</w:t>
      </w:r>
      <w:r w:rsidR="00C37AAA">
        <w:rPr>
          <w:rStyle w:val="Strong"/>
        </w:rPr>
        <w:t>.</w:t>
      </w:r>
      <w:r w:rsidRPr="00877810">
        <w:rPr>
          <w:lang w:val="en-US"/>
        </w:rPr>
        <w:t xml:space="preserve"> The structural change is driven by ASBFEO</w:t>
      </w:r>
      <w:r w:rsidR="00916FA5">
        <w:rPr>
          <w:lang w:val="en-US"/>
        </w:rPr>
        <w:t>’</w:t>
      </w:r>
      <w:r w:rsidRPr="00877810">
        <w:rPr>
          <w:lang w:val="en-US"/>
        </w:rPr>
        <w:t>s concern that it does not have complete control of its budget. Periodically, when Treasury has had to absorb the cost of certain measures and/or work, ASBFEO</w:t>
      </w:r>
      <w:r w:rsidR="00916FA5">
        <w:rPr>
          <w:lang w:val="en-US"/>
        </w:rPr>
        <w:t>’</w:t>
      </w:r>
      <w:r w:rsidRPr="00877810">
        <w:rPr>
          <w:lang w:val="en-US"/>
        </w:rPr>
        <w:t xml:space="preserve">s budget has been reduced to offset pressures, which is consistent with the treatment applied to all </w:t>
      </w:r>
      <w:r w:rsidR="004D041B" w:rsidRPr="00877810">
        <w:rPr>
          <w:lang w:val="en-US"/>
        </w:rPr>
        <w:t xml:space="preserve">other </w:t>
      </w:r>
      <w:r w:rsidR="004D041B">
        <w:rPr>
          <w:lang w:val="en-US"/>
        </w:rPr>
        <w:t>sections</w:t>
      </w:r>
      <w:r w:rsidR="004D041B" w:rsidRPr="00877810">
        <w:rPr>
          <w:lang w:val="en-US"/>
        </w:rPr>
        <w:t xml:space="preserve"> of the Treasury department. ASBFEO consider</w:t>
      </w:r>
      <w:r w:rsidR="004D041B">
        <w:rPr>
          <w:lang w:val="en-US"/>
        </w:rPr>
        <w:t>s</w:t>
      </w:r>
      <w:r w:rsidR="004D041B" w:rsidRPr="00877810">
        <w:rPr>
          <w:lang w:val="en-US"/>
        </w:rPr>
        <w:t xml:space="preserve"> this </w:t>
      </w:r>
      <w:r w:rsidR="00257B86">
        <w:rPr>
          <w:lang w:val="en-US"/>
        </w:rPr>
        <w:t>has</w:t>
      </w:r>
      <w:r w:rsidR="004D041B" w:rsidRPr="00877810">
        <w:rPr>
          <w:lang w:val="en-US"/>
        </w:rPr>
        <w:t xml:space="preserve"> inhibited </w:t>
      </w:r>
      <w:r w:rsidR="00257B86">
        <w:rPr>
          <w:lang w:val="en-US"/>
        </w:rPr>
        <w:t>its</w:t>
      </w:r>
      <w:r w:rsidR="00257B86" w:rsidRPr="00877810">
        <w:rPr>
          <w:lang w:val="en-US"/>
        </w:rPr>
        <w:t xml:space="preserve"> </w:t>
      </w:r>
      <w:r w:rsidR="004D041B" w:rsidRPr="00877810">
        <w:rPr>
          <w:lang w:val="en-US"/>
        </w:rPr>
        <w:t>ability to progress certain activities.</w:t>
      </w:r>
      <w:r w:rsidR="00065357">
        <w:rPr>
          <w:rFonts w:ascii="ZWAdobeF" w:hAnsi="ZWAdobeF" w:cs="ZWAdobeF"/>
          <w:color w:val="auto"/>
          <w:sz w:val="2"/>
          <w:szCs w:val="2"/>
          <w:lang w:val="en-US"/>
        </w:rPr>
        <w:t>99F</w:t>
      </w:r>
      <w:r w:rsidR="00676621" w:rsidRPr="00D61F49">
        <w:rPr>
          <w:rStyle w:val="FootnoteReference"/>
          <w:sz w:val="22"/>
          <w:szCs w:val="24"/>
          <w:vertAlign w:val="superscript"/>
          <w:lang w:val="en-US"/>
        </w:rPr>
        <w:footnoteReference w:id="101"/>
      </w:r>
    </w:p>
    <w:p w14:paraId="16937485" w14:textId="446CFD60" w:rsidR="0072561E" w:rsidRDefault="0072561E" w:rsidP="0072561E">
      <w:r w:rsidRPr="00C02E58">
        <w:rPr>
          <w:rStyle w:val="Strong"/>
        </w:rPr>
        <w:t>A common theme amongst stakeholders was the importance of perceived independence.</w:t>
      </w:r>
      <w:r w:rsidR="00065357">
        <w:rPr>
          <w:rStyle w:val="Strong"/>
          <w:rFonts w:ascii="ZWAdobeF" w:hAnsi="ZWAdobeF" w:cs="ZWAdobeF"/>
          <w:b w:val="0"/>
          <w:color w:val="auto"/>
          <w:sz w:val="2"/>
          <w:szCs w:val="2"/>
        </w:rPr>
        <w:t>100F</w:t>
      </w:r>
      <w:r w:rsidR="00CA28E6" w:rsidRPr="00C02E58">
        <w:rPr>
          <w:rStyle w:val="FootnoteReference"/>
          <w:sz w:val="22"/>
          <w:szCs w:val="24"/>
          <w:vertAlign w:val="superscript"/>
          <w:lang w:val="en-US"/>
        </w:rPr>
        <w:footnoteReference w:id="102"/>
      </w:r>
      <w:r w:rsidRPr="00D61F49">
        <w:rPr>
          <w:sz w:val="28"/>
          <w:szCs w:val="24"/>
          <w:lang w:val="en-US"/>
        </w:rPr>
        <w:t xml:space="preserve"> </w:t>
      </w:r>
      <w:r w:rsidRPr="00877810">
        <w:rPr>
          <w:lang w:val="en-US"/>
        </w:rPr>
        <w:t>SBDC</w:t>
      </w:r>
      <w:r w:rsidR="00C37AAA">
        <w:rPr>
          <w:lang w:val="en-US"/>
        </w:rPr>
        <w:t xml:space="preserve"> </w:t>
      </w:r>
      <w:r w:rsidR="001B0612">
        <w:rPr>
          <w:lang w:val="en-US"/>
        </w:rPr>
        <w:t>(WA)</w:t>
      </w:r>
      <w:r w:rsidRPr="00877810">
        <w:rPr>
          <w:lang w:val="en-US"/>
        </w:rPr>
        <w:t xml:space="preserve"> </w:t>
      </w:r>
      <w:r>
        <w:rPr>
          <w:lang w:val="en-US"/>
        </w:rPr>
        <w:t>preferred</w:t>
      </w:r>
      <w:r w:rsidRPr="00877810">
        <w:rPr>
          <w:lang w:val="en-US"/>
        </w:rPr>
        <w:t xml:space="preserve"> an independent statutory authority model</w:t>
      </w:r>
      <w:r>
        <w:rPr>
          <w:lang w:val="en-US"/>
        </w:rPr>
        <w:t xml:space="preserve">, </w:t>
      </w:r>
      <w:r w:rsidRPr="00877810">
        <w:rPr>
          <w:lang w:val="en-US"/>
        </w:rPr>
        <w:t>such as IGTO for ASBFEO.</w:t>
      </w:r>
      <w:r w:rsidR="00065357">
        <w:rPr>
          <w:rFonts w:ascii="ZWAdobeF" w:hAnsi="ZWAdobeF" w:cs="ZWAdobeF"/>
          <w:color w:val="auto"/>
          <w:sz w:val="2"/>
          <w:szCs w:val="2"/>
          <w:lang w:val="en-US"/>
        </w:rPr>
        <w:t>101F</w:t>
      </w:r>
      <w:r w:rsidR="00AE500B" w:rsidRPr="00D61F49">
        <w:rPr>
          <w:rStyle w:val="FootnoteReference"/>
          <w:sz w:val="22"/>
          <w:szCs w:val="24"/>
          <w:vertAlign w:val="superscript"/>
          <w:lang w:val="en-US"/>
        </w:rPr>
        <w:footnoteReference w:id="103"/>
      </w:r>
      <w:r w:rsidRPr="00D61F49">
        <w:rPr>
          <w:sz w:val="28"/>
          <w:szCs w:val="24"/>
          <w:vertAlign w:val="superscript"/>
          <w:lang w:val="en-US"/>
        </w:rPr>
        <w:t xml:space="preserve"> </w:t>
      </w:r>
      <w:r w:rsidRPr="00877810">
        <w:rPr>
          <w:lang w:val="en-US"/>
        </w:rPr>
        <w:t xml:space="preserve">CPA </w:t>
      </w:r>
      <w:r w:rsidR="00A94CB4">
        <w:rPr>
          <w:lang w:val="en-US"/>
        </w:rPr>
        <w:t>Australia</w:t>
      </w:r>
      <w:r w:rsidRPr="00877810">
        <w:rPr>
          <w:lang w:val="en-US"/>
        </w:rPr>
        <w:t xml:space="preserve"> </w:t>
      </w:r>
      <w:r w:rsidR="00EB0D0E">
        <w:rPr>
          <w:lang w:val="en-US"/>
        </w:rPr>
        <w:t xml:space="preserve">noted it </w:t>
      </w:r>
      <w:r w:rsidRPr="00877810">
        <w:rPr>
          <w:lang w:val="en-US"/>
        </w:rPr>
        <w:t>support</w:t>
      </w:r>
      <w:r w:rsidR="00EB0D0E">
        <w:rPr>
          <w:lang w:val="en-US"/>
        </w:rPr>
        <w:t>s</w:t>
      </w:r>
      <w:r w:rsidRPr="00877810">
        <w:rPr>
          <w:lang w:val="en-US"/>
        </w:rPr>
        <w:t xml:space="preserve"> ASBFEO being linked to the Treasury portfolio.</w:t>
      </w:r>
      <w:r w:rsidR="00065357">
        <w:rPr>
          <w:rFonts w:ascii="ZWAdobeF" w:hAnsi="ZWAdobeF" w:cs="ZWAdobeF"/>
          <w:color w:val="auto"/>
          <w:sz w:val="2"/>
          <w:szCs w:val="2"/>
          <w:lang w:val="en-US"/>
        </w:rPr>
        <w:t>102F</w:t>
      </w:r>
      <w:r w:rsidR="00033CF9" w:rsidRPr="00D61F49">
        <w:rPr>
          <w:rStyle w:val="FootnoteReference"/>
          <w:sz w:val="22"/>
          <w:szCs w:val="24"/>
          <w:vertAlign w:val="superscript"/>
          <w:lang w:val="en-US"/>
        </w:rPr>
        <w:footnoteReference w:id="104"/>
      </w:r>
    </w:p>
    <w:p w14:paraId="3EE1AD9B" w14:textId="0EEA0C37" w:rsidR="004E30A4" w:rsidRPr="00256AA0" w:rsidRDefault="004E30A4" w:rsidP="00256AA0">
      <w:pPr>
        <w:pStyle w:val="Heading3"/>
        <w:rPr>
          <w:lang w:val="en-US"/>
        </w:rPr>
      </w:pPr>
      <w:bookmarkStart w:id="93" w:name="_Toc199941001"/>
      <w:r w:rsidRPr="00256AA0">
        <w:rPr>
          <w:lang w:val="en-US"/>
        </w:rPr>
        <w:t>Analysis</w:t>
      </w:r>
      <w:bookmarkEnd w:id="93"/>
    </w:p>
    <w:p w14:paraId="68F3B89E" w14:textId="447A1A82" w:rsidR="00877810" w:rsidRPr="00877810" w:rsidRDefault="004E30A4" w:rsidP="00877810">
      <w:r w:rsidRPr="00C02E58">
        <w:rPr>
          <w:rStyle w:val="Strong"/>
        </w:rPr>
        <w:t>The Review compared ASBFEO</w:t>
      </w:r>
      <w:r>
        <w:rPr>
          <w:rStyle w:val="Strong"/>
        </w:rPr>
        <w:t>’</w:t>
      </w:r>
      <w:r w:rsidRPr="00C02E58">
        <w:rPr>
          <w:rStyle w:val="Strong"/>
        </w:rPr>
        <w:t>s current structure and the statutory authority model to ensure it was fit for purpose.</w:t>
      </w:r>
      <w:r>
        <w:rPr>
          <w:lang w:val="en-US"/>
        </w:rPr>
        <w:t xml:space="preserve"> </w:t>
      </w:r>
      <w:r w:rsidRPr="00877810">
        <w:rPr>
          <w:lang w:val="en-US"/>
        </w:rPr>
        <w:t xml:space="preserve">The operating costs and structure of FWO </w:t>
      </w:r>
      <w:r>
        <w:rPr>
          <w:lang w:val="en-US"/>
        </w:rPr>
        <w:t xml:space="preserve">with </w:t>
      </w:r>
      <w:r w:rsidR="00FF5AC3">
        <w:rPr>
          <w:lang w:val="en-US"/>
        </w:rPr>
        <w:t>almost 1,000</w:t>
      </w:r>
      <w:r>
        <w:rPr>
          <w:lang w:val="en-US"/>
        </w:rPr>
        <w:t xml:space="preserve"> staff is not comparable to ASBFEO and was not considered for the purposes of this </w:t>
      </w:r>
      <w:r w:rsidR="00A26D30">
        <w:rPr>
          <w:lang w:val="en-US"/>
        </w:rPr>
        <w:t>R</w:t>
      </w:r>
      <w:r>
        <w:rPr>
          <w:lang w:val="en-US"/>
        </w:rPr>
        <w:t>eview</w:t>
      </w:r>
      <w:r w:rsidR="006F5AA3">
        <w:rPr>
          <w:lang w:val="en-US"/>
        </w:rPr>
        <w:t>.</w:t>
      </w:r>
      <w:r w:rsidR="00065357">
        <w:rPr>
          <w:rFonts w:ascii="ZWAdobeF" w:hAnsi="ZWAdobeF" w:cs="ZWAdobeF"/>
          <w:color w:val="auto"/>
          <w:sz w:val="2"/>
          <w:szCs w:val="2"/>
          <w:lang w:val="en-US"/>
        </w:rPr>
        <w:t>103F</w:t>
      </w:r>
      <w:r w:rsidR="006F5AA3" w:rsidRPr="00D61F49">
        <w:rPr>
          <w:rStyle w:val="FootnoteReference"/>
          <w:sz w:val="22"/>
          <w:szCs w:val="24"/>
          <w:vertAlign w:val="superscript"/>
          <w:lang w:val="en-US"/>
        </w:rPr>
        <w:footnoteReference w:id="105"/>
      </w:r>
      <w:r w:rsidRPr="00D61F49">
        <w:rPr>
          <w:sz w:val="28"/>
          <w:szCs w:val="24"/>
          <w:vertAlign w:val="superscript"/>
          <w:lang w:val="en-US"/>
        </w:rPr>
        <w:t xml:space="preserve"> </w:t>
      </w:r>
      <w:r w:rsidR="00877810" w:rsidRPr="00C02E58">
        <w:t xml:space="preserve">The </w:t>
      </w:r>
      <w:r w:rsidR="00877810" w:rsidRPr="00C02E58">
        <w:rPr>
          <w:rStyle w:val="Emphasis"/>
        </w:rPr>
        <w:t>Inspector</w:t>
      </w:r>
      <w:r w:rsidR="00916FA5">
        <w:rPr>
          <w:rStyle w:val="Emphasis"/>
        </w:rPr>
        <w:noBreakHyphen/>
      </w:r>
      <w:r w:rsidR="00877810" w:rsidRPr="00C02E58">
        <w:rPr>
          <w:rStyle w:val="Emphasis"/>
        </w:rPr>
        <w:t>General of Taxation Act 2003</w:t>
      </w:r>
      <w:r w:rsidR="00877810" w:rsidRPr="00606256">
        <w:rPr>
          <w:rStyle w:val="Strong"/>
          <w:b w:val="0"/>
          <w:i/>
        </w:rPr>
        <w:t xml:space="preserve"> </w:t>
      </w:r>
      <w:r w:rsidR="00877810" w:rsidRPr="00C02E58">
        <w:t>establishes the IGTO as a statutory authority</w:t>
      </w:r>
      <w:r w:rsidR="00916FA5" w:rsidRPr="00C02E58">
        <w:t xml:space="preserve"> – </w:t>
      </w:r>
      <w:r w:rsidR="00877810" w:rsidRPr="00C02E58">
        <w:t>comprised of the Inspector</w:t>
      </w:r>
      <w:r w:rsidR="00916FA5">
        <w:noBreakHyphen/>
      </w:r>
      <w:r w:rsidR="00877810" w:rsidRPr="00C02E58">
        <w:t>General and the APS employees assisting them. The Inspector</w:t>
      </w:r>
      <w:r w:rsidR="00916FA5">
        <w:noBreakHyphen/>
      </w:r>
      <w:r w:rsidR="00877810" w:rsidRPr="00C02E58">
        <w:t>General is the Agency Head under the Public Service Act, with the agency being a separately listed entity for PGPA Act purposes.</w:t>
      </w:r>
      <w:r w:rsidR="00065357">
        <w:rPr>
          <w:rFonts w:ascii="ZWAdobeF" w:hAnsi="ZWAdobeF" w:cs="ZWAdobeF"/>
          <w:color w:val="auto"/>
          <w:sz w:val="2"/>
          <w:szCs w:val="2"/>
        </w:rPr>
        <w:t>104F</w:t>
      </w:r>
      <w:r w:rsidR="00AE3C74" w:rsidRPr="00D61F49">
        <w:rPr>
          <w:rStyle w:val="FootnoteReference"/>
          <w:sz w:val="22"/>
          <w:szCs w:val="24"/>
          <w:vertAlign w:val="superscript"/>
          <w:lang w:val="en-US"/>
        </w:rPr>
        <w:footnoteReference w:id="106"/>
      </w:r>
      <w:r w:rsidR="00877810" w:rsidRPr="00877810">
        <w:rPr>
          <w:lang w:val="en-US"/>
        </w:rPr>
        <w:t xml:space="preserve"> </w:t>
      </w:r>
      <w:r w:rsidR="00877810" w:rsidRPr="00C02E58">
        <w:t xml:space="preserve">The PGPA Act and Public Service Act impose </w:t>
      </w:r>
      <w:proofErr w:type="gramStart"/>
      <w:r w:rsidR="00877810" w:rsidRPr="00C02E58">
        <w:t>a number of</w:t>
      </w:r>
      <w:proofErr w:type="gramEnd"/>
      <w:r w:rsidR="00877810" w:rsidRPr="00C02E58">
        <w:t xml:space="preserve"> legal, corporate and governance functions on </w:t>
      </w:r>
      <w:r w:rsidR="008E66C5" w:rsidRPr="00C02E58">
        <w:t>A</w:t>
      </w:r>
      <w:r w:rsidR="00877810" w:rsidRPr="00C02E58">
        <w:t xml:space="preserve">gency </w:t>
      </w:r>
      <w:r w:rsidR="008E66C5" w:rsidRPr="00C02E58">
        <w:t>H</w:t>
      </w:r>
      <w:r w:rsidR="00877810" w:rsidRPr="00C02E58">
        <w:t xml:space="preserve">eads. For example, managing the </w:t>
      </w:r>
      <w:r w:rsidR="008E66C5" w:rsidRPr="00C02E58">
        <w:t>h</w:t>
      </w:r>
      <w:r w:rsidR="00037B54" w:rsidRPr="00C02E58">
        <w:t xml:space="preserve">uman </w:t>
      </w:r>
      <w:r w:rsidR="008E66C5" w:rsidRPr="00C02E58">
        <w:t>r</w:t>
      </w:r>
      <w:r w:rsidR="00037B54" w:rsidRPr="00C02E58">
        <w:t>esources</w:t>
      </w:r>
      <w:r w:rsidR="00877810" w:rsidRPr="00C02E58">
        <w:t xml:space="preserve">, finance and </w:t>
      </w:r>
      <w:r w:rsidR="00037B54" w:rsidRPr="00C02E58">
        <w:t>information technology</w:t>
      </w:r>
      <w:r w:rsidR="00877810" w:rsidRPr="00C02E58">
        <w:t xml:space="preserve"> functionality. IGTO has advised that its staffing and annual funding levels are very similar to ASBFEO</w:t>
      </w:r>
      <w:r w:rsidR="00916FA5">
        <w:t>’</w:t>
      </w:r>
      <w:r w:rsidR="00877810" w:rsidRPr="00C02E58">
        <w:t>s</w:t>
      </w:r>
      <w:r w:rsidR="00F94ECD" w:rsidRPr="00C02E58">
        <w:t>,</w:t>
      </w:r>
      <w:r w:rsidR="00877810" w:rsidRPr="00C02E58">
        <w:t xml:space="preserve"> however, approximately 4 of its 35 staff members are required to manage the corporate and governance functions</w:t>
      </w:r>
      <w:r w:rsidR="00916FA5" w:rsidRPr="00C02E58">
        <w:t>.</w:t>
      </w:r>
    </w:p>
    <w:p w14:paraId="68FE79FC" w14:textId="4F215482" w:rsidR="00877810" w:rsidRPr="00877810" w:rsidRDefault="00877810" w:rsidP="00877810">
      <w:r w:rsidRPr="00F03387">
        <w:rPr>
          <w:rStyle w:val="Strong"/>
        </w:rPr>
        <w:t xml:space="preserve">The </w:t>
      </w:r>
      <w:r w:rsidR="00A26D30">
        <w:rPr>
          <w:rStyle w:val="Strong"/>
        </w:rPr>
        <w:t>R</w:t>
      </w:r>
      <w:r w:rsidRPr="00F03387">
        <w:rPr>
          <w:rStyle w:val="Strong"/>
        </w:rPr>
        <w:t>eview found that the current structure is suitable for ASBFEO.</w:t>
      </w:r>
      <w:r w:rsidRPr="00877810">
        <w:rPr>
          <w:lang w:val="en-US"/>
        </w:rPr>
        <w:t xml:space="preserve"> As a smaller office, it is difficult to see how reallocating existing staff away from advocacy or assistance activities to corporate activities would benefit the small business sector</w:t>
      </w:r>
      <w:r w:rsidR="00916FA5">
        <w:rPr>
          <w:lang w:val="en-US"/>
        </w:rPr>
        <w:t xml:space="preserve">. </w:t>
      </w:r>
    </w:p>
    <w:p w14:paraId="09EE0CEA" w14:textId="77777777" w:rsidR="001B2CB6" w:rsidRDefault="001B2CB6">
      <w:pPr>
        <w:spacing w:before="0" w:after="160" w:line="259" w:lineRule="auto"/>
        <w:rPr>
          <w:rFonts w:asciiTheme="majorHAnsi" w:hAnsiTheme="majorHAnsi" w:cs="Arial"/>
          <w:iCs/>
          <w:color w:val="002B54"/>
          <w:kern w:val="32"/>
          <w:sz w:val="48"/>
          <w:szCs w:val="28"/>
          <w:lang w:val="en-US"/>
        </w:rPr>
      </w:pPr>
      <w:r>
        <w:rPr>
          <w:lang w:val="en-US"/>
        </w:rPr>
        <w:br w:type="page"/>
      </w:r>
    </w:p>
    <w:p w14:paraId="123F982F" w14:textId="4ABB2E5A" w:rsidR="00877810" w:rsidRPr="00877810" w:rsidRDefault="00877810" w:rsidP="004777E6">
      <w:pPr>
        <w:pStyle w:val="Heading2"/>
      </w:pPr>
      <w:bookmarkStart w:id="94" w:name="_Toc199941002"/>
      <w:r w:rsidRPr="00877810">
        <w:rPr>
          <w:lang w:val="en-US"/>
        </w:rPr>
        <w:lastRenderedPageBreak/>
        <w:t xml:space="preserve">ASBFEO </w:t>
      </w:r>
      <w:r w:rsidR="00C15671">
        <w:rPr>
          <w:lang w:val="en-US"/>
        </w:rPr>
        <w:t>f</w:t>
      </w:r>
      <w:r w:rsidRPr="00877810">
        <w:rPr>
          <w:lang w:val="en-US"/>
        </w:rPr>
        <w:t>unding</w:t>
      </w:r>
      <w:bookmarkEnd w:id="94"/>
      <w:r w:rsidRPr="00877810">
        <w:t> </w:t>
      </w:r>
    </w:p>
    <w:p w14:paraId="1834D112" w14:textId="2622AE1A" w:rsidR="00191410" w:rsidRPr="00877810" w:rsidRDefault="00191410" w:rsidP="00191410">
      <w:r w:rsidRPr="00C02E58">
        <w:rPr>
          <w:rStyle w:val="Strong"/>
        </w:rPr>
        <w:t>ASBFEO is funded from the Treasury</w:t>
      </w:r>
      <w:r w:rsidR="003A0D5E">
        <w:rPr>
          <w:rStyle w:val="Strong"/>
        </w:rPr>
        <w:t>’</w:t>
      </w:r>
      <w:r w:rsidRPr="00C02E58">
        <w:rPr>
          <w:rStyle w:val="Strong"/>
        </w:rPr>
        <w:t>s operating revenue through its internal budget process</w:t>
      </w:r>
      <w:r w:rsidRPr="00877810">
        <w:rPr>
          <w:b/>
          <w:bCs/>
          <w:lang w:val="en-US"/>
        </w:rPr>
        <w:t>.</w:t>
      </w:r>
      <w:r w:rsidRPr="00877810">
        <w:rPr>
          <w:lang w:val="en-US"/>
        </w:rPr>
        <w:t xml:space="preserve"> The Ombudsman is supported by approximately 30 staff across </w:t>
      </w:r>
      <w:r w:rsidR="00035D42">
        <w:rPr>
          <w:lang w:val="en-US"/>
        </w:rPr>
        <w:t>4</w:t>
      </w:r>
      <w:r w:rsidR="00035D42" w:rsidRPr="00877810">
        <w:rPr>
          <w:lang w:val="en-US"/>
        </w:rPr>
        <w:t xml:space="preserve"> </w:t>
      </w:r>
      <w:r w:rsidRPr="00877810">
        <w:rPr>
          <w:lang w:val="en-US"/>
        </w:rPr>
        <w:t>units</w:t>
      </w:r>
      <w:r>
        <w:rPr>
          <w:lang w:val="en-US"/>
        </w:rPr>
        <w:t>:</w:t>
      </w:r>
      <w:r w:rsidRPr="00877810">
        <w:rPr>
          <w:lang w:val="en-US"/>
        </w:rPr>
        <w:t xml:space="preserve"> Policy </w:t>
      </w:r>
      <w:r w:rsidR="00035D42">
        <w:rPr>
          <w:lang w:val="en-US"/>
        </w:rPr>
        <w:t>and</w:t>
      </w:r>
      <w:r w:rsidR="00035D42" w:rsidRPr="00877810">
        <w:rPr>
          <w:lang w:val="en-US"/>
        </w:rPr>
        <w:t xml:space="preserve"> </w:t>
      </w:r>
      <w:r w:rsidRPr="00877810">
        <w:rPr>
          <w:lang w:val="en-US"/>
        </w:rPr>
        <w:t>Advocacy</w:t>
      </w:r>
      <w:r>
        <w:rPr>
          <w:lang w:val="en-US"/>
        </w:rPr>
        <w:t>,</w:t>
      </w:r>
      <w:r w:rsidRPr="00877810">
        <w:rPr>
          <w:lang w:val="en-US"/>
        </w:rPr>
        <w:t xml:space="preserve"> Economics, Data Analytics &amp; Assistance</w:t>
      </w:r>
      <w:r>
        <w:rPr>
          <w:lang w:val="en-US"/>
        </w:rPr>
        <w:t>,</w:t>
      </w:r>
      <w:r w:rsidRPr="00877810">
        <w:rPr>
          <w:lang w:val="en-US"/>
        </w:rPr>
        <w:t xml:space="preserve"> Media and Communications</w:t>
      </w:r>
      <w:r>
        <w:rPr>
          <w:lang w:val="en-US"/>
        </w:rPr>
        <w:t>,</w:t>
      </w:r>
      <w:r w:rsidRPr="00877810">
        <w:rPr>
          <w:lang w:val="en-US"/>
        </w:rPr>
        <w:t xml:space="preserve"> and Business Management and Corporate </w:t>
      </w:r>
      <w:r>
        <w:rPr>
          <w:lang w:val="en-US"/>
        </w:rPr>
        <w:t>O</w:t>
      </w:r>
      <w:r w:rsidRPr="00877810">
        <w:rPr>
          <w:lang w:val="en-US"/>
        </w:rPr>
        <w:t>perations.</w:t>
      </w:r>
      <w:r>
        <w:t xml:space="preserve"> Figure </w:t>
      </w:r>
      <w:r w:rsidR="00F01C30">
        <w:t xml:space="preserve">6.1 </w:t>
      </w:r>
      <w:r>
        <w:t xml:space="preserve">shows the current </w:t>
      </w:r>
      <w:r w:rsidR="00306BC5">
        <w:t>focus</w:t>
      </w:r>
      <w:r>
        <w:t xml:space="preserve"> of ASBFEO staff.</w:t>
      </w:r>
    </w:p>
    <w:p w14:paraId="0D536308" w14:textId="389B84DE" w:rsidR="00D86666" w:rsidRPr="00617DA9" w:rsidRDefault="00D86666" w:rsidP="00C02E58">
      <w:pPr>
        <w:pStyle w:val="ChartMainHeading"/>
        <w:rPr>
          <w:lang w:val="en-US"/>
        </w:rPr>
      </w:pPr>
      <w:r>
        <w:rPr>
          <w:lang w:val="en-US"/>
        </w:rPr>
        <w:t xml:space="preserve">Figure </w:t>
      </w:r>
      <w:r w:rsidR="0058520B">
        <w:rPr>
          <w:lang w:val="en-US"/>
        </w:rPr>
        <w:t>6.1</w:t>
      </w:r>
      <w:r w:rsidRPr="00C47726">
        <w:rPr>
          <w:lang w:val="en-US"/>
        </w:rPr>
        <w:t xml:space="preserve">: </w:t>
      </w:r>
      <w:r w:rsidR="0058520B">
        <w:rPr>
          <w:lang w:val="en-US"/>
        </w:rPr>
        <w:t>Organisational chart</w:t>
      </w:r>
    </w:p>
    <w:p w14:paraId="4F37E5F7" w14:textId="2CD4D10E" w:rsidR="008B14E4" w:rsidRPr="00877810" w:rsidRDefault="008B14E4" w:rsidP="00191410">
      <w:r>
        <w:rPr>
          <w:noProof/>
        </w:rPr>
        <w:drawing>
          <wp:inline distT="0" distB="0" distL="0" distR="0" wp14:anchorId="14255F69" wp14:editId="685666A6">
            <wp:extent cx="5759450" cy="1762837"/>
            <wp:effectExtent l="0" t="0" r="0" b="8890"/>
            <wp:docPr id="167871994" name="Picture 4" descr="This high-level organisation chart shows the structure of ASBFEO. The Ombudsman is supported by staff working across four units. The Business Management and Corporate Operations Unit - there are two teams in this unit - Administration and Corporate Operations, and Strategic Engagement.&#10;The Media and Communications Unit is supported by the Media and Communications team.&#10;The Policy and Advocacy Unit is supported by the Policy and Advocacy team.&#10;The Economics, Data Analytics &amp; Assistance Unit is supported by two teams; the Information and Assistance team, and the Economics and Data Analytics te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1994" name="Picture 4" descr="This high-level organisation chart shows the structure of ASBFEO. The Ombudsman is supported by staff working across four units. The Business Management and Corporate Operations Unit - there are two teams in this unit - Administration and Corporate Operations, and Strategic Engagement.&#10;The Media and Communications Unit is supported by the Media and Communications team.&#10;The Policy and Advocacy Unit is supported by the Policy and Advocacy team.&#10;The Economics, Data Analytics &amp; Assistance Unit is supported by two teams; the Information and Assistance team, and the Economics and Data Analytics team.&#10;"/>
                    <pic:cNvPicPr>
                      <a:picLocks noChangeAspect="1" noChangeArrowheads="1"/>
                    </pic:cNvPicPr>
                  </pic:nvPicPr>
                  <pic:blipFill>
                    <a:blip r:embed="rId67">
                      <a:extLst>
                        <a:ext uri="{96DAC541-7B7A-43D3-8B79-37D633B846F1}">
                          <asvg:svgBlip xmlns:asvg="http://schemas.microsoft.com/office/drawing/2016/SVG/main" r:embed="rId68"/>
                        </a:ext>
                      </a:extLst>
                    </a:blip>
                    <a:stretch>
                      <a:fillRect/>
                    </a:stretch>
                  </pic:blipFill>
                  <pic:spPr bwMode="auto">
                    <a:xfrm>
                      <a:off x="0" y="0"/>
                      <a:ext cx="5759450" cy="1762837"/>
                    </a:xfrm>
                    <a:prstGeom prst="rect">
                      <a:avLst/>
                    </a:prstGeom>
                  </pic:spPr>
                </pic:pic>
              </a:graphicData>
            </a:graphic>
          </wp:inline>
        </w:drawing>
      </w:r>
    </w:p>
    <w:p w14:paraId="068DF5F6" w14:textId="503513BB" w:rsidR="00877810" w:rsidRPr="00877810" w:rsidRDefault="00191410" w:rsidP="00877810">
      <w:r w:rsidRPr="00C02E58">
        <w:rPr>
          <w:rStyle w:val="Strong"/>
        </w:rPr>
        <w:t xml:space="preserve">The annual budget has varied over the </w:t>
      </w:r>
      <w:r w:rsidR="00035D42" w:rsidRPr="00C02E58">
        <w:rPr>
          <w:rStyle w:val="Strong"/>
        </w:rPr>
        <w:t xml:space="preserve">4 </w:t>
      </w:r>
      <w:r w:rsidRPr="00C02E58">
        <w:rPr>
          <w:rStyle w:val="Strong"/>
        </w:rPr>
        <w:t>years of the Review period, with actual expenditure close to $6</w:t>
      </w:r>
      <w:r w:rsidR="0097333B" w:rsidRPr="00C02E58">
        <w:rPr>
          <w:rStyle w:val="Strong"/>
        </w:rPr>
        <w:t xml:space="preserve"> </w:t>
      </w:r>
      <w:r w:rsidRPr="00C02E58">
        <w:rPr>
          <w:rStyle w:val="Strong"/>
        </w:rPr>
        <w:t>m</w:t>
      </w:r>
      <w:r w:rsidR="0097333B" w:rsidRPr="00C02E58">
        <w:rPr>
          <w:rStyle w:val="Strong"/>
        </w:rPr>
        <w:t>illion</w:t>
      </w:r>
      <w:r w:rsidRPr="00C02E58">
        <w:rPr>
          <w:rStyle w:val="Strong"/>
        </w:rPr>
        <w:t xml:space="preserve"> in 2022</w:t>
      </w:r>
      <w:r w:rsidR="00035D42" w:rsidRPr="00C02E58">
        <w:rPr>
          <w:rStyle w:val="Strong"/>
        </w:rPr>
        <w:t>–</w:t>
      </w:r>
      <w:r w:rsidRPr="00C02E58">
        <w:rPr>
          <w:rStyle w:val="Strong"/>
        </w:rPr>
        <w:t>23 and 2023</w:t>
      </w:r>
      <w:r w:rsidR="00035D42" w:rsidRPr="00C02E58">
        <w:rPr>
          <w:rStyle w:val="Strong"/>
        </w:rPr>
        <w:t>–</w:t>
      </w:r>
      <w:r w:rsidRPr="00C02E58">
        <w:rPr>
          <w:rStyle w:val="Strong"/>
        </w:rPr>
        <w:t>24.</w:t>
      </w:r>
      <w:r>
        <w:rPr>
          <w:b/>
          <w:bCs/>
          <w:lang w:val="en-US"/>
        </w:rPr>
        <w:t xml:space="preserve"> </w:t>
      </w:r>
      <w:r w:rsidRPr="00AA4DFA">
        <w:rPr>
          <w:lang w:val="en-US"/>
        </w:rPr>
        <w:t xml:space="preserve">It is tracking towards a similar amount based on financial year to date expenditure as </w:t>
      </w:r>
      <w:r w:rsidR="00F21CA2" w:rsidRPr="00AA4DFA">
        <w:rPr>
          <w:lang w:val="en-US"/>
        </w:rPr>
        <w:t>of</w:t>
      </w:r>
      <w:r w:rsidRPr="00AA4DFA">
        <w:rPr>
          <w:lang w:val="en-US"/>
        </w:rPr>
        <w:t xml:space="preserve"> 31 January 2025</w:t>
      </w:r>
      <w:r w:rsidR="0097333B" w:rsidRPr="00AA4DFA">
        <w:rPr>
          <w:lang w:val="en-US"/>
        </w:rPr>
        <w:t xml:space="preserve"> (</w:t>
      </w:r>
      <w:r w:rsidRPr="00AA4DFA">
        <w:rPr>
          <w:lang w:val="en-US"/>
        </w:rPr>
        <w:t xml:space="preserve">Table </w:t>
      </w:r>
      <w:r w:rsidR="001726A2" w:rsidRPr="00AA4DFA">
        <w:rPr>
          <w:lang w:val="en-US"/>
        </w:rPr>
        <w:t>6</w:t>
      </w:r>
      <w:r w:rsidRPr="00AA4DFA">
        <w:rPr>
          <w:lang w:val="en-US"/>
        </w:rPr>
        <w:t>.1</w:t>
      </w:r>
      <w:r w:rsidR="0097333B" w:rsidRPr="00AA4DFA">
        <w:rPr>
          <w:lang w:val="en-US"/>
        </w:rPr>
        <w:t>)</w:t>
      </w:r>
      <w:r w:rsidRPr="00AA4DFA">
        <w:rPr>
          <w:lang w:val="en-US"/>
        </w:rPr>
        <w:t>.</w:t>
      </w:r>
      <w:r w:rsidR="00035D42" w:rsidDel="0097333B">
        <w:rPr>
          <w:lang w:val="en-US"/>
        </w:rPr>
        <w:t xml:space="preserve"> </w:t>
      </w:r>
      <w:r w:rsidRPr="00877810">
        <w:rPr>
          <w:lang w:val="en-US"/>
        </w:rPr>
        <w:t>ASBFEO ha</w:t>
      </w:r>
      <w:r>
        <w:rPr>
          <w:lang w:val="en-US"/>
        </w:rPr>
        <w:t>s</w:t>
      </w:r>
      <w:r w:rsidRPr="00877810">
        <w:rPr>
          <w:lang w:val="en-US"/>
        </w:rPr>
        <w:t xml:space="preserve"> underspent</w:t>
      </w:r>
      <w:r>
        <w:rPr>
          <w:lang w:val="en-US"/>
        </w:rPr>
        <w:t xml:space="preserve"> its budget</w:t>
      </w:r>
      <w:r w:rsidRPr="00877810">
        <w:rPr>
          <w:lang w:val="en-US"/>
        </w:rPr>
        <w:t xml:space="preserve"> in the previous </w:t>
      </w:r>
      <w:r w:rsidR="00035D42">
        <w:rPr>
          <w:lang w:val="en-US"/>
        </w:rPr>
        <w:t>3</w:t>
      </w:r>
      <w:r w:rsidR="00035D42" w:rsidRPr="00877810">
        <w:rPr>
          <w:lang w:val="en-US"/>
        </w:rPr>
        <w:t xml:space="preserve"> </w:t>
      </w:r>
      <w:r w:rsidRPr="00877810">
        <w:rPr>
          <w:lang w:val="en-US"/>
        </w:rPr>
        <w:t xml:space="preserve">financial years and </w:t>
      </w:r>
      <w:r>
        <w:rPr>
          <w:lang w:val="en-US"/>
        </w:rPr>
        <w:t>is</w:t>
      </w:r>
      <w:r w:rsidRPr="00877810">
        <w:rPr>
          <w:lang w:val="en-US"/>
        </w:rPr>
        <w:t xml:space="preserve"> tracking to do so again</w:t>
      </w:r>
      <w:r>
        <w:rPr>
          <w:lang w:val="en-US"/>
        </w:rPr>
        <w:t xml:space="preserve"> this year</w:t>
      </w:r>
      <w:r w:rsidRPr="00877810">
        <w:rPr>
          <w:lang w:val="en-US"/>
        </w:rPr>
        <w:t>.</w:t>
      </w:r>
    </w:p>
    <w:p w14:paraId="0F21979E" w14:textId="0D09539E" w:rsidR="00877810" w:rsidRPr="00D25AC1" w:rsidRDefault="00877810" w:rsidP="009F7F77">
      <w:pPr>
        <w:pStyle w:val="TableMainHeading"/>
        <w:rPr>
          <w:lang w:val="en-US"/>
        </w:rPr>
      </w:pPr>
      <w:r w:rsidRPr="00877810">
        <w:rPr>
          <w:lang w:val="en-US"/>
        </w:rPr>
        <w:t xml:space="preserve">Table </w:t>
      </w:r>
      <w:r w:rsidR="001726A2">
        <w:rPr>
          <w:lang w:val="en-US"/>
        </w:rPr>
        <w:t>6</w:t>
      </w:r>
      <w:r w:rsidRPr="00877810">
        <w:rPr>
          <w:lang w:val="en-US"/>
        </w:rPr>
        <w:t>.1</w:t>
      </w:r>
      <w:r w:rsidR="00D2566A">
        <w:rPr>
          <w:lang w:val="en-US"/>
        </w:rPr>
        <w:t>:</w:t>
      </w:r>
      <w:r w:rsidR="00D05414">
        <w:rPr>
          <w:lang w:val="en-US"/>
        </w:rPr>
        <w:t xml:space="preserve"> </w:t>
      </w:r>
      <w:r w:rsidRPr="00877810">
        <w:rPr>
          <w:lang w:val="en-US"/>
        </w:rPr>
        <w:t xml:space="preserve">ASBFEO </w:t>
      </w:r>
      <w:r w:rsidR="0097333B">
        <w:rPr>
          <w:lang w:val="en-US"/>
        </w:rPr>
        <w:t>a</w:t>
      </w:r>
      <w:r w:rsidRPr="00877810">
        <w:rPr>
          <w:lang w:val="en-US"/>
        </w:rPr>
        <w:t xml:space="preserve">nnual </w:t>
      </w:r>
      <w:r w:rsidR="0097333B">
        <w:rPr>
          <w:lang w:val="en-US"/>
        </w:rPr>
        <w:t>f</w:t>
      </w:r>
      <w:r w:rsidRPr="00877810">
        <w:rPr>
          <w:lang w:val="en-US"/>
        </w:rPr>
        <w:t xml:space="preserve">unding </w:t>
      </w:r>
      <w:r w:rsidR="0097333B">
        <w:rPr>
          <w:lang w:val="en-US"/>
        </w:rPr>
        <w:t>l</w:t>
      </w:r>
      <w:r w:rsidRPr="00877810">
        <w:rPr>
          <w:lang w:val="en-US"/>
        </w:rPr>
        <w:t>evels 2021</w:t>
      </w:r>
      <w:r w:rsidR="00D05414" w:rsidRPr="00D25AC1">
        <w:rPr>
          <w:lang w:val="en-US"/>
        </w:rPr>
        <w:t>–</w:t>
      </w:r>
      <w:r w:rsidRPr="00877810">
        <w:rPr>
          <w:lang w:val="en-US"/>
        </w:rPr>
        <w:t>22 to 2024</w:t>
      </w:r>
      <w:r w:rsidR="00D05414" w:rsidRPr="00D25AC1">
        <w:rPr>
          <w:lang w:val="en-US"/>
        </w:rPr>
        <w:t>–</w:t>
      </w:r>
      <w:r w:rsidRPr="00877810">
        <w:rPr>
          <w:lang w:val="en-US"/>
        </w:rPr>
        <w:t xml:space="preserve">25 </w:t>
      </w:r>
      <w:r w:rsidR="0097333B">
        <w:rPr>
          <w:lang w:val="en-US"/>
        </w:rPr>
        <w:t>y</w:t>
      </w:r>
      <w:r w:rsidRPr="00877810">
        <w:rPr>
          <w:lang w:val="en-US"/>
        </w:rPr>
        <w:t>ear</w:t>
      </w:r>
      <w:r w:rsidR="00916FA5">
        <w:rPr>
          <w:lang w:val="en-US"/>
        </w:rPr>
        <w:noBreakHyphen/>
      </w:r>
      <w:r w:rsidRPr="00877810">
        <w:rPr>
          <w:lang w:val="en-US"/>
        </w:rPr>
        <w:t>to</w:t>
      </w:r>
      <w:r w:rsidR="00916FA5">
        <w:rPr>
          <w:lang w:val="en-US"/>
        </w:rPr>
        <w:noBreakHyphen/>
      </w:r>
      <w:r w:rsidR="0097333B">
        <w:rPr>
          <w:lang w:val="en-US"/>
        </w:rPr>
        <w:t>d</w:t>
      </w:r>
      <w:r w:rsidRPr="00877810">
        <w:rPr>
          <w:lang w:val="en-US"/>
        </w:rPr>
        <w:t>ate</w:t>
      </w:r>
      <w:r w:rsidRPr="00D25AC1">
        <w:rPr>
          <w:lang w:val="en-US"/>
        </w:rPr>
        <w:t> </w:t>
      </w:r>
    </w:p>
    <w:tbl>
      <w:tblPr>
        <w:tblStyle w:val="TableGrid"/>
        <w:tblW w:w="5000" w:type="pct"/>
        <w:tblLook w:val="04A0" w:firstRow="1" w:lastRow="0" w:firstColumn="1" w:lastColumn="0" w:noHBand="0" w:noVBand="1"/>
      </w:tblPr>
      <w:tblGrid>
        <w:gridCol w:w="3828"/>
        <w:gridCol w:w="1275"/>
        <w:gridCol w:w="1134"/>
        <w:gridCol w:w="1560"/>
        <w:gridCol w:w="1273"/>
      </w:tblGrid>
      <w:tr w:rsidR="001E00A2" w:rsidRPr="00877810" w14:paraId="2D7F0B6A" w14:textId="35866875" w:rsidTr="001C4F29">
        <w:trPr>
          <w:cnfStyle w:val="100000000000" w:firstRow="1" w:lastRow="0" w:firstColumn="0" w:lastColumn="0" w:oddVBand="0" w:evenVBand="0" w:oddHBand="0" w:evenHBand="0" w:firstRowFirstColumn="0" w:firstRowLastColumn="0" w:lastRowFirstColumn="0" w:lastRowLastColumn="0"/>
          <w:trHeight w:val="300"/>
        </w:trPr>
        <w:tc>
          <w:tcPr>
            <w:tcW w:w="3828" w:type="dxa"/>
          </w:tcPr>
          <w:p w14:paraId="26826988" w14:textId="08315DAC" w:rsidR="001E00A2" w:rsidRPr="00877810" w:rsidRDefault="001E00A2">
            <w:pPr>
              <w:pStyle w:val="TableColumnHeadingLeft"/>
            </w:pPr>
          </w:p>
        </w:tc>
        <w:tc>
          <w:tcPr>
            <w:tcW w:w="1275" w:type="dxa"/>
          </w:tcPr>
          <w:p w14:paraId="74173F59" w14:textId="167519AA" w:rsidR="001E00A2" w:rsidRPr="00877810" w:rsidRDefault="00E5650C" w:rsidP="00C739BB">
            <w:pPr>
              <w:pStyle w:val="TableColumnHeadingRight"/>
            </w:pPr>
            <w:r>
              <w:t>2021</w:t>
            </w:r>
            <w:r w:rsidR="0097333B">
              <w:t>–</w:t>
            </w:r>
            <w:r>
              <w:t>22</w:t>
            </w:r>
          </w:p>
        </w:tc>
        <w:tc>
          <w:tcPr>
            <w:tcW w:w="1134" w:type="dxa"/>
          </w:tcPr>
          <w:p w14:paraId="3AE63B55" w14:textId="25665EB5" w:rsidR="001E00A2" w:rsidRPr="00877810" w:rsidRDefault="00E5650C" w:rsidP="00C739BB">
            <w:pPr>
              <w:pStyle w:val="TableColumnHeadingRight"/>
            </w:pPr>
            <w:r>
              <w:t>2022</w:t>
            </w:r>
            <w:r w:rsidR="0097333B">
              <w:t>–</w:t>
            </w:r>
            <w:r>
              <w:t>23</w:t>
            </w:r>
          </w:p>
        </w:tc>
        <w:tc>
          <w:tcPr>
            <w:tcW w:w="1560" w:type="dxa"/>
          </w:tcPr>
          <w:p w14:paraId="006221CE" w14:textId="634C1853" w:rsidR="001E00A2" w:rsidRPr="00877810" w:rsidRDefault="00E5650C" w:rsidP="00C739BB">
            <w:pPr>
              <w:pStyle w:val="TableColumnHeadingRight"/>
            </w:pPr>
            <w:r>
              <w:t>2023</w:t>
            </w:r>
            <w:r w:rsidR="0097333B">
              <w:t>–</w:t>
            </w:r>
            <w:r>
              <w:t>24</w:t>
            </w:r>
          </w:p>
        </w:tc>
        <w:tc>
          <w:tcPr>
            <w:tcW w:w="1273" w:type="dxa"/>
          </w:tcPr>
          <w:p w14:paraId="4FB79262" w14:textId="794E086F" w:rsidR="001E00A2" w:rsidRPr="00877810" w:rsidRDefault="00E5650C" w:rsidP="00C739BB">
            <w:pPr>
              <w:pStyle w:val="TableColumnHeadingRight"/>
            </w:pPr>
            <w:r>
              <w:t>2024</w:t>
            </w:r>
            <w:r w:rsidR="0097333B">
              <w:t>–</w:t>
            </w:r>
            <w:r w:rsidR="00E750E1">
              <w:t>25</w:t>
            </w:r>
            <w:r w:rsidR="00E877FD">
              <w:t>*</w:t>
            </w:r>
          </w:p>
        </w:tc>
      </w:tr>
      <w:tr w:rsidR="003F0873" w:rsidRPr="00877810" w14:paraId="7EF6D25C" w14:textId="77777777">
        <w:trPr>
          <w:cnfStyle w:val="000000100000" w:firstRow="0" w:lastRow="0" w:firstColumn="0" w:lastColumn="0" w:oddVBand="0" w:evenVBand="0" w:oddHBand="1" w:evenHBand="0" w:firstRowFirstColumn="0" w:firstRowLastColumn="0" w:lastRowFirstColumn="0" w:lastRowLastColumn="0"/>
          <w:trHeight w:val="300"/>
        </w:trPr>
        <w:tc>
          <w:tcPr>
            <w:tcW w:w="3828" w:type="dxa"/>
          </w:tcPr>
          <w:p w14:paraId="3110E74E" w14:textId="77777777" w:rsidR="003F0873" w:rsidRPr="00AD3786" w:rsidRDefault="003F0873">
            <w:pPr>
              <w:pStyle w:val="TableTextLeft"/>
            </w:pPr>
            <w:r>
              <w:t>Departmental Budget</w:t>
            </w:r>
          </w:p>
        </w:tc>
        <w:tc>
          <w:tcPr>
            <w:tcW w:w="1275" w:type="dxa"/>
          </w:tcPr>
          <w:p w14:paraId="70866836" w14:textId="77777777" w:rsidR="003F0873" w:rsidRPr="00AD3786" w:rsidRDefault="003F0873" w:rsidP="00C739BB">
            <w:pPr>
              <w:pStyle w:val="TableTextRight"/>
            </w:pPr>
            <w:r>
              <w:t>$7,645,000</w:t>
            </w:r>
          </w:p>
        </w:tc>
        <w:tc>
          <w:tcPr>
            <w:tcW w:w="1134" w:type="dxa"/>
          </w:tcPr>
          <w:p w14:paraId="6F58C764" w14:textId="77777777" w:rsidR="003F0873" w:rsidRPr="00AD3786" w:rsidRDefault="003F0873" w:rsidP="00C739BB">
            <w:pPr>
              <w:pStyle w:val="TableTextRight"/>
            </w:pPr>
            <w:r>
              <w:t>$6,499,436</w:t>
            </w:r>
          </w:p>
        </w:tc>
        <w:tc>
          <w:tcPr>
            <w:tcW w:w="1560" w:type="dxa"/>
          </w:tcPr>
          <w:p w14:paraId="3BE63732" w14:textId="77777777" w:rsidR="003F0873" w:rsidRPr="00AD3786" w:rsidRDefault="003F0873" w:rsidP="00C739BB">
            <w:pPr>
              <w:pStyle w:val="TableTextRight"/>
            </w:pPr>
            <w:r>
              <w:t>$6,475,000</w:t>
            </w:r>
          </w:p>
        </w:tc>
        <w:tc>
          <w:tcPr>
            <w:tcW w:w="1273" w:type="dxa"/>
          </w:tcPr>
          <w:p w14:paraId="09E05A5A" w14:textId="77777777" w:rsidR="003F0873" w:rsidRPr="00AD3786" w:rsidRDefault="003F0873" w:rsidP="00C739BB">
            <w:pPr>
              <w:pStyle w:val="TableTextRight"/>
            </w:pPr>
            <w:r>
              <w:t>$6,369,000</w:t>
            </w:r>
          </w:p>
        </w:tc>
      </w:tr>
      <w:tr w:rsidR="001E00A2" w:rsidRPr="00877810" w14:paraId="0B645176" w14:textId="6C2376BD" w:rsidTr="001C4F29">
        <w:trPr>
          <w:cnfStyle w:val="000000010000" w:firstRow="0" w:lastRow="0" w:firstColumn="0" w:lastColumn="0" w:oddVBand="0" w:evenVBand="0" w:oddHBand="0" w:evenHBand="1" w:firstRowFirstColumn="0" w:firstRowLastColumn="0" w:lastRowFirstColumn="0" w:lastRowLastColumn="0"/>
          <w:trHeight w:val="300"/>
        </w:trPr>
        <w:tc>
          <w:tcPr>
            <w:tcW w:w="3828" w:type="dxa"/>
          </w:tcPr>
          <w:p w14:paraId="3A2D16CA" w14:textId="6EB364E9" w:rsidR="001E00A2" w:rsidRPr="00AD3786" w:rsidRDefault="00E21171">
            <w:pPr>
              <w:pStyle w:val="TableTextLeft"/>
            </w:pPr>
            <w:r>
              <w:t xml:space="preserve">Departmental Actual </w:t>
            </w:r>
          </w:p>
        </w:tc>
        <w:tc>
          <w:tcPr>
            <w:tcW w:w="1275" w:type="dxa"/>
          </w:tcPr>
          <w:p w14:paraId="6ED004B8" w14:textId="214CF8A2" w:rsidR="001E00A2" w:rsidRPr="00AD3786" w:rsidRDefault="00456173" w:rsidP="00C739BB">
            <w:pPr>
              <w:pStyle w:val="TableTextRight"/>
            </w:pPr>
            <w:r>
              <w:t>$</w:t>
            </w:r>
            <w:r w:rsidR="00E7741B">
              <w:t>4,500,062</w:t>
            </w:r>
          </w:p>
        </w:tc>
        <w:tc>
          <w:tcPr>
            <w:tcW w:w="1134" w:type="dxa"/>
          </w:tcPr>
          <w:p w14:paraId="3D51EFAB" w14:textId="75AA5EF1" w:rsidR="001E00A2" w:rsidRPr="00AD3786" w:rsidRDefault="00456173" w:rsidP="00C739BB">
            <w:pPr>
              <w:pStyle w:val="TableTextRight"/>
            </w:pPr>
            <w:r>
              <w:t>$</w:t>
            </w:r>
            <w:r w:rsidR="00E7741B">
              <w:t>5,608</w:t>
            </w:r>
            <w:r w:rsidR="00727F47">
              <w:t>,297</w:t>
            </w:r>
          </w:p>
        </w:tc>
        <w:tc>
          <w:tcPr>
            <w:tcW w:w="1560" w:type="dxa"/>
          </w:tcPr>
          <w:p w14:paraId="278F18AA" w14:textId="56B47073" w:rsidR="001E00A2" w:rsidRPr="00AD3786" w:rsidRDefault="00456173" w:rsidP="00C739BB">
            <w:pPr>
              <w:pStyle w:val="TableTextRight"/>
            </w:pPr>
            <w:r>
              <w:t>$</w:t>
            </w:r>
            <w:r w:rsidR="00727F47">
              <w:t>5,920</w:t>
            </w:r>
            <w:r w:rsidR="00FB4249">
              <w:t>,255</w:t>
            </w:r>
          </w:p>
        </w:tc>
        <w:tc>
          <w:tcPr>
            <w:tcW w:w="1273" w:type="dxa"/>
          </w:tcPr>
          <w:p w14:paraId="37B1E9BB" w14:textId="6A8DED5B" w:rsidR="001E00A2" w:rsidRPr="00AD3786" w:rsidRDefault="00456173" w:rsidP="00C739BB">
            <w:pPr>
              <w:pStyle w:val="TableTextRight"/>
            </w:pPr>
            <w:r>
              <w:t>$</w:t>
            </w:r>
            <w:r w:rsidR="00FB4249">
              <w:t>2,978,861</w:t>
            </w:r>
          </w:p>
        </w:tc>
      </w:tr>
      <w:tr w:rsidR="00AA70C4" w:rsidRPr="00D927D1" w14:paraId="7FA097AC" w14:textId="6E1461EF" w:rsidTr="00AA70C4">
        <w:trPr>
          <w:cnfStyle w:val="000000100000" w:firstRow="0" w:lastRow="0" w:firstColumn="0" w:lastColumn="0" w:oddVBand="0" w:evenVBand="0" w:oddHBand="1" w:evenHBand="0" w:firstRowFirstColumn="0" w:firstRowLastColumn="0" w:lastRowFirstColumn="0" w:lastRowLastColumn="0"/>
          <w:trHeight w:val="300"/>
        </w:trPr>
        <w:tc>
          <w:tcPr>
            <w:tcW w:w="3828" w:type="dxa"/>
          </w:tcPr>
          <w:p w14:paraId="2295C348" w14:textId="760A015C" w:rsidR="001E00A2" w:rsidRPr="00C02E58" w:rsidRDefault="00E21171">
            <w:pPr>
              <w:pStyle w:val="TableTextLeft"/>
              <w:rPr>
                <w:rStyle w:val="Strong"/>
              </w:rPr>
            </w:pPr>
            <w:r w:rsidRPr="00C02E58">
              <w:rPr>
                <w:rStyle w:val="Strong"/>
              </w:rPr>
              <w:t>Variance Actual to Budget</w:t>
            </w:r>
          </w:p>
        </w:tc>
        <w:tc>
          <w:tcPr>
            <w:tcW w:w="1275" w:type="dxa"/>
          </w:tcPr>
          <w:p w14:paraId="66716976" w14:textId="15CE58D3" w:rsidR="001E00A2" w:rsidRPr="00C02E58" w:rsidRDefault="00456173" w:rsidP="00C739BB">
            <w:pPr>
              <w:pStyle w:val="TableTextRight"/>
              <w:rPr>
                <w:rStyle w:val="Strong"/>
              </w:rPr>
            </w:pPr>
            <w:r w:rsidRPr="00C02E58">
              <w:rPr>
                <w:rStyle w:val="Strong"/>
              </w:rPr>
              <w:t>$</w:t>
            </w:r>
            <w:r w:rsidR="00FB4249" w:rsidRPr="00C02E58">
              <w:rPr>
                <w:rStyle w:val="Strong"/>
              </w:rPr>
              <w:t>3,144,</w:t>
            </w:r>
            <w:r w:rsidR="00A6198E" w:rsidRPr="00C02E58">
              <w:rPr>
                <w:rStyle w:val="Strong"/>
              </w:rPr>
              <w:t>938</w:t>
            </w:r>
          </w:p>
        </w:tc>
        <w:tc>
          <w:tcPr>
            <w:tcW w:w="1134" w:type="dxa"/>
          </w:tcPr>
          <w:p w14:paraId="27E7B893" w14:textId="5FAF75F5" w:rsidR="001E00A2" w:rsidRPr="00C02E58" w:rsidRDefault="00456173" w:rsidP="00C739BB">
            <w:pPr>
              <w:pStyle w:val="TableTextRight"/>
              <w:rPr>
                <w:rStyle w:val="Strong"/>
              </w:rPr>
            </w:pPr>
            <w:r w:rsidRPr="00C02E58">
              <w:rPr>
                <w:rStyle w:val="Strong"/>
              </w:rPr>
              <w:t>$</w:t>
            </w:r>
            <w:r w:rsidR="00A6198E" w:rsidRPr="00C02E58">
              <w:rPr>
                <w:rStyle w:val="Strong"/>
              </w:rPr>
              <w:t>891,139</w:t>
            </w:r>
          </w:p>
        </w:tc>
        <w:tc>
          <w:tcPr>
            <w:tcW w:w="1560" w:type="dxa"/>
          </w:tcPr>
          <w:p w14:paraId="1EFE12D3" w14:textId="2C4DB6D5" w:rsidR="001E00A2" w:rsidRPr="00C02E58" w:rsidRDefault="00456173" w:rsidP="00C739BB">
            <w:pPr>
              <w:pStyle w:val="TableTextRight"/>
              <w:rPr>
                <w:rStyle w:val="Strong"/>
              </w:rPr>
            </w:pPr>
            <w:r w:rsidRPr="00C02E58">
              <w:rPr>
                <w:rStyle w:val="Strong"/>
              </w:rPr>
              <w:t>$</w:t>
            </w:r>
            <w:r w:rsidR="00A83492" w:rsidRPr="00C02E58">
              <w:rPr>
                <w:rStyle w:val="Strong"/>
              </w:rPr>
              <w:t>554,745</w:t>
            </w:r>
          </w:p>
        </w:tc>
        <w:tc>
          <w:tcPr>
            <w:tcW w:w="1273" w:type="dxa"/>
          </w:tcPr>
          <w:p w14:paraId="1424EC04" w14:textId="3210C2AD" w:rsidR="001E00A2" w:rsidRPr="00C02E58" w:rsidRDefault="00074E73" w:rsidP="00C739BB">
            <w:pPr>
              <w:pStyle w:val="TableTextRight"/>
              <w:rPr>
                <w:rStyle w:val="Strong"/>
              </w:rPr>
            </w:pPr>
            <w:r w:rsidRPr="00C02E58">
              <w:rPr>
                <w:rStyle w:val="Strong"/>
              </w:rPr>
              <w:t>N/A</w:t>
            </w:r>
          </w:p>
        </w:tc>
      </w:tr>
    </w:tbl>
    <w:p w14:paraId="3332610D" w14:textId="442B8649" w:rsidR="00877810" w:rsidRPr="00877810" w:rsidRDefault="000D240E" w:rsidP="00944937">
      <w:pPr>
        <w:pStyle w:val="ChartorTableNote"/>
      </w:pPr>
      <w:r>
        <w:t>N</w:t>
      </w:r>
      <w:proofErr w:type="spellStart"/>
      <w:r w:rsidR="004B59F4">
        <w:rPr>
          <w:lang w:val="en-US"/>
        </w:rPr>
        <w:t>ote</w:t>
      </w:r>
      <w:proofErr w:type="spellEnd"/>
      <w:r w:rsidR="00877810" w:rsidRPr="00877810">
        <w:rPr>
          <w:lang w:val="en-US"/>
        </w:rPr>
        <w:t>:</w:t>
      </w:r>
      <w:r w:rsidR="002B0CCA">
        <w:rPr>
          <w:lang w:val="en-US"/>
        </w:rPr>
        <w:t xml:space="preserve"> </w:t>
      </w:r>
      <w:r w:rsidR="003F40AB">
        <w:rPr>
          <w:lang w:val="en-US"/>
        </w:rPr>
        <w:t>*</w:t>
      </w:r>
      <w:r w:rsidR="00877810" w:rsidRPr="00877810">
        <w:rPr>
          <w:lang w:val="en-US"/>
        </w:rPr>
        <w:t>Year</w:t>
      </w:r>
      <w:r w:rsidR="00916FA5">
        <w:rPr>
          <w:lang w:val="en-US"/>
        </w:rPr>
        <w:noBreakHyphen/>
      </w:r>
      <w:r w:rsidR="00877810" w:rsidRPr="00877810">
        <w:rPr>
          <w:lang w:val="en-US"/>
        </w:rPr>
        <w:t xml:space="preserve"> to</w:t>
      </w:r>
      <w:r w:rsidR="00916FA5">
        <w:rPr>
          <w:lang w:val="en-US"/>
        </w:rPr>
        <w:noBreakHyphen/>
      </w:r>
      <w:r w:rsidR="00877810" w:rsidRPr="00877810">
        <w:rPr>
          <w:lang w:val="en-US"/>
        </w:rPr>
        <w:t>date</w:t>
      </w:r>
      <w:r w:rsidR="00877810" w:rsidRPr="00877810" w:rsidDel="003F40AB">
        <w:rPr>
          <w:lang w:val="en-US"/>
        </w:rPr>
        <w:t xml:space="preserve"> </w:t>
      </w:r>
      <w:r w:rsidR="00877810" w:rsidRPr="00877810">
        <w:rPr>
          <w:lang w:val="en-US"/>
        </w:rPr>
        <w:t>refers to period from 1 July 2024 through to 31 January 2025</w:t>
      </w:r>
      <w:r w:rsidR="0097333B">
        <w:t>.</w:t>
      </w:r>
    </w:p>
    <w:p w14:paraId="133B8049" w14:textId="2102C9DC" w:rsidR="00E20F8F" w:rsidRPr="00877810" w:rsidRDefault="00877810" w:rsidP="00E20F8F">
      <w:r w:rsidRPr="00944937">
        <w:rPr>
          <w:rStyle w:val="Strong"/>
        </w:rPr>
        <w:t xml:space="preserve">ASBFEO also received specific programme funding for the </w:t>
      </w:r>
      <w:r w:rsidR="00E20F8F">
        <w:rPr>
          <w:b/>
          <w:bCs/>
          <w:lang w:val="en-US"/>
        </w:rPr>
        <w:t>SBTC service</w:t>
      </w:r>
      <w:r w:rsidR="00E20F8F" w:rsidRPr="00877810">
        <w:rPr>
          <w:b/>
          <w:bCs/>
          <w:lang w:val="en-US"/>
        </w:rPr>
        <w:t>.</w:t>
      </w:r>
      <w:r w:rsidR="00E20F8F" w:rsidRPr="00877810">
        <w:rPr>
          <w:lang w:val="en-US"/>
        </w:rPr>
        <w:t xml:space="preserve"> </w:t>
      </w:r>
      <w:r w:rsidR="00E20F8F">
        <w:rPr>
          <w:lang w:val="en-US"/>
        </w:rPr>
        <w:t>F</w:t>
      </w:r>
      <w:r w:rsidR="00E20F8F" w:rsidRPr="00877810">
        <w:rPr>
          <w:lang w:val="en-US"/>
        </w:rPr>
        <w:t>unding granted for the 2021</w:t>
      </w:r>
      <w:r w:rsidR="004441E2">
        <w:rPr>
          <w:lang w:val="en-US"/>
        </w:rPr>
        <w:t>–</w:t>
      </w:r>
      <w:r w:rsidR="00E20F8F" w:rsidRPr="00877810">
        <w:rPr>
          <w:lang w:val="en-US"/>
        </w:rPr>
        <w:t xml:space="preserve">22 financial year was significantly underspent and, as </w:t>
      </w:r>
      <w:r w:rsidR="00E20F8F">
        <w:rPr>
          <w:lang w:val="en-US"/>
        </w:rPr>
        <w:t xml:space="preserve">a </w:t>
      </w:r>
      <w:r w:rsidR="00E20F8F" w:rsidRPr="00877810">
        <w:rPr>
          <w:lang w:val="en-US"/>
        </w:rPr>
        <w:t>result, was reduced in 2022</w:t>
      </w:r>
      <w:r w:rsidR="004441E2">
        <w:rPr>
          <w:lang w:val="en-US"/>
        </w:rPr>
        <w:t>–</w:t>
      </w:r>
      <w:r w:rsidR="00E20F8F" w:rsidRPr="00877810">
        <w:rPr>
          <w:lang w:val="en-US"/>
        </w:rPr>
        <w:t>23. In addition</w:t>
      </w:r>
      <w:r w:rsidR="00E20F8F">
        <w:rPr>
          <w:lang w:val="en-US"/>
        </w:rPr>
        <w:t>,</w:t>
      </w:r>
      <w:r w:rsidR="00E20F8F" w:rsidRPr="00877810">
        <w:rPr>
          <w:lang w:val="en-US"/>
        </w:rPr>
        <w:t xml:space="preserve"> the </w:t>
      </w:r>
      <w:r w:rsidR="00E20F8F">
        <w:rPr>
          <w:lang w:val="en-US"/>
        </w:rPr>
        <w:t>SBTC</w:t>
      </w:r>
      <w:r w:rsidR="00E20F8F" w:rsidRPr="00877810">
        <w:rPr>
          <w:lang w:val="en-US"/>
        </w:rPr>
        <w:t xml:space="preserve"> </w:t>
      </w:r>
      <w:r w:rsidR="00C4514E">
        <w:rPr>
          <w:lang w:val="en-US"/>
        </w:rPr>
        <w:t>service</w:t>
      </w:r>
      <w:r w:rsidR="00EB0D0E">
        <w:rPr>
          <w:lang w:val="en-US"/>
        </w:rPr>
        <w:t xml:space="preserve"> was</w:t>
      </w:r>
      <w:r w:rsidR="00E20F8F" w:rsidRPr="00877810">
        <w:rPr>
          <w:lang w:val="en-US"/>
        </w:rPr>
        <w:t xml:space="preserve"> recently expanded </w:t>
      </w:r>
      <w:r w:rsidR="00E20F8F">
        <w:rPr>
          <w:lang w:val="en-US"/>
        </w:rPr>
        <w:t>to include low</w:t>
      </w:r>
      <w:r w:rsidR="003A0D5E">
        <w:rPr>
          <w:lang w:val="en-US"/>
        </w:rPr>
        <w:noBreakHyphen/>
      </w:r>
      <w:r w:rsidR="00E20F8F">
        <w:rPr>
          <w:lang w:val="en-US"/>
        </w:rPr>
        <w:t xml:space="preserve">cost legal advice as </w:t>
      </w:r>
      <w:r w:rsidR="00E20F8F" w:rsidRPr="00877810">
        <w:rPr>
          <w:lang w:val="en-US"/>
        </w:rPr>
        <w:t xml:space="preserve">discussed in Chapter </w:t>
      </w:r>
      <w:r w:rsidR="00E20F8F">
        <w:rPr>
          <w:lang w:val="en-US"/>
        </w:rPr>
        <w:t>5</w:t>
      </w:r>
      <w:r w:rsidR="00E20F8F" w:rsidRPr="00877810">
        <w:rPr>
          <w:lang w:val="en-US"/>
        </w:rPr>
        <w:t xml:space="preserve">. </w:t>
      </w:r>
    </w:p>
    <w:p w14:paraId="570F923B" w14:textId="4A8D449A" w:rsidR="00877810" w:rsidRPr="00877810" w:rsidRDefault="00E20F8F" w:rsidP="00877810">
      <w:r w:rsidRPr="00C02E58">
        <w:rPr>
          <w:rStyle w:val="Strong"/>
        </w:rPr>
        <w:t>Fourteen submissions raised ASBFEO</w:t>
      </w:r>
      <w:r>
        <w:rPr>
          <w:rStyle w:val="Strong"/>
        </w:rPr>
        <w:t>’</w:t>
      </w:r>
      <w:r w:rsidRPr="00C02E58">
        <w:rPr>
          <w:rStyle w:val="Strong"/>
        </w:rPr>
        <w:t>s funding as an area of concern.</w:t>
      </w:r>
      <w:r>
        <w:rPr>
          <w:b/>
          <w:bCs/>
          <w:lang w:val="en-US"/>
        </w:rPr>
        <w:t xml:space="preserve"> </w:t>
      </w:r>
      <w:r w:rsidRPr="002D7F86">
        <w:rPr>
          <w:lang w:val="en-US"/>
        </w:rPr>
        <w:t>Stakeholders claimed that</w:t>
      </w:r>
      <w:r w:rsidRPr="002D7F86" w:rsidDel="0097333B">
        <w:rPr>
          <w:lang w:val="en-US"/>
        </w:rPr>
        <w:t xml:space="preserve"> </w:t>
      </w:r>
      <w:r w:rsidRPr="002D7F86">
        <w:rPr>
          <w:lang w:val="en-US"/>
        </w:rPr>
        <w:t>ASBFEO funding had been cut, or additional funding was needed to deal with increased demand arising from an increasingly complex and evolving regulatory environment</w:t>
      </w:r>
      <w:r>
        <w:rPr>
          <w:lang w:val="en-US"/>
        </w:rPr>
        <w:t>. They</w:t>
      </w:r>
      <w:r w:rsidRPr="002D7F86">
        <w:rPr>
          <w:lang w:val="en-US"/>
        </w:rPr>
        <w:t xml:space="preserve"> noted increased </w:t>
      </w:r>
      <w:r w:rsidRPr="002D7F86">
        <w:rPr>
          <w:lang w:val="en-US"/>
        </w:rPr>
        <w:lastRenderedPageBreak/>
        <w:t xml:space="preserve">resourcing would allow further research, development and positive input into policy areas for </w:t>
      </w:r>
      <w:r>
        <w:rPr>
          <w:lang w:val="en-US"/>
        </w:rPr>
        <w:t>s</w:t>
      </w:r>
      <w:r w:rsidRPr="002D7F86">
        <w:rPr>
          <w:lang w:val="en-US"/>
        </w:rPr>
        <w:t xml:space="preserve">mall </w:t>
      </w:r>
      <w:r>
        <w:rPr>
          <w:lang w:val="en-US"/>
        </w:rPr>
        <w:t>b</w:t>
      </w:r>
      <w:r w:rsidRPr="002D7F86">
        <w:rPr>
          <w:lang w:val="en-US"/>
        </w:rPr>
        <w:t>usiness</w:t>
      </w:r>
      <w:r>
        <w:rPr>
          <w:lang w:val="en-US"/>
        </w:rPr>
        <w:t>es</w:t>
      </w:r>
      <w:r w:rsidRPr="07743E67">
        <w:rPr>
          <w:lang w:val="en-US"/>
        </w:rPr>
        <w:t>.</w:t>
      </w:r>
      <w:r w:rsidR="00065357">
        <w:rPr>
          <w:rFonts w:ascii="ZWAdobeF" w:hAnsi="ZWAdobeF" w:cs="ZWAdobeF"/>
          <w:color w:val="auto"/>
          <w:sz w:val="2"/>
          <w:szCs w:val="2"/>
          <w:lang w:val="en-US"/>
        </w:rPr>
        <w:t>105F</w:t>
      </w:r>
      <w:r w:rsidR="002B78EB" w:rsidRPr="00D61F49">
        <w:rPr>
          <w:rStyle w:val="FootnoteReference"/>
          <w:sz w:val="22"/>
          <w:szCs w:val="24"/>
          <w:vertAlign w:val="superscript"/>
          <w:lang w:val="en-US"/>
        </w:rPr>
        <w:footnoteReference w:id="107"/>
      </w:r>
      <w:r w:rsidRPr="00D61F49">
        <w:rPr>
          <w:sz w:val="28"/>
          <w:szCs w:val="24"/>
          <w:lang w:val="en-US"/>
        </w:rPr>
        <w:t xml:space="preserve"> </w:t>
      </w:r>
      <w:r>
        <w:rPr>
          <w:lang w:val="en-US"/>
        </w:rPr>
        <w:t>The</w:t>
      </w:r>
      <w:r>
        <w:t xml:space="preserve"> Small Business Association of Australia suggested</w:t>
      </w:r>
      <w:r w:rsidR="00BC4336">
        <w:t>:</w:t>
      </w:r>
    </w:p>
    <w:p w14:paraId="0B69CF35" w14:textId="0D8A9013" w:rsidR="00877810" w:rsidRPr="007E3E9F" w:rsidRDefault="004441E2" w:rsidP="00877810">
      <w:pPr>
        <w:rPr>
          <w:rStyle w:val="Emphasis"/>
        </w:rPr>
      </w:pPr>
      <w:r>
        <w:rPr>
          <w:rStyle w:val="Emphasis"/>
        </w:rPr>
        <w:t>‘</w:t>
      </w:r>
      <w:r w:rsidR="00877810" w:rsidRPr="007E3E9F">
        <w:rPr>
          <w:rStyle w:val="Emphasis"/>
        </w:rPr>
        <w:t>Small businesses, especially micro businesses, stand alone with little support either financially or through good policy, therefore having an ombudsman who has the interests of small business, who understands small business and works on their behalf is crucial to the welfare of this country. Proper investment and the support of the Ombudsman and its office are a valuable return on this investment</w:t>
      </w:r>
      <w:r w:rsidR="0059115C" w:rsidRPr="007E3E9F">
        <w:rPr>
          <w:rStyle w:val="Emphasis"/>
        </w:rPr>
        <w:t>.</w:t>
      </w:r>
      <w:r w:rsidR="003A0D5E">
        <w:rPr>
          <w:rStyle w:val="Emphasis"/>
        </w:rPr>
        <w:t>’</w:t>
      </w:r>
      <w:r w:rsidR="00065357">
        <w:rPr>
          <w:rStyle w:val="Emphasis"/>
          <w:rFonts w:ascii="ZWAdobeF" w:hAnsi="ZWAdobeF" w:cs="ZWAdobeF"/>
          <w:i w:val="0"/>
          <w:color w:val="auto"/>
          <w:sz w:val="2"/>
          <w:szCs w:val="2"/>
        </w:rPr>
        <w:t>106F</w:t>
      </w:r>
      <w:r w:rsidR="00B72876" w:rsidRPr="00EC0408">
        <w:rPr>
          <w:rStyle w:val="FootnoteReference"/>
          <w:iCs/>
          <w:sz w:val="22"/>
          <w:szCs w:val="24"/>
          <w:vertAlign w:val="superscript"/>
        </w:rPr>
        <w:footnoteReference w:id="108"/>
      </w:r>
    </w:p>
    <w:p w14:paraId="753EDBB3" w14:textId="42FE2CA1" w:rsidR="00877810" w:rsidRPr="00877810" w:rsidRDefault="00877810" w:rsidP="00877810">
      <w:r w:rsidRPr="003C1610">
        <w:rPr>
          <w:rStyle w:val="Strong"/>
        </w:rPr>
        <w:t>Stakeholders supported</w:t>
      </w:r>
      <w:r w:rsidR="004441E2">
        <w:rPr>
          <w:rStyle w:val="Strong"/>
        </w:rPr>
        <w:t xml:space="preserve"> </w:t>
      </w:r>
      <w:r w:rsidRPr="003C1610">
        <w:rPr>
          <w:rStyle w:val="Strong"/>
        </w:rPr>
        <w:t>strengthening ASBFEO</w:t>
      </w:r>
      <w:r w:rsidR="00916FA5" w:rsidRPr="003C1610">
        <w:rPr>
          <w:rStyle w:val="Strong"/>
        </w:rPr>
        <w:t>’</w:t>
      </w:r>
      <w:r w:rsidRPr="003C1610">
        <w:rPr>
          <w:rStyle w:val="Strong"/>
        </w:rPr>
        <w:t>s role</w:t>
      </w:r>
      <w:r w:rsidR="00817057">
        <w:rPr>
          <w:b/>
          <w:bCs/>
          <w:lang w:val="en-US"/>
        </w:rPr>
        <w:t xml:space="preserve">. </w:t>
      </w:r>
      <w:r w:rsidR="00817057" w:rsidRPr="002D7F86">
        <w:rPr>
          <w:lang w:val="en-US"/>
        </w:rPr>
        <w:t>COSBOA strongly supports ASBFEO</w:t>
      </w:r>
      <w:r w:rsidR="003A0D5E">
        <w:rPr>
          <w:lang w:val="en-US"/>
        </w:rPr>
        <w:t>’</w:t>
      </w:r>
      <w:r w:rsidR="00817057" w:rsidRPr="002D7F86">
        <w:rPr>
          <w:lang w:val="en-US"/>
        </w:rPr>
        <w:t>s continued independence and suggests increased resourcing to meet growing demand</w:t>
      </w:r>
      <w:r w:rsidR="00817057" w:rsidRPr="00877810">
        <w:rPr>
          <w:b/>
          <w:bCs/>
          <w:lang w:val="en-US"/>
        </w:rPr>
        <w:t>.</w:t>
      </w:r>
      <w:r w:rsidR="00817057" w:rsidRPr="00877810">
        <w:rPr>
          <w:lang w:val="en-US"/>
        </w:rPr>
        <w:t xml:space="preserve"> </w:t>
      </w:r>
      <w:r w:rsidR="004441E2">
        <w:rPr>
          <w:rStyle w:val="Emphasis"/>
        </w:rPr>
        <w:t>‘</w:t>
      </w:r>
      <w:r w:rsidR="00817057" w:rsidRPr="00CC4F15">
        <w:rPr>
          <w:rStyle w:val="Emphasis"/>
        </w:rPr>
        <w:t>As the operating and regulatory environment only becomes more complex for small businesses, the role of ASBFEO will only become more critical in the future</w:t>
      </w:r>
      <w:r w:rsidR="00EE0E24" w:rsidRPr="00CC4F15">
        <w:rPr>
          <w:rStyle w:val="Emphasis"/>
        </w:rPr>
        <w:t>.</w:t>
      </w:r>
      <w:r w:rsidR="003A0D5E">
        <w:rPr>
          <w:rStyle w:val="Emphasis"/>
        </w:rPr>
        <w:t>’</w:t>
      </w:r>
      <w:r w:rsidR="00065357">
        <w:rPr>
          <w:rStyle w:val="Emphasis"/>
          <w:rFonts w:ascii="ZWAdobeF" w:hAnsi="ZWAdobeF" w:cs="ZWAdobeF"/>
          <w:i w:val="0"/>
          <w:color w:val="auto"/>
          <w:sz w:val="2"/>
          <w:szCs w:val="2"/>
        </w:rPr>
        <w:t>107F</w:t>
      </w:r>
      <w:r w:rsidR="009C657D" w:rsidRPr="00EC0408">
        <w:rPr>
          <w:rStyle w:val="FootnoteReference"/>
          <w:sz w:val="22"/>
          <w:szCs w:val="22"/>
          <w:vertAlign w:val="superscript"/>
          <w:lang w:val="en-US"/>
        </w:rPr>
        <w:footnoteReference w:id="109"/>
      </w:r>
      <w:r w:rsidR="009C657D" w:rsidRPr="00EC0408">
        <w:rPr>
          <w:vertAlign w:val="superscript"/>
          <w:lang w:val="en-US"/>
        </w:rPr>
        <w:t xml:space="preserve"> </w:t>
      </w:r>
    </w:p>
    <w:p w14:paraId="077F4BC1" w14:textId="57365D8E" w:rsidR="00877810" w:rsidRPr="00877810" w:rsidRDefault="00877810" w:rsidP="00877810">
      <w:r w:rsidRPr="007E3E9F">
        <w:rPr>
          <w:rStyle w:val="Strong"/>
        </w:rPr>
        <w:t>Despite concerns raised by stakeholder</w:t>
      </w:r>
      <w:r w:rsidR="008D26DA">
        <w:rPr>
          <w:rStyle w:val="Strong"/>
        </w:rPr>
        <w:t>s</w:t>
      </w:r>
      <w:r w:rsidRPr="007E3E9F">
        <w:rPr>
          <w:rStyle w:val="Strong"/>
        </w:rPr>
        <w:t xml:space="preserve">, as </w:t>
      </w:r>
      <w:r w:rsidR="008C11BD">
        <w:rPr>
          <w:rStyle w:val="Strong"/>
        </w:rPr>
        <w:t>indicated</w:t>
      </w:r>
      <w:r w:rsidRPr="007E3E9F">
        <w:rPr>
          <w:rStyle w:val="Strong"/>
        </w:rPr>
        <w:t xml:space="preserve"> in Table</w:t>
      </w:r>
      <w:r w:rsidR="007E3E9F" w:rsidRPr="007E3E9F">
        <w:rPr>
          <w:rStyle w:val="Strong"/>
        </w:rPr>
        <w:t> </w:t>
      </w:r>
      <w:r w:rsidR="00212CA4">
        <w:rPr>
          <w:rStyle w:val="Strong"/>
        </w:rPr>
        <w:t>6</w:t>
      </w:r>
      <w:r w:rsidRPr="007E3E9F">
        <w:rPr>
          <w:rStyle w:val="Strong"/>
        </w:rPr>
        <w:t xml:space="preserve">.1, ASBFEO has underspent in all </w:t>
      </w:r>
      <w:r w:rsidR="00EE0E24">
        <w:rPr>
          <w:rStyle w:val="Strong"/>
        </w:rPr>
        <w:t>3</w:t>
      </w:r>
      <w:r w:rsidR="00CC4F15">
        <w:rPr>
          <w:rStyle w:val="Strong"/>
        </w:rPr>
        <w:t> </w:t>
      </w:r>
      <w:r w:rsidRPr="007E3E9F">
        <w:rPr>
          <w:rStyle w:val="Strong"/>
        </w:rPr>
        <w:t>previous years and is on track to underspend in 2024</w:t>
      </w:r>
      <w:r w:rsidR="007E3E9F" w:rsidRPr="007E3E9F">
        <w:rPr>
          <w:rStyle w:val="Strong"/>
        </w:rPr>
        <w:t>–</w:t>
      </w:r>
      <w:r w:rsidRPr="007E3E9F">
        <w:rPr>
          <w:rStyle w:val="Strong"/>
        </w:rPr>
        <w:t>25.</w:t>
      </w:r>
      <w:r w:rsidRPr="00877810">
        <w:rPr>
          <w:lang w:val="en-US"/>
        </w:rPr>
        <w:t xml:space="preserve"> </w:t>
      </w:r>
      <w:r w:rsidR="007D3979">
        <w:rPr>
          <w:lang w:val="en-US"/>
        </w:rPr>
        <w:t>It has</w:t>
      </w:r>
      <w:r w:rsidRPr="00877810">
        <w:rPr>
          <w:lang w:val="en-US"/>
        </w:rPr>
        <w:t xml:space="preserve"> completed </w:t>
      </w:r>
      <w:r w:rsidR="00A064D1">
        <w:rPr>
          <w:lang w:val="en-US"/>
        </w:rPr>
        <w:t xml:space="preserve">its </w:t>
      </w:r>
      <w:r w:rsidRPr="00877810">
        <w:rPr>
          <w:lang w:val="en-US"/>
        </w:rPr>
        <w:t xml:space="preserve">advocacy agenda and managed to fulfil requests for assistance promptly. ASBFEO needs to provide a strong business case to support any future funding requirements for its role in supporting small businesses. The need for additional funding will persist unless a more disciplined approach is applied to </w:t>
      </w:r>
      <w:proofErr w:type="spellStart"/>
      <w:r w:rsidRPr="00877810">
        <w:rPr>
          <w:lang w:val="en-US"/>
        </w:rPr>
        <w:t>prioritising</w:t>
      </w:r>
      <w:proofErr w:type="spellEnd"/>
      <w:r w:rsidRPr="00877810">
        <w:rPr>
          <w:lang w:val="en-US"/>
        </w:rPr>
        <w:t xml:space="preserve"> the advocacy agenda</w:t>
      </w:r>
      <w:r w:rsidR="00916FA5">
        <w:rPr>
          <w:lang w:val="en-US"/>
        </w:rPr>
        <w:t>.</w:t>
      </w:r>
    </w:p>
    <w:p w14:paraId="3989E9FB" w14:textId="17557257" w:rsidR="00877810" w:rsidRPr="00877810" w:rsidRDefault="00877810" w:rsidP="0059115C">
      <w:pPr>
        <w:pStyle w:val="Heading2"/>
      </w:pPr>
      <w:bookmarkStart w:id="95" w:name="_Toc199941003"/>
      <w:r w:rsidRPr="00877810">
        <w:rPr>
          <w:lang w:val="en-US"/>
        </w:rPr>
        <w:t xml:space="preserve">Awareness, </w:t>
      </w:r>
      <w:r w:rsidR="00EE0E24">
        <w:rPr>
          <w:lang w:val="en-US"/>
        </w:rPr>
        <w:t>c</w:t>
      </w:r>
      <w:r w:rsidR="00E54C4D">
        <w:rPr>
          <w:lang w:val="en-US"/>
        </w:rPr>
        <w:t xml:space="preserve">ommunications, </w:t>
      </w:r>
      <w:r w:rsidR="00EE0E24">
        <w:rPr>
          <w:lang w:val="en-US"/>
        </w:rPr>
        <w:t>n</w:t>
      </w:r>
      <w:r w:rsidRPr="00877810">
        <w:rPr>
          <w:lang w:val="en-US"/>
        </w:rPr>
        <w:t xml:space="preserve">ame and </w:t>
      </w:r>
      <w:r w:rsidR="00EE0E24">
        <w:rPr>
          <w:lang w:val="en-US"/>
        </w:rPr>
        <w:t>b</w:t>
      </w:r>
      <w:r w:rsidRPr="00877810">
        <w:rPr>
          <w:lang w:val="en-US"/>
        </w:rPr>
        <w:t>randing</w:t>
      </w:r>
      <w:bookmarkEnd w:id="95"/>
    </w:p>
    <w:p w14:paraId="7AE204DE" w14:textId="5A68D894" w:rsidR="00877810" w:rsidRPr="00877810" w:rsidRDefault="00877810" w:rsidP="0059115C">
      <w:pPr>
        <w:pStyle w:val="Heading3"/>
      </w:pPr>
      <w:bookmarkStart w:id="96" w:name="_Toc199941004"/>
      <w:r w:rsidRPr="00877810">
        <w:rPr>
          <w:lang w:val="en-US"/>
        </w:rPr>
        <w:t>Awareness of ASBFEO</w:t>
      </w:r>
      <w:bookmarkEnd w:id="96"/>
    </w:p>
    <w:p w14:paraId="588E4510" w14:textId="48DC685F" w:rsidR="0012514F" w:rsidRDefault="0012514F" w:rsidP="0012514F">
      <w:r w:rsidRPr="00C670F8">
        <w:rPr>
          <w:rStyle w:val="Strong"/>
        </w:rPr>
        <w:t xml:space="preserve">ASBFEO </w:t>
      </w:r>
      <w:r w:rsidR="00887277" w:rsidRPr="00C670F8">
        <w:rPr>
          <w:rStyle w:val="Strong"/>
        </w:rPr>
        <w:t xml:space="preserve">developed </w:t>
      </w:r>
      <w:r w:rsidRPr="00C670F8">
        <w:rPr>
          <w:rStyle w:val="Strong"/>
        </w:rPr>
        <w:t xml:space="preserve">a communications strategy </w:t>
      </w:r>
      <w:r w:rsidR="00887277" w:rsidRPr="00C670F8">
        <w:rPr>
          <w:rStyle w:val="Strong"/>
        </w:rPr>
        <w:t xml:space="preserve">in 2021 </w:t>
      </w:r>
      <w:r w:rsidRPr="00C670F8">
        <w:rPr>
          <w:rStyle w:val="Strong"/>
        </w:rPr>
        <w:t>to increase awareness of its functions.</w:t>
      </w:r>
      <w:r w:rsidR="00065357">
        <w:rPr>
          <w:rStyle w:val="Strong"/>
          <w:rFonts w:ascii="ZWAdobeF" w:hAnsi="ZWAdobeF" w:cs="ZWAdobeF"/>
          <w:b w:val="0"/>
          <w:color w:val="auto"/>
          <w:sz w:val="2"/>
          <w:szCs w:val="2"/>
        </w:rPr>
        <w:t>108F</w:t>
      </w:r>
      <w:r w:rsidR="00C332CA" w:rsidRPr="00D61F49">
        <w:rPr>
          <w:rStyle w:val="FootnoteReference"/>
          <w:sz w:val="22"/>
          <w:szCs w:val="24"/>
          <w:vertAlign w:val="superscript"/>
          <w:lang w:val="en-US"/>
        </w:rPr>
        <w:footnoteReference w:id="110"/>
      </w:r>
      <w:r w:rsidRPr="00D61F49">
        <w:rPr>
          <w:sz w:val="28"/>
          <w:szCs w:val="24"/>
          <w:lang w:val="en-US"/>
        </w:rPr>
        <w:t xml:space="preserve"> </w:t>
      </w:r>
      <w:r>
        <w:rPr>
          <w:lang w:val="en-US"/>
        </w:rPr>
        <w:t xml:space="preserve">ASBFEO communicates </w:t>
      </w:r>
      <w:r w:rsidRPr="000F2EE5">
        <w:t>through various activities, channels, and</w:t>
      </w:r>
      <w:r w:rsidRPr="00877810">
        <w:t xml:space="preserve"> networks, including social media, stakeholder engagement, newsletters, products and events.</w:t>
      </w:r>
    </w:p>
    <w:p w14:paraId="64FC6182" w14:textId="423DBFFF" w:rsidR="0012514F" w:rsidRPr="00877810" w:rsidRDefault="0012514F" w:rsidP="0012514F">
      <w:r w:rsidRPr="00C670F8">
        <w:rPr>
          <w:rStyle w:val="Strong"/>
        </w:rPr>
        <w:t>ASBFEO</w:t>
      </w:r>
      <w:r>
        <w:rPr>
          <w:rStyle w:val="Strong"/>
        </w:rPr>
        <w:t>’</w:t>
      </w:r>
      <w:r w:rsidRPr="00C670F8">
        <w:rPr>
          <w:rStyle w:val="Strong"/>
        </w:rPr>
        <w:t>s strong media and social media presence and informative website have helped raise</w:t>
      </w:r>
      <w:r w:rsidRPr="00C670F8" w:rsidDel="005D20AB">
        <w:rPr>
          <w:rStyle w:val="Strong"/>
        </w:rPr>
        <w:t xml:space="preserve"> </w:t>
      </w:r>
      <w:r w:rsidR="005D20AB" w:rsidRPr="00C670F8">
        <w:rPr>
          <w:rStyle w:val="Strong"/>
        </w:rPr>
        <w:t xml:space="preserve">its </w:t>
      </w:r>
      <w:r w:rsidRPr="00C670F8">
        <w:rPr>
          <w:rStyle w:val="Strong"/>
        </w:rPr>
        <w:t>profile.</w:t>
      </w:r>
      <w:r>
        <w:rPr>
          <w:b/>
          <w:bCs/>
          <w:lang w:val="en-US"/>
        </w:rPr>
        <w:t xml:space="preserve"> </w:t>
      </w:r>
      <w:r w:rsidRPr="00877810">
        <w:rPr>
          <w:lang w:val="en-US"/>
        </w:rPr>
        <w:t>The number of followers across all social media platforms used and tracked by ASBFEO (Facebook, Instagram, LinkedIn, Twitter</w:t>
      </w:r>
      <w:r w:rsidR="005D20AB">
        <w:rPr>
          <w:lang w:val="en-US"/>
        </w:rPr>
        <w:t xml:space="preserve"> and </w:t>
      </w:r>
      <w:r w:rsidRPr="00877810">
        <w:rPr>
          <w:lang w:val="en-US"/>
        </w:rPr>
        <w:t>YouTube) has grown at an average of 12</w:t>
      </w:r>
      <w:r w:rsidR="00B0524A">
        <w:t> </w:t>
      </w:r>
      <w:r w:rsidR="00EE0E24">
        <w:rPr>
          <w:lang w:val="en-US"/>
        </w:rPr>
        <w:t>per</w:t>
      </w:r>
      <w:r w:rsidR="00B0524A">
        <w:rPr>
          <w:lang w:val="en-US"/>
        </w:rPr>
        <w:t> </w:t>
      </w:r>
      <w:r w:rsidR="00EE0E24">
        <w:rPr>
          <w:lang w:val="en-US"/>
        </w:rPr>
        <w:t>cent</w:t>
      </w:r>
      <w:r w:rsidRPr="00877810">
        <w:rPr>
          <w:lang w:val="en-US"/>
        </w:rPr>
        <w:t xml:space="preserve"> </w:t>
      </w:r>
      <w:r w:rsidRPr="00877810">
        <w:rPr>
          <w:lang w:val="en-US"/>
        </w:rPr>
        <w:lastRenderedPageBreak/>
        <w:t>per</w:t>
      </w:r>
      <w:r w:rsidR="00B0524A">
        <w:rPr>
          <w:lang w:val="en-US"/>
        </w:rPr>
        <w:t> </w:t>
      </w:r>
      <w:r w:rsidRPr="00877810">
        <w:rPr>
          <w:lang w:val="en-US"/>
        </w:rPr>
        <w:t>annum since July 2020. Total followers reached nearly 17,000 across all platforms at the end of the 2023</w:t>
      </w:r>
      <w:r w:rsidR="00EE0E24">
        <w:rPr>
          <w:lang w:val="en-US"/>
        </w:rPr>
        <w:t>–</w:t>
      </w:r>
      <w:r w:rsidRPr="00877810">
        <w:rPr>
          <w:lang w:val="en-US"/>
        </w:rPr>
        <w:t xml:space="preserve">24 </w:t>
      </w:r>
      <w:r w:rsidR="0097333B">
        <w:rPr>
          <w:lang w:val="en-US"/>
        </w:rPr>
        <w:t>fi</w:t>
      </w:r>
      <w:r w:rsidRPr="00877810">
        <w:rPr>
          <w:lang w:val="en-US"/>
        </w:rPr>
        <w:t xml:space="preserve">nancial year as outlined in Table </w:t>
      </w:r>
      <w:r w:rsidR="00FD3BD6">
        <w:rPr>
          <w:lang w:val="en-US"/>
        </w:rPr>
        <w:t>6.2</w:t>
      </w:r>
      <w:r w:rsidRPr="00877810">
        <w:rPr>
          <w:lang w:val="en-US"/>
        </w:rPr>
        <w:t>.</w:t>
      </w:r>
    </w:p>
    <w:p w14:paraId="03CD4F5C" w14:textId="0665CBD5" w:rsidR="0001433D" w:rsidRPr="00D25AC1" w:rsidRDefault="0001433D" w:rsidP="0001433D">
      <w:pPr>
        <w:pStyle w:val="TableMainHeading"/>
        <w:rPr>
          <w:lang w:val="en-US"/>
        </w:rPr>
      </w:pPr>
      <w:bookmarkStart w:id="97" w:name="_Hlk199171085"/>
      <w:r w:rsidRPr="00877810">
        <w:rPr>
          <w:lang w:val="en-US"/>
        </w:rPr>
        <w:t>T</w:t>
      </w:r>
      <w:r w:rsidR="00466C69">
        <w:rPr>
          <w:lang w:val="en-US"/>
        </w:rPr>
        <w:t>able</w:t>
      </w:r>
      <w:r w:rsidRPr="00877810">
        <w:rPr>
          <w:lang w:val="en-US"/>
        </w:rPr>
        <w:t xml:space="preserve"> </w:t>
      </w:r>
      <w:r w:rsidR="00FD3BD6">
        <w:rPr>
          <w:lang w:val="en-US"/>
        </w:rPr>
        <w:t>6.2</w:t>
      </w:r>
      <w:r w:rsidR="00AE7992">
        <w:rPr>
          <w:lang w:val="en-US"/>
        </w:rPr>
        <w:t>:</w:t>
      </w:r>
      <w:r w:rsidRPr="00877810">
        <w:rPr>
          <w:lang w:val="en-US"/>
        </w:rPr>
        <w:t xml:space="preserve"> </w:t>
      </w:r>
      <w:r w:rsidR="004C6B20">
        <w:rPr>
          <w:lang w:val="en-US"/>
        </w:rPr>
        <w:t>S</w:t>
      </w:r>
      <w:r w:rsidRPr="00877810">
        <w:rPr>
          <w:lang w:val="en-US"/>
        </w:rPr>
        <w:t xml:space="preserve">ocial </w:t>
      </w:r>
      <w:r w:rsidR="0097333B">
        <w:rPr>
          <w:lang w:val="en-US"/>
        </w:rPr>
        <w:t>m</w:t>
      </w:r>
      <w:r w:rsidRPr="00877810">
        <w:rPr>
          <w:lang w:val="en-US"/>
        </w:rPr>
        <w:t xml:space="preserve">edia </w:t>
      </w:r>
      <w:r w:rsidR="0097333B">
        <w:rPr>
          <w:lang w:val="en-US"/>
        </w:rPr>
        <w:t>a</w:t>
      </w:r>
      <w:r w:rsidRPr="00877810">
        <w:rPr>
          <w:lang w:val="en-US"/>
        </w:rPr>
        <w:t>ctivity across all platforms used by ASBFEO</w:t>
      </w:r>
    </w:p>
    <w:tbl>
      <w:tblPr>
        <w:tblStyle w:val="TableGrid"/>
        <w:tblW w:w="5000" w:type="pct"/>
        <w:tblLook w:val="04A0" w:firstRow="1" w:lastRow="0" w:firstColumn="1" w:lastColumn="0" w:noHBand="0" w:noVBand="1"/>
      </w:tblPr>
      <w:tblGrid>
        <w:gridCol w:w="3023"/>
        <w:gridCol w:w="3023"/>
        <w:gridCol w:w="3024"/>
      </w:tblGrid>
      <w:tr w:rsidR="009330FD" w:rsidRPr="00877810" w14:paraId="52FB4B09" w14:textId="77777777" w:rsidTr="00D145DE">
        <w:trPr>
          <w:cnfStyle w:val="100000000000" w:firstRow="1" w:lastRow="0" w:firstColumn="0" w:lastColumn="0" w:oddVBand="0" w:evenVBand="0" w:oddHBand="0" w:evenHBand="0" w:firstRowFirstColumn="0" w:firstRowLastColumn="0" w:lastRowFirstColumn="0" w:lastRowLastColumn="0"/>
          <w:trHeight w:val="300"/>
        </w:trPr>
        <w:tc>
          <w:tcPr>
            <w:tcW w:w="3023" w:type="dxa"/>
            <w:hideMark/>
          </w:tcPr>
          <w:bookmarkEnd w:id="97"/>
          <w:p w14:paraId="67B3930D" w14:textId="3293DF73" w:rsidR="009330FD" w:rsidRPr="00877810" w:rsidRDefault="009330FD">
            <w:pPr>
              <w:pStyle w:val="TableColumnHeadingLeft"/>
            </w:pPr>
            <w:r w:rsidRPr="00D145DE">
              <w:t>Year</w:t>
            </w:r>
          </w:p>
        </w:tc>
        <w:tc>
          <w:tcPr>
            <w:tcW w:w="3023" w:type="dxa"/>
            <w:hideMark/>
          </w:tcPr>
          <w:p w14:paraId="6F1D4DA2" w14:textId="22F73B6F" w:rsidR="009330FD" w:rsidRPr="00877810" w:rsidRDefault="009330FD" w:rsidP="00C739BB">
            <w:pPr>
              <w:pStyle w:val="TableColumnHeadingRight"/>
            </w:pPr>
            <w:r w:rsidRPr="00D145DE">
              <w:t xml:space="preserve">Social </w:t>
            </w:r>
            <w:r w:rsidR="00A16675" w:rsidRPr="00D145DE">
              <w:t>m</w:t>
            </w:r>
            <w:r w:rsidRPr="00D145DE">
              <w:t>edia followers</w:t>
            </w:r>
            <w:r w:rsidRPr="00F14640">
              <w:rPr>
                <w:vertAlign w:val="superscript"/>
              </w:rPr>
              <w:t>#</w:t>
            </w:r>
          </w:p>
        </w:tc>
        <w:tc>
          <w:tcPr>
            <w:tcW w:w="3024" w:type="dxa"/>
            <w:hideMark/>
          </w:tcPr>
          <w:p w14:paraId="52383FFA" w14:textId="30F24449" w:rsidR="009330FD" w:rsidRPr="00877810" w:rsidRDefault="009330FD" w:rsidP="00C739BB">
            <w:pPr>
              <w:pStyle w:val="TableColumnHeadingRight"/>
            </w:pPr>
            <w:r w:rsidRPr="00D145DE">
              <w:t xml:space="preserve">Social </w:t>
            </w:r>
            <w:r w:rsidR="00072EFA" w:rsidRPr="00D145DE">
              <w:t>m</w:t>
            </w:r>
            <w:r w:rsidRPr="00D145DE">
              <w:t xml:space="preserve">edia </w:t>
            </w:r>
            <w:r w:rsidR="00072EFA" w:rsidRPr="00D145DE">
              <w:t>p</w:t>
            </w:r>
            <w:r w:rsidRPr="00D145DE">
              <w:t>osts</w:t>
            </w:r>
          </w:p>
        </w:tc>
      </w:tr>
      <w:tr w:rsidR="009330FD" w:rsidRPr="00877810" w14:paraId="26D8F5CD" w14:textId="77777777" w:rsidTr="00D145DE">
        <w:trPr>
          <w:cnfStyle w:val="000000100000" w:firstRow="0" w:lastRow="0" w:firstColumn="0" w:lastColumn="0" w:oddVBand="0" w:evenVBand="0" w:oddHBand="1" w:evenHBand="0" w:firstRowFirstColumn="0" w:firstRowLastColumn="0" w:lastRowFirstColumn="0" w:lastRowLastColumn="0"/>
          <w:trHeight w:val="300"/>
        </w:trPr>
        <w:tc>
          <w:tcPr>
            <w:tcW w:w="3023" w:type="dxa"/>
            <w:hideMark/>
          </w:tcPr>
          <w:p w14:paraId="0D7A83B8" w14:textId="77777777" w:rsidR="009330FD" w:rsidRPr="00AD3786" w:rsidRDefault="009330FD">
            <w:pPr>
              <w:pStyle w:val="TableTextLeft"/>
            </w:pPr>
            <w:r w:rsidRPr="00AD3786">
              <w:t>2023</w:t>
            </w:r>
            <w:r w:rsidRPr="00AA0977">
              <w:t>–</w:t>
            </w:r>
            <w:r w:rsidRPr="00AD3786">
              <w:t>24 </w:t>
            </w:r>
          </w:p>
        </w:tc>
        <w:tc>
          <w:tcPr>
            <w:tcW w:w="3023" w:type="dxa"/>
            <w:hideMark/>
          </w:tcPr>
          <w:p w14:paraId="301BEF74" w14:textId="77777777" w:rsidR="009330FD" w:rsidRPr="00AD3786" w:rsidRDefault="009330FD" w:rsidP="00C739BB">
            <w:pPr>
              <w:pStyle w:val="TableTextRight"/>
            </w:pPr>
            <w:r w:rsidRPr="00AD3786">
              <w:t>16,741 </w:t>
            </w:r>
          </w:p>
        </w:tc>
        <w:tc>
          <w:tcPr>
            <w:tcW w:w="3024" w:type="dxa"/>
            <w:hideMark/>
          </w:tcPr>
          <w:p w14:paraId="3ABE052A" w14:textId="77777777" w:rsidR="009330FD" w:rsidRPr="00AD3786" w:rsidRDefault="009330FD" w:rsidP="00C739BB">
            <w:pPr>
              <w:pStyle w:val="TableTextRight"/>
            </w:pPr>
            <w:r w:rsidRPr="00AD3786">
              <w:t>715 </w:t>
            </w:r>
          </w:p>
        </w:tc>
      </w:tr>
      <w:tr w:rsidR="009330FD" w:rsidRPr="00877810" w14:paraId="2F98CA81" w14:textId="77777777" w:rsidTr="00D145DE">
        <w:trPr>
          <w:cnfStyle w:val="000000010000" w:firstRow="0" w:lastRow="0" w:firstColumn="0" w:lastColumn="0" w:oddVBand="0" w:evenVBand="0" w:oddHBand="0" w:evenHBand="1" w:firstRowFirstColumn="0" w:firstRowLastColumn="0" w:lastRowFirstColumn="0" w:lastRowLastColumn="0"/>
          <w:trHeight w:val="300"/>
        </w:trPr>
        <w:tc>
          <w:tcPr>
            <w:tcW w:w="3023" w:type="dxa"/>
            <w:hideMark/>
          </w:tcPr>
          <w:p w14:paraId="6C5A6F45" w14:textId="77777777" w:rsidR="009330FD" w:rsidRPr="00AD3786" w:rsidRDefault="009330FD">
            <w:pPr>
              <w:pStyle w:val="TableTextLeft"/>
            </w:pPr>
            <w:r w:rsidRPr="00AD3786">
              <w:t>2022</w:t>
            </w:r>
            <w:r w:rsidRPr="00AA0977">
              <w:t>–</w:t>
            </w:r>
            <w:r w:rsidRPr="00AD3786">
              <w:t>23 </w:t>
            </w:r>
          </w:p>
        </w:tc>
        <w:tc>
          <w:tcPr>
            <w:tcW w:w="3023" w:type="dxa"/>
            <w:hideMark/>
          </w:tcPr>
          <w:p w14:paraId="646B93F0" w14:textId="77777777" w:rsidR="009330FD" w:rsidRPr="00AD3786" w:rsidRDefault="009330FD" w:rsidP="00C739BB">
            <w:pPr>
              <w:pStyle w:val="TableTextRight"/>
            </w:pPr>
            <w:r w:rsidRPr="00AD3786">
              <w:t>15,143 </w:t>
            </w:r>
          </w:p>
        </w:tc>
        <w:tc>
          <w:tcPr>
            <w:tcW w:w="3024" w:type="dxa"/>
            <w:hideMark/>
          </w:tcPr>
          <w:p w14:paraId="0E17515B" w14:textId="77777777" w:rsidR="009330FD" w:rsidRPr="00AD3786" w:rsidRDefault="009330FD" w:rsidP="00C739BB">
            <w:pPr>
              <w:pStyle w:val="TableTextRight"/>
            </w:pPr>
            <w:r w:rsidRPr="00AD3786">
              <w:t>1,122 </w:t>
            </w:r>
          </w:p>
        </w:tc>
      </w:tr>
      <w:tr w:rsidR="009330FD" w:rsidRPr="00877810" w14:paraId="68C64DDC" w14:textId="77777777" w:rsidTr="00D145DE">
        <w:trPr>
          <w:cnfStyle w:val="000000100000" w:firstRow="0" w:lastRow="0" w:firstColumn="0" w:lastColumn="0" w:oddVBand="0" w:evenVBand="0" w:oddHBand="1" w:evenHBand="0" w:firstRowFirstColumn="0" w:firstRowLastColumn="0" w:lastRowFirstColumn="0" w:lastRowLastColumn="0"/>
          <w:trHeight w:val="300"/>
        </w:trPr>
        <w:tc>
          <w:tcPr>
            <w:tcW w:w="3023" w:type="dxa"/>
            <w:hideMark/>
          </w:tcPr>
          <w:p w14:paraId="139D846B" w14:textId="77777777" w:rsidR="009330FD" w:rsidRPr="00AD3786" w:rsidRDefault="009330FD">
            <w:pPr>
              <w:pStyle w:val="TableTextLeft"/>
            </w:pPr>
            <w:r w:rsidRPr="00AD3786">
              <w:t>2021</w:t>
            </w:r>
            <w:r w:rsidRPr="00AA0977">
              <w:t>–</w:t>
            </w:r>
            <w:r w:rsidRPr="00AD3786">
              <w:t>22 </w:t>
            </w:r>
          </w:p>
        </w:tc>
        <w:tc>
          <w:tcPr>
            <w:tcW w:w="3023" w:type="dxa"/>
            <w:hideMark/>
          </w:tcPr>
          <w:p w14:paraId="1CEDB046" w14:textId="77777777" w:rsidR="009330FD" w:rsidRPr="00AD3786" w:rsidRDefault="009330FD" w:rsidP="00C739BB">
            <w:pPr>
              <w:pStyle w:val="TableTextRight"/>
            </w:pPr>
            <w:r w:rsidRPr="00AD3786">
              <w:t>13,504 </w:t>
            </w:r>
          </w:p>
        </w:tc>
        <w:tc>
          <w:tcPr>
            <w:tcW w:w="3024" w:type="dxa"/>
            <w:hideMark/>
          </w:tcPr>
          <w:p w14:paraId="65903822" w14:textId="77777777" w:rsidR="009330FD" w:rsidRPr="00AD3786" w:rsidRDefault="009330FD" w:rsidP="00C739BB">
            <w:pPr>
              <w:pStyle w:val="TableTextRight"/>
            </w:pPr>
            <w:r w:rsidRPr="00AD3786">
              <w:t>1,073 </w:t>
            </w:r>
          </w:p>
        </w:tc>
      </w:tr>
      <w:tr w:rsidR="009330FD" w:rsidRPr="00877810" w14:paraId="2D79D0C9" w14:textId="77777777" w:rsidTr="00D145DE">
        <w:trPr>
          <w:cnfStyle w:val="000000010000" w:firstRow="0" w:lastRow="0" w:firstColumn="0" w:lastColumn="0" w:oddVBand="0" w:evenVBand="0" w:oddHBand="0" w:evenHBand="1" w:firstRowFirstColumn="0" w:firstRowLastColumn="0" w:lastRowFirstColumn="0" w:lastRowLastColumn="0"/>
          <w:trHeight w:val="300"/>
        </w:trPr>
        <w:tc>
          <w:tcPr>
            <w:tcW w:w="3023" w:type="dxa"/>
            <w:hideMark/>
          </w:tcPr>
          <w:p w14:paraId="1AA5E523" w14:textId="77777777" w:rsidR="009330FD" w:rsidRPr="00AD3786" w:rsidRDefault="009330FD">
            <w:pPr>
              <w:pStyle w:val="TableTextLeft"/>
            </w:pPr>
            <w:r w:rsidRPr="00AD3786">
              <w:t>2020</w:t>
            </w:r>
            <w:r w:rsidRPr="00AA0977">
              <w:t>–</w:t>
            </w:r>
            <w:r w:rsidRPr="00AD3786">
              <w:t>21 </w:t>
            </w:r>
          </w:p>
        </w:tc>
        <w:tc>
          <w:tcPr>
            <w:tcW w:w="3023" w:type="dxa"/>
            <w:hideMark/>
          </w:tcPr>
          <w:p w14:paraId="69543EFD" w14:textId="77777777" w:rsidR="009330FD" w:rsidRPr="00AD3786" w:rsidRDefault="009330FD" w:rsidP="00C739BB">
            <w:pPr>
              <w:pStyle w:val="TableTextRight"/>
            </w:pPr>
            <w:r w:rsidRPr="00AD3786">
              <w:t>11,803 </w:t>
            </w:r>
          </w:p>
        </w:tc>
        <w:tc>
          <w:tcPr>
            <w:tcW w:w="3024" w:type="dxa"/>
            <w:hideMark/>
          </w:tcPr>
          <w:p w14:paraId="6001507E" w14:textId="77777777" w:rsidR="009330FD" w:rsidRPr="00AD3786" w:rsidRDefault="009330FD" w:rsidP="00C739BB">
            <w:pPr>
              <w:pStyle w:val="TableTextRight"/>
            </w:pPr>
            <w:r w:rsidRPr="00AD3786">
              <w:t>1,340 </w:t>
            </w:r>
          </w:p>
        </w:tc>
      </w:tr>
    </w:tbl>
    <w:p w14:paraId="1DBCEB85" w14:textId="4EADB37E" w:rsidR="002A28E2" w:rsidRPr="004D4530" w:rsidRDefault="002A28E2" w:rsidP="002A28E2">
      <w:pPr>
        <w:pStyle w:val="ChartorTablenoteandsource"/>
      </w:pPr>
      <w:r>
        <w:t>Please refer to Appendix I for table notes and sources</w:t>
      </w:r>
      <w:r w:rsidR="00072EFA">
        <w:t>.</w:t>
      </w:r>
    </w:p>
    <w:p w14:paraId="671E2E92" w14:textId="7304EBA0" w:rsidR="003B2BA6" w:rsidRPr="00877810" w:rsidRDefault="003B2BA6" w:rsidP="00AA4DFA">
      <w:r w:rsidRPr="0045030E">
        <w:rPr>
          <w:rStyle w:val="Strong"/>
        </w:rPr>
        <w:t xml:space="preserve">The Ombudsman undertakes significant media activity to build awareness of the ASBFEO and the issues small businesses face, as shown in Table </w:t>
      </w:r>
      <w:r w:rsidR="005115B8" w:rsidRPr="0045030E">
        <w:rPr>
          <w:rStyle w:val="Strong"/>
        </w:rPr>
        <w:t>6.3</w:t>
      </w:r>
      <w:r w:rsidRPr="0045030E">
        <w:rPr>
          <w:rStyle w:val="Strong"/>
        </w:rPr>
        <w:t>.</w:t>
      </w:r>
      <w:r w:rsidRPr="00877810">
        <w:rPr>
          <w:lang w:val="en-US"/>
        </w:rPr>
        <w:t xml:space="preserve"> Media activities also include sharing guidance and best practices for small business owners.</w:t>
      </w:r>
      <w:r w:rsidR="0082196F">
        <w:rPr>
          <w:lang w:val="en-US"/>
        </w:rPr>
        <w:t xml:space="preserve"> </w:t>
      </w:r>
      <w:r w:rsidRPr="00877810">
        <w:rPr>
          <w:lang w:val="en-US"/>
        </w:rPr>
        <w:t>Media releases published on ASBFEO</w:t>
      </w:r>
      <w:r w:rsidR="003A0D5E">
        <w:rPr>
          <w:lang w:val="en-US"/>
        </w:rPr>
        <w:t>’</w:t>
      </w:r>
      <w:r w:rsidRPr="00877810">
        <w:rPr>
          <w:lang w:val="en-US"/>
        </w:rPr>
        <w:t xml:space="preserve">s website since </w:t>
      </w:r>
      <w:r w:rsidRPr="0045030E">
        <w:t>January 2022</w:t>
      </w:r>
      <w:r w:rsidRPr="0045030E" w:rsidDel="00F77E2B">
        <w:t xml:space="preserve"> </w:t>
      </w:r>
      <w:r w:rsidR="00F00E0E" w:rsidRPr="0045030E">
        <w:t xml:space="preserve">include </w:t>
      </w:r>
      <w:r w:rsidRPr="0045030E">
        <w:t xml:space="preserve">topics </w:t>
      </w:r>
      <w:r w:rsidR="00F00E0E" w:rsidRPr="0045030E">
        <w:t>such as</w:t>
      </w:r>
      <w:r w:rsidRPr="0045030E">
        <w:t>:</w:t>
      </w:r>
      <w:r w:rsidR="004C6B20" w:rsidRPr="0045030E">
        <w:t xml:space="preserve"> </w:t>
      </w:r>
      <w:r w:rsidRPr="0045030E">
        <w:t>assistance – including providing best practice tips on how to engage with small businesses, or how small businesses can manage issues</w:t>
      </w:r>
      <w:r w:rsidR="00AD2AFA" w:rsidRPr="0045030E">
        <w:t xml:space="preserve"> and</w:t>
      </w:r>
      <w:r w:rsidR="004B5AFA" w:rsidRPr="0045030E">
        <w:t xml:space="preserve"> </w:t>
      </w:r>
      <w:r w:rsidRPr="0045030E">
        <w:t xml:space="preserve">policy areas </w:t>
      </w:r>
      <w:r w:rsidR="00F00E0E" w:rsidRPr="0045030E">
        <w:t xml:space="preserve">on which </w:t>
      </w:r>
      <w:r w:rsidRPr="0045030E">
        <w:t xml:space="preserve">ASBFEO </w:t>
      </w:r>
      <w:r w:rsidR="00F00E0E" w:rsidRPr="0045030E">
        <w:t xml:space="preserve">is </w:t>
      </w:r>
      <w:r w:rsidRPr="0045030E">
        <w:t>advocating.</w:t>
      </w:r>
      <w:r w:rsidR="00065357">
        <w:rPr>
          <w:rFonts w:ascii="ZWAdobeF" w:hAnsi="ZWAdobeF" w:cs="ZWAdobeF"/>
          <w:color w:val="auto"/>
          <w:sz w:val="2"/>
          <w:szCs w:val="2"/>
        </w:rPr>
        <w:t>109F</w:t>
      </w:r>
      <w:r w:rsidR="00016931" w:rsidRPr="00016931">
        <w:rPr>
          <w:rStyle w:val="FootnoteReference"/>
          <w:sz w:val="22"/>
          <w:szCs w:val="24"/>
          <w:vertAlign w:val="superscript"/>
          <w:lang w:val="en-US"/>
        </w:rPr>
        <w:footnoteReference w:id="111"/>
      </w:r>
    </w:p>
    <w:p w14:paraId="0BED7AEC" w14:textId="7BDFCA85" w:rsidR="003B2BA6" w:rsidRPr="00877810" w:rsidRDefault="003B2BA6" w:rsidP="003B2BA6">
      <w:r w:rsidRPr="0045030E">
        <w:rPr>
          <w:rStyle w:val="Strong"/>
        </w:rPr>
        <w:t>The Ombudsman regularly writes opinion pieces for various publications, including industry press and major newspapers.</w:t>
      </w:r>
      <w:r w:rsidRPr="00877810">
        <w:rPr>
          <w:lang w:val="en-US"/>
        </w:rPr>
        <w:t xml:space="preserve"> </w:t>
      </w:r>
      <w:r w:rsidR="00F00E0E">
        <w:rPr>
          <w:lang w:val="en-US"/>
        </w:rPr>
        <w:t>T</w:t>
      </w:r>
      <w:r w:rsidRPr="00877810">
        <w:rPr>
          <w:lang w:val="en-US"/>
        </w:rPr>
        <w:t>opics covered in the media and opinion pieces are broad, and a range of issues may be covered in a single opinion piece or media interview.</w:t>
      </w:r>
      <w:r w:rsidR="00065357">
        <w:rPr>
          <w:rFonts w:ascii="ZWAdobeF" w:hAnsi="ZWAdobeF" w:cs="ZWAdobeF"/>
          <w:color w:val="auto"/>
          <w:sz w:val="2"/>
          <w:szCs w:val="2"/>
          <w:lang w:val="en-US"/>
        </w:rPr>
        <w:t>110F</w:t>
      </w:r>
      <w:r w:rsidR="006805EB" w:rsidRPr="00016931">
        <w:rPr>
          <w:rStyle w:val="FootnoteReference"/>
          <w:sz w:val="22"/>
          <w:szCs w:val="24"/>
          <w:vertAlign w:val="superscript"/>
          <w:lang w:val="en-US"/>
        </w:rPr>
        <w:footnoteReference w:id="112"/>
      </w:r>
    </w:p>
    <w:p w14:paraId="5E5CA38F" w14:textId="336F45AF" w:rsidR="009330FD" w:rsidRPr="00D25AC1" w:rsidRDefault="009330FD" w:rsidP="009330FD">
      <w:pPr>
        <w:pStyle w:val="TableMainHeading"/>
        <w:rPr>
          <w:lang w:val="en-US"/>
        </w:rPr>
      </w:pPr>
      <w:bookmarkStart w:id="98" w:name="_Hlk199171098"/>
      <w:r w:rsidRPr="00877810">
        <w:rPr>
          <w:lang w:val="en-US"/>
        </w:rPr>
        <w:t>T</w:t>
      </w:r>
      <w:r w:rsidR="00466C69">
        <w:rPr>
          <w:lang w:val="en-US"/>
        </w:rPr>
        <w:t>able</w:t>
      </w:r>
      <w:r w:rsidRPr="00877810">
        <w:rPr>
          <w:lang w:val="en-US"/>
        </w:rPr>
        <w:t xml:space="preserve"> </w:t>
      </w:r>
      <w:r w:rsidR="00BB3C38">
        <w:rPr>
          <w:lang w:val="en-US"/>
        </w:rPr>
        <w:t>6.3</w:t>
      </w:r>
      <w:r w:rsidR="005B0860">
        <w:rPr>
          <w:lang w:val="en-US"/>
        </w:rPr>
        <w:t>:</w:t>
      </w:r>
      <w:r w:rsidRPr="00877810">
        <w:rPr>
          <w:lang w:val="en-US"/>
        </w:rPr>
        <w:t xml:space="preserve"> </w:t>
      </w:r>
      <w:r w:rsidR="004C6B20">
        <w:rPr>
          <w:lang w:val="en-US"/>
        </w:rPr>
        <w:t>M</w:t>
      </w:r>
      <w:r w:rsidRPr="00877810">
        <w:rPr>
          <w:lang w:val="en-US"/>
        </w:rPr>
        <w:t xml:space="preserve">edia </w:t>
      </w:r>
      <w:r w:rsidR="00AE2FC6">
        <w:rPr>
          <w:lang w:val="en-US"/>
        </w:rPr>
        <w:t>r</w:t>
      </w:r>
      <w:r w:rsidRPr="00877810">
        <w:rPr>
          <w:lang w:val="en-US"/>
        </w:rPr>
        <w:t xml:space="preserve">elease </w:t>
      </w:r>
      <w:r w:rsidR="00AE2FC6">
        <w:rPr>
          <w:lang w:val="en-US"/>
        </w:rPr>
        <w:t>a</w:t>
      </w:r>
      <w:r w:rsidRPr="00877810">
        <w:rPr>
          <w:lang w:val="en-US"/>
        </w:rPr>
        <w:t>ctivity</w:t>
      </w:r>
      <w:r w:rsidRPr="00D25AC1">
        <w:rPr>
          <w:lang w:val="en-US"/>
        </w:rPr>
        <w:t> </w:t>
      </w:r>
    </w:p>
    <w:tbl>
      <w:tblPr>
        <w:tblStyle w:val="TableGrid"/>
        <w:tblW w:w="8820" w:type="dxa"/>
        <w:tblLook w:val="04A0" w:firstRow="1" w:lastRow="0" w:firstColumn="1" w:lastColumn="0" w:noHBand="0" w:noVBand="1"/>
      </w:tblPr>
      <w:tblGrid>
        <w:gridCol w:w="2880"/>
        <w:gridCol w:w="3045"/>
        <w:gridCol w:w="2895"/>
      </w:tblGrid>
      <w:tr w:rsidR="00C308F4" w:rsidRPr="00877810" w14:paraId="6D8A312C" w14:textId="77777777" w:rsidTr="00C308F4">
        <w:trPr>
          <w:cnfStyle w:val="100000000000" w:firstRow="1" w:lastRow="0" w:firstColumn="0" w:lastColumn="0" w:oddVBand="0" w:evenVBand="0" w:oddHBand="0" w:evenHBand="0" w:firstRowFirstColumn="0" w:firstRowLastColumn="0" w:lastRowFirstColumn="0" w:lastRowLastColumn="0"/>
          <w:trHeight w:val="300"/>
        </w:trPr>
        <w:tc>
          <w:tcPr>
            <w:tcW w:w="2880" w:type="dxa"/>
            <w:hideMark/>
          </w:tcPr>
          <w:bookmarkEnd w:id="98"/>
          <w:p w14:paraId="1AE348BC" w14:textId="420250F6" w:rsidR="00C308F4" w:rsidRPr="00877810" w:rsidRDefault="00C308F4">
            <w:pPr>
              <w:pStyle w:val="TableColumnHeadingLeft"/>
            </w:pPr>
            <w:r w:rsidRPr="00877810">
              <w:rPr>
                <w:lang w:val="en-US"/>
              </w:rPr>
              <w:t>Year</w:t>
            </w:r>
          </w:p>
        </w:tc>
        <w:tc>
          <w:tcPr>
            <w:tcW w:w="3045" w:type="dxa"/>
            <w:hideMark/>
          </w:tcPr>
          <w:p w14:paraId="1C6A21ED" w14:textId="74768914" w:rsidR="00C308F4" w:rsidRPr="00877810" w:rsidRDefault="00C308F4" w:rsidP="00C739BB">
            <w:pPr>
              <w:pStyle w:val="TableColumnHeadingRight"/>
            </w:pPr>
            <w:r w:rsidRPr="00877810">
              <w:rPr>
                <w:lang w:val="en-US"/>
              </w:rPr>
              <w:t xml:space="preserve">Media </w:t>
            </w:r>
            <w:r w:rsidR="00AE2FC6">
              <w:rPr>
                <w:lang w:val="en-US"/>
              </w:rPr>
              <w:t>r</w:t>
            </w:r>
            <w:r w:rsidRPr="00877810">
              <w:rPr>
                <w:lang w:val="en-US"/>
              </w:rPr>
              <w:t xml:space="preserve">eleases </w:t>
            </w:r>
            <w:r w:rsidR="00AE2FC6">
              <w:rPr>
                <w:lang w:val="en-US"/>
              </w:rPr>
              <w:t>p</w:t>
            </w:r>
            <w:r w:rsidRPr="00877810">
              <w:rPr>
                <w:lang w:val="en-US"/>
              </w:rPr>
              <w:t>ublished</w:t>
            </w:r>
          </w:p>
        </w:tc>
        <w:tc>
          <w:tcPr>
            <w:tcW w:w="2895" w:type="dxa"/>
            <w:hideMark/>
          </w:tcPr>
          <w:p w14:paraId="2EA43B78" w14:textId="3CB57905" w:rsidR="00C308F4" w:rsidRPr="00877810" w:rsidRDefault="00C308F4" w:rsidP="00C739BB">
            <w:pPr>
              <w:pStyle w:val="TableColumnHeadingRight"/>
            </w:pPr>
            <w:r w:rsidRPr="00877810">
              <w:rPr>
                <w:lang w:val="en-US"/>
              </w:rPr>
              <w:t xml:space="preserve">Mentions of ASBFEO in </w:t>
            </w:r>
            <w:r w:rsidR="00AE2FC6">
              <w:rPr>
                <w:lang w:val="en-US"/>
              </w:rPr>
              <w:t>m</w:t>
            </w:r>
            <w:r w:rsidRPr="00877810">
              <w:rPr>
                <w:lang w:val="en-US"/>
              </w:rPr>
              <w:t>edia</w:t>
            </w:r>
            <w:r w:rsidRPr="00877810">
              <w:rPr>
                <w:vertAlign w:val="superscript"/>
                <w:lang w:val="en-US"/>
              </w:rPr>
              <w:t>#</w:t>
            </w:r>
          </w:p>
        </w:tc>
      </w:tr>
      <w:tr w:rsidR="00C308F4" w:rsidRPr="00877810" w14:paraId="23ED0A61" w14:textId="77777777" w:rsidTr="00C308F4">
        <w:trPr>
          <w:cnfStyle w:val="000000100000" w:firstRow="0" w:lastRow="0" w:firstColumn="0" w:lastColumn="0" w:oddVBand="0" w:evenVBand="0" w:oddHBand="1" w:evenHBand="0" w:firstRowFirstColumn="0" w:firstRowLastColumn="0" w:lastRowFirstColumn="0" w:lastRowLastColumn="0"/>
          <w:trHeight w:val="300"/>
        </w:trPr>
        <w:tc>
          <w:tcPr>
            <w:tcW w:w="2880" w:type="dxa"/>
            <w:hideMark/>
          </w:tcPr>
          <w:p w14:paraId="698D693B" w14:textId="77777777" w:rsidR="00C308F4" w:rsidRPr="00877810" w:rsidRDefault="00C308F4">
            <w:pPr>
              <w:pStyle w:val="TableTextLeft"/>
            </w:pPr>
            <w:r w:rsidRPr="00877810">
              <w:rPr>
                <w:lang w:val="en-US"/>
              </w:rPr>
              <w:t>2023</w:t>
            </w:r>
            <w:r w:rsidRPr="00AA0977">
              <w:t>–</w:t>
            </w:r>
            <w:r w:rsidRPr="00877810">
              <w:rPr>
                <w:lang w:val="en-US"/>
              </w:rPr>
              <w:t>24</w:t>
            </w:r>
            <w:r w:rsidRPr="00877810">
              <w:t> </w:t>
            </w:r>
          </w:p>
        </w:tc>
        <w:tc>
          <w:tcPr>
            <w:tcW w:w="3045" w:type="dxa"/>
            <w:hideMark/>
          </w:tcPr>
          <w:p w14:paraId="710AED33" w14:textId="7B1F533D" w:rsidR="00C308F4" w:rsidRPr="00877810" w:rsidRDefault="00C308F4" w:rsidP="00C739BB">
            <w:pPr>
              <w:pStyle w:val="TableTextRight"/>
            </w:pPr>
            <w:r w:rsidRPr="00877810">
              <w:rPr>
                <w:lang w:val="en-US"/>
              </w:rPr>
              <w:t>25</w:t>
            </w:r>
          </w:p>
        </w:tc>
        <w:tc>
          <w:tcPr>
            <w:tcW w:w="2895" w:type="dxa"/>
            <w:hideMark/>
          </w:tcPr>
          <w:p w14:paraId="4B3AA587" w14:textId="7CEDF734" w:rsidR="00C308F4" w:rsidRPr="00877810" w:rsidRDefault="00C308F4" w:rsidP="00C739BB">
            <w:pPr>
              <w:pStyle w:val="TableTextRight"/>
            </w:pPr>
            <w:r w:rsidRPr="00877810">
              <w:rPr>
                <w:lang w:val="en-US"/>
              </w:rPr>
              <w:t>2,184</w:t>
            </w:r>
          </w:p>
        </w:tc>
      </w:tr>
      <w:tr w:rsidR="00C308F4" w:rsidRPr="00877810" w14:paraId="3D268459" w14:textId="77777777" w:rsidTr="00C308F4">
        <w:trPr>
          <w:cnfStyle w:val="000000010000" w:firstRow="0" w:lastRow="0" w:firstColumn="0" w:lastColumn="0" w:oddVBand="0" w:evenVBand="0" w:oddHBand="0" w:evenHBand="1" w:firstRowFirstColumn="0" w:firstRowLastColumn="0" w:lastRowFirstColumn="0" w:lastRowLastColumn="0"/>
          <w:trHeight w:val="300"/>
        </w:trPr>
        <w:tc>
          <w:tcPr>
            <w:tcW w:w="2880" w:type="dxa"/>
            <w:hideMark/>
          </w:tcPr>
          <w:p w14:paraId="57B3F903" w14:textId="77777777" w:rsidR="00C308F4" w:rsidRPr="00877810" w:rsidRDefault="00C308F4">
            <w:pPr>
              <w:pStyle w:val="TableTextLeft"/>
            </w:pPr>
            <w:r w:rsidRPr="00877810">
              <w:rPr>
                <w:lang w:val="en-US"/>
              </w:rPr>
              <w:t>2022</w:t>
            </w:r>
            <w:r w:rsidRPr="00AA0977">
              <w:t>–</w:t>
            </w:r>
            <w:r w:rsidRPr="00877810">
              <w:rPr>
                <w:lang w:val="en-US"/>
              </w:rPr>
              <w:t>23</w:t>
            </w:r>
            <w:r w:rsidRPr="00877810">
              <w:t> </w:t>
            </w:r>
          </w:p>
        </w:tc>
        <w:tc>
          <w:tcPr>
            <w:tcW w:w="3045" w:type="dxa"/>
            <w:hideMark/>
          </w:tcPr>
          <w:p w14:paraId="2E64D6C3" w14:textId="0A39CB39" w:rsidR="00C308F4" w:rsidRPr="00877810" w:rsidRDefault="00C308F4" w:rsidP="00C739BB">
            <w:pPr>
              <w:pStyle w:val="TableTextRight"/>
            </w:pPr>
            <w:r w:rsidRPr="00877810">
              <w:rPr>
                <w:lang w:val="en-US"/>
              </w:rPr>
              <w:t>24</w:t>
            </w:r>
          </w:p>
        </w:tc>
        <w:tc>
          <w:tcPr>
            <w:tcW w:w="2895" w:type="dxa"/>
            <w:hideMark/>
          </w:tcPr>
          <w:p w14:paraId="6D8FB52D" w14:textId="6EE580BA" w:rsidR="00C308F4" w:rsidRPr="00877810" w:rsidRDefault="00C308F4" w:rsidP="00C739BB">
            <w:pPr>
              <w:pStyle w:val="TableTextRight"/>
            </w:pPr>
            <w:r w:rsidRPr="00877810">
              <w:rPr>
                <w:lang w:val="en-US"/>
              </w:rPr>
              <w:t>1,868</w:t>
            </w:r>
          </w:p>
        </w:tc>
      </w:tr>
      <w:tr w:rsidR="00C308F4" w:rsidRPr="00877810" w14:paraId="25B653A2" w14:textId="77777777" w:rsidTr="00C308F4">
        <w:trPr>
          <w:cnfStyle w:val="000000100000" w:firstRow="0" w:lastRow="0" w:firstColumn="0" w:lastColumn="0" w:oddVBand="0" w:evenVBand="0" w:oddHBand="1" w:evenHBand="0" w:firstRowFirstColumn="0" w:firstRowLastColumn="0" w:lastRowFirstColumn="0" w:lastRowLastColumn="0"/>
          <w:trHeight w:val="300"/>
        </w:trPr>
        <w:tc>
          <w:tcPr>
            <w:tcW w:w="2880" w:type="dxa"/>
            <w:hideMark/>
          </w:tcPr>
          <w:p w14:paraId="09B00DB2" w14:textId="77777777" w:rsidR="00C308F4" w:rsidRPr="00877810" w:rsidRDefault="00C308F4">
            <w:pPr>
              <w:pStyle w:val="TableTextLeft"/>
            </w:pPr>
            <w:r w:rsidRPr="00877810">
              <w:rPr>
                <w:lang w:val="en-US"/>
              </w:rPr>
              <w:t>2021</w:t>
            </w:r>
            <w:r w:rsidRPr="00AA0977">
              <w:t>–</w:t>
            </w:r>
            <w:r w:rsidRPr="00877810">
              <w:rPr>
                <w:lang w:val="en-US"/>
              </w:rPr>
              <w:t>22</w:t>
            </w:r>
            <w:r w:rsidRPr="00877810">
              <w:t> </w:t>
            </w:r>
          </w:p>
        </w:tc>
        <w:tc>
          <w:tcPr>
            <w:tcW w:w="3045" w:type="dxa"/>
            <w:hideMark/>
          </w:tcPr>
          <w:p w14:paraId="420A2474" w14:textId="519E3562" w:rsidR="00C308F4" w:rsidRPr="00877810" w:rsidRDefault="00C308F4" w:rsidP="00C739BB">
            <w:pPr>
              <w:pStyle w:val="TableTextRight"/>
            </w:pPr>
            <w:r w:rsidRPr="00877810">
              <w:rPr>
                <w:lang w:val="en-US"/>
              </w:rPr>
              <w:t>80</w:t>
            </w:r>
          </w:p>
        </w:tc>
        <w:tc>
          <w:tcPr>
            <w:tcW w:w="2895" w:type="dxa"/>
            <w:hideMark/>
          </w:tcPr>
          <w:p w14:paraId="1A255839" w14:textId="445F486E" w:rsidR="00C308F4" w:rsidRPr="00877810" w:rsidRDefault="00C308F4" w:rsidP="00C739BB">
            <w:pPr>
              <w:pStyle w:val="TableTextRight"/>
            </w:pPr>
            <w:r w:rsidRPr="00877810">
              <w:rPr>
                <w:lang w:val="en-US"/>
              </w:rPr>
              <w:t>923</w:t>
            </w:r>
          </w:p>
        </w:tc>
      </w:tr>
      <w:tr w:rsidR="00C308F4" w:rsidRPr="00877810" w14:paraId="2C2E1416" w14:textId="77777777" w:rsidTr="00C308F4">
        <w:trPr>
          <w:cnfStyle w:val="000000010000" w:firstRow="0" w:lastRow="0" w:firstColumn="0" w:lastColumn="0" w:oddVBand="0" w:evenVBand="0" w:oddHBand="0" w:evenHBand="1" w:firstRowFirstColumn="0" w:firstRowLastColumn="0" w:lastRowFirstColumn="0" w:lastRowLastColumn="0"/>
          <w:trHeight w:val="300"/>
        </w:trPr>
        <w:tc>
          <w:tcPr>
            <w:tcW w:w="2880" w:type="dxa"/>
            <w:hideMark/>
          </w:tcPr>
          <w:p w14:paraId="5EB327EB" w14:textId="77777777" w:rsidR="00C308F4" w:rsidRPr="00877810" w:rsidRDefault="00C308F4">
            <w:pPr>
              <w:pStyle w:val="TableTextLeft"/>
            </w:pPr>
            <w:r w:rsidRPr="00877810">
              <w:rPr>
                <w:lang w:val="en-US"/>
              </w:rPr>
              <w:t>2020</w:t>
            </w:r>
            <w:r w:rsidRPr="00AA0977">
              <w:t>–</w:t>
            </w:r>
            <w:r w:rsidRPr="00877810">
              <w:rPr>
                <w:lang w:val="en-US"/>
              </w:rPr>
              <w:t>21</w:t>
            </w:r>
            <w:r w:rsidRPr="00877810">
              <w:t> </w:t>
            </w:r>
          </w:p>
        </w:tc>
        <w:tc>
          <w:tcPr>
            <w:tcW w:w="3045" w:type="dxa"/>
            <w:hideMark/>
          </w:tcPr>
          <w:p w14:paraId="1A0F59CF" w14:textId="3F567430" w:rsidR="00C308F4" w:rsidRPr="00877810" w:rsidRDefault="00C308F4" w:rsidP="00C739BB">
            <w:pPr>
              <w:pStyle w:val="TableTextRight"/>
            </w:pPr>
            <w:r w:rsidRPr="00877810">
              <w:rPr>
                <w:lang w:val="en-US"/>
              </w:rPr>
              <w:t>101</w:t>
            </w:r>
          </w:p>
        </w:tc>
        <w:tc>
          <w:tcPr>
            <w:tcW w:w="2895" w:type="dxa"/>
            <w:hideMark/>
          </w:tcPr>
          <w:p w14:paraId="59F52234" w14:textId="5491C4C0" w:rsidR="00C308F4" w:rsidRPr="00877810" w:rsidRDefault="00C308F4" w:rsidP="00C739BB">
            <w:pPr>
              <w:pStyle w:val="TableTextRight"/>
            </w:pPr>
            <w:r w:rsidRPr="00877810">
              <w:rPr>
                <w:lang w:val="en-US"/>
              </w:rPr>
              <w:t>5,607</w:t>
            </w:r>
          </w:p>
        </w:tc>
      </w:tr>
    </w:tbl>
    <w:p w14:paraId="22771287" w14:textId="4B800919" w:rsidR="00D9121E" w:rsidRPr="00D9121E" w:rsidRDefault="002A28E2" w:rsidP="004C6B20">
      <w:pPr>
        <w:pStyle w:val="ChartorTablenoteandsource"/>
      </w:pPr>
      <w:r>
        <w:t>Please refer to Appendix I for table notes and sources</w:t>
      </w:r>
      <w:r w:rsidR="00AE2FC6">
        <w:t>.</w:t>
      </w:r>
    </w:p>
    <w:p w14:paraId="4230EDCB" w14:textId="77777777" w:rsidR="00222158" w:rsidRDefault="00222158">
      <w:pPr>
        <w:spacing w:before="0" w:after="160" w:line="259" w:lineRule="auto"/>
        <w:rPr>
          <w:b/>
          <w:bCs/>
          <w:lang w:val="en-US"/>
        </w:rPr>
      </w:pPr>
      <w:r>
        <w:rPr>
          <w:b/>
          <w:bCs/>
          <w:lang w:val="en-US"/>
        </w:rPr>
        <w:br w:type="page"/>
      </w:r>
    </w:p>
    <w:p w14:paraId="39C5DBF7" w14:textId="36C8EA2F" w:rsidR="000C338F" w:rsidRDefault="00346743" w:rsidP="00903893">
      <w:pPr>
        <w:rPr>
          <w:b/>
          <w:bCs/>
          <w:lang w:val="en-US"/>
        </w:rPr>
      </w:pPr>
      <w:r w:rsidRPr="00877810">
        <w:rPr>
          <w:b/>
          <w:bCs/>
          <w:lang w:val="en-US"/>
        </w:rPr>
        <w:lastRenderedPageBreak/>
        <w:t>ASBFEO</w:t>
      </w:r>
      <w:r w:rsidR="003A0D5E">
        <w:rPr>
          <w:b/>
          <w:bCs/>
          <w:lang w:val="en-US"/>
        </w:rPr>
        <w:t>’</w:t>
      </w:r>
      <w:r w:rsidRPr="00877810">
        <w:rPr>
          <w:b/>
          <w:bCs/>
          <w:lang w:val="en-US"/>
        </w:rPr>
        <w:t xml:space="preserve">s website hosts information under </w:t>
      </w:r>
      <w:r w:rsidR="00F00E0E">
        <w:rPr>
          <w:b/>
          <w:bCs/>
          <w:lang w:val="en-US"/>
        </w:rPr>
        <w:t>5</w:t>
      </w:r>
      <w:r w:rsidR="00F00E0E" w:rsidRPr="00877810">
        <w:rPr>
          <w:b/>
          <w:bCs/>
          <w:lang w:val="en-US"/>
        </w:rPr>
        <w:t xml:space="preserve"> </w:t>
      </w:r>
      <w:r w:rsidRPr="00877810">
        <w:rPr>
          <w:b/>
          <w:bCs/>
          <w:lang w:val="en-US"/>
        </w:rPr>
        <w:t>main menu options</w:t>
      </w:r>
      <w:r w:rsidR="00887277">
        <w:rPr>
          <w:b/>
          <w:bCs/>
          <w:lang w:val="en-US"/>
        </w:rPr>
        <w:t xml:space="preserve"> as shown in </w:t>
      </w:r>
      <w:r w:rsidR="00DC38E6">
        <w:rPr>
          <w:b/>
          <w:bCs/>
          <w:lang w:val="en-US"/>
        </w:rPr>
        <w:t>F</w:t>
      </w:r>
      <w:r w:rsidR="004C6B20">
        <w:rPr>
          <w:b/>
          <w:bCs/>
          <w:lang w:val="en-US"/>
        </w:rPr>
        <w:t>igure</w:t>
      </w:r>
      <w:r w:rsidR="00887277">
        <w:rPr>
          <w:b/>
          <w:bCs/>
          <w:lang w:val="en-US"/>
        </w:rPr>
        <w:t xml:space="preserve"> 6.</w:t>
      </w:r>
      <w:r w:rsidR="0058520B">
        <w:rPr>
          <w:b/>
          <w:bCs/>
          <w:lang w:val="en-US"/>
        </w:rPr>
        <w:t>2</w:t>
      </w:r>
      <w:r w:rsidR="00887277">
        <w:rPr>
          <w:b/>
          <w:bCs/>
          <w:lang w:val="en-US"/>
        </w:rPr>
        <w:t>.</w:t>
      </w:r>
    </w:p>
    <w:p w14:paraId="79CAD66D" w14:textId="0E814E73" w:rsidR="0058520B" w:rsidRPr="00AB724A" w:rsidRDefault="0058520B" w:rsidP="00222158">
      <w:pPr>
        <w:pStyle w:val="ChartMainHeading"/>
        <w:rPr>
          <w:rStyle w:val="Strong"/>
        </w:rPr>
      </w:pPr>
      <w:r>
        <w:rPr>
          <w:lang w:val="en-US"/>
        </w:rPr>
        <w:t xml:space="preserve">Figure </w:t>
      </w:r>
      <w:r w:rsidR="00AB411E">
        <w:rPr>
          <w:lang w:val="en-US"/>
        </w:rPr>
        <w:t>6</w:t>
      </w:r>
      <w:r w:rsidRPr="00C47726">
        <w:rPr>
          <w:lang w:val="en-US"/>
        </w:rPr>
        <w:t>.</w:t>
      </w:r>
      <w:r>
        <w:rPr>
          <w:lang w:val="en-US"/>
        </w:rPr>
        <w:t>2</w:t>
      </w:r>
      <w:r w:rsidRPr="00C47726">
        <w:rPr>
          <w:lang w:val="en-US"/>
        </w:rPr>
        <w:t xml:space="preserve">: </w:t>
      </w:r>
      <w:r w:rsidR="00D25AC1">
        <w:rPr>
          <w:lang w:val="en-US"/>
        </w:rPr>
        <w:t>T</w:t>
      </w:r>
      <w:r w:rsidR="00E12901">
        <w:rPr>
          <w:lang w:val="en-US"/>
        </w:rPr>
        <w:t>he ASBFEO website</w:t>
      </w:r>
    </w:p>
    <w:p w14:paraId="681D0C19" w14:textId="6A8D91B2" w:rsidR="00FA2199" w:rsidRPr="00877810" w:rsidRDefault="00FA2199" w:rsidP="00F2058F">
      <w:pPr>
        <w:jc w:val="center"/>
      </w:pPr>
      <w:r>
        <w:rPr>
          <w:noProof/>
        </w:rPr>
        <w:drawing>
          <wp:inline distT="0" distB="0" distL="0" distR="0" wp14:anchorId="427CDCB6" wp14:editId="42DA395E">
            <wp:extent cx="5660823" cy="3625470"/>
            <wp:effectExtent l="0" t="0" r="0" b="0"/>
            <wp:docPr id="690099423" name="Picture 10" descr="This infographic shows that the ASBFEO's website hosts information under five main menu options:  &#10;The Disputes &amp; Assistances covers how ASBFEO can help and provides information on disputes, including short case studies.  &#10;&#10;The Policy &amp; Advocacy section includes ASBFEO's research, reviews, inquiries, submissions, and policy insights.  &#10;&#10;The Resources &amp; Tools Centre provides tips for small businesses, including links to other documents, guides or support services.  &#10;&#10;The Media Centre houses news articles, opinion pieces, where the Ombudsman has been quoted, and the monthly e-newsletter and ASBFEO quarterly reports.  &#10;&#10;The Small Business Data Portal contains key statistics for small businesses. It hosts the ASBFEO's Small Business Matters report and the ASBFEO’s Small Business Puls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99423" name="Picture 10" descr="This infographic shows that the ASBFEO's website hosts information under five main menu options:  &#10;The Disputes &amp; Assistances covers how ASBFEO can help and provides information on disputes, including short case studies.  &#10;&#10;The Policy &amp; Advocacy section includes ASBFEO's research, reviews, inquiries, submissions, and policy insights.  &#10;&#10;The Resources &amp; Tools Centre provides tips for small businesses, including links to other documents, guides or support services.  &#10;&#10;The Media Centre houses news articles, opinion pieces, where the Ombudsman has been quoted, and the monthly e-newsletter and ASBFEO quarterly reports.  &#10;&#10;The Small Business Data Portal contains key statistics for small businesses. It hosts the ASBFEO's Small Business Matters report and the ASBFEO’s Small Business Pulse. &#10;"/>
                    <pic:cNvPicPr>
                      <a:picLocks noChangeAspect="1" noChangeArrowheads="1"/>
                    </pic:cNvPicPr>
                  </pic:nvPicPr>
                  <pic:blipFill>
                    <a:blip r:embed="rId69">
                      <a:extLst>
                        <a:ext uri="{96DAC541-7B7A-43D3-8B79-37D633B846F1}">
                          <asvg:svgBlip xmlns:asvg="http://schemas.microsoft.com/office/drawing/2016/SVG/main" r:embed="rId70"/>
                        </a:ext>
                      </a:extLst>
                    </a:blip>
                    <a:stretch>
                      <a:fillRect/>
                    </a:stretch>
                  </pic:blipFill>
                  <pic:spPr bwMode="auto">
                    <a:xfrm>
                      <a:off x="0" y="0"/>
                      <a:ext cx="5665880" cy="3628709"/>
                    </a:xfrm>
                    <a:prstGeom prst="rect">
                      <a:avLst/>
                    </a:prstGeom>
                  </pic:spPr>
                </pic:pic>
              </a:graphicData>
            </a:graphic>
          </wp:inline>
        </w:drawing>
      </w:r>
    </w:p>
    <w:p w14:paraId="40DC8ECE" w14:textId="374495B4" w:rsidR="00346743" w:rsidRPr="00877810" w:rsidRDefault="00346743" w:rsidP="00346743">
      <w:r w:rsidRPr="00222158">
        <w:rPr>
          <w:rStyle w:val="Strong"/>
        </w:rPr>
        <w:t>The total number of visits to the ASBFEO website can vary significantly, as demonstrated in Table</w:t>
      </w:r>
      <w:r w:rsidR="00222158" w:rsidRPr="00222158">
        <w:rPr>
          <w:rStyle w:val="Strong"/>
        </w:rPr>
        <w:t> </w:t>
      </w:r>
      <w:r w:rsidR="00BB3C38" w:rsidRPr="00222158">
        <w:rPr>
          <w:rStyle w:val="Strong"/>
        </w:rPr>
        <w:t>6.4</w:t>
      </w:r>
      <w:r w:rsidRPr="00222158">
        <w:rPr>
          <w:rStyle w:val="Strong"/>
        </w:rPr>
        <w:t>.</w:t>
      </w:r>
      <w:r w:rsidRPr="00877810">
        <w:rPr>
          <w:b/>
          <w:bCs/>
          <w:lang w:val="en-US"/>
        </w:rPr>
        <w:t xml:space="preserve"> </w:t>
      </w:r>
      <w:r w:rsidRPr="002D7F86">
        <w:rPr>
          <w:lang w:val="en-US"/>
        </w:rPr>
        <w:t>Total website visits peaked in 2020</w:t>
      </w:r>
      <w:r w:rsidR="00F00E0E">
        <w:rPr>
          <w:lang w:val="en-US"/>
        </w:rPr>
        <w:t>–</w:t>
      </w:r>
      <w:r w:rsidRPr="002D7F86">
        <w:rPr>
          <w:lang w:val="en-US"/>
        </w:rPr>
        <w:t>21 at 273,525</w:t>
      </w:r>
      <w:r w:rsidR="000217B9">
        <w:rPr>
          <w:lang w:val="en-US"/>
        </w:rPr>
        <w:t>. This is</w:t>
      </w:r>
      <w:r w:rsidRPr="002D7F86">
        <w:rPr>
          <w:lang w:val="en-US"/>
        </w:rPr>
        <w:t xml:space="preserve"> likely due to COVID</w:t>
      </w:r>
      <w:r w:rsidR="003A0D5E">
        <w:rPr>
          <w:lang w:val="en-US"/>
        </w:rPr>
        <w:noBreakHyphen/>
      </w:r>
      <w:r w:rsidRPr="002D7F86">
        <w:rPr>
          <w:lang w:val="en-US"/>
        </w:rPr>
        <w:t>19 generating an increase in small businesses seeking support</w:t>
      </w:r>
      <w:r w:rsidRPr="00877810">
        <w:rPr>
          <w:b/>
          <w:bCs/>
          <w:lang w:val="en-US"/>
        </w:rPr>
        <w:t>.</w:t>
      </w:r>
      <w:r w:rsidRPr="00877810">
        <w:rPr>
          <w:lang w:val="en-US"/>
        </w:rPr>
        <w:t xml:space="preserve"> Since then, annual website visits reduced to 133,388 during the 2022</w:t>
      </w:r>
      <w:r w:rsidR="000217B9">
        <w:rPr>
          <w:lang w:val="en-US"/>
        </w:rPr>
        <w:t>–</w:t>
      </w:r>
      <w:r w:rsidRPr="00877810">
        <w:rPr>
          <w:lang w:val="en-US"/>
        </w:rPr>
        <w:t>23 financial year</w:t>
      </w:r>
      <w:r w:rsidR="00AE2FC6">
        <w:rPr>
          <w:lang w:val="en-US"/>
        </w:rPr>
        <w:t>,</w:t>
      </w:r>
      <w:r w:rsidRPr="00877810">
        <w:rPr>
          <w:lang w:val="en-US"/>
        </w:rPr>
        <w:t xml:space="preserve"> before growing to 210,918 in the 2023</w:t>
      </w:r>
      <w:r w:rsidR="000217B9">
        <w:rPr>
          <w:lang w:val="en-US"/>
        </w:rPr>
        <w:t>–</w:t>
      </w:r>
      <w:r w:rsidRPr="00877810">
        <w:rPr>
          <w:lang w:val="en-US"/>
        </w:rPr>
        <w:t>24 financial year.</w:t>
      </w:r>
      <w:r w:rsidRPr="00877810">
        <w:t> </w:t>
      </w:r>
    </w:p>
    <w:p w14:paraId="2C52629D" w14:textId="5606348B" w:rsidR="00346743" w:rsidRPr="00D25AC1" w:rsidRDefault="00346743" w:rsidP="00346743">
      <w:pPr>
        <w:pStyle w:val="TableMainHeading"/>
        <w:rPr>
          <w:lang w:val="en-US"/>
        </w:rPr>
      </w:pPr>
      <w:r w:rsidRPr="00877810">
        <w:rPr>
          <w:lang w:val="en-US"/>
        </w:rPr>
        <w:t>T</w:t>
      </w:r>
      <w:r w:rsidR="00EE4F0F">
        <w:rPr>
          <w:lang w:val="en-US"/>
        </w:rPr>
        <w:t>able</w:t>
      </w:r>
      <w:r w:rsidRPr="00877810">
        <w:rPr>
          <w:lang w:val="en-US"/>
        </w:rPr>
        <w:t xml:space="preserve"> </w:t>
      </w:r>
      <w:r w:rsidR="00BB3C38">
        <w:rPr>
          <w:lang w:val="en-US"/>
        </w:rPr>
        <w:t>6.4</w:t>
      </w:r>
      <w:r w:rsidR="004C6B20">
        <w:rPr>
          <w:lang w:val="en-US"/>
        </w:rPr>
        <w:t>:</w:t>
      </w:r>
      <w:r w:rsidRPr="00877810">
        <w:rPr>
          <w:lang w:val="en-US"/>
        </w:rPr>
        <w:t xml:space="preserve"> </w:t>
      </w:r>
      <w:r w:rsidRPr="00C01580">
        <w:t>Website</w:t>
      </w:r>
      <w:r w:rsidRPr="00877810">
        <w:rPr>
          <w:lang w:val="en-US"/>
        </w:rPr>
        <w:t xml:space="preserve"> Visits – Annual basis</w:t>
      </w:r>
    </w:p>
    <w:tbl>
      <w:tblPr>
        <w:tblStyle w:val="TableGrid"/>
        <w:tblW w:w="8235" w:type="dxa"/>
        <w:tblLook w:val="04A0" w:firstRow="1" w:lastRow="0" w:firstColumn="1" w:lastColumn="0" w:noHBand="0" w:noVBand="1"/>
      </w:tblPr>
      <w:tblGrid>
        <w:gridCol w:w="1985"/>
        <w:gridCol w:w="2977"/>
        <w:gridCol w:w="3273"/>
      </w:tblGrid>
      <w:tr w:rsidR="00346743" w:rsidRPr="00877810" w14:paraId="4C17ABAC" w14:textId="77777777">
        <w:trPr>
          <w:cnfStyle w:val="100000000000" w:firstRow="1" w:lastRow="0" w:firstColumn="0" w:lastColumn="0" w:oddVBand="0" w:evenVBand="0" w:oddHBand="0" w:evenHBand="0" w:firstRowFirstColumn="0" w:firstRowLastColumn="0" w:lastRowFirstColumn="0" w:lastRowLastColumn="0"/>
          <w:trHeight w:val="300"/>
        </w:trPr>
        <w:tc>
          <w:tcPr>
            <w:tcW w:w="1985" w:type="dxa"/>
            <w:hideMark/>
          </w:tcPr>
          <w:p w14:paraId="6F9DF2A1" w14:textId="7431CF1F" w:rsidR="00346743" w:rsidRPr="00877810" w:rsidRDefault="00346743">
            <w:pPr>
              <w:pStyle w:val="TableColumnHeadingLeft"/>
            </w:pPr>
            <w:r w:rsidRPr="00C01580">
              <w:t>Year</w:t>
            </w:r>
          </w:p>
        </w:tc>
        <w:tc>
          <w:tcPr>
            <w:tcW w:w="2977" w:type="dxa"/>
            <w:hideMark/>
          </w:tcPr>
          <w:p w14:paraId="19720346" w14:textId="4685C5F4" w:rsidR="00346743" w:rsidRPr="00877810" w:rsidRDefault="00346743" w:rsidP="009E7D3B">
            <w:pPr>
              <w:pStyle w:val="TableColumnHeadingRight"/>
            </w:pPr>
            <w:r w:rsidRPr="00C01580">
              <w:t xml:space="preserve">Website </w:t>
            </w:r>
            <w:r w:rsidR="00AE2FC6" w:rsidRPr="00C01580">
              <w:t>v</w:t>
            </w:r>
            <w:r w:rsidRPr="00C01580">
              <w:t>isits</w:t>
            </w:r>
          </w:p>
        </w:tc>
        <w:tc>
          <w:tcPr>
            <w:tcW w:w="3273" w:type="dxa"/>
            <w:hideMark/>
          </w:tcPr>
          <w:p w14:paraId="45F466C7" w14:textId="381069D6" w:rsidR="00346743" w:rsidRPr="00877810" w:rsidRDefault="00346743" w:rsidP="009E7D3B">
            <w:pPr>
              <w:pStyle w:val="TableColumnHeadingRight"/>
            </w:pPr>
            <w:r w:rsidRPr="00C01580">
              <w:t xml:space="preserve">Website </w:t>
            </w:r>
            <w:r w:rsidR="00AE2FC6" w:rsidRPr="00C01580">
              <w:t>v</w:t>
            </w:r>
            <w:r w:rsidRPr="00C01580">
              <w:t xml:space="preserve">isits – </w:t>
            </w:r>
            <w:r w:rsidR="00AE2FC6" w:rsidRPr="00C01580">
              <w:t>a</w:t>
            </w:r>
            <w:r w:rsidRPr="00C01580">
              <w:t xml:space="preserve">ssistance </w:t>
            </w:r>
            <w:r w:rsidR="00AE2FC6" w:rsidRPr="00C01580">
              <w:t>s</w:t>
            </w:r>
            <w:r w:rsidRPr="00C01580">
              <w:t>ection</w:t>
            </w:r>
          </w:p>
        </w:tc>
      </w:tr>
      <w:tr w:rsidR="00346743" w:rsidRPr="00877810" w14:paraId="51949450" w14:textId="77777777">
        <w:trPr>
          <w:cnfStyle w:val="000000100000" w:firstRow="0" w:lastRow="0" w:firstColumn="0" w:lastColumn="0" w:oddVBand="0" w:evenVBand="0" w:oddHBand="1" w:evenHBand="0" w:firstRowFirstColumn="0" w:firstRowLastColumn="0" w:lastRowFirstColumn="0" w:lastRowLastColumn="0"/>
          <w:trHeight w:val="300"/>
        </w:trPr>
        <w:tc>
          <w:tcPr>
            <w:tcW w:w="1985" w:type="dxa"/>
            <w:hideMark/>
          </w:tcPr>
          <w:p w14:paraId="4321B4FC" w14:textId="43040AF3" w:rsidR="00346743" w:rsidRPr="00877810" w:rsidRDefault="00346743">
            <w:pPr>
              <w:pStyle w:val="TableTextLeft"/>
            </w:pPr>
            <w:r w:rsidRPr="00C01580">
              <w:t>2023</w:t>
            </w:r>
            <w:r w:rsidRPr="00AA0977">
              <w:t>–</w:t>
            </w:r>
            <w:r w:rsidRPr="00C01580">
              <w:t>24</w:t>
            </w:r>
          </w:p>
        </w:tc>
        <w:tc>
          <w:tcPr>
            <w:tcW w:w="2977" w:type="dxa"/>
            <w:hideMark/>
          </w:tcPr>
          <w:p w14:paraId="7F28F6AB" w14:textId="1701254B" w:rsidR="00346743" w:rsidRPr="00877810" w:rsidRDefault="00346743" w:rsidP="009E7D3B">
            <w:pPr>
              <w:pStyle w:val="TableTextRight"/>
            </w:pPr>
            <w:r w:rsidRPr="00C01580">
              <w:t>210,918</w:t>
            </w:r>
          </w:p>
        </w:tc>
        <w:tc>
          <w:tcPr>
            <w:tcW w:w="3273" w:type="dxa"/>
            <w:hideMark/>
          </w:tcPr>
          <w:p w14:paraId="618BF721" w14:textId="632ACAEE" w:rsidR="00346743" w:rsidRPr="00877810" w:rsidRDefault="00346743" w:rsidP="009E7D3B">
            <w:pPr>
              <w:pStyle w:val="TableTextRight"/>
            </w:pPr>
            <w:r w:rsidRPr="00C01580">
              <w:t>74,244</w:t>
            </w:r>
          </w:p>
        </w:tc>
      </w:tr>
      <w:tr w:rsidR="00346743" w:rsidRPr="00877810" w14:paraId="4A6D1C32" w14:textId="77777777">
        <w:trPr>
          <w:cnfStyle w:val="000000010000" w:firstRow="0" w:lastRow="0" w:firstColumn="0" w:lastColumn="0" w:oddVBand="0" w:evenVBand="0" w:oddHBand="0" w:evenHBand="1" w:firstRowFirstColumn="0" w:firstRowLastColumn="0" w:lastRowFirstColumn="0" w:lastRowLastColumn="0"/>
          <w:trHeight w:val="300"/>
        </w:trPr>
        <w:tc>
          <w:tcPr>
            <w:tcW w:w="1985" w:type="dxa"/>
            <w:hideMark/>
          </w:tcPr>
          <w:p w14:paraId="4C0AAD69" w14:textId="54FCFEA0" w:rsidR="00346743" w:rsidRPr="00877810" w:rsidRDefault="00346743">
            <w:pPr>
              <w:pStyle w:val="TableTextLeft"/>
            </w:pPr>
            <w:r w:rsidRPr="00C01580">
              <w:t>2022</w:t>
            </w:r>
            <w:r w:rsidRPr="00AA0977">
              <w:t>–</w:t>
            </w:r>
            <w:r w:rsidRPr="00C01580">
              <w:t>23</w:t>
            </w:r>
          </w:p>
        </w:tc>
        <w:tc>
          <w:tcPr>
            <w:tcW w:w="2977" w:type="dxa"/>
            <w:hideMark/>
          </w:tcPr>
          <w:p w14:paraId="50AB61A5" w14:textId="2BC5B200" w:rsidR="00346743" w:rsidRPr="00877810" w:rsidRDefault="00346743" w:rsidP="009E7D3B">
            <w:pPr>
              <w:pStyle w:val="TableTextRight"/>
            </w:pPr>
            <w:r w:rsidRPr="00C01580">
              <w:t>133,388</w:t>
            </w:r>
          </w:p>
        </w:tc>
        <w:tc>
          <w:tcPr>
            <w:tcW w:w="3273" w:type="dxa"/>
            <w:hideMark/>
          </w:tcPr>
          <w:p w14:paraId="59CDE23D" w14:textId="0224D7B9" w:rsidR="00346743" w:rsidRPr="00877810" w:rsidRDefault="00346743" w:rsidP="009E7D3B">
            <w:pPr>
              <w:pStyle w:val="TableTextRight"/>
            </w:pPr>
            <w:r w:rsidRPr="00C01580">
              <w:t>48,792</w:t>
            </w:r>
          </w:p>
        </w:tc>
      </w:tr>
      <w:tr w:rsidR="00346743" w:rsidRPr="00877810" w14:paraId="3B3C035D" w14:textId="77777777">
        <w:trPr>
          <w:cnfStyle w:val="000000100000" w:firstRow="0" w:lastRow="0" w:firstColumn="0" w:lastColumn="0" w:oddVBand="0" w:evenVBand="0" w:oddHBand="1" w:evenHBand="0" w:firstRowFirstColumn="0" w:firstRowLastColumn="0" w:lastRowFirstColumn="0" w:lastRowLastColumn="0"/>
          <w:trHeight w:val="300"/>
        </w:trPr>
        <w:tc>
          <w:tcPr>
            <w:tcW w:w="1985" w:type="dxa"/>
            <w:hideMark/>
          </w:tcPr>
          <w:p w14:paraId="56DF826E" w14:textId="662CB4B2" w:rsidR="00346743" w:rsidRPr="00877810" w:rsidRDefault="00346743">
            <w:pPr>
              <w:pStyle w:val="TableTextLeft"/>
            </w:pPr>
            <w:r w:rsidRPr="00C01580">
              <w:t>2021</w:t>
            </w:r>
            <w:r w:rsidRPr="00AA0977">
              <w:t>–</w:t>
            </w:r>
            <w:r w:rsidRPr="00C01580">
              <w:t>22</w:t>
            </w:r>
          </w:p>
        </w:tc>
        <w:tc>
          <w:tcPr>
            <w:tcW w:w="2977" w:type="dxa"/>
            <w:hideMark/>
          </w:tcPr>
          <w:p w14:paraId="579B8EC0" w14:textId="0C09B5D6" w:rsidR="00346743" w:rsidRPr="00877810" w:rsidRDefault="00346743" w:rsidP="009E7D3B">
            <w:pPr>
              <w:pStyle w:val="TableTextRight"/>
            </w:pPr>
            <w:r w:rsidRPr="00C01580">
              <w:t>217,101</w:t>
            </w:r>
          </w:p>
        </w:tc>
        <w:tc>
          <w:tcPr>
            <w:tcW w:w="3273" w:type="dxa"/>
            <w:hideMark/>
          </w:tcPr>
          <w:p w14:paraId="05C03EF5" w14:textId="4EF0B68C" w:rsidR="00346743" w:rsidRPr="00877810" w:rsidRDefault="00346743" w:rsidP="009E7D3B">
            <w:pPr>
              <w:pStyle w:val="TableTextRight"/>
            </w:pPr>
            <w:r w:rsidRPr="00C01580">
              <w:t>82,957</w:t>
            </w:r>
          </w:p>
        </w:tc>
      </w:tr>
      <w:tr w:rsidR="00346743" w:rsidRPr="00877810" w14:paraId="7539211A" w14:textId="77777777">
        <w:trPr>
          <w:cnfStyle w:val="000000010000" w:firstRow="0" w:lastRow="0" w:firstColumn="0" w:lastColumn="0" w:oddVBand="0" w:evenVBand="0" w:oddHBand="0" w:evenHBand="1" w:firstRowFirstColumn="0" w:firstRowLastColumn="0" w:lastRowFirstColumn="0" w:lastRowLastColumn="0"/>
          <w:trHeight w:val="300"/>
        </w:trPr>
        <w:tc>
          <w:tcPr>
            <w:tcW w:w="1985" w:type="dxa"/>
            <w:hideMark/>
          </w:tcPr>
          <w:p w14:paraId="0859CFC5" w14:textId="4907795C" w:rsidR="00346743" w:rsidRPr="00877810" w:rsidRDefault="00346743">
            <w:pPr>
              <w:pStyle w:val="TableTextLeft"/>
            </w:pPr>
            <w:r w:rsidRPr="00C01580">
              <w:t>2020</w:t>
            </w:r>
            <w:r w:rsidRPr="00AA0977">
              <w:t>–</w:t>
            </w:r>
            <w:r w:rsidRPr="00C01580">
              <w:t>21</w:t>
            </w:r>
          </w:p>
        </w:tc>
        <w:tc>
          <w:tcPr>
            <w:tcW w:w="2977" w:type="dxa"/>
            <w:hideMark/>
          </w:tcPr>
          <w:p w14:paraId="788468E4" w14:textId="766CEC5F" w:rsidR="00346743" w:rsidRPr="00877810" w:rsidRDefault="00346743" w:rsidP="009E7D3B">
            <w:pPr>
              <w:pStyle w:val="TableTextRight"/>
            </w:pPr>
            <w:r w:rsidRPr="00C01580">
              <w:t>273,525</w:t>
            </w:r>
          </w:p>
        </w:tc>
        <w:tc>
          <w:tcPr>
            <w:tcW w:w="3273" w:type="dxa"/>
            <w:hideMark/>
          </w:tcPr>
          <w:p w14:paraId="0AB8F91A" w14:textId="1368E7BC" w:rsidR="00346743" w:rsidRPr="00877810" w:rsidRDefault="00346743" w:rsidP="009E7D3B">
            <w:pPr>
              <w:pStyle w:val="TableTextRight"/>
            </w:pPr>
            <w:r>
              <w:noBreakHyphen/>
            </w:r>
          </w:p>
        </w:tc>
      </w:tr>
    </w:tbl>
    <w:p w14:paraId="4C81267F" w14:textId="3B697ACC" w:rsidR="002A28E2" w:rsidRPr="004D4530" w:rsidRDefault="002A28E2" w:rsidP="002A28E2">
      <w:pPr>
        <w:pStyle w:val="ChartorTablenoteandsource"/>
      </w:pPr>
      <w:r>
        <w:t>Please refer to Appendix I for table notes and sources</w:t>
      </w:r>
      <w:r w:rsidR="00AE2FC6">
        <w:t>.</w:t>
      </w:r>
    </w:p>
    <w:p w14:paraId="273728E6" w14:textId="77777777" w:rsidR="00CF4F06" w:rsidRDefault="00CF4F06" w:rsidP="00CF4F06">
      <w:pPr>
        <w:pStyle w:val="Heading3"/>
        <w:rPr>
          <w:lang w:val="en-US"/>
        </w:rPr>
      </w:pPr>
      <w:bookmarkStart w:id="99" w:name="_Toc199941005"/>
      <w:r>
        <w:rPr>
          <w:lang w:val="en-US"/>
        </w:rPr>
        <w:lastRenderedPageBreak/>
        <w:t>Stakeholder feedback</w:t>
      </w:r>
      <w:bookmarkEnd w:id="99"/>
    </w:p>
    <w:p w14:paraId="0A28D3DA" w14:textId="690B2EA2" w:rsidR="00CF4F06" w:rsidRPr="0017000C" w:rsidRDefault="00CF4F06" w:rsidP="00CF4F06">
      <w:r w:rsidRPr="00C01580">
        <w:rPr>
          <w:rStyle w:val="Strong"/>
        </w:rPr>
        <w:t xml:space="preserve">Stakeholder submissions to the </w:t>
      </w:r>
      <w:r w:rsidR="00A26D30" w:rsidRPr="00C01580">
        <w:rPr>
          <w:rStyle w:val="Strong"/>
        </w:rPr>
        <w:t>R</w:t>
      </w:r>
      <w:r w:rsidRPr="00C01580">
        <w:rPr>
          <w:rStyle w:val="Strong"/>
        </w:rPr>
        <w:t>eview provided minimal comment</w:t>
      </w:r>
      <w:r w:rsidR="000217B9" w:rsidRPr="00C01580">
        <w:rPr>
          <w:rStyle w:val="Strong"/>
        </w:rPr>
        <w:t xml:space="preserve"> </w:t>
      </w:r>
      <w:r w:rsidRPr="00C01580">
        <w:rPr>
          <w:rStyle w:val="Strong"/>
        </w:rPr>
        <w:t>on social media, media and website engagement.</w:t>
      </w:r>
      <w:r>
        <w:rPr>
          <w:b/>
          <w:bCs/>
          <w:lang w:val="en-US"/>
        </w:rPr>
        <w:t xml:space="preserve"> </w:t>
      </w:r>
      <w:r>
        <w:rPr>
          <w:lang w:val="en-US"/>
        </w:rPr>
        <w:t>However, stakeholders indicated</w:t>
      </w:r>
      <w:r w:rsidRPr="002D7F86">
        <w:rPr>
          <w:lang w:val="en-US"/>
        </w:rPr>
        <w:t xml:space="preserve"> that the website information was clear and concise</w:t>
      </w:r>
      <w:r w:rsidRPr="0017000C">
        <w:rPr>
          <w:lang w:val="en-US"/>
        </w:rPr>
        <w:t>.</w:t>
      </w:r>
      <w:r w:rsidR="00065357">
        <w:rPr>
          <w:rFonts w:ascii="ZWAdobeF" w:hAnsi="ZWAdobeF" w:cs="ZWAdobeF"/>
          <w:color w:val="auto"/>
          <w:sz w:val="2"/>
          <w:szCs w:val="2"/>
          <w:lang w:val="en-US"/>
        </w:rPr>
        <w:t>111F</w:t>
      </w:r>
      <w:r w:rsidR="00145A04" w:rsidRPr="00016931">
        <w:rPr>
          <w:rStyle w:val="FootnoteReference"/>
          <w:sz w:val="22"/>
          <w:szCs w:val="24"/>
          <w:vertAlign w:val="superscript"/>
          <w:lang w:val="en-US"/>
        </w:rPr>
        <w:footnoteReference w:id="113"/>
      </w:r>
      <w:r w:rsidR="00145A04" w:rsidRPr="00016931">
        <w:rPr>
          <w:sz w:val="28"/>
          <w:szCs w:val="24"/>
          <w:vertAlign w:val="superscript"/>
          <w:lang w:val="en-US"/>
        </w:rPr>
        <w:t xml:space="preserve"> </w:t>
      </w:r>
    </w:p>
    <w:p w14:paraId="6CBB1E68" w14:textId="00D47F87" w:rsidR="00EC2DD7" w:rsidRPr="00D350F5" w:rsidRDefault="00CF4F06" w:rsidP="00801A69">
      <w:r w:rsidRPr="00C01580">
        <w:rPr>
          <w:rStyle w:val="Strong"/>
        </w:rPr>
        <w:t>In consultation meetings, stakeholders observed that the Ombudsman had a strong presence in the media and could articulate the concerns of small businesses well in media discussions.</w:t>
      </w:r>
      <w:r w:rsidRPr="00877810">
        <w:rPr>
          <w:b/>
          <w:bCs/>
          <w:lang w:val="en-US"/>
        </w:rPr>
        <w:t xml:space="preserve"> </w:t>
      </w:r>
      <w:r w:rsidRPr="00877810">
        <w:rPr>
          <w:lang w:val="en-US"/>
        </w:rPr>
        <w:t>Stakeholders viewed it as necessary to increase the visibility and understanding of issues impacting small businesses, such as the impacts of the 3G shutdown.</w:t>
      </w:r>
      <w:r w:rsidR="00065357">
        <w:rPr>
          <w:rFonts w:ascii="ZWAdobeF" w:hAnsi="ZWAdobeF" w:cs="ZWAdobeF"/>
          <w:color w:val="auto"/>
          <w:sz w:val="2"/>
          <w:szCs w:val="2"/>
          <w:lang w:val="en-US"/>
        </w:rPr>
        <w:t>112F</w:t>
      </w:r>
      <w:r w:rsidR="008B0E37" w:rsidRPr="00C837E0">
        <w:rPr>
          <w:rStyle w:val="FootnoteReference"/>
          <w:szCs w:val="18"/>
          <w:vertAlign w:val="superscript"/>
          <w:lang w:val="en-US"/>
        </w:rPr>
        <w:footnoteReference w:id="114"/>
      </w:r>
    </w:p>
    <w:p w14:paraId="2E6348AE" w14:textId="19E34EBE" w:rsidR="002B1CC9" w:rsidRPr="00877810" w:rsidRDefault="002B1CC9" w:rsidP="002B1CC9">
      <w:r w:rsidRPr="00C01580">
        <w:rPr>
          <w:rStyle w:val="Strong"/>
        </w:rPr>
        <w:t>Despite having an informative website and large media and social media coverage, many small businesses are unaware of ASBFEO and its role.</w:t>
      </w:r>
      <w:r w:rsidRPr="00877810">
        <w:rPr>
          <w:lang w:val="en-US"/>
        </w:rPr>
        <w:t xml:space="preserve"> The </w:t>
      </w:r>
      <w:r w:rsidR="00E66C33">
        <w:rPr>
          <w:lang w:val="en-US"/>
        </w:rPr>
        <w:t>stakeholder survey</w:t>
      </w:r>
      <w:r w:rsidRPr="00877810">
        <w:rPr>
          <w:lang w:val="en-US"/>
        </w:rPr>
        <w:t xml:space="preserve"> results showed that from a sample of 225, almost 60 per cent of respondents reported never having heard of ASBFEO. In addition, 31 per cent knew of ASBFEO but had not engaged with </w:t>
      </w:r>
      <w:r w:rsidR="000217B9">
        <w:rPr>
          <w:lang w:val="en-US"/>
        </w:rPr>
        <w:t>it</w:t>
      </w:r>
      <w:r w:rsidR="000217B9" w:rsidRPr="00877810">
        <w:rPr>
          <w:lang w:val="en-US"/>
        </w:rPr>
        <w:t xml:space="preserve"> </w:t>
      </w:r>
      <w:r w:rsidRPr="00877810">
        <w:rPr>
          <w:lang w:val="en-US"/>
        </w:rPr>
        <w:t xml:space="preserve">or used </w:t>
      </w:r>
      <w:r w:rsidR="000217B9">
        <w:rPr>
          <w:lang w:val="en-US"/>
        </w:rPr>
        <w:t>its</w:t>
      </w:r>
      <w:r w:rsidR="000217B9" w:rsidRPr="00877810">
        <w:rPr>
          <w:lang w:val="en-US"/>
        </w:rPr>
        <w:t xml:space="preserve"> </w:t>
      </w:r>
      <w:r w:rsidRPr="00877810">
        <w:rPr>
          <w:lang w:val="en-US"/>
        </w:rPr>
        <w:t xml:space="preserve">services. </w:t>
      </w:r>
      <w:r>
        <w:rPr>
          <w:lang w:val="en-US"/>
        </w:rPr>
        <w:t xml:space="preserve">Comments from the </w:t>
      </w:r>
      <w:r w:rsidR="00475D67">
        <w:rPr>
          <w:lang w:val="en-US"/>
        </w:rPr>
        <w:t>stakeholder survey</w:t>
      </w:r>
      <w:r>
        <w:rPr>
          <w:lang w:val="en-US"/>
        </w:rPr>
        <w:t xml:space="preserve"> included:</w:t>
      </w:r>
    </w:p>
    <w:p w14:paraId="4589339E" w14:textId="5DD72BB5" w:rsidR="007A42FF" w:rsidRPr="00C01580" w:rsidRDefault="000217B9" w:rsidP="00AE2AA6">
      <w:pPr>
        <w:rPr>
          <w:rStyle w:val="Emphasis"/>
        </w:rPr>
      </w:pPr>
      <w:r>
        <w:rPr>
          <w:rStyle w:val="Emphasis"/>
        </w:rPr>
        <w:t>‘</w:t>
      </w:r>
      <w:r w:rsidR="00877810" w:rsidRPr="00C01580">
        <w:rPr>
          <w:rStyle w:val="Emphasis"/>
        </w:rPr>
        <w:t>I have been in business over 5</w:t>
      </w:r>
      <w:r w:rsidR="007A42FF" w:rsidRPr="00C01580">
        <w:rPr>
          <w:rStyle w:val="Emphasis"/>
        </w:rPr>
        <w:t xml:space="preserve"> </w:t>
      </w:r>
      <w:r w:rsidR="00877810" w:rsidRPr="00C01580">
        <w:rPr>
          <w:rStyle w:val="Emphasis"/>
        </w:rPr>
        <w:t xml:space="preserve">years and never heard of this before. </w:t>
      </w:r>
      <w:r w:rsidR="007A42FF" w:rsidRPr="00C01580">
        <w:rPr>
          <w:rStyle w:val="Emphasis"/>
        </w:rPr>
        <w:t>If it is really for helping people put it out there so we can get help.</w:t>
      </w:r>
      <w:r w:rsidR="003A0D5E">
        <w:rPr>
          <w:rStyle w:val="Emphasis"/>
        </w:rPr>
        <w:t>’</w:t>
      </w:r>
    </w:p>
    <w:p w14:paraId="3B8E1236" w14:textId="70C0FFAE" w:rsidR="007A42FF" w:rsidRPr="00C01580" w:rsidRDefault="000217B9" w:rsidP="00AE2AA6">
      <w:pPr>
        <w:rPr>
          <w:rStyle w:val="Emphasis"/>
        </w:rPr>
      </w:pPr>
      <w:r>
        <w:rPr>
          <w:rStyle w:val="Emphasis"/>
        </w:rPr>
        <w:t>‘</w:t>
      </w:r>
      <w:r w:rsidR="007A42FF" w:rsidRPr="00C01580">
        <w:rPr>
          <w:rStyle w:val="Emphasis"/>
        </w:rPr>
        <w:t>I</w:t>
      </w:r>
      <w:r w:rsidR="007A42FF">
        <w:rPr>
          <w:rStyle w:val="Emphasis"/>
        </w:rPr>
        <w:t>’</w:t>
      </w:r>
      <w:r w:rsidR="007A42FF" w:rsidRPr="00C01580">
        <w:rPr>
          <w:rStyle w:val="Emphasis"/>
        </w:rPr>
        <w:t>m a tax agent advising small businesses and have never heard of this entity. Needs more information shared to advisers and businesses to become aware.</w:t>
      </w:r>
      <w:r w:rsidR="003A0D5E">
        <w:rPr>
          <w:rStyle w:val="Emphasis"/>
        </w:rPr>
        <w:t>’</w:t>
      </w:r>
    </w:p>
    <w:p w14:paraId="545D64FA" w14:textId="6AC35C2C" w:rsidR="007A42FF" w:rsidRPr="004C749D" w:rsidRDefault="007A42FF" w:rsidP="007A42FF">
      <w:r w:rsidRPr="004C749D">
        <w:rPr>
          <w:lang w:val="en-US"/>
        </w:rPr>
        <w:t>Most small business owners at the roundtable of Small Business Members of the Business Chamber Queensland had low or no awareness of ASBFEO. </w:t>
      </w:r>
    </w:p>
    <w:p w14:paraId="5F35DCAC" w14:textId="2FAE208B" w:rsidR="00877810" w:rsidRPr="00877810" w:rsidRDefault="00877810" w:rsidP="00877810">
      <w:r w:rsidRPr="00086936">
        <w:rPr>
          <w:rStyle w:val="Strong"/>
        </w:rPr>
        <w:t>Specific groups such as those representing small business</w:t>
      </w:r>
      <w:r w:rsidR="007A42FF">
        <w:rPr>
          <w:rStyle w:val="Strong"/>
        </w:rPr>
        <w:t>es</w:t>
      </w:r>
      <w:r w:rsidRPr="00086936">
        <w:rPr>
          <w:rStyle w:val="Strong"/>
        </w:rPr>
        <w:t xml:space="preserve"> run by First Nations people and members of multicultural communities also had a low awareness of ASBFEO.</w:t>
      </w:r>
      <w:r w:rsidRPr="00877810">
        <w:rPr>
          <w:b/>
          <w:bCs/>
          <w:lang w:val="en-US"/>
        </w:rPr>
        <w:t xml:space="preserve"> </w:t>
      </w:r>
      <w:r w:rsidRPr="00877810">
        <w:rPr>
          <w:lang w:val="en-US"/>
        </w:rPr>
        <w:t xml:space="preserve">Indigenous Business Australia, Northern Territory Indigenous Business Network and the Community Migrant Resource Centre have not heard of ASBFEO. Findings from the </w:t>
      </w:r>
      <w:r w:rsidR="00475D67">
        <w:rPr>
          <w:lang w:val="en-US"/>
        </w:rPr>
        <w:t>stakeholder survey</w:t>
      </w:r>
      <w:r w:rsidRPr="00877810">
        <w:rPr>
          <w:lang w:val="en-US"/>
        </w:rPr>
        <w:t xml:space="preserve"> also indicated a low awareness. Of the </w:t>
      </w:r>
      <w:r w:rsidR="001A1765">
        <w:rPr>
          <w:lang w:val="en-US"/>
        </w:rPr>
        <w:t>4</w:t>
      </w:r>
      <w:r w:rsidR="001A1765" w:rsidRPr="00877810">
        <w:rPr>
          <w:lang w:val="en-US"/>
        </w:rPr>
        <w:t xml:space="preserve"> </w:t>
      </w:r>
      <w:r w:rsidRPr="00877810">
        <w:rPr>
          <w:lang w:val="en-US"/>
        </w:rPr>
        <w:t>per cent of respondents who identified as First Nation</w:t>
      </w:r>
      <w:r w:rsidR="00F024C3">
        <w:rPr>
          <w:lang w:val="en-US"/>
        </w:rPr>
        <w:t>s</w:t>
      </w:r>
      <w:r w:rsidRPr="00877810">
        <w:rPr>
          <w:lang w:val="en-US"/>
        </w:rPr>
        <w:t>, 70</w:t>
      </w:r>
      <w:r w:rsidR="00086936">
        <w:rPr>
          <w:lang w:val="en-US"/>
        </w:rPr>
        <w:t> </w:t>
      </w:r>
      <w:r w:rsidRPr="00877810">
        <w:rPr>
          <w:lang w:val="en-US"/>
        </w:rPr>
        <w:t>per cent had never heard of ASBFEO, and of the 11</w:t>
      </w:r>
      <w:r w:rsidR="00086936">
        <w:rPr>
          <w:lang w:val="en-US"/>
        </w:rPr>
        <w:t> </w:t>
      </w:r>
      <w:r w:rsidRPr="00877810">
        <w:rPr>
          <w:lang w:val="en-US"/>
        </w:rPr>
        <w:t>per cent who identified as CALD, 77</w:t>
      </w:r>
      <w:r w:rsidR="00086936">
        <w:rPr>
          <w:lang w:val="en-US"/>
        </w:rPr>
        <w:t> </w:t>
      </w:r>
      <w:r w:rsidRPr="00877810">
        <w:rPr>
          <w:lang w:val="en-US"/>
        </w:rPr>
        <w:t>per cent had never heard of ASBFEO</w:t>
      </w:r>
      <w:r w:rsidR="00916FA5">
        <w:rPr>
          <w:lang w:val="en-US"/>
        </w:rPr>
        <w:t xml:space="preserve">. </w:t>
      </w:r>
    </w:p>
    <w:p w14:paraId="0B26C4D9" w14:textId="05F6C1BC" w:rsidR="009613DF" w:rsidRPr="00877810" w:rsidRDefault="009613DF" w:rsidP="009613DF">
      <w:r w:rsidRPr="00877810">
        <w:rPr>
          <w:b/>
          <w:bCs/>
          <w:lang w:val="en-US"/>
        </w:rPr>
        <w:t xml:space="preserve">The </w:t>
      </w:r>
      <w:r w:rsidR="00065701">
        <w:rPr>
          <w:b/>
          <w:bCs/>
          <w:lang w:val="en-US"/>
        </w:rPr>
        <w:t>s</w:t>
      </w:r>
      <w:r w:rsidR="00BD243E">
        <w:rPr>
          <w:b/>
          <w:bCs/>
          <w:lang w:val="en-US"/>
        </w:rPr>
        <w:t>takeholder</w:t>
      </w:r>
      <w:r w:rsidRPr="00877810">
        <w:rPr>
          <w:b/>
          <w:bCs/>
          <w:lang w:val="en-US"/>
        </w:rPr>
        <w:t xml:space="preserve"> </w:t>
      </w:r>
      <w:r w:rsidR="00065701">
        <w:rPr>
          <w:b/>
          <w:bCs/>
          <w:lang w:val="en-US"/>
        </w:rPr>
        <w:t>s</w:t>
      </w:r>
      <w:r w:rsidRPr="00877810">
        <w:rPr>
          <w:b/>
          <w:bCs/>
          <w:lang w:val="en-US"/>
        </w:rPr>
        <w:t xml:space="preserve">urvey results also found that 40 per cent of respondents </w:t>
      </w:r>
      <w:r>
        <w:rPr>
          <w:b/>
          <w:bCs/>
          <w:lang w:val="en-US"/>
        </w:rPr>
        <w:t xml:space="preserve">use </w:t>
      </w:r>
      <w:r w:rsidRPr="00877810">
        <w:rPr>
          <w:b/>
          <w:bCs/>
          <w:lang w:val="en-US"/>
        </w:rPr>
        <w:t>professional advis</w:t>
      </w:r>
      <w:r w:rsidR="00AB4422">
        <w:rPr>
          <w:b/>
          <w:bCs/>
          <w:lang w:val="en-US"/>
        </w:rPr>
        <w:t>e</w:t>
      </w:r>
      <w:r w:rsidRPr="00877810">
        <w:rPr>
          <w:b/>
          <w:bCs/>
          <w:lang w:val="en-US"/>
        </w:rPr>
        <w:t>rs such as lawyers or accountants for assistance</w:t>
      </w:r>
      <w:r>
        <w:rPr>
          <w:b/>
          <w:bCs/>
          <w:lang w:val="en-US"/>
        </w:rPr>
        <w:t>,</w:t>
      </w:r>
      <w:r w:rsidRPr="00877810">
        <w:rPr>
          <w:b/>
          <w:bCs/>
          <w:lang w:val="en-US"/>
        </w:rPr>
        <w:t xml:space="preserve"> compared to only 8 per cent of respondents who would contact ASBFEO</w:t>
      </w:r>
      <w:r w:rsidRPr="00877810">
        <w:rPr>
          <w:lang w:val="en-US"/>
        </w:rPr>
        <w:t xml:space="preserve">. </w:t>
      </w:r>
      <w:r>
        <w:rPr>
          <w:lang w:val="en-US"/>
        </w:rPr>
        <w:t xml:space="preserve">The </w:t>
      </w:r>
      <w:r w:rsidRPr="00877810">
        <w:rPr>
          <w:lang w:val="en-US"/>
        </w:rPr>
        <w:t>CPA</w:t>
      </w:r>
      <w:r w:rsidR="00C363DA">
        <w:rPr>
          <w:lang w:val="en-US"/>
        </w:rPr>
        <w:t xml:space="preserve"> Australia</w:t>
      </w:r>
      <w:r w:rsidRPr="00877810">
        <w:rPr>
          <w:lang w:val="en-US"/>
        </w:rPr>
        <w:t xml:space="preserve"> </w:t>
      </w:r>
      <w:r w:rsidR="00EA0CB0">
        <w:rPr>
          <w:lang w:val="en-US"/>
        </w:rPr>
        <w:t>2023</w:t>
      </w:r>
      <w:r w:rsidR="001A1765">
        <w:rPr>
          <w:lang w:val="en-US"/>
        </w:rPr>
        <w:t>–</w:t>
      </w:r>
      <w:r w:rsidR="00845500">
        <w:rPr>
          <w:lang w:val="en-US"/>
        </w:rPr>
        <w:t>34</w:t>
      </w:r>
      <w:r w:rsidR="00EA0CB0">
        <w:rPr>
          <w:lang w:val="en-US"/>
        </w:rPr>
        <w:t xml:space="preserve"> </w:t>
      </w:r>
      <w:r>
        <w:rPr>
          <w:lang w:val="en-US"/>
        </w:rPr>
        <w:t xml:space="preserve">annual survey </w:t>
      </w:r>
      <w:r w:rsidR="00930C7A">
        <w:rPr>
          <w:lang w:val="en-US"/>
        </w:rPr>
        <w:t xml:space="preserve">of small businesses </w:t>
      </w:r>
      <w:r>
        <w:rPr>
          <w:lang w:val="en-US"/>
        </w:rPr>
        <w:t>confirmed this, indicating</w:t>
      </w:r>
      <w:r w:rsidRPr="00877810">
        <w:rPr>
          <w:lang w:val="en-US"/>
        </w:rPr>
        <w:t xml:space="preserve"> 42 per cent of </w:t>
      </w:r>
      <w:r w:rsidR="00DC7AF7">
        <w:rPr>
          <w:lang w:val="en-US"/>
        </w:rPr>
        <w:t xml:space="preserve">small </w:t>
      </w:r>
      <w:r w:rsidRPr="00877810">
        <w:rPr>
          <w:lang w:val="en-US"/>
        </w:rPr>
        <w:t>businesses sought advice from their accountant and only 7</w:t>
      </w:r>
      <w:r w:rsidR="0054091B">
        <w:rPr>
          <w:lang w:val="en-US"/>
        </w:rPr>
        <w:t> </w:t>
      </w:r>
      <w:r w:rsidRPr="00877810">
        <w:rPr>
          <w:lang w:val="en-US"/>
        </w:rPr>
        <w:t>per</w:t>
      </w:r>
      <w:r w:rsidR="0054091B">
        <w:rPr>
          <w:lang w:val="en-US"/>
        </w:rPr>
        <w:t> </w:t>
      </w:r>
      <w:r w:rsidRPr="00877810">
        <w:rPr>
          <w:lang w:val="en-US"/>
        </w:rPr>
        <w:t>cent used government services.</w:t>
      </w:r>
      <w:r w:rsidR="00065357">
        <w:rPr>
          <w:rFonts w:ascii="ZWAdobeF" w:hAnsi="ZWAdobeF" w:cs="ZWAdobeF"/>
          <w:color w:val="auto"/>
          <w:sz w:val="2"/>
          <w:szCs w:val="2"/>
          <w:lang w:val="en-US"/>
        </w:rPr>
        <w:t>113F</w:t>
      </w:r>
      <w:r w:rsidR="00062A94" w:rsidRPr="00AE2AA6">
        <w:rPr>
          <w:rStyle w:val="FootnoteReference"/>
          <w:vertAlign w:val="superscript"/>
          <w:lang w:val="en-US"/>
        </w:rPr>
        <w:footnoteReference w:id="115"/>
      </w:r>
    </w:p>
    <w:p w14:paraId="5CA29D4E" w14:textId="10CCB517" w:rsidR="00877810" w:rsidRPr="00877810" w:rsidRDefault="00877810" w:rsidP="00E54C4D">
      <w:pPr>
        <w:pStyle w:val="Heading3"/>
      </w:pPr>
      <w:bookmarkStart w:id="100" w:name="_Toc199941006"/>
      <w:r w:rsidRPr="00877810">
        <w:rPr>
          <w:lang w:val="en-US"/>
        </w:rPr>
        <w:lastRenderedPageBreak/>
        <w:t>Analysis</w:t>
      </w:r>
      <w:bookmarkEnd w:id="100"/>
    </w:p>
    <w:p w14:paraId="35E13878" w14:textId="5806D60F" w:rsidR="00D323CA" w:rsidRPr="00877810" w:rsidRDefault="00D323CA" w:rsidP="00D323CA">
      <w:r w:rsidRPr="00437AB8">
        <w:rPr>
          <w:rStyle w:val="Strong"/>
        </w:rPr>
        <w:t>A</w:t>
      </w:r>
      <w:r w:rsidR="006F503D">
        <w:rPr>
          <w:rStyle w:val="Strong"/>
        </w:rPr>
        <w:t>S</w:t>
      </w:r>
      <w:r w:rsidRPr="00437AB8">
        <w:rPr>
          <w:rStyle w:val="Strong"/>
        </w:rPr>
        <w:t>BFEO has sustained a high level of media activity, and the Ombudsman should be commended for making himself available to the media.</w:t>
      </w:r>
      <w:r w:rsidRPr="002D7F86">
        <w:rPr>
          <w:lang w:val="en-US"/>
        </w:rPr>
        <w:t xml:space="preserve"> </w:t>
      </w:r>
      <w:r w:rsidR="008B0E37">
        <w:rPr>
          <w:lang w:val="en-US"/>
        </w:rPr>
        <w:t>This o</w:t>
      </w:r>
      <w:r w:rsidRPr="002D7F86">
        <w:rPr>
          <w:lang w:val="en-US"/>
        </w:rPr>
        <w:t>ften requires the Ombudsman to be available with little notice and at unfriendly hours.</w:t>
      </w:r>
    </w:p>
    <w:p w14:paraId="3E09049F" w14:textId="19600B72" w:rsidR="00020FDF" w:rsidRPr="00877810" w:rsidRDefault="00D323CA" w:rsidP="00D323CA">
      <w:r w:rsidRPr="00DD4287">
        <w:rPr>
          <w:rStyle w:val="Strong"/>
        </w:rPr>
        <w:t>It is difficult to</w:t>
      </w:r>
      <w:r w:rsidR="00A12732" w:rsidRPr="00DD4287">
        <w:rPr>
          <w:rStyle w:val="Strong"/>
        </w:rPr>
        <w:t xml:space="preserve"> determine</w:t>
      </w:r>
      <w:r w:rsidRPr="00DD4287">
        <w:rPr>
          <w:rStyle w:val="Strong"/>
        </w:rPr>
        <w:t xml:space="preserve"> the impact of media and social media on Small Business awareness of ASBFEO</w:t>
      </w:r>
      <w:r>
        <w:rPr>
          <w:b/>
          <w:bCs/>
          <w:lang w:val="en-US"/>
        </w:rPr>
        <w:t xml:space="preserve">. </w:t>
      </w:r>
      <w:r w:rsidR="00F024C3">
        <w:rPr>
          <w:lang w:val="en-US"/>
        </w:rPr>
        <w:t>D</w:t>
      </w:r>
      <w:r w:rsidRPr="002D7F86">
        <w:rPr>
          <w:lang w:val="en-US"/>
        </w:rPr>
        <w:t>ata</w:t>
      </w:r>
      <w:r w:rsidDel="00610611">
        <w:rPr>
          <w:lang w:val="en-US"/>
        </w:rPr>
        <w:t xml:space="preserve"> </w:t>
      </w:r>
      <w:r>
        <w:rPr>
          <w:lang w:val="en-US"/>
        </w:rPr>
        <w:t xml:space="preserve">in Table </w:t>
      </w:r>
      <w:r w:rsidR="00BB3C38">
        <w:rPr>
          <w:lang w:val="en-US"/>
        </w:rPr>
        <w:t>6.5</w:t>
      </w:r>
      <w:r>
        <w:rPr>
          <w:lang w:val="en-US"/>
        </w:rPr>
        <w:t xml:space="preserve"> </w:t>
      </w:r>
      <w:r w:rsidRPr="002D7F86">
        <w:rPr>
          <w:lang w:val="en-US"/>
        </w:rPr>
        <w:t>is based on a relatively short period, particularly noting the impact of COVID</w:t>
      </w:r>
      <w:r w:rsidR="003A0D5E">
        <w:rPr>
          <w:lang w:val="en-US"/>
        </w:rPr>
        <w:noBreakHyphen/>
      </w:r>
      <w:r w:rsidRPr="002D7F86">
        <w:rPr>
          <w:lang w:val="en-US"/>
        </w:rPr>
        <w:t>19 shutdowns in 2020</w:t>
      </w:r>
      <w:r w:rsidR="0099490B">
        <w:rPr>
          <w:lang w:val="en-US"/>
        </w:rPr>
        <w:t>–</w:t>
      </w:r>
      <w:r w:rsidRPr="002D7F86">
        <w:rPr>
          <w:lang w:val="en-US"/>
        </w:rPr>
        <w:t>21, which were estimated to have increased demand from small business</w:t>
      </w:r>
      <w:r>
        <w:rPr>
          <w:lang w:val="en-US"/>
        </w:rPr>
        <w:t>es</w:t>
      </w:r>
      <w:r w:rsidRPr="00165A0E">
        <w:rPr>
          <w:lang w:val="en-US"/>
        </w:rPr>
        <w:t>. It</w:t>
      </w:r>
      <w:r w:rsidRPr="00877810">
        <w:rPr>
          <w:lang w:val="en-US"/>
        </w:rPr>
        <w:t xml:space="preserve"> appears that while media and social media may increase visits to the website, the number of requests for assistance made to ASBFEO and the number of cases actively managed by ASBFEO ha</w:t>
      </w:r>
      <w:r>
        <w:rPr>
          <w:lang w:val="en-US"/>
        </w:rPr>
        <w:t>ve</w:t>
      </w:r>
      <w:r w:rsidR="00800F88">
        <w:rPr>
          <w:lang w:val="en-US"/>
        </w:rPr>
        <w:t xml:space="preserve"> not</w:t>
      </w:r>
      <w:r w:rsidRPr="00877810">
        <w:rPr>
          <w:lang w:val="en-US"/>
        </w:rPr>
        <w:t xml:space="preserve"> increased. It will be worth monitoring this against ASBFEO</w:t>
      </w:r>
      <w:r w:rsidR="003A0D5E">
        <w:rPr>
          <w:lang w:val="en-US"/>
        </w:rPr>
        <w:t>’</w:t>
      </w:r>
      <w:r w:rsidRPr="00877810">
        <w:rPr>
          <w:lang w:val="en-US"/>
        </w:rPr>
        <w:t>s engagement strategy. For example, if</w:t>
      </w:r>
      <w:r w:rsidRPr="00877810" w:rsidDel="00F024C3">
        <w:rPr>
          <w:lang w:val="en-US"/>
        </w:rPr>
        <w:t xml:space="preserve"> </w:t>
      </w:r>
      <w:r w:rsidRPr="00877810">
        <w:rPr>
          <w:lang w:val="en-US"/>
        </w:rPr>
        <w:t>ASBFEO refocuses its social media to reach specific audience groups, such as First Nations and multicultural communities, it would be helpful to monitor if this resulted in any additional requests for assistance to ASBFEO.</w:t>
      </w:r>
      <w:r w:rsidRPr="00877810">
        <w:t> </w:t>
      </w:r>
    </w:p>
    <w:p w14:paraId="10A992F7" w14:textId="3618D940" w:rsidR="00D939D2" w:rsidRPr="00D25AC1" w:rsidRDefault="00D939D2" w:rsidP="00D939D2">
      <w:pPr>
        <w:pStyle w:val="TableMainHeading"/>
        <w:rPr>
          <w:lang w:val="en-US"/>
        </w:rPr>
      </w:pPr>
      <w:r w:rsidRPr="00877810">
        <w:rPr>
          <w:lang w:val="en-US"/>
        </w:rPr>
        <w:t>T</w:t>
      </w:r>
      <w:r w:rsidR="00BE5542">
        <w:rPr>
          <w:lang w:val="en-US"/>
        </w:rPr>
        <w:t>able</w:t>
      </w:r>
      <w:r w:rsidRPr="00877810">
        <w:rPr>
          <w:lang w:val="en-US"/>
        </w:rPr>
        <w:t xml:space="preserve"> </w:t>
      </w:r>
      <w:r w:rsidR="00BB3C38">
        <w:rPr>
          <w:lang w:val="en-US"/>
        </w:rPr>
        <w:t>6.5</w:t>
      </w:r>
      <w:r w:rsidR="00BE5542">
        <w:rPr>
          <w:lang w:val="en-US"/>
        </w:rPr>
        <w:t>:</w:t>
      </w:r>
      <w:r w:rsidRPr="00877810">
        <w:rPr>
          <w:lang w:val="en-US"/>
        </w:rPr>
        <w:t xml:space="preserve"> Various </w:t>
      </w:r>
      <w:r w:rsidR="0099490B">
        <w:rPr>
          <w:lang w:val="en-US"/>
        </w:rPr>
        <w:t>e</w:t>
      </w:r>
      <w:r w:rsidRPr="00877810">
        <w:rPr>
          <w:lang w:val="en-US"/>
        </w:rPr>
        <w:t xml:space="preserve">ngagement </w:t>
      </w:r>
      <w:r w:rsidR="0099490B">
        <w:rPr>
          <w:lang w:val="en-US"/>
        </w:rPr>
        <w:t>a</w:t>
      </w:r>
      <w:r w:rsidRPr="00877810">
        <w:rPr>
          <w:lang w:val="en-US"/>
        </w:rPr>
        <w:t xml:space="preserve">ctivities compared to </w:t>
      </w:r>
      <w:r w:rsidR="0099490B">
        <w:rPr>
          <w:lang w:val="en-US"/>
        </w:rPr>
        <w:t>n</w:t>
      </w:r>
      <w:r w:rsidRPr="00877810">
        <w:rPr>
          <w:lang w:val="en-US"/>
        </w:rPr>
        <w:t xml:space="preserve">umber of </w:t>
      </w:r>
      <w:r w:rsidR="0099490B">
        <w:rPr>
          <w:lang w:val="en-US"/>
        </w:rPr>
        <w:t>c</w:t>
      </w:r>
      <w:r w:rsidRPr="00877810">
        <w:rPr>
          <w:lang w:val="en-US"/>
        </w:rPr>
        <w:t xml:space="preserve">ontacts and </w:t>
      </w:r>
      <w:r w:rsidR="0099490B">
        <w:rPr>
          <w:lang w:val="en-US"/>
        </w:rPr>
        <w:t>c</w:t>
      </w:r>
      <w:r w:rsidRPr="00877810">
        <w:rPr>
          <w:lang w:val="en-US"/>
        </w:rPr>
        <w:t>ases</w:t>
      </w:r>
      <w:r w:rsidR="00DD4287">
        <w:rPr>
          <w:lang w:val="en-US"/>
        </w:rPr>
        <w:t xml:space="preserve"> </w:t>
      </w:r>
    </w:p>
    <w:tbl>
      <w:tblPr>
        <w:tblStyle w:val="TableGrid"/>
        <w:tblW w:w="5000" w:type="pct"/>
        <w:tblCellMar>
          <w:left w:w="85" w:type="dxa"/>
          <w:right w:w="85" w:type="dxa"/>
        </w:tblCellMar>
        <w:tblLook w:val="04A0" w:firstRow="1" w:lastRow="0" w:firstColumn="1" w:lastColumn="0" w:noHBand="0" w:noVBand="1"/>
      </w:tblPr>
      <w:tblGrid>
        <w:gridCol w:w="851"/>
        <w:gridCol w:w="1840"/>
        <w:gridCol w:w="859"/>
        <w:gridCol w:w="1275"/>
        <w:gridCol w:w="1274"/>
        <w:gridCol w:w="992"/>
        <w:gridCol w:w="1979"/>
      </w:tblGrid>
      <w:tr w:rsidR="00D939D2" w:rsidRPr="00877810" w14:paraId="613B89C2" w14:textId="77777777" w:rsidTr="00821D40">
        <w:trPr>
          <w:cnfStyle w:val="100000000000" w:firstRow="1" w:lastRow="0" w:firstColumn="0" w:lastColumn="0" w:oddVBand="0" w:evenVBand="0" w:oddHBand="0" w:evenHBand="0" w:firstRowFirstColumn="0" w:firstRowLastColumn="0" w:lastRowFirstColumn="0" w:lastRowLastColumn="0"/>
          <w:trHeight w:val="300"/>
        </w:trPr>
        <w:tc>
          <w:tcPr>
            <w:tcW w:w="851" w:type="dxa"/>
            <w:hideMark/>
          </w:tcPr>
          <w:p w14:paraId="5477CDDE" w14:textId="434EFEAC" w:rsidR="00D939D2" w:rsidRPr="00877810" w:rsidRDefault="00D939D2">
            <w:pPr>
              <w:pStyle w:val="TableColumnHeadingLeft"/>
            </w:pPr>
            <w:r w:rsidRPr="00877810">
              <w:rPr>
                <w:lang w:val="en-US"/>
              </w:rPr>
              <w:t>Year</w:t>
            </w:r>
          </w:p>
        </w:tc>
        <w:tc>
          <w:tcPr>
            <w:tcW w:w="1843" w:type="dxa"/>
            <w:hideMark/>
          </w:tcPr>
          <w:p w14:paraId="1321AA13" w14:textId="7FAE4C3C" w:rsidR="00D939D2" w:rsidRPr="00877810" w:rsidRDefault="00D939D2" w:rsidP="00517D10">
            <w:pPr>
              <w:pStyle w:val="TableColumnHeadingRight"/>
            </w:pPr>
            <w:r w:rsidRPr="00877810">
              <w:rPr>
                <w:lang w:val="en-US"/>
              </w:rPr>
              <w:t xml:space="preserve">Mentions of ASBFEO in </w:t>
            </w:r>
            <w:r w:rsidR="00BE5542">
              <w:rPr>
                <w:lang w:val="en-US"/>
              </w:rPr>
              <w:t>m</w:t>
            </w:r>
            <w:r w:rsidRPr="00877810">
              <w:rPr>
                <w:lang w:val="en-US"/>
              </w:rPr>
              <w:t>edia</w:t>
            </w:r>
            <w:r w:rsidRPr="00821D40">
              <w:rPr>
                <w:vertAlign w:val="superscript"/>
                <w:lang w:val="en-US"/>
              </w:rPr>
              <w:t>#</w:t>
            </w:r>
          </w:p>
        </w:tc>
        <w:tc>
          <w:tcPr>
            <w:tcW w:w="850" w:type="dxa"/>
            <w:hideMark/>
          </w:tcPr>
          <w:p w14:paraId="0D864803" w14:textId="7D033E27" w:rsidR="00D939D2" w:rsidRPr="00877810" w:rsidRDefault="00D939D2" w:rsidP="00517D10">
            <w:pPr>
              <w:pStyle w:val="TableColumnHeadingRight"/>
            </w:pPr>
            <w:r w:rsidRPr="00877810">
              <w:rPr>
                <w:lang w:val="en-US"/>
              </w:rPr>
              <w:t xml:space="preserve">Website </w:t>
            </w:r>
            <w:r w:rsidR="00BE5542">
              <w:rPr>
                <w:lang w:val="en-US"/>
              </w:rPr>
              <w:t>v</w:t>
            </w:r>
            <w:r w:rsidRPr="00877810">
              <w:rPr>
                <w:lang w:val="en-US"/>
              </w:rPr>
              <w:t>isits</w:t>
            </w:r>
          </w:p>
        </w:tc>
        <w:tc>
          <w:tcPr>
            <w:tcW w:w="1276" w:type="dxa"/>
            <w:hideMark/>
          </w:tcPr>
          <w:p w14:paraId="73855BE6" w14:textId="0C07BAE2" w:rsidR="00D939D2" w:rsidRPr="00877810" w:rsidRDefault="00D939D2" w:rsidP="00517D10">
            <w:pPr>
              <w:pStyle w:val="TableColumnHeadingRight"/>
            </w:pPr>
            <w:r w:rsidRPr="00877810">
              <w:rPr>
                <w:lang w:val="en-US"/>
              </w:rPr>
              <w:t xml:space="preserve">Social </w:t>
            </w:r>
            <w:r w:rsidR="00BE5542">
              <w:rPr>
                <w:lang w:val="en-US"/>
              </w:rPr>
              <w:t>m</w:t>
            </w:r>
            <w:r w:rsidRPr="00877810">
              <w:rPr>
                <w:lang w:val="en-US"/>
              </w:rPr>
              <w:t>edia followers</w:t>
            </w:r>
            <w:r w:rsidR="00F62C28" w:rsidRPr="00821D40">
              <w:rPr>
                <w:vertAlign w:val="superscript"/>
                <w:lang w:val="en-US"/>
              </w:rPr>
              <w:t>*</w:t>
            </w:r>
          </w:p>
        </w:tc>
        <w:tc>
          <w:tcPr>
            <w:tcW w:w="1276" w:type="dxa"/>
            <w:hideMark/>
          </w:tcPr>
          <w:p w14:paraId="5E238B53" w14:textId="4C0AFECC" w:rsidR="00D939D2" w:rsidRPr="00877810" w:rsidRDefault="00D939D2" w:rsidP="00517D10">
            <w:pPr>
              <w:pStyle w:val="TableColumnHeadingRight"/>
            </w:pPr>
            <w:r w:rsidRPr="00877810">
              <w:rPr>
                <w:lang w:val="en-US"/>
              </w:rPr>
              <w:t xml:space="preserve">Social </w:t>
            </w:r>
            <w:r w:rsidR="00BE5542">
              <w:rPr>
                <w:lang w:val="en-US"/>
              </w:rPr>
              <w:t>m</w:t>
            </w:r>
            <w:r w:rsidRPr="00877810">
              <w:rPr>
                <w:lang w:val="en-US"/>
              </w:rPr>
              <w:t xml:space="preserve">edia </w:t>
            </w:r>
            <w:r w:rsidR="00BE5542">
              <w:rPr>
                <w:lang w:val="en-US"/>
              </w:rPr>
              <w:t>p</w:t>
            </w:r>
            <w:r w:rsidRPr="00877810">
              <w:rPr>
                <w:lang w:val="en-US"/>
              </w:rPr>
              <w:t xml:space="preserve">osts </w:t>
            </w:r>
          </w:p>
        </w:tc>
        <w:tc>
          <w:tcPr>
            <w:tcW w:w="992" w:type="dxa"/>
            <w:hideMark/>
          </w:tcPr>
          <w:p w14:paraId="14A4EA43" w14:textId="3A8BD512" w:rsidR="00D939D2" w:rsidRPr="00877810" w:rsidRDefault="00D939D2" w:rsidP="00517D10">
            <w:pPr>
              <w:pStyle w:val="TableColumnHeadingRight"/>
            </w:pPr>
            <w:r w:rsidRPr="00877810">
              <w:rPr>
                <w:lang w:val="en-US"/>
              </w:rPr>
              <w:t xml:space="preserve">Total </w:t>
            </w:r>
            <w:r w:rsidR="00BE5542">
              <w:rPr>
                <w:lang w:val="en-US"/>
              </w:rPr>
              <w:t>c</w:t>
            </w:r>
            <w:r w:rsidRPr="00877810">
              <w:rPr>
                <w:lang w:val="en-US"/>
              </w:rPr>
              <w:t>ontacts</w:t>
            </w:r>
            <w:r w:rsidRPr="00821D40">
              <w:rPr>
                <w:vertAlign w:val="superscript"/>
                <w:lang w:val="en-US"/>
              </w:rPr>
              <w:t>^</w:t>
            </w:r>
          </w:p>
        </w:tc>
        <w:tc>
          <w:tcPr>
            <w:tcW w:w="1982" w:type="dxa"/>
            <w:hideMark/>
          </w:tcPr>
          <w:p w14:paraId="15BBD087" w14:textId="1C737225" w:rsidR="00D939D2" w:rsidRPr="00877810" w:rsidRDefault="00D939D2" w:rsidP="00517D10">
            <w:pPr>
              <w:pStyle w:val="TableColumnHeadingRight"/>
            </w:pPr>
            <w:r w:rsidRPr="00877810">
              <w:rPr>
                <w:lang w:val="en-US"/>
              </w:rPr>
              <w:t xml:space="preserve">Cases </w:t>
            </w:r>
            <w:r w:rsidR="00BE5542">
              <w:rPr>
                <w:lang w:val="en-US"/>
              </w:rPr>
              <w:t>a</w:t>
            </w:r>
            <w:r w:rsidRPr="00877810">
              <w:rPr>
                <w:lang w:val="en-US"/>
              </w:rPr>
              <w:t>ctively managed by ASBFEO</w:t>
            </w:r>
          </w:p>
        </w:tc>
      </w:tr>
      <w:tr w:rsidR="00D939D2" w:rsidRPr="00877810" w14:paraId="24E133BF" w14:textId="77777777" w:rsidTr="00821D40">
        <w:trPr>
          <w:cnfStyle w:val="000000100000" w:firstRow="0" w:lastRow="0" w:firstColumn="0" w:lastColumn="0" w:oddVBand="0" w:evenVBand="0" w:oddHBand="1" w:evenHBand="0" w:firstRowFirstColumn="0" w:firstRowLastColumn="0" w:lastRowFirstColumn="0" w:lastRowLastColumn="0"/>
          <w:trHeight w:val="300"/>
        </w:trPr>
        <w:tc>
          <w:tcPr>
            <w:tcW w:w="851" w:type="dxa"/>
            <w:hideMark/>
          </w:tcPr>
          <w:p w14:paraId="4420B297" w14:textId="0E5A2070" w:rsidR="00D939D2" w:rsidRPr="00877810" w:rsidRDefault="00D939D2">
            <w:pPr>
              <w:pStyle w:val="TableTextLeft"/>
            </w:pPr>
            <w:r w:rsidRPr="009A2076">
              <w:t>2023</w:t>
            </w:r>
            <w:r w:rsidRPr="00AA0977">
              <w:t>–</w:t>
            </w:r>
            <w:r w:rsidRPr="009A2076">
              <w:t>24</w:t>
            </w:r>
          </w:p>
        </w:tc>
        <w:tc>
          <w:tcPr>
            <w:tcW w:w="1843" w:type="dxa"/>
            <w:hideMark/>
          </w:tcPr>
          <w:p w14:paraId="35701FE6" w14:textId="77777777" w:rsidR="00D939D2" w:rsidRPr="00877810" w:rsidRDefault="00D939D2" w:rsidP="00517D10">
            <w:pPr>
              <w:pStyle w:val="TableTextRight"/>
            </w:pPr>
            <w:r w:rsidRPr="009A2076">
              <w:t>2,184</w:t>
            </w:r>
            <w:r w:rsidRPr="00877810">
              <w:t> </w:t>
            </w:r>
          </w:p>
        </w:tc>
        <w:tc>
          <w:tcPr>
            <w:tcW w:w="850" w:type="dxa"/>
            <w:hideMark/>
          </w:tcPr>
          <w:p w14:paraId="29849A9D" w14:textId="3DAFAB86" w:rsidR="00D939D2" w:rsidRPr="00877810" w:rsidRDefault="00D939D2" w:rsidP="00517D10">
            <w:pPr>
              <w:pStyle w:val="TableTextRight"/>
            </w:pPr>
            <w:r w:rsidRPr="009A2076">
              <w:t>210,918</w:t>
            </w:r>
          </w:p>
        </w:tc>
        <w:tc>
          <w:tcPr>
            <w:tcW w:w="1276" w:type="dxa"/>
            <w:hideMark/>
          </w:tcPr>
          <w:p w14:paraId="5F2C4DA1" w14:textId="1FAF3189" w:rsidR="00D939D2" w:rsidRPr="00877810" w:rsidRDefault="00D939D2" w:rsidP="00517D10">
            <w:pPr>
              <w:pStyle w:val="TableTextRight"/>
            </w:pPr>
            <w:r w:rsidRPr="009A2076">
              <w:t>16,741</w:t>
            </w:r>
          </w:p>
        </w:tc>
        <w:tc>
          <w:tcPr>
            <w:tcW w:w="1276" w:type="dxa"/>
            <w:hideMark/>
          </w:tcPr>
          <w:p w14:paraId="41AAF61A" w14:textId="5F3060EA" w:rsidR="00D939D2" w:rsidRPr="00877810" w:rsidRDefault="00D939D2" w:rsidP="00517D10">
            <w:pPr>
              <w:pStyle w:val="TableTextRight"/>
            </w:pPr>
            <w:r w:rsidRPr="009A2076">
              <w:t>715</w:t>
            </w:r>
          </w:p>
        </w:tc>
        <w:tc>
          <w:tcPr>
            <w:tcW w:w="992" w:type="dxa"/>
            <w:hideMark/>
          </w:tcPr>
          <w:p w14:paraId="56B00A67" w14:textId="50A2A908" w:rsidR="00D939D2" w:rsidRPr="00877810" w:rsidRDefault="00D939D2" w:rsidP="00517D10">
            <w:pPr>
              <w:pStyle w:val="TableTextRight"/>
            </w:pPr>
            <w:r w:rsidRPr="009A2076">
              <w:t>6,258</w:t>
            </w:r>
          </w:p>
        </w:tc>
        <w:tc>
          <w:tcPr>
            <w:tcW w:w="1982" w:type="dxa"/>
            <w:hideMark/>
          </w:tcPr>
          <w:p w14:paraId="3A8BEBC8" w14:textId="111010C2" w:rsidR="00D939D2" w:rsidRPr="00877810" w:rsidRDefault="00D939D2" w:rsidP="00517D10">
            <w:pPr>
              <w:pStyle w:val="TableTextRight"/>
            </w:pPr>
            <w:r w:rsidRPr="009A2076">
              <w:t>1,400</w:t>
            </w:r>
          </w:p>
        </w:tc>
      </w:tr>
      <w:tr w:rsidR="00D939D2" w:rsidRPr="00877810" w14:paraId="4924A807" w14:textId="77777777" w:rsidTr="00821D40">
        <w:trPr>
          <w:cnfStyle w:val="000000010000" w:firstRow="0" w:lastRow="0" w:firstColumn="0" w:lastColumn="0" w:oddVBand="0" w:evenVBand="0" w:oddHBand="0" w:evenHBand="1" w:firstRowFirstColumn="0" w:firstRowLastColumn="0" w:lastRowFirstColumn="0" w:lastRowLastColumn="0"/>
          <w:trHeight w:val="300"/>
        </w:trPr>
        <w:tc>
          <w:tcPr>
            <w:tcW w:w="851" w:type="dxa"/>
            <w:hideMark/>
          </w:tcPr>
          <w:p w14:paraId="6E8AE2ED" w14:textId="7F7940D1" w:rsidR="00D939D2" w:rsidRPr="00877810" w:rsidRDefault="00D939D2">
            <w:pPr>
              <w:pStyle w:val="TableTextLeft"/>
            </w:pPr>
            <w:r w:rsidRPr="009A2076">
              <w:t>2022</w:t>
            </w:r>
            <w:r w:rsidRPr="00AA0977">
              <w:t>–</w:t>
            </w:r>
            <w:r w:rsidRPr="009A2076">
              <w:t>23</w:t>
            </w:r>
          </w:p>
        </w:tc>
        <w:tc>
          <w:tcPr>
            <w:tcW w:w="1843" w:type="dxa"/>
            <w:hideMark/>
          </w:tcPr>
          <w:p w14:paraId="6130954F" w14:textId="77777777" w:rsidR="00D939D2" w:rsidRPr="00877810" w:rsidRDefault="00D939D2" w:rsidP="00517D10">
            <w:pPr>
              <w:pStyle w:val="TableTextRight"/>
            </w:pPr>
            <w:r w:rsidRPr="009A2076">
              <w:t>1,868</w:t>
            </w:r>
            <w:r w:rsidRPr="00877810">
              <w:t> </w:t>
            </w:r>
          </w:p>
        </w:tc>
        <w:tc>
          <w:tcPr>
            <w:tcW w:w="850" w:type="dxa"/>
            <w:hideMark/>
          </w:tcPr>
          <w:p w14:paraId="1FDCD13E" w14:textId="660A62A4" w:rsidR="00D939D2" w:rsidRPr="00877810" w:rsidRDefault="00D939D2" w:rsidP="00517D10">
            <w:pPr>
              <w:pStyle w:val="TableTextRight"/>
            </w:pPr>
            <w:r w:rsidRPr="009A2076">
              <w:t>133,388</w:t>
            </w:r>
          </w:p>
        </w:tc>
        <w:tc>
          <w:tcPr>
            <w:tcW w:w="1276" w:type="dxa"/>
            <w:hideMark/>
          </w:tcPr>
          <w:p w14:paraId="7553ED52" w14:textId="708CF63B" w:rsidR="00D939D2" w:rsidRPr="00877810" w:rsidRDefault="00D939D2" w:rsidP="00517D10">
            <w:pPr>
              <w:pStyle w:val="TableTextRight"/>
            </w:pPr>
            <w:r w:rsidRPr="009A2076">
              <w:t>15,143</w:t>
            </w:r>
          </w:p>
        </w:tc>
        <w:tc>
          <w:tcPr>
            <w:tcW w:w="1276" w:type="dxa"/>
            <w:hideMark/>
          </w:tcPr>
          <w:p w14:paraId="2FC44CAA" w14:textId="458531E6" w:rsidR="00D939D2" w:rsidRPr="00877810" w:rsidRDefault="00D939D2" w:rsidP="00517D10">
            <w:pPr>
              <w:pStyle w:val="TableTextRight"/>
            </w:pPr>
            <w:r w:rsidRPr="009A2076">
              <w:t>1,122</w:t>
            </w:r>
          </w:p>
        </w:tc>
        <w:tc>
          <w:tcPr>
            <w:tcW w:w="992" w:type="dxa"/>
            <w:hideMark/>
          </w:tcPr>
          <w:p w14:paraId="18BDE290" w14:textId="4604E7A2" w:rsidR="00D939D2" w:rsidRPr="00877810" w:rsidRDefault="00D939D2" w:rsidP="00517D10">
            <w:pPr>
              <w:pStyle w:val="TableTextRight"/>
            </w:pPr>
            <w:r w:rsidRPr="009A2076">
              <w:t>6,479</w:t>
            </w:r>
          </w:p>
        </w:tc>
        <w:tc>
          <w:tcPr>
            <w:tcW w:w="1982" w:type="dxa"/>
            <w:hideMark/>
          </w:tcPr>
          <w:p w14:paraId="47A968C2" w14:textId="0A272D4F" w:rsidR="00D939D2" w:rsidRPr="00877810" w:rsidRDefault="00D939D2" w:rsidP="00517D10">
            <w:pPr>
              <w:pStyle w:val="TableTextRight"/>
            </w:pPr>
            <w:r w:rsidRPr="009A2076">
              <w:t>1,469</w:t>
            </w:r>
          </w:p>
        </w:tc>
      </w:tr>
      <w:tr w:rsidR="00D939D2" w:rsidRPr="00877810" w14:paraId="49EA4C86" w14:textId="77777777" w:rsidTr="00821D40">
        <w:trPr>
          <w:cnfStyle w:val="000000100000" w:firstRow="0" w:lastRow="0" w:firstColumn="0" w:lastColumn="0" w:oddVBand="0" w:evenVBand="0" w:oddHBand="1" w:evenHBand="0" w:firstRowFirstColumn="0" w:firstRowLastColumn="0" w:lastRowFirstColumn="0" w:lastRowLastColumn="0"/>
          <w:trHeight w:val="300"/>
        </w:trPr>
        <w:tc>
          <w:tcPr>
            <w:tcW w:w="851" w:type="dxa"/>
            <w:hideMark/>
          </w:tcPr>
          <w:p w14:paraId="1E4EEE4F" w14:textId="11D5A93F" w:rsidR="00D939D2" w:rsidRPr="00877810" w:rsidRDefault="00D939D2">
            <w:pPr>
              <w:pStyle w:val="TableTextLeft"/>
            </w:pPr>
            <w:r w:rsidRPr="009A2076">
              <w:t>2021</w:t>
            </w:r>
            <w:r w:rsidRPr="00AA0977">
              <w:t>–</w:t>
            </w:r>
            <w:r w:rsidRPr="009A2076">
              <w:t>22</w:t>
            </w:r>
          </w:p>
        </w:tc>
        <w:tc>
          <w:tcPr>
            <w:tcW w:w="1843" w:type="dxa"/>
            <w:hideMark/>
          </w:tcPr>
          <w:p w14:paraId="55191767" w14:textId="77777777" w:rsidR="00D939D2" w:rsidRPr="00877810" w:rsidRDefault="00D939D2" w:rsidP="00517D10">
            <w:pPr>
              <w:pStyle w:val="TableTextRight"/>
            </w:pPr>
            <w:r w:rsidRPr="009A2076">
              <w:t>923</w:t>
            </w:r>
            <w:r w:rsidRPr="00877810">
              <w:t> </w:t>
            </w:r>
          </w:p>
        </w:tc>
        <w:tc>
          <w:tcPr>
            <w:tcW w:w="850" w:type="dxa"/>
            <w:hideMark/>
          </w:tcPr>
          <w:p w14:paraId="3EA3A7EE" w14:textId="2A249C28" w:rsidR="00D939D2" w:rsidRPr="00877810" w:rsidRDefault="00D939D2" w:rsidP="00517D10">
            <w:pPr>
              <w:pStyle w:val="TableTextRight"/>
            </w:pPr>
            <w:r w:rsidRPr="009A2076">
              <w:t>217,101</w:t>
            </w:r>
          </w:p>
        </w:tc>
        <w:tc>
          <w:tcPr>
            <w:tcW w:w="1276" w:type="dxa"/>
            <w:hideMark/>
          </w:tcPr>
          <w:p w14:paraId="276E2350" w14:textId="1E46AB8E" w:rsidR="00D939D2" w:rsidRPr="00877810" w:rsidRDefault="00D939D2" w:rsidP="00517D10">
            <w:pPr>
              <w:pStyle w:val="TableTextRight"/>
            </w:pPr>
            <w:r w:rsidRPr="009A2076">
              <w:t>13,504</w:t>
            </w:r>
          </w:p>
        </w:tc>
        <w:tc>
          <w:tcPr>
            <w:tcW w:w="1276" w:type="dxa"/>
            <w:hideMark/>
          </w:tcPr>
          <w:p w14:paraId="474D8356" w14:textId="36C43EA6" w:rsidR="00D939D2" w:rsidRPr="00877810" w:rsidRDefault="00D939D2" w:rsidP="00517D10">
            <w:pPr>
              <w:pStyle w:val="TableTextRight"/>
            </w:pPr>
            <w:r w:rsidRPr="009A2076">
              <w:t>1,073</w:t>
            </w:r>
          </w:p>
        </w:tc>
        <w:tc>
          <w:tcPr>
            <w:tcW w:w="992" w:type="dxa"/>
            <w:hideMark/>
          </w:tcPr>
          <w:p w14:paraId="03B45AD4" w14:textId="66303E61" w:rsidR="00D939D2" w:rsidRPr="00877810" w:rsidRDefault="00D939D2" w:rsidP="00517D10">
            <w:pPr>
              <w:pStyle w:val="TableTextRight"/>
            </w:pPr>
            <w:r w:rsidRPr="009A2076">
              <w:t>6,316</w:t>
            </w:r>
          </w:p>
        </w:tc>
        <w:tc>
          <w:tcPr>
            <w:tcW w:w="1982" w:type="dxa"/>
            <w:hideMark/>
          </w:tcPr>
          <w:p w14:paraId="390D2FAA" w14:textId="6AEAEEC5" w:rsidR="00D939D2" w:rsidRPr="00877810" w:rsidRDefault="00D939D2" w:rsidP="00517D10">
            <w:pPr>
              <w:pStyle w:val="TableTextRight"/>
            </w:pPr>
            <w:r w:rsidRPr="009A2076">
              <w:t>1,601</w:t>
            </w:r>
          </w:p>
        </w:tc>
      </w:tr>
      <w:tr w:rsidR="00D939D2" w:rsidRPr="00877810" w14:paraId="44EF0101" w14:textId="77777777" w:rsidTr="00821D40">
        <w:trPr>
          <w:cnfStyle w:val="000000010000" w:firstRow="0" w:lastRow="0" w:firstColumn="0" w:lastColumn="0" w:oddVBand="0" w:evenVBand="0" w:oddHBand="0" w:evenHBand="1" w:firstRowFirstColumn="0" w:firstRowLastColumn="0" w:lastRowFirstColumn="0" w:lastRowLastColumn="0"/>
          <w:trHeight w:val="300"/>
        </w:trPr>
        <w:tc>
          <w:tcPr>
            <w:tcW w:w="851" w:type="dxa"/>
            <w:hideMark/>
          </w:tcPr>
          <w:p w14:paraId="3C867A43" w14:textId="2EDED700" w:rsidR="00D939D2" w:rsidRPr="00877810" w:rsidRDefault="00D939D2">
            <w:pPr>
              <w:pStyle w:val="TableTextLeft"/>
            </w:pPr>
            <w:r w:rsidRPr="009A2076">
              <w:t>2020</w:t>
            </w:r>
            <w:r w:rsidRPr="00AA0977">
              <w:t>–</w:t>
            </w:r>
            <w:r w:rsidRPr="009A2076">
              <w:t>21</w:t>
            </w:r>
          </w:p>
        </w:tc>
        <w:tc>
          <w:tcPr>
            <w:tcW w:w="1843" w:type="dxa"/>
            <w:hideMark/>
          </w:tcPr>
          <w:p w14:paraId="0E0D1E0E" w14:textId="77777777" w:rsidR="00D939D2" w:rsidRPr="00877810" w:rsidRDefault="00D939D2" w:rsidP="00517D10">
            <w:pPr>
              <w:pStyle w:val="TableTextRight"/>
            </w:pPr>
            <w:r w:rsidRPr="009A2076">
              <w:t>5,607</w:t>
            </w:r>
            <w:r w:rsidRPr="00877810">
              <w:t> </w:t>
            </w:r>
          </w:p>
        </w:tc>
        <w:tc>
          <w:tcPr>
            <w:tcW w:w="850" w:type="dxa"/>
            <w:hideMark/>
          </w:tcPr>
          <w:p w14:paraId="2846BE07" w14:textId="76EB3806" w:rsidR="00D939D2" w:rsidRPr="00877810" w:rsidRDefault="00D939D2" w:rsidP="00517D10">
            <w:pPr>
              <w:pStyle w:val="TableTextRight"/>
            </w:pPr>
            <w:r w:rsidRPr="009A2076">
              <w:t>273,525</w:t>
            </w:r>
          </w:p>
        </w:tc>
        <w:tc>
          <w:tcPr>
            <w:tcW w:w="1276" w:type="dxa"/>
            <w:hideMark/>
          </w:tcPr>
          <w:p w14:paraId="3CF4DC33" w14:textId="36519BDE" w:rsidR="00D939D2" w:rsidRPr="00877810" w:rsidRDefault="00D939D2" w:rsidP="00517D10">
            <w:pPr>
              <w:pStyle w:val="TableTextRight"/>
            </w:pPr>
            <w:r w:rsidRPr="009A2076">
              <w:t>11,803</w:t>
            </w:r>
          </w:p>
        </w:tc>
        <w:tc>
          <w:tcPr>
            <w:tcW w:w="1276" w:type="dxa"/>
            <w:hideMark/>
          </w:tcPr>
          <w:p w14:paraId="18B05936" w14:textId="33D7111A" w:rsidR="00D939D2" w:rsidRPr="00877810" w:rsidRDefault="00D939D2" w:rsidP="00517D10">
            <w:pPr>
              <w:pStyle w:val="TableTextRight"/>
            </w:pPr>
            <w:r w:rsidRPr="009A2076">
              <w:t>1,340</w:t>
            </w:r>
          </w:p>
        </w:tc>
        <w:tc>
          <w:tcPr>
            <w:tcW w:w="992" w:type="dxa"/>
            <w:hideMark/>
          </w:tcPr>
          <w:p w14:paraId="405B2770" w14:textId="5DDFC25F" w:rsidR="00D939D2" w:rsidRPr="00877810" w:rsidRDefault="00D939D2" w:rsidP="00517D10">
            <w:pPr>
              <w:pStyle w:val="TableTextRight"/>
            </w:pPr>
            <w:r w:rsidRPr="009A2076">
              <w:t>7,205</w:t>
            </w:r>
          </w:p>
        </w:tc>
        <w:tc>
          <w:tcPr>
            <w:tcW w:w="1982" w:type="dxa"/>
            <w:hideMark/>
          </w:tcPr>
          <w:p w14:paraId="0404BDB8" w14:textId="4A13DE3D" w:rsidR="00D939D2" w:rsidRPr="00877810" w:rsidRDefault="00D939D2" w:rsidP="00517D10">
            <w:pPr>
              <w:pStyle w:val="TableTextRight"/>
            </w:pPr>
            <w:r w:rsidRPr="009A2076">
              <w:t>N/A</w:t>
            </w:r>
          </w:p>
        </w:tc>
      </w:tr>
    </w:tbl>
    <w:p w14:paraId="6EE15191" w14:textId="50C871B7" w:rsidR="002A28E2" w:rsidRPr="004D4530" w:rsidRDefault="002A28E2" w:rsidP="002A28E2">
      <w:pPr>
        <w:pStyle w:val="ChartorTablenoteandsource"/>
      </w:pPr>
      <w:r>
        <w:t>Please refer to Appendix I for table notes and sources</w:t>
      </w:r>
      <w:r w:rsidR="0091722B">
        <w:t>.</w:t>
      </w:r>
    </w:p>
    <w:p w14:paraId="6579A89A" w14:textId="592B697C" w:rsidR="00877810" w:rsidRPr="00877810" w:rsidRDefault="00BE10E4" w:rsidP="00877810">
      <w:r w:rsidRPr="00877810">
        <w:rPr>
          <w:b/>
          <w:bCs/>
          <w:lang w:val="en-US"/>
        </w:rPr>
        <w:t xml:space="preserve">The </w:t>
      </w:r>
      <w:r w:rsidR="00352169">
        <w:rPr>
          <w:b/>
          <w:bCs/>
          <w:lang w:val="en-US"/>
        </w:rPr>
        <w:t>stakeholder</w:t>
      </w:r>
      <w:r w:rsidR="00877810">
        <w:rPr>
          <w:b/>
          <w:lang w:val="en-US"/>
        </w:rPr>
        <w:t xml:space="preserve"> survey</w:t>
      </w:r>
      <w:r w:rsidR="00877810" w:rsidRPr="00086936">
        <w:rPr>
          <w:rStyle w:val="Strong"/>
        </w:rPr>
        <w:t xml:space="preserve"> responses, submissions and meetings highlight the need for improved communication and awareness of the services provided by ASBFEO.</w:t>
      </w:r>
      <w:r w:rsidR="00877810" w:rsidRPr="00877810">
        <w:rPr>
          <w:lang w:val="en-US"/>
        </w:rPr>
        <w:t xml:space="preserve"> While the larger associations, government agencies</w:t>
      </w:r>
      <w:r w:rsidR="0099490B">
        <w:rPr>
          <w:lang w:val="en-US"/>
        </w:rPr>
        <w:t xml:space="preserve"> </w:t>
      </w:r>
      <w:r w:rsidR="00877810" w:rsidRPr="00877810">
        <w:rPr>
          <w:lang w:val="en-US"/>
        </w:rPr>
        <w:t xml:space="preserve">and </w:t>
      </w:r>
      <w:proofErr w:type="spellStart"/>
      <w:r w:rsidR="00877810" w:rsidRPr="00877810">
        <w:rPr>
          <w:lang w:val="en-US"/>
        </w:rPr>
        <w:t>organisations</w:t>
      </w:r>
      <w:proofErr w:type="spellEnd"/>
      <w:r w:rsidR="00877810" w:rsidRPr="00877810">
        <w:rPr>
          <w:lang w:val="en-US"/>
        </w:rPr>
        <w:t xml:space="preserve"> know </w:t>
      </w:r>
      <w:r w:rsidR="0099490B">
        <w:rPr>
          <w:lang w:val="en-US"/>
        </w:rPr>
        <w:t>of</w:t>
      </w:r>
      <w:r w:rsidR="00877810" w:rsidRPr="00877810">
        <w:rPr>
          <w:lang w:val="en-US"/>
        </w:rPr>
        <w:t xml:space="preserve"> ASBFEO and understand its functions, </w:t>
      </w:r>
      <w:r w:rsidR="00F34A84">
        <w:rPr>
          <w:lang w:val="en-US"/>
        </w:rPr>
        <w:t xml:space="preserve">some </w:t>
      </w:r>
      <w:r w:rsidR="00877810" w:rsidRPr="00877810">
        <w:rPr>
          <w:lang w:val="en-US"/>
        </w:rPr>
        <w:t xml:space="preserve">small business associations and even accountants are unaware </w:t>
      </w:r>
      <w:r w:rsidR="0099490B">
        <w:rPr>
          <w:lang w:val="en-US"/>
        </w:rPr>
        <w:t xml:space="preserve">it </w:t>
      </w:r>
      <w:r w:rsidR="00877810" w:rsidRPr="00877810">
        <w:rPr>
          <w:lang w:val="en-US"/>
        </w:rPr>
        <w:t>provides ADR services</w:t>
      </w:r>
      <w:r w:rsidR="00916FA5">
        <w:rPr>
          <w:lang w:val="en-US"/>
        </w:rPr>
        <w:t xml:space="preserve">. </w:t>
      </w:r>
    </w:p>
    <w:p w14:paraId="07461209" w14:textId="7D430005" w:rsidR="00877810" w:rsidRPr="00877810" w:rsidRDefault="00877810" w:rsidP="00877810">
      <w:proofErr w:type="gramStart"/>
      <w:r w:rsidRPr="00086936">
        <w:rPr>
          <w:rStyle w:val="Strong"/>
        </w:rPr>
        <w:t>In particular, First</w:t>
      </w:r>
      <w:proofErr w:type="gramEnd"/>
      <w:r w:rsidRPr="00086936">
        <w:rPr>
          <w:rStyle w:val="Strong"/>
        </w:rPr>
        <w:t xml:space="preserve"> Nations people and members of multicultural communities face unique challenges, such as language and cultural barriers.</w:t>
      </w:r>
      <w:r w:rsidRPr="00877810">
        <w:rPr>
          <w:lang w:val="en-US"/>
        </w:rPr>
        <w:t xml:space="preserve"> They could benefit from having their views included in the advocacy agenda and accessing ASBFEO</w:t>
      </w:r>
      <w:r w:rsidR="00916FA5">
        <w:rPr>
          <w:lang w:val="en-US"/>
        </w:rPr>
        <w:t>’</w:t>
      </w:r>
      <w:r w:rsidRPr="00877810">
        <w:rPr>
          <w:lang w:val="en-US"/>
        </w:rPr>
        <w:t>s dispute resolution services. There is also a need to increase awareness of ASBFEO</w:t>
      </w:r>
      <w:r w:rsidR="00916FA5">
        <w:rPr>
          <w:lang w:val="en-US"/>
        </w:rPr>
        <w:t>’</w:t>
      </w:r>
      <w:r w:rsidRPr="00877810">
        <w:rPr>
          <w:lang w:val="en-US"/>
        </w:rPr>
        <w:t>s services by small businesses, particularly in T</w:t>
      </w:r>
      <w:r w:rsidR="00C63704">
        <w:rPr>
          <w:lang w:val="en-US"/>
        </w:rPr>
        <w:t>asmania</w:t>
      </w:r>
      <w:r w:rsidRPr="00877810">
        <w:rPr>
          <w:lang w:val="en-US"/>
        </w:rPr>
        <w:t xml:space="preserve">, </w:t>
      </w:r>
      <w:r w:rsidR="008B34AF">
        <w:rPr>
          <w:lang w:val="en-US"/>
        </w:rPr>
        <w:t>the</w:t>
      </w:r>
      <w:r w:rsidR="008B34AF" w:rsidRPr="00877810">
        <w:rPr>
          <w:lang w:val="en-US"/>
        </w:rPr>
        <w:t xml:space="preserve"> </w:t>
      </w:r>
      <w:r w:rsidR="0097357C">
        <w:rPr>
          <w:lang w:val="en-US"/>
        </w:rPr>
        <w:t>ACT</w:t>
      </w:r>
      <w:r w:rsidR="00FD4CF0">
        <w:rPr>
          <w:lang w:val="en-US"/>
        </w:rPr>
        <w:t xml:space="preserve">, </w:t>
      </w:r>
      <w:r w:rsidR="00F51AF7">
        <w:rPr>
          <w:lang w:val="en-US"/>
        </w:rPr>
        <w:t xml:space="preserve">and </w:t>
      </w:r>
      <w:r w:rsidR="0039590F">
        <w:rPr>
          <w:lang w:val="en-US"/>
        </w:rPr>
        <w:t xml:space="preserve">the </w:t>
      </w:r>
      <w:r w:rsidR="0097357C">
        <w:rPr>
          <w:lang w:val="en-US"/>
        </w:rPr>
        <w:t>NT</w:t>
      </w:r>
      <w:r w:rsidR="008B34AF" w:rsidRPr="00877810">
        <w:rPr>
          <w:lang w:val="en-US"/>
        </w:rPr>
        <w:t xml:space="preserve">, as </w:t>
      </w:r>
      <w:r w:rsidR="00B90FD9">
        <w:rPr>
          <w:lang w:val="en-US"/>
        </w:rPr>
        <w:t>it</w:t>
      </w:r>
      <w:r w:rsidR="008B34AF" w:rsidRPr="00877810">
        <w:rPr>
          <w:lang w:val="en-US"/>
        </w:rPr>
        <w:t xml:space="preserve"> is the designated dispute resolution agency.</w:t>
      </w:r>
      <w:r w:rsidR="008B34AF" w:rsidRPr="00877810">
        <w:t> </w:t>
      </w:r>
    </w:p>
    <w:p w14:paraId="2EED7275" w14:textId="601680D1" w:rsidR="00B40F56" w:rsidRPr="00877810" w:rsidRDefault="00B40F56" w:rsidP="00B40F56">
      <w:r w:rsidRPr="002D7F86">
        <w:rPr>
          <w:b/>
          <w:bCs/>
          <w:lang w:val="en-US"/>
        </w:rPr>
        <w:t>The communication and engagement strategy needs to be updated, focusing more on the assistance function and guidance on ADR services.</w:t>
      </w:r>
      <w:r w:rsidRPr="00877810">
        <w:rPr>
          <w:lang w:val="en-US"/>
        </w:rPr>
        <w:t xml:space="preserve"> </w:t>
      </w:r>
      <w:r w:rsidR="00877810" w:rsidRPr="002D7F86">
        <w:rPr>
          <w:lang w:val="en-US"/>
        </w:rPr>
        <w:t>ASBFEO developed a communication and engagement strategy in 2021 focused on the newly appointed Ombudsman and the advocacy agenda</w:t>
      </w:r>
      <w:r w:rsidR="00877810">
        <w:rPr>
          <w:b/>
          <w:lang w:val="en-US"/>
        </w:rPr>
        <w:t>.</w:t>
      </w:r>
      <w:r w:rsidR="00065357">
        <w:rPr>
          <w:rFonts w:ascii="ZWAdobeF" w:hAnsi="ZWAdobeF" w:cs="ZWAdobeF"/>
          <w:color w:val="auto"/>
          <w:sz w:val="2"/>
          <w:szCs w:val="2"/>
          <w:lang w:val="en-US"/>
        </w:rPr>
        <w:t>114F</w:t>
      </w:r>
      <w:r w:rsidR="00B22EB7" w:rsidRPr="00E0155D">
        <w:rPr>
          <w:rStyle w:val="FootnoteReference"/>
          <w:szCs w:val="18"/>
          <w:vertAlign w:val="superscript"/>
          <w:lang w:val="en-US"/>
        </w:rPr>
        <w:footnoteReference w:id="116"/>
      </w:r>
      <w:r w:rsidR="00877810" w:rsidRPr="0024451F">
        <w:rPr>
          <w:vertAlign w:val="superscript"/>
          <w:lang w:val="en-US"/>
        </w:rPr>
        <w:t xml:space="preserve"> </w:t>
      </w:r>
      <w:r w:rsidR="00877810" w:rsidDel="0049572B">
        <w:rPr>
          <w:vertAlign w:val="superscript"/>
          <w:lang w:val="en-US"/>
        </w:rPr>
        <w:t xml:space="preserve"> </w:t>
      </w:r>
      <w:r>
        <w:rPr>
          <w:lang w:val="en-US"/>
        </w:rPr>
        <w:t xml:space="preserve">ASBFEO should update its strategy to raise awareness </w:t>
      </w:r>
      <w:r w:rsidR="00576C34">
        <w:rPr>
          <w:lang w:val="en-US"/>
        </w:rPr>
        <w:t xml:space="preserve">of the assistance function </w:t>
      </w:r>
      <w:r w:rsidRPr="00877810">
        <w:rPr>
          <w:lang w:val="en-US"/>
        </w:rPr>
        <w:t>among</w:t>
      </w:r>
      <w:r>
        <w:rPr>
          <w:lang w:val="en-US"/>
        </w:rPr>
        <w:t xml:space="preserve"> small businesses in general </w:t>
      </w:r>
      <w:r w:rsidRPr="00877810">
        <w:rPr>
          <w:lang w:val="en-US"/>
        </w:rPr>
        <w:t>and special interest groups, including small business</w:t>
      </w:r>
      <w:r>
        <w:rPr>
          <w:lang w:val="en-US"/>
        </w:rPr>
        <w:t>es</w:t>
      </w:r>
      <w:r w:rsidRPr="00877810">
        <w:rPr>
          <w:lang w:val="en-US"/>
        </w:rPr>
        <w:t xml:space="preserve"> run by First Nations people</w:t>
      </w:r>
      <w:r>
        <w:rPr>
          <w:lang w:val="en-US"/>
        </w:rPr>
        <w:t xml:space="preserve">, </w:t>
      </w:r>
      <w:r w:rsidRPr="00877810">
        <w:rPr>
          <w:lang w:val="en-US"/>
        </w:rPr>
        <w:t>members of multicultural communities</w:t>
      </w:r>
      <w:r>
        <w:rPr>
          <w:lang w:val="en-US"/>
        </w:rPr>
        <w:t xml:space="preserve"> and regional and remote areas.</w:t>
      </w:r>
      <w:r w:rsidRPr="00877810">
        <w:t> </w:t>
      </w:r>
    </w:p>
    <w:p w14:paraId="7E917C64" w14:textId="7B3BCC56" w:rsidR="00301B9A" w:rsidRPr="0010234A" w:rsidRDefault="00877810" w:rsidP="0024451F">
      <w:pPr>
        <w:pStyle w:val="Heading3"/>
      </w:pPr>
      <w:bookmarkStart w:id="101" w:name="_Toc199941007"/>
      <w:r w:rsidRPr="00877810">
        <w:rPr>
          <w:lang w:val="en-US"/>
        </w:rPr>
        <w:lastRenderedPageBreak/>
        <w:t>Recommendation</w:t>
      </w:r>
      <w:bookmarkEnd w:id="101"/>
      <w:r w:rsidRPr="00877810">
        <w:t> </w:t>
      </w:r>
    </w:p>
    <w:tbl>
      <w:tblPr>
        <w:tblStyle w:val="BoxStyle"/>
        <w:tblW w:w="5000" w:type="pct"/>
        <w:shd w:val="clear" w:color="auto" w:fill="F4F0EC"/>
        <w:tblLook w:val="0620" w:firstRow="1" w:lastRow="0" w:firstColumn="0" w:lastColumn="0" w:noHBand="1" w:noVBand="1"/>
      </w:tblPr>
      <w:tblGrid>
        <w:gridCol w:w="9070"/>
      </w:tblGrid>
      <w:tr w:rsidR="00832054" w14:paraId="29AEC47A" w14:textId="77777777" w:rsidTr="004C4118">
        <w:tc>
          <w:tcPr>
            <w:tcW w:w="5000" w:type="pct"/>
            <w:shd w:val="clear" w:color="auto" w:fill="F4F0EC"/>
            <w:hideMark/>
          </w:tcPr>
          <w:p w14:paraId="328421FC" w14:textId="5E5702C9" w:rsidR="00832054" w:rsidRPr="00D144E4" w:rsidRDefault="00832054" w:rsidP="00E0155D">
            <w:pPr>
              <w:pStyle w:val="BoxText"/>
            </w:pPr>
            <w:r w:rsidRPr="00E0155D">
              <w:rPr>
                <w:rStyle w:val="Strong"/>
              </w:rPr>
              <w:t>Recommendation 13:</w:t>
            </w:r>
            <w:r>
              <w:rPr>
                <w:b/>
                <w:bCs/>
                <w:lang w:val="en-US"/>
              </w:rPr>
              <w:t xml:space="preserve"> </w:t>
            </w:r>
            <w:r w:rsidRPr="004D1FDF">
              <w:rPr>
                <w:lang w:val="en-US"/>
              </w:rPr>
              <w:t>ASBFEO should develop</w:t>
            </w:r>
            <w:r w:rsidRPr="00877810">
              <w:rPr>
                <w:b/>
                <w:bCs/>
                <w:lang w:val="en-US"/>
              </w:rPr>
              <w:t xml:space="preserve"> </w:t>
            </w:r>
            <w:r w:rsidRPr="00D144E4">
              <w:rPr>
                <w:lang w:val="en-US"/>
              </w:rPr>
              <w:t xml:space="preserve">a communications and engagement strategy to promote greater awareness of </w:t>
            </w:r>
            <w:r w:rsidR="00972898" w:rsidRPr="00D144E4">
              <w:rPr>
                <w:lang w:val="en-US"/>
              </w:rPr>
              <w:t>ASBFEO</w:t>
            </w:r>
            <w:r w:rsidRPr="00D144E4">
              <w:rPr>
                <w:lang w:val="en-US"/>
              </w:rPr>
              <w:t xml:space="preserve"> services</w:t>
            </w:r>
            <w:r w:rsidRPr="00D144E4">
              <w:t>.</w:t>
            </w:r>
            <w:r>
              <w:t xml:space="preserve"> The strategy should:</w:t>
            </w:r>
          </w:p>
          <w:p w14:paraId="12189AEA" w14:textId="7CE6C719" w:rsidR="00832054" w:rsidRPr="00D144E4" w:rsidRDefault="00832054" w:rsidP="00E0155D">
            <w:pPr>
              <w:pStyle w:val="Boxbullet"/>
            </w:pPr>
            <w:r>
              <w:rPr>
                <w:lang w:val="en-US"/>
              </w:rPr>
              <w:t>cover</w:t>
            </w:r>
            <w:r w:rsidRPr="00D144E4">
              <w:rPr>
                <w:lang w:val="en-US"/>
              </w:rPr>
              <w:t xml:space="preserve"> meetings</w:t>
            </w:r>
            <w:r w:rsidR="00522162">
              <w:rPr>
                <w:lang w:val="en-US"/>
              </w:rPr>
              <w:t>,</w:t>
            </w:r>
            <w:r w:rsidRPr="00D144E4">
              <w:rPr>
                <w:lang w:val="en-US"/>
              </w:rPr>
              <w:t xml:space="preserve"> forums, media and social media</w:t>
            </w:r>
          </w:p>
          <w:p w14:paraId="5DD4CA10" w14:textId="4A74EE25" w:rsidR="00972898" w:rsidRPr="00D144E4" w:rsidRDefault="00972898" w:rsidP="00E0155D">
            <w:pPr>
              <w:pStyle w:val="Boxbullet"/>
            </w:pPr>
            <w:r w:rsidRPr="00D144E4">
              <w:rPr>
                <w:lang w:val="en-US"/>
              </w:rPr>
              <w:t>leverag</w:t>
            </w:r>
            <w:r>
              <w:rPr>
                <w:lang w:val="en-US"/>
              </w:rPr>
              <w:t>e</w:t>
            </w:r>
            <w:r w:rsidRPr="00D144E4">
              <w:rPr>
                <w:lang w:val="en-US"/>
              </w:rPr>
              <w:t xml:space="preserve"> </w:t>
            </w:r>
            <w:proofErr w:type="spellStart"/>
            <w:r w:rsidRPr="00D144E4">
              <w:rPr>
                <w:lang w:val="en-US"/>
              </w:rPr>
              <w:t>AusIndustry</w:t>
            </w:r>
            <w:r w:rsidR="003A0D5E">
              <w:rPr>
                <w:lang w:val="en-US"/>
              </w:rPr>
              <w:t>’</w:t>
            </w:r>
            <w:r w:rsidRPr="00D144E4">
              <w:rPr>
                <w:lang w:val="en-US"/>
              </w:rPr>
              <w:t>s</w:t>
            </w:r>
            <w:proofErr w:type="spellEnd"/>
            <w:r w:rsidRPr="00D144E4">
              <w:rPr>
                <w:lang w:val="en-US"/>
              </w:rPr>
              <w:t xml:space="preserve"> extensive outreach network to build efficiencies and avoid duplication</w:t>
            </w:r>
          </w:p>
          <w:p w14:paraId="09269F02" w14:textId="7DFF025C" w:rsidR="00832054" w:rsidRPr="00F52B5E" w:rsidRDefault="00832054" w:rsidP="00E0155D">
            <w:pPr>
              <w:pStyle w:val="Boxbullet"/>
            </w:pPr>
            <w:r>
              <w:rPr>
                <w:lang w:val="en-US"/>
              </w:rPr>
              <w:t>c</w:t>
            </w:r>
            <w:r w:rsidRPr="00D144E4">
              <w:rPr>
                <w:lang w:val="en-US"/>
              </w:rPr>
              <w:t>onsider special interest groups, including small businesses run by First Nations people, members of multicultural communities</w:t>
            </w:r>
            <w:r w:rsidR="00972898">
              <w:rPr>
                <w:lang w:val="en-US"/>
              </w:rPr>
              <w:t>,</w:t>
            </w:r>
            <w:r w:rsidRPr="00D144E4">
              <w:rPr>
                <w:lang w:val="en-US"/>
              </w:rPr>
              <w:t xml:space="preserve"> and </w:t>
            </w:r>
            <w:r w:rsidR="00972898">
              <w:rPr>
                <w:lang w:val="en-US"/>
              </w:rPr>
              <w:t xml:space="preserve">in </w:t>
            </w:r>
            <w:r w:rsidRPr="00D144E4">
              <w:rPr>
                <w:lang w:val="en-US"/>
              </w:rPr>
              <w:t>regional and remote areas.</w:t>
            </w:r>
            <w:r w:rsidRPr="00D144E4">
              <w:t> </w:t>
            </w:r>
          </w:p>
        </w:tc>
      </w:tr>
    </w:tbl>
    <w:p w14:paraId="4A8CD5F1" w14:textId="7233AA99" w:rsidR="00877810" w:rsidRPr="00877810" w:rsidRDefault="00877810" w:rsidP="0078480A">
      <w:pPr>
        <w:pStyle w:val="Heading3"/>
      </w:pPr>
      <w:bookmarkStart w:id="102" w:name="_Toc199941008"/>
      <w:r w:rsidRPr="00FA7059">
        <w:t>Use of data and research in publications and communication materials</w:t>
      </w:r>
      <w:bookmarkEnd w:id="102"/>
    </w:p>
    <w:p w14:paraId="17F8637B" w14:textId="380DD6C9" w:rsidR="00877810" w:rsidRPr="00877810" w:rsidRDefault="00877810" w:rsidP="00877810">
      <w:r w:rsidRPr="007A52C7">
        <w:rPr>
          <w:rStyle w:val="Strong"/>
        </w:rPr>
        <w:t xml:space="preserve">The </w:t>
      </w:r>
      <w:r w:rsidR="00E267F9">
        <w:rPr>
          <w:rStyle w:val="Strong"/>
        </w:rPr>
        <w:t>D</w:t>
      </w:r>
      <w:r w:rsidRPr="007A52C7">
        <w:rPr>
          <w:rStyle w:val="Strong"/>
        </w:rPr>
        <w:t xml:space="preserve">ata </w:t>
      </w:r>
      <w:r w:rsidR="0049572B">
        <w:rPr>
          <w:rStyle w:val="Strong"/>
        </w:rPr>
        <w:t>t</w:t>
      </w:r>
      <w:r w:rsidRPr="007A52C7">
        <w:rPr>
          <w:rStyle w:val="Strong"/>
        </w:rPr>
        <w:t>eam work</w:t>
      </w:r>
      <w:r w:rsidR="00CA77BD">
        <w:rPr>
          <w:rStyle w:val="Strong"/>
        </w:rPr>
        <w:t>s</w:t>
      </w:r>
      <w:r w:rsidRPr="007A52C7">
        <w:rPr>
          <w:rStyle w:val="Strong"/>
        </w:rPr>
        <w:t xml:space="preserve"> closely with the</w:t>
      </w:r>
      <w:r w:rsidR="00245ADC">
        <w:rPr>
          <w:rStyle w:val="Strong"/>
        </w:rPr>
        <w:t xml:space="preserve"> Media and</w:t>
      </w:r>
      <w:r w:rsidRPr="007A52C7">
        <w:rPr>
          <w:rStyle w:val="Strong"/>
        </w:rPr>
        <w:t xml:space="preserve"> </w:t>
      </w:r>
      <w:r w:rsidR="0049572B">
        <w:rPr>
          <w:rStyle w:val="Strong"/>
        </w:rPr>
        <w:t>C</w:t>
      </w:r>
      <w:r w:rsidRPr="007A52C7">
        <w:rPr>
          <w:rStyle w:val="Strong"/>
        </w:rPr>
        <w:t>ommunications team to support their activities by providing key pieces of data to inform content creation.</w:t>
      </w:r>
      <w:r w:rsidRPr="00877810">
        <w:rPr>
          <w:lang w:val="en-US"/>
        </w:rPr>
        <w:t xml:space="preserve"> The </w:t>
      </w:r>
      <w:r w:rsidR="005960D8">
        <w:rPr>
          <w:lang w:val="en-US"/>
        </w:rPr>
        <w:t>D</w:t>
      </w:r>
      <w:r w:rsidRPr="00877810">
        <w:rPr>
          <w:lang w:val="en-US"/>
        </w:rPr>
        <w:t xml:space="preserve">ata </w:t>
      </w:r>
      <w:r w:rsidR="0049572B">
        <w:rPr>
          <w:lang w:val="en-US"/>
        </w:rPr>
        <w:t>t</w:t>
      </w:r>
      <w:r w:rsidRPr="00877810">
        <w:rPr>
          <w:lang w:val="en-US"/>
        </w:rPr>
        <w:t>eam also provide</w:t>
      </w:r>
      <w:r w:rsidR="00CA77BD">
        <w:rPr>
          <w:lang w:val="en-US"/>
        </w:rPr>
        <w:t>s</w:t>
      </w:r>
      <w:r w:rsidRPr="00877810">
        <w:rPr>
          <w:lang w:val="en-US"/>
        </w:rPr>
        <w:t xml:space="preserve"> potential topics that may be of interest to the media, for example, by considering upcoming dates </w:t>
      </w:r>
      <w:r w:rsidR="00A63682">
        <w:rPr>
          <w:lang w:val="en-US"/>
        </w:rPr>
        <w:t xml:space="preserve">when </w:t>
      </w:r>
      <w:r w:rsidRPr="00877810">
        <w:rPr>
          <w:lang w:val="en-US"/>
        </w:rPr>
        <w:t>key economic data will be released</w:t>
      </w:r>
      <w:r w:rsidR="00916FA5">
        <w:rPr>
          <w:lang w:val="en-US"/>
        </w:rPr>
        <w:t xml:space="preserve">. </w:t>
      </w:r>
    </w:p>
    <w:p w14:paraId="492A6407" w14:textId="18D2C161" w:rsidR="00F0485F" w:rsidRDefault="00877810" w:rsidP="00877810">
      <w:pPr>
        <w:rPr>
          <w:lang w:val="en-US"/>
        </w:rPr>
      </w:pPr>
      <w:r w:rsidRPr="007A52C7">
        <w:rPr>
          <w:rStyle w:val="Strong"/>
        </w:rPr>
        <w:t xml:space="preserve">ASBFEO has a broad audience through the media and stakeholder groups </w:t>
      </w:r>
      <w:r w:rsidR="0049572B">
        <w:rPr>
          <w:rStyle w:val="Strong"/>
        </w:rPr>
        <w:t>that</w:t>
      </w:r>
      <w:r w:rsidR="0049572B" w:rsidRPr="007A52C7">
        <w:rPr>
          <w:rStyle w:val="Strong"/>
        </w:rPr>
        <w:t xml:space="preserve"> </w:t>
      </w:r>
      <w:r w:rsidRPr="007A52C7">
        <w:rPr>
          <w:rStyle w:val="Strong"/>
        </w:rPr>
        <w:t xml:space="preserve">refer to and use </w:t>
      </w:r>
      <w:r w:rsidR="0049572B">
        <w:rPr>
          <w:rStyle w:val="Strong"/>
        </w:rPr>
        <w:t>its</w:t>
      </w:r>
      <w:r w:rsidR="0049572B" w:rsidRPr="007A52C7">
        <w:rPr>
          <w:rStyle w:val="Strong"/>
        </w:rPr>
        <w:t xml:space="preserve"> </w:t>
      </w:r>
      <w:r w:rsidRPr="007A52C7">
        <w:rPr>
          <w:rStyle w:val="Strong"/>
        </w:rPr>
        <w:t>research and publications</w:t>
      </w:r>
      <w:r w:rsidRPr="00877810">
        <w:rPr>
          <w:b/>
          <w:bCs/>
          <w:lang w:val="en-US"/>
        </w:rPr>
        <w:t>.</w:t>
      </w:r>
      <w:r w:rsidRPr="00877810">
        <w:rPr>
          <w:lang w:val="en-US"/>
        </w:rPr>
        <w:t xml:space="preserve"> In a small number of instances, data or conclusions about data have not been represented </w:t>
      </w:r>
      <w:r w:rsidR="00B4739C" w:rsidRPr="00877810">
        <w:rPr>
          <w:lang w:val="en-US"/>
        </w:rPr>
        <w:t>accurately</w:t>
      </w:r>
      <w:r w:rsidRPr="00877810">
        <w:rPr>
          <w:lang w:val="en-US"/>
        </w:rPr>
        <w:t xml:space="preserve"> in </w:t>
      </w:r>
      <w:r w:rsidR="00F0485F">
        <w:rPr>
          <w:lang w:val="en-US"/>
        </w:rPr>
        <w:t>the</w:t>
      </w:r>
      <w:r w:rsidR="00F0485F" w:rsidRPr="00877810">
        <w:rPr>
          <w:lang w:val="en-US"/>
        </w:rPr>
        <w:t xml:space="preserve"> </w:t>
      </w:r>
      <w:r w:rsidRPr="00877810">
        <w:rPr>
          <w:lang w:val="en-US"/>
        </w:rPr>
        <w:t>media or sometimes in submissions. For example,</w:t>
      </w:r>
      <w:r w:rsidRPr="00877810" w:rsidDel="0049572B">
        <w:rPr>
          <w:lang w:val="en-US"/>
        </w:rPr>
        <w:t xml:space="preserve"> </w:t>
      </w:r>
      <w:r w:rsidRPr="00877810">
        <w:rPr>
          <w:lang w:val="en-US"/>
        </w:rPr>
        <w:t xml:space="preserve">ASBFEO made a statement concerning the percentage of small businesses that did not make a profit in a particular financial year. </w:t>
      </w:r>
      <w:r w:rsidR="00F0485F" w:rsidRPr="00877810">
        <w:rPr>
          <w:lang w:val="en-US"/>
        </w:rPr>
        <w:t>There were issues with how the information was quoted in various publications and media</w:t>
      </w:r>
      <w:r w:rsidR="00E94DEE">
        <w:rPr>
          <w:lang w:val="en-US"/>
        </w:rPr>
        <w:t xml:space="preserve">, </w:t>
      </w:r>
      <w:proofErr w:type="gramStart"/>
      <w:r w:rsidR="00033476">
        <w:rPr>
          <w:lang w:val="en-US"/>
        </w:rPr>
        <w:t xml:space="preserve">in </w:t>
      </w:r>
      <w:r w:rsidR="00E94DEE" w:rsidRPr="00512017">
        <w:t>particular on</w:t>
      </w:r>
      <w:proofErr w:type="gramEnd"/>
      <w:r w:rsidR="00E94DEE" w:rsidRPr="00512017">
        <w:t xml:space="preserve"> what proportion of the small business cohort </w:t>
      </w:r>
      <w:r w:rsidR="001D257A">
        <w:t>t</w:t>
      </w:r>
      <w:r w:rsidR="00E94DEE" w:rsidRPr="00512017">
        <w:t>he figure applied to and the period it covered</w:t>
      </w:r>
      <w:r w:rsidRPr="00877810">
        <w:rPr>
          <w:lang w:val="en-US"/>
        </w:rPr>
        <w:t>.</w:t>
      </w:r>
      <w:r w:rsidR="00065357">
        <w:rPr>
          <w:rFonts w:ascii="ZWAdobeF" w:hAnsi="ZWAdobeF" w:cs="ZWAdobeF"/>
          <w:color w:val="auto"/>
          <w:sz w:val="2"/>
          <w:szCs w:val="2"/>
          <w:lang w:val="en-US"/>
        </w:rPr>
        <w:t>115F</w:t>
      </w:r>
      <w:r w:rsidR="005F1145" w:rsidRPr="0024451F">
        <w:rPr>
          <w:rStyle w:val="FootnoteReference"/>
          <w:sz w:val="22"/>
          <w:szCs w:val="24"/>
          <w:vertAlign w:val="superscript"/>
          <w:lang w:val="en-US"/>
        </w:rPr>
        <w:footnoteReference w:id="117"/>
      </w:r>
    </w:p>
    <w:p w14:paraId="459F7390" w14:textId="09E12CF5" w:rsidR="00877810" w:rsidRPr="00877810" w:rsidRDefault="00AC6B5B" w:rsidP="00877810">
      <w:r w:rsidRPr="00AC32F9">
        <w:rPr>
          <w:rStyle w:val="Strong"/>
        </w:rPr>
        <w:t>ASBFEO need</w:t>
      </w:r>
      <w:r w:rsidR="00FD296F">
        <w:rPr>
          <w:rStyle w:val="Strong"/>
        </w:rPr>
        <w:t>s</w:t>
      </w:r>
      <w:r w:rsidRPr="00AC32F9">
        <w:rPr>
          <w:rStyle w:val="Strong"/>
        </w:rPr>
        <w:t xml:space="preserve"> to ensure that information and data they publish or use in media activity is reliable and verifiable</w:t>
      </w:r>
      <w:r w:rsidR="00FD296F">
        <w:rPr>
          <w:rStyle w:val="Strong"/>
        </w:rPr>
        <w:t>.</w:t>
      </w:r>
      <w:r w:rsidR="00FD296F" w:rsidRPr="00AC32F9">
        <w:rPr>
          <w:rStyle w:val="Strong"/>
        </w:rPr>
        <w:t xml:space="preserve"> </w:t>
      </w:r>
      <w:r w:rsidR="00FD296F" w:rsidRPr="00AA4DFA">
        <w:rPr>
          <w:rStyle w:val="Strong"/>
          <w:b w:val="0"/>
        </w:rPr>
        <w:t>I</w:t>
      </w:r>
      <w:r w:rsidRPr="00AA4DFA">
        <w:rPr>
          <w:rStyle w:val="Strong"/>
          <w:b w:val="0"/>
        </w:rPr>
        <w:t xml:space="preserve">ncorrectly </w:t>
      </w:r>
      <w:r w:rsidR="00CC566F" w:rsidRPr="00AA4DFA">
        <w:rPr>
          <w:rStyle w:val="Strong"/>
          <w:b w:val="0"/>
        </w:rPr>
        <w:t>quoting statistics</w:t>
      </w:r>
      <w:r w:rsidRPr="00AA4DFA">
        <w:rPr>
          <w:rStyle w:val="Strong"/>
          <w:b w:val="0"/>
        </w:rPr>
        <w:t xml:space="preserve"> and the source or year </w:t>
      </w:r>
      <w:r w:rsidR="00FD296F" w:rsidRPr="00AA4DFA">
        <w:rPr>
          <w:rStyle w:val="Strong"/>
          <w:b w:val="0"/>
        </w:rPr>
        <w:t xml:space="preserve">to which </w:t>
      </w:r>
      <w:r w:rsidRPr="00AA4DFA">
        <w:rPr>
          <w:rStyle w:val="Strong"/>
          <w:b w:val="0"/>
        </w:rPr>
        <w:t xml:space="preserve">they relate reduces credibility and could compromise </w:t>
      </w:r>
      <w:r w:rsidR="0049572B" w:rsidRPr="00AA4DFA">
        <w:rPr>
          <w:rStyle w:val="Strong"/>
          <w:b w:val="0"/>
        </w:rPr>
        <w:t xml:space="preserve">ASBFEO’s </w:t>
      </w:r>
      <w:r w:rsidRPr="00AA4DFA">
        <w:rPr>
          <w:rStyle w:val="Strong"/>
          <w:b w:val="0"/>
        </w:rPr>
        <w:t>integrity.</w:t>
      </w:r>
      <w:r w:rsidR="00E04DCA" w:rsidRPr="00AC32F9" w:rsidDel="0049572B">
        <w:rPr>
          <w:rStyle w:val="Strong"/>
        </w:rPr>
        <w:t xml:space="preserve"> </w:t>
      </w:r>
      <w:r w:rsidR="00D04D63" w:rsidRPr="00D04D63">
        <w:t>ASBFEO should review procedures to ensure there is a clear and documented process for approving the context in which a data point or quote is used</w:t>
      </w:r>
      <w:r w:rsidR="00D94242">
        <w:t>. This should</w:t>
      </w:r>
      <w:r w:rsidR="00D04D63" w:rsidRPr="00D04D63">
        <w:t xml:space="preserve"> includ</w:t>
      </w:r>
      <w:r w:rsidR="00D94242">
        <w:t>e</w:t>
      </w:r>
      <w:r w:rsidR="00D04D63" w:rsidRPr="00D04D63">
        <w:t xml:space="preserve"> verifying that it remains consistent and accurately referenced in accordance with the source.</w:t>
      </w:r>
    </w:p>
    <w:p w14:paraId="112136F4" w14:textId="0225C719" w:rsidR="00877810" w:rsidRPr="00877810" w:rsidRDefault="00877810" w:rsidP="00E54C4D">
      <w:pPr>
        <w:pStyle w:val="Heading3"/>
      </w:pPr>
      <w:bookmarkStart w:id="103" w:name="_Toc199941009"/>
      <w:r w:rsidRPr="00877810">
        <w:rPr>
          <w:lang w:val="en-US"/>
        </w:rPr>
        <w:lastRenderedPageBreak/>
        <w:t>R</w:t>
      </w:r>
      <w:r w:rsidR="0078480A">
        <w:rPr>
          <w:lang w:val="en-US"/>
        </w:rPr>
        <w:t>ecommendation</w:t>
      </w:r>
      <w:bookmarkEnd w:id="103"/>
      <w:r w:rsidRPr="00877810">
        <w:rPr>
          <w:lang w:val="en-US"/>
        </w:rPr>
        <w:t> </w:t>
      </w:r>
      <w:r w:rsidRPr="00877810">
        <w:t> </w:t>
      </w:r>
    </w:p>
    <w:tbl>
      <w:tblPr>
        <w:tblStyle w:val="BoxStyle"/>
        <w:tblW w:w="5000" w:type="pct"/>
        <w:shd w:val="clear" w:color="auto" w:fill="F4F0EC"/>
        <w:tblLook w:val="0620" w:firstRow="1" w:lastRow="0" w:firstColumn="0" w:lastColumn="0" w:noHBand="1" w:noVBand="1"/>
      </w:tblPr>
      <w:tblGrid>
        <w:gridCol w:w="9070"/>
      </w:tblGrid>
      <w:tr w:rsidR="00153367" w14:paraId="07294173" w14:textId="77777777" w:rsidTr="004C4118">
        <w:tc>
          <w:tcPr>
            <w:tcW w:w="5000" w:type="pct"/>
            <w:shd w:val="clear" w:color="auto" w:fill="F4F0EC"/>
            <w:hideMark/>
          </w:tcPr>
          <w:p w14:paraId="418E3237" w14:textId="39BAF67B" w:rsidR="00153367" w:rsidRPr="0065050F" w:rsidRDefault="00153367" w:rsidP="00FA7059">
            <w:pPr>
              <w:pStyle w:val="BoxText"/>
            </w:pPr>
            <w:r w:rsidRPr="00FA7059">
              <w:rPr>
                <w:rStyle w:val="Strong"/>
              </w:rPr>
              <w:t>Recommendation 14:</w:t>
            </w:r>
            <w:r w:rsidDel="0049572B">
              <w:rPr>
                <w:b/>
                <w:bCs/>
                <w:lang w:val="en-US"/>
              </w:rPr>
              <w:t xml:space="preserve"> </w:t>
            </w:r>
            <w:r w:rsidRPr="00B21EAC">
              <w:rPr>
                <w:lang w:val="en-US"/>
              </w:rPr>
              <w:t xml:space="preserve">ASBFEO </w:t>
            </w:r>
            <w:r w:rsidR="0065050F">
              <w:rPr>
                <w:lang w:val="en-US"/>
              </w:rPr>
              <w:t>should take</w:t>
            </w:r>
            <w:r>
              <w:rPr>
                <w:lang w:val="en-US"/>
              </w:rPr>
              <w:t xml:space="preserve"> steps to reference data with greater clarity in its communications</w:t>
            </w:r>
            <w:r w:rsidR="0065050F">
              <w:rPr>
                <w:lang w:val="en-US"/>
              </w:rPr>
              <w:t>,</w:t>
            </w:r>
            <w:r>
              <w:rPr>
                <w:lang w:val="en-US"/>
              </w:rPr>
              <w:t xml:space="preserve"> to improve </w:t>
            </w:r>
            <w:r w:rsidRPr="00B21EAC">
              <w:rPr>
                <w:lang w:val="en-US"/>
              </w:rPr>
              <w:t>accuracy and consistency of reporting and the data it produces or uses</w:t>
            </w:r>
            <w:r>
              <w:rPr>
                <w:lang w:val="en-US"/>
              </w:rPr>
              <w:t>.</w:t>
            </w:r>
            <w:r w:rsidR="0065050F">
              <w:rPr>
                <w:lang w:val="en-US"/>
              </w:rPr>
              <w:t xml:space="preserve"> </w:t>
            </w:r>
            <w:r w:rsidR="0065050F">
              <w:t>When</w:t>
            </w:r>
            <w:r>
              <w:t xml:space="preserve"> </w:t>
            </w:r>
            <w:r w:rsidRPr="00B21EAC">
              <w:rPr>
                <w:lang w:val="en-US"/>
              </w:rPr>
              <w:t xml:space="preserve">communicating statistics or explaining research findings in media and other publications, ASBFEO should reference and communicate the findings by quoting the correct year and </w:t>
            </w:r>
            <w:r w:rsidR="0065050F" w:rsidRPr="00B21EAC">
              <w:rPr>
                <w:lang w:val="en-US"/>
              </w:rPr>
              <w:t xml:space="preserve">the </w:t>
            </w:r>
            <w:r w:rsidRPr="00B21EAC">
              <w:rPr>
                <w:lang w:val="en-US"/>
              </w:rPr>
              <w:t>source</w:t>
            </w:r>
            <w:r>
              <w:rPr>
                <w:lang w:val="en-US"/>
              </w:rPr>
              <w:t>.</w:t>
            </w:r>
          </w:p>
        </w:tc>
      </w:tr>
    </w:tbl>
    <w:p w14:paraId="78479564" w14:textId="5157E01C" w:rsidR="00877810" w:rsidRPr="00877810" w:rsidRDefault="00877810" w:rsidP="00333D14">
      <w:pPr>
        <w:pStyle w:val="Heading3"/>
      </w:pPr>
      <w:bookmarkStart w:id="104" w:name="_Toc199941010"/>
      <w:r w:rsidRPr="00877810">
        <w:rPr>
          <w:lang w:val="en-US"/>
        </w:rPr>
        <w:t xml:space="preserve">Name and </w:t>
      </w:r>
      <w:r w:rsidR="00840C37">
        <w:rPr>
          <w:lang w:val="en-US"/>
        </w:rPr>
        <w:t>b</w:t>
      </w:r>
      <w:r w:rsidRPr="00877810">
        <w:rPr>
          <w:lang w:val="en-US"/>
        </w:rPr>
        <w:t>randing</w:t>
      </w:r>
      <w:bookmarkEnd w:id="104"/>
      <w:r w:rsidRPr="00877810">
        <w:rPr>
          <w:lang w:val="en-US"/>
        </w:rPr>
        <w:t> </w:t>
      </w:r>
      <w:r w:rsidRPr="00877810">
        <w:t> </w:t>
      </w:r>
    </w:p>
    <w:p w14:paraId="6D3B13DD" w14:textId="006EC13C" w:rsidR="00877810" w:rsidRPr="004C749D" w:rsidRDefault="00877810" w:rsidP="00877810">
      <w:pPr>
        <w:rPr>
          <w:lang w:val="en-US"/>
        </w:rPr>
      </w:pPr>
      <w:r w:rsidRPr="00875E2B">
        <w:rPr>
          <w:rStyle w:val="Strong"/>
        </w:rPr>
        <w:t xml:space="preserve">The name </w:t>
      </w:r>
      <w:r w:rsidR="00916FA5" w:rsidRPr="00875E2B">
        <w:rPr>
          <w:rStyle w:val="Strong"/>
        </w:rPr>
        <w:t>‘</w:t>
      </w:r>
      <w:r w:rsidRPr="00875E2B">
        <w:rPr>
          <w:rStyle w:val="Strong"/>
        </w:rPr>
        <w:t>ASBFEO</w:t>
      </w:r>
      <w:r w:rsidR="00916FA5" w:rsidRPr="00875E2B">
        <w:rPr>
          <w:rStyle w:val="Strong"/>
        </w:rPr>
        <w:t>’</w:t>
      </w:r>
      <w:r w:rsidRPr="00875E2B">
        <w:rPr>
          <w:rStyle w:val="Strong"/>
        </w:rPr>
        <w:t xml:space="preserve"> has existed since the ASBFEO Act was enacted.</w:t>
      </w:r>
      <w:r w:rsidRPr="00877810">
        <w:rPr>
          <w:lang w:val="en-US"/>
        </w:rPr>
        <w:t xml:space="preserve"> The </w:t>
      </w:r>
      <w:r w:rsidR="001F1934" w:rsidRPr="001F1934">
        <w:rPr>
          <w:lang w:val="en-US"/>
        </w:rPr>
        <w:t xml:space="preserve">McCluskey Review </w:t>
      </w:r>
      <w:r w:rsidR="0032696A">
        <w:rPr>
          <w:lang w:val="en-US"/>
        </w:rPr>
        <w:t>and</w:t>
      </w:r>
      <w:r w:rsidR="00D26B03">
        <w:rPr>
          <w:lang w:val="en-US"/>
        </w:rPr>
        <w:t xml:space="preserve"> </w:t>
      </w:r>
      <w:r w:rsidR="001F1934" w:rsidRPr="001F1934">
        <w:rPr>
          <w:lang w:val="en-US"/>
        </w:rPr>
        <w:t>McGregor Review</w:t>
      </w:r>
      <w:r w:rsidRPr="00877810">
        <w:rPr>
          <w:lang w:val="en-US"/>
        </w:rPr>
        <w:t xml:space="preserve"> considered the name and noted that </w:t>
      </w:r>
      <w:r w:rsidR="00840C37">
        <w:rPr>
          <w:lang w:val="en-US"/>
        </w:rPr>
        <w:t>it</w:t>
      </w:r>
      <w:r w:rsidRPr="00877810">
        <w:rPr>
          <w:lang w:val="en-US"/>
        </w:rPr>
        <w:t xml:space="preserve"> confused some stakeholders. The </w:t>
      </w:r>
      <w:r w:rsidR="006E5B97" w:rsidRPr="006E5B97">
        <w:rPr>
          <w:lang w:val="en-US"/>
        </w:rPr>
        <w:t>McGregor Review</w:t>
      </w:r>
      <w:r w:rsidRPr="00877810">
        <w:rPr>
          <w:lang w:val="en-US"/>
        </w:rPr>
        <w:t xml:space="preserve"> recommended changing the name to promote role clarity</w:t>
      </w:r>
      <w:r w:rsidR="00916FA5">
        <w:rPr>
          <w:lang w:val="en-US"/>
        </w:rPr>
        <w:t xml:space="preserve">. </w:t>
      </w:r>
    </w:p>
    <w:p w14:paraId="0E75ECEA" w14:textId="008065A2" w:rsidR="00877810" w:rsidRPr="00877810" w:rsidRDefault="00877810" w:rsidP="00E54C4D">
      <w:pPr>
        <w:pStyle w:val="Heading3"/>
      </w:pPr>
      <w:bookmarkStart w:id="105" w:name="_Toc199941011"/>
      <w:r w:rsidRPr="00877810">
        <w:rPr>
          <w:lang w:val="en-US"/>
        </w:rPr>
        <w:t xml:space="preserve">Stakeholder </w:t>
      </w:r>
      <w:r w:rsidR="00840C37">
        <w:rPr>
          <w:lang w:val="en-US"/>
        </w:rPr>
        <w:t>v</w:t>
      </w:r>
      <w:r w:rsidRPr="00877810">
        <w:rPr>
          <w:lang w:val="en-US"/>
        </w:rPr>
        <w:t>iews</w:t>
      </w:r>
      <w:bookmarkEnd w:id="105"/>
      <w:r w:rsidRPr="00877810">
        <w:t> </w:t>
      </w:r>
    </w:p>
    <w:p w14:paraId="159514FA" w14:textId="0CAB63D1" w:rsidR="00B86806" w:rsidRPr="004C749D" w:rsidRDefault="00B86806" w:rsidP="00B86806">
      <w:pPr>
        <w:rPr>
          <w:lang w:val="en-US"/>
        </w:rPr>
      </w:pPr>
      <w:proofErr w:type="gramStart"/>
      <w:r w:rsidRPr="00FA7059">
        <w:rPr>
          <w:rStyle w:val="Strong"/>
        </w:rPr>
        <w:t>The majority of</w:t>
      </w:r>
      <w:proofErr w:type="gramEnd"/>
      <w:r w:rsidRPr="00FA7059">
        <w:rPr>
          <w:rStyle w:val="Strong"/>
        </w:rPr>
        <w:t xml:space="preserve"> stakeholders were in favour of a name change for ASBFEO</w:t>
      </w:r>
      <w:r w:rsidRPr="00877810">
        <w:rPr>
          <w:lang w:val="en-US"/>
        </w:rPr>
        <w:t xml:space="preserve">. </w:t>
      </w:r>
      <w:r w:rsidR="00840C37">
        <w:rPr>
          <w:lang w:val="en-US"/>
        </w:rPr>
        <w:t>As with</w:t>
      </w:r>
      <w:r w:rsidRPr="00877810">
        <w:rPr>
          <w:lang w:val="en-US"/>
        </w:rPr>
        <w:t xml:space="preserve"> the </w:t>
      </w:r>
      <w:r w:rsidR="003D35E3" w:rsidRPr="003D35E3">
        <w:rPr>
          <w:lang w:val="en-US"/>
        </w:rPr>
        <w:t>McCluskey Review and</w:t>
      </w:r>
      <w:r w:rsidR="00FC3059">
        <w:rPr>
          <w:lang w:val="en-US"/>
        </w:rPr>
        <w:t xml:space="preserve"> </w:t>
      </w:r>
      <w:r w:rsidR="003D35E3" w:rsidRPr="003D35E3">
        <w:rPr>
          <w:lang w:val="en-US"/>
        </w:rPr>
        <w:t>McGregor Review</w:t>
      </w:r>
      <w:r w:rsidRPr="00877810">
        <w:rPr>
          <w:lang w:val="en-US"/>
        </w:rPr>
        <w:t xml:space="preserve">, many stakeholders found the term </w:t>
      </w:r>
      <w:r w:rsidR="0049572B">
        <w:rPr>
          <w:lang w:val="en-US"/>
        </w:rPr>
        <w:t>‘</w:t>
      </w:r>
      <w:r w:rsidRPr="00877810">
        <w:rPr>
          <w:lang w:val="en-US"/>
        </w:rPr>
        <w:t>Ombudsman</w:t>
      </w:r>
      <w:r w:rsidR="0049572B">
        <w:rPr>
          <w:lang w:val="en-US"/>
        </w:rPr>
        <w:t>’</w:t>
      </w:r>
      <w:r w:rsidRPr="00877810">
        <w:rPr>
          <w:lang w:val="en-US"/>
        </w:rPr>
        <w:t xml:space="preserve"> confusing.</w:t>
      </w:r>
      <w:r w:rsidR="00065357">
        <w:rPr>
          <w:rFonts w:ascii="ZWAdobeF" w:hAnsi="ZWAdobeF" w:cs="ZWAdobeF"/>
          <w:color w:val="auto"/>
          <w:sz w:val="2"/>
          <w:szCs w:val="2"/>
          <w:lang w:val="en-US"/>
        </w:rPr>
        <w:t>116F</w:t>
      </w:r>
      <w:r w:rsidR="00D14CA4" w:rsidRPr="0024451F">
        <w:rPr>
          <w:rStyle w:val="FootnoteReference"/>
          <w:sz w:val="22"/>
          <w:szCs w:val="24"/>
          <w:vertAlign w:val="superscript"/>
          <w:lang w:val="en-US"/>
        </w:rPr>
        <w:footnoteReference w:id="118"/>
      </w:r>
      <w:r w:rsidRPr="0024451F">
        <w:rPr>
          <w:sz w:val="28"/>
          <w:szCs w:val="24"/>
          <w:vertAlign w:val="superscript"/>
          <w:lang w:val="en-US"/>
        </w:rPr>
        <w:t xml:space="preserve"> </w:t>
      </w:r>
      <w:r>
        <w:rPr>
          <w:lang w:val="en-US"/>
        </w:rPr>
        <w:t xml:space="preserve">The term </w:t>
      </w:r>
      <w:r w:rsidRPr="00877810">
        <w:rPr>
          <w:lang w:val="en-US"/>
        </w:rPr>
        <w:t xml:space="preserve">Ombudsman is often associated primarily with complaint resolution and mediation, which may understate the </w:t>
      </w:r>
      <w:r>
        <w:rPr>
          <w:lang w:val="en-US"/>
        </w:rPr>
        <w:t>advocacy</w:t>
      </w:r>
      <w:r w:rsidRPr="00877810">
        <w:rPr>
          <w:lang w:val="en-US"/>
        </w:rPr>
        <w:t>, educative and proactive work undertaken by the position, while Commissioner is in line with international norms</w:t>
      </w:r>
      <w:r w:rsidDel="0049572B">
        <w:rPr>
          <w:lang w:val="en-US"/>
        </w:rPr>
        <w:t>.</w:t>
      </w:r>
      <w:r w:rsidR="00065357">
        <w:rPr>
          <w:rFonts w:ascii="ZWAdobeF" w:hAnsi="ZWAdobeF" w:cs="ZWAdobeF"/>
          <w:color w:val="auto"/>
          <w:sz w:val="2"/>
          <w:szCs w:val="2"/>
          <w:lang w:val="en-US"/>
        </w:rPr>
        <w:t>117F</w:t>
      </w:r>
      <w:r w:rsidR="000B516C" w:rsidRPr="0024451F">
        <w:rPr>
          <w:rStyle w:val="FootnoteReference"/>
          <w:sz w:val="22"/>
          <w:szCs w:val="22"/>
          <w:vertAlign w:val="superscript"/>
          <w:lang w:val="en-US"/>
        </w:rPr>
        <w:footnoteReference w:id="119"/>
      </w:r>
      <w:r w:rsidRPr="0024451F">
        <w:rPr>
          <w:vertAlign w:val="superscript"/>
        </w:rPr>
        <w:t> </w:t>
      </w:r>
    </w:p>
    <w:p w14:paraId="135285FA" w14:textId="5B6DEF5A" w:rsidR="00B86806" w:rsidRPr="00877810" w:rsidRDefault="00B86806" w:rsidP="00B86806">
      <w:r>
        <w:rPr>
          <w:b/>
          <w:bCs/>
          <w:lang w:val="en-US"/>
        </w:rPr>
        <w:t xml:space="preserve">Some </w:t>
      </w:r>
      <w:r w:rsidR="00B073F4">
        <w:rPr>
          <w:b/>
          <w:bCs/>
          <w:lang w:val="en-US"/>
        </w:rPr>
        <w:t>s</w:t>
      </w:r>
      <w:r w:rsidRPr="002D7F86">
        <w:rPr>
          <w:b/>
          <w:bCs/>
          <w:lang w:val="en-US"/>
        </w:rPr>
        <w:t>takeholders found the length of the name and the acronym difficult to pronounce.</w:t>
      </w:r>
      <w:r w:rsidRPr="00877810">
        <w:rPr>
          <w:lang w:val="en-US"/>
        </w:rPr>
        <w:t xml:space="preserve"> The name may cause difficulties in branding and </w:t>
      </w:r>
      <w:r w:rsidR="00840C37" w:rsidRPr="00877810">
        <w:rPr>
          <w:lang w:val="en-US"/>
        </w:rPr>
        <w:t>agency recogni</w:t>
      </w:r>
      <w:r w:rsidR="00840C37">
        <w:rPr>
          <w:lang w:val="en-US"/>
        </w:rPr>
        <w:t>tion</w:t>
      </w:r>
      <w:r w:rsidRPr="00877810">
        <w:rPr>
          <w:lang w:val="en-US"/>
        </w:rPr>
        <w:t>.</w:t>
      </w:r>
      <w:r>
        <w:rPr>
          <w:lang w:val="en-US"/>
        </w:rPr>
        <w:t xml:space="preserve"> </w:t>
      </w:r>
      <w:r w:rsidRPr="00877810">
        <w:rPr>
          <w:lang w:val="en-US"/>
        </w:rPr>
        <w:t xml:space="preserve">Only a few stakeholders wanted </w:t>
      </w:r>
      <w:r>
        <w:rPr>
          <w:lang w:val="en-US"/>
        </w:rPr>
        <w:t xml:space="preserve">to retain </w:t>
      </w:r>
      <w:r w:rsidRPr="00877810">
        <w:rPr>
          <w:lang w:val="en-US"/>
        </w:rPr>
        <w:t>the name</w:t>
      </w:r>
      <w:r>
        <w:rPr>
          <w:lang w:val="en-US"/>
        </w:rPr>
        <w:t>, they felt that changing t</w:t>
      </w:r>
      <w:r w:rsidRPr="00877810">
        <w:rPr>
          <w:lang w:val="en-US"/>
        </w:rPr>
        <w:t>he name was a low priority as it did not prevent good outcomes and that more power was needed rather than a rebranding.</w:t>
      </w:r>
    </w:p>
    <w:p w14:paraId="2672BAB5" w14:textId="31A2990A" w:rsidR="00785B4C" w:rsidRPr="00877810" w:rsidRDefault="00785B4C" w:rsidP="00785B4C">
      <w:r w:rsidRPr="002D7F86">
        <w:rPr>
          <w:b/>
          <w:bCs/>
          <w:lang w:val="en-US"/>
        </w:rPr>
        <w:t>The most popular name was Australian Small Business Commissioner</w:t>
      </w:r>
      <w:r w:rsidR="0083295E">
        <w:rPr>
          <w:lang w:val="en-US"/>
        </w:rPr>
        <w:t xml:space="preserve">. </w:t>
      </w:r>
      <w:r>
        <w:rPr>
          <w:lang w:val="en-US"/>
        </w:rPr>
        <w:t xml:space="preserve">There were </w:t>
      </w:r>
      <w:r w:rsidRPr="00877810">
        <w:rPr>
          <w:lang w:val="en-US"/>
        </w:rPr>
        <w:t>variations suggested</w:t>
      </w:r>
      <w:r>
        <w:rPr>
          <w:lang w:val="en-US"/>
        </w:rPr>
        <w:t>,</w:t>
      </w:r>
      <w:r w:rsidRPr="00877810">
        <w:rPr>
          <w:lang w:val="en-US"/>
        </w:rPr>
        <w:t xml:space="preserve"> such as National or Federal</w:t>
      </w:r>
      <w:r w:rsidRPr="0024451F">
        <w:rPr>
          <w:szCs w:val="22"/>
          <w:vertAlign w:val="superscript"/>
          <w:lang w:val="en-US"/>
        </w:rPr>
        <w:t xml:space="preserve"> </w:t>
      </w:r>
      <w:r w:rsidRPr="00877810">
        <w:rPr>
          <w:lang w:val="en-US"/>
        </w:rPr>
        <w:t xml:space="preserve">Small Business Commissioner. A few stakeholders suggested Australian Business and Family Enterprises </w:t>
      </w:r>
      <w:r w:rsidR="005A2F1C">
        <w:rPr>
          <w:lang w:val="en-US"/>
        </w:rPr>
        <w:t xml:space="preserve">Commissioner </w:t>
      </w:r>
      <w:r w:rsidRPr="00877810">
        <w:rPr>
          <w:lang w:val="en-US"/>
        </w:rPr>
        <w:t>and Australian Small Business and Family Enterprises Commissioner.</w:t>
      </w:r>
    </w:p>
    <w:p w14:paraId="18708528" w14:textId="359A6D81" w:rsidR="00D046B0" w:rsidRPr="00877810" w:rsidRDefault="00D046B0" w:rsidP="00D046B0">
      <w:r w:rsidRPr="00877810">
        <w:rPr>
          <w:b/>
          <w:bCs/>
          <w:lang w:val="en-US"/>
        </w:rPr>
        <w:t xml:space="preserve">The </w:t>
      </w:r>
      <w:r w:rsidR="0083295E">
        <w:rPr>
          <w:b/>
          <w:bCs/>
          <w:lang w:val="en-US"/>
        </w:rPr>
        <w:t>Family Business Association (</w:t>
      </w:r>
      <w:r w:rsidR="005F504C">
        <w:rPr>
          <w:b/>
          <w:bCs/>
          <w:lang w:val="en-US"/>
        </w:rPr>
        <w:t>FBA</w:t>
      </w:r>
      <w:r w:rsidR="0083295E">
        <w:rPr>
          <w:b/>
          <w:bCs/>
          <w:lang w:val="en-US"/>
        </w:rPr>
        <w:t>)</w:t>
      </w:r>
      <w:r w:rsidRPr="00877810">
        <w:rPr>
          <w:b/>
          <w:bCs/>
          <w:lang w:val="en-US"/>
        </w:rPr>
        <w:t xml:space="preserve"> wanted to retain family enterprises </w:t>
      </w:r>
      <w:r>
        <w:rPr>
          <w:b/>
          <w:bCs/>
          <w:lang w:val="en-US"/>
        </w:rPr>
        <w:t>and exten</w:t>
      </w:r>
      <w:r w:rsidRPr="00877810">
        <w:rPr>
          <w:b/>
          <w:bCs/>
          <w:lang w:val="en-US"/>
        </w:rPr>
        <w:t xml:space="preserve">d </w:t>
      </w:r>
      <w:r>
        <w:rPr>
          <w:b/>
          <w:bCs/>
          <w:lang w:val="en-US"/>
        </w:rPr>
        <w:t>ASBFEO’s remit to cover</w:t>
      </w:r>
      <w:r w:rsidRPr="00877810">
        <w:rPr>
          <w:b/>
          <w:bCs/>
          <w:lang w:val="en-US"/>
        </w:rPr>
        <w:t xml:space="preserve"> all family businesses</w:t>
      </w:r>
      <w:r w:rsidRPr="00877810">
        <w:rPr>
          <w:lang w:val="en-US"/>
        </w:rPr>
        <w:t>.</w:t>
      </w:r>
    </w:p>
    <w:p w14:paraId="2FB10E06" w14:textId="595F7D02" w:rsidR="00D046B0" w:rsidRPr="002D7F86" w:rsidRDefault="00742599" w:rsidP="0010234A">
      <w:pPr>
        <w:rPr>
          <w:i/>
          <w:iCs/>
        </w:rPr>
      </w:pPr>
      <w:r>
        <w:rPr>
          <w:rStyle w:val="Emphasis"/>
        </w:rPr>
        <w:t>‘</w:t>
      </w:r>
      <w:r w:rsidR="00D046B0" w:rsidRPr="00973B38">
        <w:rPr>
          <w:rStyle w:val="Emphasis"/>
        </w:rPr>
        <w:t>We request the definition of a family enterprise is extended to all family businesses of all sizes to truly represent the family business sector. This would align the work that ASBFEO does more accurately from a family business perspective to include medium and large family businesses, particularly from an advocacy point of view.</w:t>
      </w:r>
      <w:r w:rsidR="003A0D5E">
        <w:rPr>
          <w:rStyle w:val="Emphasis"/>
        </w:rPr>
        <w:t>’</w:t>
      </w:r>
      <w:r w:rsidR="00065357">
        <w:rPr>
          <w:rStyle w:val="Emphasis"/>
          <w:rFonts w:ascii="ZWAdobeF" w:hAnsi="ZWAdobeF" w:cs="ZWAdobeF"/>
          <w:i w:val="0"/>
          <w:color w:val="auto"/>
          <w:sz w:val="2"/>
          <w:szCs w:val="2"/>
        </w:rPr>
        <w:t>118F</w:t>
      </w:r>
      <w:r w:rsidR="0071237C" w:rsidRPr="0024451F">
        <w:rPr>
          <w:rStyle w:val="FootnoteReference"/>
          <w:iCs/>
          <w:sz w:val="22"/>
          <w:szCs w:val="24"/>
          <w:vertAlign w:val="superscript"/>
          <w:lang w:val="en-US"/>
        </w:rPr>
        <w:footnoteReference w:id="120"/>
      </w:r>
    </w:p>
    <w:p w14:paraId="3673C263" w14:textId="41F789A5" w:rsidR="00D046B0" w:rsidRPr="00877810" w:rsidRDefault="00D046B0" w:rsidP="00D046B0">
      <w:r w:rsidRPr="004C749D">
        <w:rPr>
          <w:lang w:val="en-US"/>
        </w:rPr>
        <w:lastRenderedPageBreak/>
        <w:t xml:space="preserve">However, </w:t>
      </w:r>
      <w:r w:rsidR="005A2F1C">
        <w:rPr>
          <w:lang w:val="en-US"/>
        </w:rPr>
        <w:t>the</w:t>
      </w:r>
      <w:r w:rsidRPr="004C749D">
        <w:rPr>
          <w:lang w:val="en-US"/>
        </w:rPr>
        <w:t xml:space="preserve"> </w:t>
      </w:r>
      <w:r w:rsidR="00926CF9" w:rsidRPr="004C749D">
        <w:t>Australian Chamber of Commerce and Industry</w:t>
      </w:r>
      <w:r w:rsidRPr="004C749D">
        <w:rPr>
          <w:lang w:val="en-US"/>
        </w:rPr>
        <w:t xml:space="preserve"> </w:t>
      </w:r>
      <w:r w:rsidR="00A94221" w:rsidRPr="004C749D">
        <w:rPr>
          <w:lang w:val="en-US"/>
        </w:rPr>
        <w:t>(</w:t>
      </w:r>
      <w:r w:rsidRPr="004C749D">
        <w:rPr>
          <w:lang w:val="en-US"/>
        </w:rPr>
        <w:t>ACCI</w:t>
      </w:r>
      <w:r w:rsidR="00A94221" w:rsidRPr="004C749D">
        <w:rPr>
          <w:lang w:val="en-US"/>
        </w:rPr>
        <w:t>)</w:t>
      </w:r>
      <w:r w:rsidRPr="004C749D">
        <w:rPr>
          <w:lang w:val="en-US"/>
        </w:rPr>
        <w:t xml:space="preserve"> supported removing </w:t>
      </w:r>
      <w:r w:rsidR="003A0D5E">
        <w:rPr>
          <w:lang w:val="en-US"/>
        </w:rPr>
        <w:t>‘</w:t>
      </w:r>
      <w:r w:rsidRPr="004C749D">
        <w:rPr>
          <w:lang w:val="en-US"/>
        </w:rPr>
        <w:t>family enterprises</w:t>
      </w:r>
      <w:r w:rsidR="003A0D5E">
        <w:rPr>
          <w:lang w:val="en-US"/>
        </w:rPr>
        <w:t>’</w:t>
      </w:r>
      <w:r w:rsidRPr="004C749D">
        <w:rPr>
          <w:lang w:val="en-US"/>
        </w:rPr>
        <w:t xml:space="preserve"> to simplify the name and claimed that this would not change the scope of the definition.</w:t>
      </w:r>
    </w:p>
    <w:p w14:paraId="11F53160" w14:textId="35DE165B" w:rsidR="00D046B0" w:rsidRPr="00877810" w:rsidRDefault="00D046B0" w:rsidP="00D046B0">
      <w:r w:rsidRPr="00A258F7">
        <w:rPr>
          <w:rStyle w:val="Strong"/>
        </w:rPr>
        <w:t>ASBFEO</w:t>
      </w:r>
      <w:r w:rsidR="003A0D5E">
        <w:rPr>
          <w:rStyle w:val="Strong"/>
        </w:rPr>
        <w:t>’</w:t>
      </w:r>
      <w:r w:rsidRPr="00A258F7">
        <w:rPr>
          <w:rStyle w:val="Strong"/>
        </w:rPr>
        <w:t>s primary focus is to support all Australian small businesses</w:t>
      </w:r>
      <w:r w:rsidRPr="002D7F86">
        <w:rPr>
          <w:b/>
          <w:bCs/>
          <w:lang w:val="en-US"/>
        </w:rPr>
        <w:t>.</w:t>
      </w:r>
      <w:r w:rsidRPr="00877810">
        <w:rPr>
          <w:lang w:val="en-US"/>
        </w:rPr>
        <w:t xml:space="preserve"> Removing </w:t>
      </w:r>
      <w:r w:rsidR="003A0D5E">
        <w:rPr>
          <w:lang w:val="en-US"/>
        </w:rPr>
        <w:t>‘</w:t>
      </w:r>
      <w:r w:rsidRPr="00877810">
        <w:rPr>
          <w:lang w:val="en-US"/>
        </w:rPr>
        <w:t>family enterprises</w:t>
      </w:r>
      <w:r w:rsidR="003A0D5E">
        <w:rPr>
          <w:lang w:val="en-US"/>
        </w:rPr>
        <w:t>’</w:t>
      </w:r>
      <w:r w:rsidRPr="00877810">
        <w:rPr>
          <w:lang w:val="en-US"/>
        </w:rPr>
        <w:t xml:space="preserve"> from the title does not change the scope or mandate but reinforces the idea of representing the entire small business community.</w:t>
      </w:r>
      <w:r w:rsidR="00065357">
        <w:rPr>
          <w:rFonts w:ascii="ZWAdobeF" w:hAnsi="ZWAdobeF" w:cs="ZWAdobeF"/>
          <w:color w:val="auto"/>
          <w:sz w:val="2"/>
          <w:szCs w:val="2"/>
          <w:lang w:val="en-US"/>
        </w:rPr>
        <w:t>119F</w:t>
      </w:r>
      <w:r w:rsidR="007321F5" w:rsidRPr="00506A77">
        <w:rPr>
          <w:rStyle w:val="FootnoteReference"/>
          <w:sz w:val="22"/>
          <w:szCs w:val="24"/>
          <w:vertAlign w:val="superscript"/>
          <w:lang w:val="en-US"/>
        </w:rPr>
        <w:footnoteReference w:id="121"/>
      </w:r>
    </w:p>
    <w:p w14:paraId="598AF491" w14:textId="2183CE0B" w:rsidR="00877810" w:rsidRPr="00877810" w:rsidRDefault="00877810" w:rsidP="00E54C4D">
      <w:pPr>
        <w:pStyle w:val="Heading3"/>
      </w:pPr>
      <w:bookmarkStart w:id="106" w:name="_Toc199941012"/>
      <w:r w:rsidRPr="00877810">
        <w:rPr>
          <w:lang w:val="en-US"/>
        </w:rPr>
        <w:t>Analysis</w:t>
      </w:r>
      <w:bookmarkEnd w:id="106"/>
    </w:p>
    <w:p w14:paraId="6483C228" w14:textId="299C9062" w:rsidR="009E5D5B" w:rsidRPr="00877810" w:rsidRDefault="009E5D5B" w:rsidP="009E5D5B">
      <w:r w:rsidRPr="00A258F7">
        <w:rPr>
          <w:rStyle w:val="Strong"/>
        </w:rPr>
        <w:t>Family enterprises are a significant subset of the small business sector, and ASBFEO</w:t>
      </w:r>
      <w:r w:rsidR="003A0D5E">
        <w:rPr>
          <w:rStyle w:val="Strong"/>
        </w:rPr>
        <w:t>’</w:t>
      </w:r>
      <w:r w:rsidRPr="00A258F7">
        <w:rPr>
          <w:rStyle w:val="Strong"/>
        </w:rPr>
        <w:t>s current remit covers small businesses that are family enterprises.</w:t>
      </w:r>
      <w:r w:rsidRPr="00877810">
        <w:rPr>
          <w:b/>
          <w:bCs/>
          <w:lang w:val="en-US"/>
        </w:rPr>
        <w:t xml:space="preserve"> </w:t>
      </w:r>
      <w:r w:rsidRPr="00877810">
        <w:rPr>
          <w:lang w:val="en-US"/>
        </w:rPr>
        <w:t>However, apart from estate planning, as small businesses that are family businesses typically have the same issues as non</w:t>
      </w:r>
      <w:r w:rsidR="003A0D5E">
        <w:rPr>
          <w:lang w:val="en-US"/>
        </w:rPr>
        <w:noBreakHyphen/>
      </w:r>
      <w:r w:rsidRPr="00877810">
        <w:rPr>
          <w:lang w:val="en-US"/>
        </w:rPr>
        <w:t xml:space="preserve">family small businesses, it is recommended that ‘Family Enterprise’ </w:t>
      </w:r>
      <w:r>
        <w:rPr>
          <w:lang w:val="en-US"/>
        </w:rPr>
        <w:t>is not necessary in ASBFEO</w:t>
      </w:r>
      <w:r w:rsidR="005213FA">
        <w:rPr>
          <w:lang w:val="en-US"/>
        </w:rPr>
        <w:t>’s</w:t>
      </w:r>
      <w:r>
        <w:rPr>
          <w:lang w:val="en-US"/>
        </w:rPr>
        <w:t xml:space="preserve"> name.</w:t>
      </w:r>
    </w:p>
    <w:p w14:paraId="2DBC6DDF" w14:textId="1AF67617" w:rsidR="009E5D5B" w:rsidRPr="00877810" w:rsidRDefault="009E5D5B" w:rsidP="009E5D5B">
      <w:r w:rsidRPr="00A258F7">
        <w:rPr>
          <w:rStyle w:val="Strong"/>
        </w:rPr>
        <w:t>As discussed previously, ASBFEO has a low awareness among stakeholders, and its name could impact its agency recognition.</w:t>
      </w:r>
      <w:r w:rsidRPr="00877810">
        <w:rPr>
          <w:lang w:val="en-US"/>
        </w:rPr>
        <w:t xml:space="preserve"> The name is difficult to say and does not reflect its functions. Changing the name to better reflect its function by removing </w:t>
      </w:r>
      <w:r w:rsidR="003A0D5E">
        <w:rPr>
          <w:lang w:val="en-US"/>
        </w:rPr>
        <w:t>‘</w:t>
      </w:r>
      <w:r w:rsidRPr="00877810">
        <w:rPr>
          <w:lang w:val="en-US"/>
        </w:rPr>
        <w:t>Ombudsman</w:t>
      </w:r>
      <w:r w:rsidR="003A0D5E">
        <w:rPr>
          <w:lang w:val="en-US"/>
        </w:rPr>
        <w:t>’</w:t>
      </w:r>
      <w:r w:rsidRPr="00877810">
        <w:rPr>
          <w:lang w:val="en-US"/>
        </w:rPr>
        <w:t xml:space="preserve"> and simplifying the name should ensure greater engagement</w:t>
      </w:r>
      <w:r>
        <w:rPr>
          <w:lang w:val="en-US"/>
        </w:rPr>
        <w:t>,</w:t>
      </w:r>
      <w:r w:rsidRPr="00877810">
        <w:rPr>
          <w:lang w:val="en-US"/>
        </w:rPr>
        <w:t xml:space="preserve"> accessibility</w:t>
      </w:r>
      <w:r>
        <w:rPr>
          <w:lang w:val="en-US"/>
        </w:rPr>
        <w:t>,</w:t>
      </w:r>
      <w:r w:rsidRPr="00877810">
        <w:rPr>
          <w:lang w:val="en-US"/>
        </w:rPr>
        <w:t xml:space="preserve"> and make it easier to remember. While there will be costs associated </w:t>
      </w:r>
      <w:r>
        <w:rPr>
          <w:lang w:val="en-US"/>
        </w:rPr>
        <w:t>with</w:t>
      </w:r>
      <w:r w:rsidRPr="00877810">
        <w:rPr>
          <w:lang w:val="en-US"/>
        </w:rPr>
        <w:t xml:space="preserve"> rebranding to promote awareness, the benefits to stakeholders should outweigh the costs. The rebranding could be undertaken in conjunction with an awareness campaign around the greater ADR powers (discussed in Chapter 4)</w:t>
      </w:r>
      <w:r w:rsidR="006F1EB5">
        <w:rPr>
          <w:lang w:val="en-US"/>
        </w:rPr>
        <w:t>, as both would require legislative change</w:t>
      </w:r>
      <w:r w:rsidRPr="00877810">
        <w:rPr>
          <w:lang w:val="en-US"/>
        </w:rPr>
        <w:t>.</w:t>
      </w:r>
    </w:p>
    <w:p w14:paraId="11E7A3FD" w14:textId="77777777" w:rsidR="00877810" w:rsidRPr="00877810" w:rsidRDefault="00877810" w:rsidP="00E54C4D">
      <w:pPr>
        <w:pStyle w:val="Heading3"/>
      </w:pPr>
      <w:bookmarkStart w:id="107" w:name="_Toc199941013"/>
      <w:r w:rsidRPr="00877810">
        <w:rPr>
          <w:lang w:val="en-US"/>
        </w:rPr>
        <w:t>Recommendation</w:t>
      </w:r>
      <w:bookmarkEnd w:id="107"/>
      <w:r w:rsidRPr="00877810">
        <w:t> </w:t>
      </w:r>
    </w:p>
    <w:tbl>
      <w:tblPr>
        <w:tblStyle w:val="BoxStyle"/>
        <w:tblW w:w="5000" w:type="pct"/>
        <w:shd w:val="clear" w:color="auto" w:fill="F4F0EC"/>
        <w:tblLook w:val="0620" w:firstRow="1" w:lastRow="0" w:firstColumn="0" w:lastColumn="0" w:noHBand="1" w:noVBand="1"/>
      </w:tblPr>
      <w:tblGrid>
        <w:gridCol w:w="9070"/>
      </w:tblGrid>
      <w:tr w:rsidR="00153367" w14:paraId="68784A52" w14:textId="77777777" w:rsidTr="004C4118">
        <w:tc>
          <w:tcPr>
            <w:tcW w:w="5000" w:type="pct"/>
            <w:shd w:val="clear" w:color="auto" w:fill="F4F0EC"/>
            <w:hideMark/>
          </w:tcPr>
          <w:p w14:paraId="5026D7DB" w14:textId="2CB8BF72" w:rsidR="006A384B" w:rsidRDefault="006A384B" w:rsidP="00A258F7">
            <w:pPr>
              <w:pStyle w:val="BoxText"/>
              <w:rPr>
                <w:bCs/>
                <w:lang w:val="en-US"/>
              </w:rPr>
            </w:pPr>
            <w:r w:rsidRPr="00A258F7">
              <w:rPr>
                <w:rStyle w:val="Strong"/>
              </w:rPr>
              <w:t>Recommendation 15:</w:t>
            </w:r>
            <w:r w:rsidRPr="008D1401">
              <w:rPr>
                <w:b/>
                <w:lang w:val="en-US"/>
              </w:rPr>
              <w:t xml:space="preserve"> </w:t>
            </w:r>
            <w:r>
              <w:rPr>
                <w:bCs/>
                <w:lang w:val="en-US"/>
              </w:rPr>
              <w:t xml:space="preserve">The Australian </w:t>
            </w:r>
            <w:r w:rsidRPr="004D1FDF">
              <w:rPr>
                <w:bCs/>
                <w:lang w:val="en-US"/>
              </w:rPr>
              <w:t xml:space="preserve">Government should consider changing </w:t>
            </w:r>
            <w:r>
              <w:rPr>
                <w:bCs/>
                <w:lang w:val="en-US"/>
              </w:rPr>
              <w:t>ASBFEO’s</w:t>
            </w:r>
            <w:r w:rsidRPr="004D1FDF">
              <w:rPr>
                <w:bCs/>
                <w:lang w:val="en-US"/>
              </w:rPr>
              <w:t xml:space="preserve"> </w:t>
            </w:r>
            <w:r>
              <w:rPr>
                <w:bCs/>
                <w:lang w:val="en-US"/>
              </w:rPr>
              <w:t>n</w:t>
            </w:r>
            <w:r w:rsidRPr="008D1401">
              <w:rPr>
                <w:bCs/>
                <w:lang w:val="en-US"/>
              </w:rPr>
              <w:t xml:space="preserve">ame </w:t>
            </w:r>
            <w:r w:rsidRPr="008D1401" w:rsidDel="009032D3">
              <w:rPr>
                <w:bCs/>
                <w:lang w:val="en-US"/>
              </w:rPr>
              <w:t xml:space="preserve">to </w:t>
            </w:r>
            <w:r>
              <w:rPr>
                <w:bCs/>
                <w:lang w:val="en-US"/>
              </w:rPr>
              <w:t xml:space="preserve">include ‘Commissioner’ </w:t>
            </w:r>
            <w:r w:rsidRPr="008D1401">
              <w:rPr>
                <w:bCs/>
                <w:lang w:val="en-US"/>
              </w:rPr>
              <w:t xml:space="preserve">to better reflect </w:t>
            </w:r>
            <w:r>
              <w:rPr>
                <w:bCs/>
                <w:lang w:val="en-US"/>
              </w:rPr>
              <w:t>its</w:t>
            </w:r>
            <w:r w:rsidRPr="008D1401" w:rsidDel="009032D3">
              <w:rPr>
                <w:bCs/>
                <w:lang w:val="en-US"/>
              </w:rPr>
              <w:t xml:space="preserve"> role</w:t>
            </w:r>
            <w:r w:rsidRPr="008D1401">
              <w:rPr>
                <w:bCs/>
                <w:lang w:val="en-US"/>
              </w:rPr>
              <w:t>. Suggestions include</w:t>
            </w:r>
            <w:r>
              <w:rPr>
                <w:bCs/>
                <w:lang w:val="en-US"/>
              </w:rPr>
              <w:t>:</w:t>
            </w:r>
          </w:p>
          <w:p w14:paraId="7D33CCD7" w14:textId="77777777" w:rsidR="006A384B" w:rsidRDefault="006A384B" w:rsidP="00A258F7">
            <w:pPr>
              <w:pStyle w:val="Boxbullet"/>
              <w:rPr>
                <w:lang w:val="en-US"/>
              </w:rPr>
            </w:pPr>
            <w:r w:rsidRPr="008D1401">
              <w:rPr>
                <w:lang w:val="en-US"/>
              </w:rPr>
              <w:t>National Small Business Commission</w:t>
            </w:r>
            <w:r>
              <w:rPr>
                <w:lang w:val="en-US"/>
              </w:rPr>
              <w:t>er</w:t>
            </w:r>
          </w:p>
          <w:p w14:paraId="47463D9B" w14:textId="77777777" w:rsidR="006A384B" w:rsidRDefault="006A384B" w:rsidP="00A258F7">
            <w:pPr>
              <w:pStyle w:val="Boxbullet"/>
              <w:rPr>
                <w:lang w:val="en-US"/>
              </w:rPr>
            </w:pPr>
            <w:r w:rsidRPr="008D1401">
              <w:rPr>
                <w:lang w:val="en-US"/>
              </w:rPr>
              <w:t>Federal Small Business Commission</w:t>
            </w:r>
            <w:r>
              <w:rPr>
                <w:lang w:val="en-US"/>
              </w:rPr>
              <w:t>er</w:t>
            </w:r>
          </w:p>
          <w:p w14:paraId="434FD3AC" w14:textId="15F31E88" w:rsidR="00153367" w:rsidRPr="00282717" w:rsidRDefault="00153367" w:rsidP="00A258F7">
            <w:pPr>
              <w:pStyle w:val="Boxbullet"/>
            </w:pPr>
            <w:r w:rsidRPr="008D1401">
              <w:rPr>
                <w:lang w:val="en-US"/>
              </w:rPr>
              <w:t>Australian Small Business Commission</w:t>
            </w:r>
            <w:r>
              <w:rPr>
                <w:lang w:val="en-US"/>
              </w:rPr>
              <w:t>er</w:t>
            </w:r>
            <w:r w:rsidRPr="00153367">
              <w:rPr>
                <w:lang w:val="en-US"/>
              </w:rPr>
              <w:t>.</w:t>
            </w:r>
            <w:r w:rsidR="006A384B" w:rsidRPr="008D1401">
              <w:rPr>
                <w:lang w:val="en-US"/>
              </w:rPr>
              <w:t xml:space="preserve"> </w:t>
            </w:r>
          </w:p>
        </w:tc>
      </w:tr>
    </w:tbl>
    <w:p w14:paraId="402AF946" w14:textId="77777777" w:rsidR="009F163E" w:rsidRDefault="009F163E" w:rsidP="00877810">
      <w:pPr>
        <w:sectPr w:rsidR="009F163E" w:rsidSect="00BC6471">
          <w:type w:val="oddPage"/>
          <w:pgSz w:w="11906" w:h="16838" w:code="9"/>
          <w:pgMar w:top="1843" w:right="1418" w:bottom="1418" w:left="1418" w:header="709" w:footer="709" w:gutter="0"/>
          <w:cols w:space="708"/>
          <w:docGrid w:linePitch="360"/>
        </w:sectPr>
      </w:pPr>
    </w:p>
    <w:p w14:paraId="1CBBEED9" w14:textId="22A27099" w:rsidR="001D18F1" w:rsidRDefault="001D18F1" w:rsidP="001D18F1">
      <w:pPr>
        <w:pStyle w:val="Heading1"/>
      </w:pPr>
      <w:bookmarkStart w:id="108" w:name="_Toc199941014"/>
      <w:r>
        <w:lastRenderedPageBreak/>
        <w:t>Appendices</w:t>
      </w:r>
      <w:bookmarkEnd w:id="108"/>
    </w:p>
    <w:p w14:paraId="5F0AD0BD" w14:textId="4B720F83" w:rsidR="006F5AD9" w:rsidRPr="006F5AD9" w:rsidRDefault="004166A3" w:rsidP="006F5AD9">
      <w:pPr>
        <w:pStyle w:val="Heading2"/>
      </w:pPr>
      <w:bookmarkStart w:id="109" w:name="_Toc199941015"/>
      <w:r>
        <w:t xml:space="preserve">Appendix A: </w:t>
      </w:r>
      <w:r w:rsidR="005611F6">
        <w:t xml:space="preserve">Recommendations from 2017 and 2021 </w:t>
      </w:r>
      <w:r w:rsidR="00ED14A0">
        <w:t>r</w:t>
      </w:r>
      <w:r w:rsidR="005611F6">
        <w:t>e</w:t>
      </w:r>
      <w:r w:rsidR="0011001C">
        <w:t>views</w:t>
      </w:r>
      <w:bookmarkEnd w:id="109"/>
    </w:p>
    <w:tbl>
      <w:tblPr>
        <w:tblStyle w:val="TableGrid"/>
        <w:tblW w:w="5000" w:type="pct"/>
        <w:tblCellMar>
          <w:top w:w="11" w:type="dxa"/>
          <w:bottom w:w="11" w:type="dxa"/>
        </w:tblCellMar>
        <w:tblLook w:val="00A0" w:firstRow="1" w:lastRow="0" w:firstColumn="1" w:lastColumn="0" w:noHBand="0" w:noVBand="0"/>
      </w:tblPr>
      <w:tblGrid>
        <w:gridCol w:w="4735"/>
        <w:gridCol w:w="4335"/>
      </w:tblGrid>
      <w:tr w:rsidR="008954EF" w:rsidRPr="008954EF" w14:paraId="70541B55" w14:textId="77777777" w:rsidTr="00D131F1">
        <w:trPr>
          <w:cnfStyle w:val="100000000000" w:firstRow="1" w:lastRow="0" w:firstColumn="0" w:lastColumn="0" w:oddVBand="0" w:evenVBand="0" w:oddHBand="0" w:evenHBand="0" w:firstRowFirstColumn="0" w:firstRowLastColumn="0" w:lastRowFirstColumn="0" w:lastRowLastColumn="0"/>
          <w:trHeight w:val="300"/>
        </w:trPr>
        <w:tc>
          <w:tcPr>
            <w:tcW w:w="4890" w:type="dxa"/>
            <w:hideMark/>
          </w:tcPr>
          <w:p w14:paraId="63E582C7" w14:textId="51C045FF" w:rsidR="008954EF" w:rsidRPr="003E6EE3" w:rsidRDefault="008954EF" w:rsidP="00046B34">
            <w:pPr>
              <w:pStyle w:val="TableColumnHeadingLeft"/>
            </w:pPr>
            <w:r w:rsidRPr="008954EF">
              <w:t>2017 Review</w:t>
            </w:r>
          </w:p>
          <w:p w14:paraId="76D6F843" w14:textId="6FD85E78" w:rsidR="008954EF" w:rsidRPr="003E6EE3" w:rsidRDefault="008954EF" w:rsidP="00046B34">
            <w:pPr>
              <w:pStyle w:val="TableColumnHeadingLeft"/>
            </w:pPr>
            <w:r w:rsidRPr="008954EF">
              <w:t>Led by Ms Su McCluskey and supported by a secretariat from Nous Group</w:t>
            </w:r>
          </w:p>
        </w:tc>
        <w:tc>
          <w:tcPr>
            <w:tcW w:w="4455" w:type="dxa"/>
            <w:hideMark/>
          </w:tcPr>
          <w:p w14:paraId="2FFF18BA" w14:textId="41A772A5" w:rsidR="008954EF" w:rsidRPr="003E6EE3" w:rsidRDefault="008954EF" w:rsidP="00046B34">
            <w:pPr>
              <w:pStyle w:val="TableColumnHeadingLeft"/>
            </w:pPr>
            <w:r w:rsidRPr="008954EF">
              <w:t>2021 Review</w:t>
            </w:r>
          </w:p>
          <w:p w14:paraId="6864711C" w14:textId="71D3A545" w:rsidR="008954EF" w:rsidRPr="003E6EE3" w:rsidRDefault="008954EF" w:rsidP="00046B34">
            <w:pPr>
              <w:pStyle w:val="TableColumnHeadingLeft"/>
            </w:pPr>
            <w:r w:rsidRPr="008954EF">
              <w:t xml:space="preserve">Led by </w:t>
            </w:r>
            <w:r w:rsidR="009240F4" w:rsidRPr="008954EF">
              <w:t>M</w:t>
            </w:r>
            <w:r w:rsidR="009240F4">
              <w:t>s</w:t>
            </w:r>
            <w:r w:rsidR="009240F4" w:rsidRPr="008954EF">
              <w:t xml:space="preserve"> </w:t>
            </w:r>
            <w:r w:rsidRPr="008954EF">
              <w:t>Carmel McGregor PSM and supported by a secretariat from Deloitte</w:t>
            </w:r>
          </w:p>
        </w:tc>
      </w:tr>
      <w:tr w:rsidR="008954EF" w:rsidRPr="008954EF" w14:paraId="284DBB16" w14:textId="77777777" w:rsidTr="00D131F1">
        <w:trPr>
          <w:cnfStyle w:val="000000100000" w:firstRow="0" w:lastRow="0" w:firstColumn="0" w:lastColumn="0" w:oddVBand="0" w:evenVBand="0" w:oddHBand="1" w:evenHBand="0" w:firstRowFirstColumn="0" w:firstRowLastColumn="0" w:lastRowFirstColumn="0" w:lastRowLastColumn="0"/>
          <w:trHeight w:val="300"/>
        </w:trPr>
        <w:tc>
          <w:tcPr>
            <w:tcW w:w="4890" w:type="dxa"/>
            <w:hideMark/>
          </w:tcPr>
          <w:p w14:paraId="65A975C0" w14:textId="2EB5823E" w:rsidR="008954EF" w:rsidRPr="008954EF" w:rsidRDefault="008954EF" w:rsidP="008414CB">
            <w:pPr>
              <w:pStyle w:val="TableTextLeft"/>
              <w:rPr>
                <w:szCs w:val="18"/>
              </w:rPr>
            </w:pPr>
            <w:r w:rsidRPr="008954EF">
              <w:rPr>
                <w:szCs w:val="18"/>
              </w:rPr>
              <w:t>The review found that the ASBFEO was effectively undertaking its functions, filling a gap at a Commonwealth level and achieving value for money</w:t>
            </w:r>
            <w:r w:rsidR="00916FA5">
              <w:rPr>
                <w:szCs w:val="18"/>
              </w:rPr>
              <w:t xml:space="preserve">. </w:t>
            </w:r>
          </w:p>
          <w:p w14:paraId="311739EB" w14:textId="467202E9" w:rsidR="008954EF" w:rsidRPr="008954EF" w:rsidRDefault="008954EF" w:rsidP="008414CB">
            <w:pPr>
              <w:pStyle w:val="TableTextLeft"/>
              <w:rPr>
                <w:szCs w:val="18"/>
              </w:rPr>
            </w:pPr>
            <w:r w:rsidRPr="008954EF">
              <w:rPr>
                <w:szCs w:val="18"/>
              </w:rPr>
              <w:t>The review made 8 recommendations:</w:t>
            </w:r>
          </w:p>
        </w:tc>
        <w:tc>
          <w:tcPr>
            <w:tcW w:w="4455" w:type="dxa"/>
            <w:hideMark/>
          </w:tcPr>
          <w:p w14:paraId="6315A6D0" w14:textId="68030A7C" w:rsidR="008954EF" w:rsidRPr="008954EF" w:rsidRDefault="008954EF" w:rsidP="008414CB">
            <w:pPr>
              <w:pStyle w:val="TableTextLeft"/>
              <w:rPr>
                <w:szCs w:val="18"/>
              </w:rPr>
            </w:pPr>
            <w:r w:rsidRPr="008954EF">
              <w:rPr>
                <w:szCs w:val="18"/>
              </w:rPr>
              <w:t>The review found the ASBFEO had performed impressively in its first 5 years of operation and had largely acquitted the recommendations of the 2017 review, and suggested the ASBFEO</w:t>
            </w:r>
            <w:r w:rsidR="00916FA5">
              <w:rPr>
                <w:szCs w:val="18"/>
              </w:rPr>
              <w:t>’</w:t>
            </w:r>
            <w:r w:rsidRPr="008954EF">
              <w:rPr>
                <w:szCs w:val="18"/>
              </w:rPr>
              <w:t>s next phase should focus on maturation and consolidation</w:t>
            </w:r>
            <w:r w:rsidR="00916FA5">
              <w:rPr>
                <w:szCs w:val="18"/>
              </w:rPr>
              <w:t xml:space="preserve">. </w:t>
            </w:r>
          </w:p>
          <w:p w14:paraId="50AD6D7A" w14:textId="27D7950F" w:rsidR="008954EF" w:rsidRPr="008954EF" w:rsidRDefault="008954EF" w:rsidP="008414CB">
            <w:pPr>
              <w:pStyle w:val="TableTextLeft"/>
              <w:rPr>
                <w:szCs w:val="18"/>
              </w:rPr>
            </w:pPr>
            <w:r w:rsidRPr="008954EF">
              <w:rPr>
                <w:szCs w:val="18"/>
              </w:rPr>
              <w:t>The review made 5 recommendations:</w:t>
            </w:r>
          </w:p>
        </w:tc>
      </w:tr>
      <w:tr w:rsidR="008954EF" w:rsidRPr="008954EF" w14:paraId="05689B34" w14:textId="77777777" w:rsidTr="00D131F1">
        <w:trPr>
          <w:cnfStyle w:val="000000010000" w:firstRow="0" w:lastRow="0" w:firstColumn="0" w:lastColumn="0" w:oddVBand="0" w:evenVBand="0" w:oddHBand="0" w:evenHBand="1" w:firstRowFirstColumn="0" w:firstRowLastColumn="0" w:lastRowFirstColumn="0" w:lastRowLastColumn="0"/>
          <w:trHeight w:val="300"/>
        </w:trPr>
        <w:tc>
          <w:tcPr>
            <w:tcW w:w="4890" w:type="dxa"/>
            <w:hideMark/>
          </w:tcPr>
          <w:p w14:paraId="490F05B2" w14:textId="0047F3E8" w:rsidR="008954EF" w:rsidRPr="008954EF" w:rsidRDefault="008954EF" w:rsidP="008414CB">
            <w:pPr>
              <w:pStyle w:val="TableTextLeft"/>
              <w:rPr>
                <w:szCs w:val="18"/>
              </w:rPr>
            </w:pPr>
            <w:r w:rsidRPr="00B66785">
              <w:rPr>
                <w:rStyle w:val="Strong"/>
              </w:rPr>
              <w:t>Recommendation 1:</w:t>
            </w:r>
            <w:r w:rsidRPr="008954EF">
              <w:rPr>
                <w:szCs w:val="18"/>
              </w:rPr>
              <w:t xml:space="preserve"> Any expansion in the ASBFEO</w:t>
            </w:r>
            <w:r w:rsidR="00916FA5">
              <w:rPr>
                <w:szCs w:val="18"/>
              </w:rPr>
              <w:t>’</w:t>
            </w:r>
            <w:r w:rsidRPr="008954EF">
              <w:rPr>
                <w:szCs w:val="18"/>
              </w:rPr>
              <w:t xml:space="preserve">s assistance function should be carefully considered </w:t>
            </w:r>
            <w:proofErr w:type="gramStart"/>
            <w:r w:rsidRPr="008954EF">
              <w:rPr>
                <w:szCs w:val="18"/>
              </w:rPr>
              <w:t>in light of</w:t>
            </w:r>
            <w:proofErr w:type="gramEnd"/>
            <w:r w:rsidRPr="008954EF">
              <w:rPr>
                <w:szCs w:val="18"/>
              </w:rPr>
              <w:t xml:space="preserve"> its important advocacy role and occur only in response to a clearly identified gap.</w:t>
            </w:r>
          </w:p>
        </w:tc>
        <w:tc>
          <w:tcPr>
            <w:tcW w:w="4455" w:type="dxa"/>
            <w:hideMark/>
          </w:tcPr>
          <w:p w14:paraId="605A5B2C" w14:textId="54F4F9AD" w:rsidR="008954EF" w:rsidRPr="008954EF" w:rsidRDefault="008954EF" w:rsidP="008414CB">
            <w:pPr>
              <w:pStyle w:val="TableTextLeft"/>
              <w:rPr>
                <w:szCs w:val="18"/>
              </w:rPr>
            </w:pPr>
            <w:r w:rsidRPr="00F27786">
              <w:rPr>
                <w:rStyle w:val="Strong"/>
              </w:rPr>
              <w:t>Recommendation 1:</w:t>
            </w:r>
            <w:r w:rsidRPr="008954EF">
              <w:rPr>
                <w:szCs w:val="18"/>
              </w:rPr>
              <w:t xml:space="preserve"> Treasury and the ASBFEO should review evidence of gaps in the assistance and dispute resolution ecosystem for Australian small businesses, then implement targeted approaches to resolve these gaps and improve assistance outcomes.</w:t>
            </w:r>
          </w:p>
        </w:tc>
      </w:tr>
      <w:tr w:rsidR="008954EF" w:rsidRPr="008954EF" w14:paraId="30B3DF19" w14:textId="77777777" w:rsidTr="00D131F1">
        <w:trPr>
          <w:cnfStyle w:val="000000100000" w:firstRow="0" w:lastRow="0" w:firstColumn="0" w:lastColumn="0" w:oddVBand="0" w:evenVBand="0" w:oddHBand="1" w:evenHBand="0" w:firstRowFirstColumn="0" w:firstRowLastColumn="0" w:lastRowFirstColumn="0" w:lastRowLastColumn="0"/>
          <w:trHeight w:val="300"/>
        </w:trPr>
        <w:tc>
          <w:tcPr>
            <w:tcW w:w="4890" w:type="dxa"/>
            <w:hideMark/>
          </w:tcPr>
          <w:p w14:paraId="1916C2CE" w14:textId="315D9727" w:rsidR="008954EF" w:rsidRPr="008954EF" w:rsidRDefault="008954EF" w:rsidP="008414CB">
            <w:pPr>
              <w:pStyle w:val="TableTextLeft"/>
              <w:rPr>
                <w:szCs w:val="18"/>
              </w:rPr>
            </w:pPr>
            <w:r w:rsidRPr="00F27786">
              <w:rPr>
                <w:rStyle w:val="Strong"/>
              </w:rPr>
              <w:t>Recommendation 2:</w:t>
            </w:r>
            <w:r w:rsidRPr="008954EF">
              <w:rPr>
                <w:szCs w:val="18"/>
              </w:rPr>
              <w:t xml:space="preserve"> The ASBFEO should continue its efforts to raise its profile among small businesses and family enterprises, with a focus on clarifying its role in relation to family enterprises.</w:t>
            </w:r>
          </w:p>
        </w:tc>
        <w:tc>
          <w:tcPr>
            <w:tcW w:w="4455" w:type="dxa"/>
            <w:hideMark/>
          </w:tcPr>
          <w:p w14:paraId="193C130F" w14:textId="3FE8F0D1" w:rsidR="008954EF" w:rsidRPr="008954EF" w:rsidRDefault="008954EF" w:rsidP="008414CB">
            <w:pPr>
              <w:pStyle w:val="TableTextLeft"/>
              <w:rPr>
                <w:szCs w:val="18"/>
              </w:rPr>
            </w:pPr>
            <w:r w:rsidRPr="00F27786">
              <w:rPr>
                <w:rStyle w:val="Strong"/>
              </w:rPr>
              <w:t>Recommendation 2</w:t>
            </w:r>
            <w:r w:rsidRPr="008954EF">
              <w:rPr>
                <w:szCs w:val="18"/>
              </w:rPr>
              <w:t>: The ASBFEO should leverage its experience and relationships to prosecute a strategic agenda designed to focus resources for deep impact on high</w:t>
            </w:r>
            <w:r w:rsidR="00916FA5">
              <w:rPr>
                <w:szCs w:val="18"/>
              </w:rPr>
              <w:noBreakHyphen/>
            </w:r>
            <w:r w:rsidRPr="008954EF">
              <w:rPr>
                <w:szCs w:val="18"/>
              </w:rPr>
              <w:t>priority small business sector issues.</w:t>
            </w:r>
          </w:p>
        </w:tc>
      </w:tr>
      <w:tr w:rsidR="008954EF" w:rsidRPr="008954EF" w14:paraId="69DA435E" w14:textId="77777777" w:rsidTr="00D131F1">
        <w:trPr>
          <w:cnfStyle w:val="000000010000" w:firstRow="0" w:lastRow="0" w:firstColumn="0" w:lastColumn="0" w:oddVBand="0" w:evenVBand="0" w:oddHBand="0" w:evenHBand="1" w:firstRowFirstColumn="0" w:firstRowLastColumn="0" w:lastRowFirstColumn="0" w:lastRowLastColumn="0"/>
          <w:trHeight w:val="300"/>
        </w:trPr>
        <w:tc>
          <w:tcPr>
            <w:tcW w:w="4890" w:type="dxa"/>
            <w:hideMark/>
          </w:tcPr>
          <w:p w14:paraId="7F8281D8" w14:textId="2D30A75C" w:rsidR="008954EF" w:rsidRPr="008954EF" w:rsidRDefault="008954EF" w:rsidP="008414CB">
            <w:pPr>
              <w:pStyle w:val="TableTextLeft"/>
              <w:rPr>
                <w:szCs w:val="18"/>
              </w:rPr>
            </w:pPr>
            <w:r w:rsidRPr="00F27786">
              <w:rPr>
                <w:rStyle w:val="Strong"/>
              </w:rPr>
              <w:t>Recommendation 3:</w:t>
            </w:r>
            <w:r w:rsidRPr="008954EF">
              <w:rPr>
                <w:szCs w:val="18"/>
              </w:rPr>
              <w:t xml:space="preserve"> The ASBFEO should establish one or more forums through which to directly engage with small businesses, family enterprises and their representatives on an ongoing basis.</w:t>
            </w:r>
          </w:p>
        </w:tc>
        <w:tc>
          <w:tcPr>
            <w:tcW w:w="4455" w:type="dxa"/>
            <w:hideMark/>
          </w:tcPr>
          <w:p w14:paraId="4CBC2B69" w14:textId="1FF7CA97" w:rsidR="008954EF" w:rsidRPr="008954EF" w:rsidRDefault="008954EF" w:rsidP="008414CB">
            <w:pPr>
              <w:pStyle w:val="TableTextLeft"/>
              <w:rPr>
                <w:szCs w:val="18"/>
              </w:rPr>
            </w:pPr>
            <w:r w:rsidRPr="00F27786">
              <w:rPr>
                <w:rStyle w:val="Strong"/>
              </w:rPr>
              <w:t>Recommendation 3:</w:t>
            </w:r>
            <w:r w:rsidRPr="008954EF">
              <w:rPr>
                <w:szCs w:val="18"/>
              </w:rPr>
              <w:t xml:space="preserve"> The ASBFEO should build its capacity and capability for sustained advocacy impact by strengthening its collaboration with stakeholders and sharpening its ability to characterise the small business sector.</w:t>
            </w:r>
          </w:p>
        </w:tc>
      </w:tr>
      <w:tr w:rsidR="008954EF" w:rsidRPr="008954EF" w14:paraId="55C54B87" w14:textId="77777777" w:rsidTr="00D131F1">
        <w:trPr>
          <w:cnfStyle w:val="000000100000" w:firstRow="0" w:lastRow="0" w:firstColumn="0" w:lastColumn="0" w:oddVBand="0" w:evenVBand="0" w:oddHBand="1" w:evenHBand="0" w:firstRowFirstColumn="0" w:firstRowLastColumn="0" w:lastRowFirstColumn="0" w:lastRowLastColumn="0"/>
          <w:trHeight w:val="300"/>
        </w:trPr>
        <w:tc>
          <w:tcPr>
            <w:tcW w:w="4890" w:type="dxa"/>
            <w:hideMark/>
          </w:tcPr>
          <w:p w14:paraId="75576063" w14:textId="4905A754" w:rsidR="008954EF" w:rsidRPr="008954EF" w:rsidRDefault="008954EF" w:rsidP="008414CB">
            <w:pPr>
              <w:pStyle w:val="TableTextLeft"/>
              <w:rPr>
                <w:szCs w:val="18"/>
              </w:rPr>
            </w:pPr>
            <w:r w:rsidRPr="00F27786">
              <w:rPr>
                <w:rStyle w:val="Strong"/>
              </w:rPr>
              <w:t>Recommendation 4:</w:t>
            </w:r>
            <w:r w:rsidRPr="008954EF">
              <w:rPr>
                <w:szCs w:val="18"/>
              </w:rPr>
              <w:t xml:space="preserve"> The ASBFEO should bolster its input into policy and legislation that affects small businesses and family enterprises, including through training, secondments, consultation and evaluation.</w:t>
            </w:r>
          </w:p>
        </w:tc>
        <w:tc>
          <w:tcPr>
            <w:tcW w:w="4455" w:type="dxa"/>
            <w:hideMark/>
          </w:tcPr>
          <w:p w14:paraId="34199DBE" w14:textId="2CF53317" w:rsidR="008954EF" w:rsidRPr="008954EF" w:rsidRDefault="008954EF" w:rsidP="008414CB">
            <w:pPr>
              <w:pStyle w:val="TableTextLeft"/>
              <w:rPr>
                <w:szCs w:val="18"/>
              </w:rPr>
            </w:pPr>
            <w:r w:rsidRPr="00F27786">
              <w:rPr>
                <w:rStyle w:val="Strong"/>
              </w:rPr>
              <w:t>Recommendation 4:</w:t>
            </w:r>
            <w:r w:rsidRPr="008954EF">
              <w:rPr>
                <w:szCs w:val="18"/>
              </w:rPr>
              <w:t xml:space="preserve"> The ASBFEO should be renamed to promote role clarity.</w:t>
            </w:r>
          </w:p>
        </w:tc>
      </w:tr>
      <w:tr w:rsidR="008954EF" w:rsidRPr="008954EF" w14:paraId="76F762B6" w14:textId="77777777" w:rsidTr="00D131F1">
        <w:trPr>
          <w:cnfStyle w:val="000000010000" w:firstRow="0" w:lastRow="0" w:firstColumn="0" w:lastColumn="0" w:oddVBand="0" w:evenVBand="0" w:oddHBand="0" w:evenHBand="1" w:firstRowFirstColumn="0" w:firstRowLastColumn="0" w:lastRowFirstColumn="0" w:lastRowLastColumn="0"/>
          <w:trHeight w:val="300"/>
        </w:trPr>
        <w:tc>
          <w:tcPr>
            <w:tcW w:w="4890" w:type="dxa"/>
            <w:hideMark/>
          </w:tcPr>
          <w:p w14:paraId="0CEF5B27" w14:textId="1107F776" w:rsidR="008954EF" w:rsidRPr="008954EF" w:rsidRDefault="008954EF" w:rsidP="008414CB">
            <w:pPr>
              <w:pStyle w:val="TableTextLeft"/>
              <w:rPr>
                <w:szCs w:val="18"/>
              </w:rPr>
            </w:pPr>
            <w:r w:rsidRPr="00F27786">
              <w:rPr>
                <w:rStyle w:val="Strong"/>
              </w:rPr>
              <w:t>Recommendation 5:</w:t>
            </w:r>
            <w:r w:rsidRPr="008954EF">
              <w:rPr>
                <w:szCs w:val="18"/>
              </w:rPr>
              <w:t xml:space="preserve"> The ASBFEO should work with other agencies to share data and research about small businesses and family enterprises.</w:t>
            </w:r>
          </w:p>
        </w:tc>
        <w:tc>
          <w:tcPr>
            <w:tcW w:w="4455" w:type="dxa"/>
            <w:hideMark/>
          </w:tcPr>
          <w:p w14:paraId="5588AA3A" w14:textId="2A0E14A0" w:rsidR="008954EF" w:rsidRPr="008954EF" w:rsidRDefault="008954EF" w:rsidP="008414CB">
            <w:pPr>
              <w:pStyle w:val="TableTextLeft"/>
              <w:rPr>
                <w:szCs w:val="18"/>
              </w:rPr>
            </w:pPr>
            <w:r w:rsidRPr="00F27786">
              <w:rPr>
                <w:rStyle w:val="Strong"/>
              </w:rPr>
              <w:t>Recommendation 5:</w:t>
            </w:r>
            <w:r w:rsidRPr="008954EF">
              <w:rPr>
                <w:szCs w:val="18"/>
              </w:rPr>
              <w:t xml:space="preserve"> Treasury and the ASBFEO should act to ensure administrative, funding and staffing arrangements remain supportive of the ASBFEO</w:t>
            </w:r>
            <w:r w:rsidR="00916FA5">
              <w:rPr>
                <w:szCs w:val="18"/>
              </w:rPr>
              <w:t>’</w:t>
            </w:r>
            <w:r w:rsidRPr="008954EF">
              <w:rPr>
                <w:szCs w:val="18"/>
              </w:rPr>
              <w:t>s mandate.</w:t>
            </w:r>
          </w:p>
        </w:tc>
      </w:tr>
      <w:tr w:rsidR="008954EF" w:rsidRPr="008954EF" w14:paraId="6CE4CF06" w14:textId="77777777" w:rsidTr="00D131F1">
        <w:trPr>
          <w:cnfStyle w:val="000000100000" w:firstRow="0" w:lastRow="0" w:firstColumn="0" w:lastColumn="0" w:oddVBand="0" w:evenVBand="0" w:oddHBand="1" w:evenHBand="0" w:firstRowFirstColumn="0" w:firstRowLastColumn="0" w:lastRowFirstColumn="0" w:lastRowLastColumn="0"/>
          <w:trHeight w:val="300"/>
        </w:trPr>
        <w:tc>
          <w:tcPr>
            <w:tcW w:w="4890" w:type="dxa"/>
            <w:hideMark/>
          </w:tcPr>
          <w:p w14:paraId="0B92D2B0" w14:textId="6B5110A3" w:rsidR="008954EF" w:rsidRPr="008954EF" w:rsidRDefault="008954EF" w:rsidP="008414CB">
            <w:pPr>
              <w:pStyle w:val="TableTextLeft"/>
              <w:rPr>
                <w:szCs w:val="18"/>
              </w:rPr>
            </w:pPr>
            <w:r w:rsidRPr="00F27786">
              <w:rPr>
                <w:rStyle w:val="Strong"/>
              </w:rPr>
              <w:t>Recommendation 6:</w:t>
            </w:r>
            <w:r w:rsidRPr="008954EF">
              <w:rPr>
                <w:szCs w:val="18"/>
              </w:rPr>
              <w:t xml:space="preserve"> The ASBFEO should work with other agencies to access data that would enable it to assess how effectively it transfers requests for assistance to them, most likely focusing on the proportion of requests they resolve themselves and the proportion they refer on to a third agency.</w:t>
            </w:r>
          </w:p>
        </w:tc>
        <w:tc>
          <w:tcPr>
            <w:tcW w:w="4455" w:type="dxa"/>
            <w:hideMark/>
          </w:tcPr>
          <w:p w14:paraId="1AA95313" w14:textId="3A247067" w:rsidR="008954EF" w:rsidRPr="008954EF" w:rsidRDefault="008954EF" w:rsidP="008414CB">
            <w:pPr>
              <w:pStyle w:val="TableTextLeft"/>
              <w:rPr>
                <w:szCs w:val="18"/>
              </w:rPr>
            </w:pPr>
          </w:p>
        </w:tc>
      </w:tr>
      <w:tr w:rsidR="008954EF" w:rsidRPr="008954EF" w14:paraId="48BDFF30" w14:textId="77777777" w:rsidTr="00D131F1">
        <w:trPr>
          <w:cnfStyle w:val="000000010000" w:firstRow="0" w:lastRow="0" w:firstColumn="0" w:lastColumn="0" w:oddVBand="0" w:evenVBand="0" w:oddHBand="0" w:evenHBand="1" w:firstRowFirstColumn="0" w:firstRowLastColumn="0" w:lastRowFirstColumn="0" w:lastRowLastColumn="0"/>
          <w:trHeight w:val="300"/>
        </w:trPr>
        <w:tc>
          <w:tcPr>
            <w:tcW w:w="4890" w:type="dxa"/>
            <w:hideMark/>
          </w:tcPr>
          <w:p w14:paraId="20E71231" w14:textId="12DA7A31" w:rsidR="008954EF" w:rsidRPr="008954EF" w:rsidRDefault="008954EF" w:rsidP="008414CB">
            <w:pPr>
              <w:pStyle w:val="TableTextLeft"/>
              <w:rPr>
                <w:szCs w:val="18"/>
              </w:rPr>
            </w:pPr>
            <w:r w:rsidRPr="00F27786">
              <w:rPr>
                <w:rStyle w:val="Strong"/>
              </w:rPr>
              <w:t>Recommendation 7:</w:t>
            </w:r>
            <w:r w:rsidRPr="008954EF">
              <w:rPr>
                <w:szCs w:val="18"/>
              </w:rPr>
              <w:t xml:space="preserve"> The ASBFEO should work with states that do not have small business commissioners to establish clear protocols for its referrals.</w:t>
            </w:r>
          </w:p>
        </w:tc>
        <w:tc>
          <w:tcPr>
            <w:tcW w:w="4455" w:type="dxa"/>
            <w:hideMark/>
          </w:tcPr>
          <w:p w14:paraId="5BB1A2C3" w14:textId="27FF5A58" w:rsidR="008954EF" w:rsidRPr="008954EF" w:rsidRDefault="008954EF" w:rsidP="008414CB">
            <w:pPr>
              <w:pStyle w:val="TableTextLeft"/>
              <w:rPr>
                <w:szCs w:val="18"/>
              </w:rPr>
            </w:pPr>
          </w:p>
        </w:tc>
      </w:tr>
      <w:tr w:rsidR="008954EF" w:rsidRPr="008954EF" w14:paraId="0CD62D16" w14:textId="77777777" w:rsidTr="00D131F1">
        <w:trPr>
          <w:cnfStyle w:val="000000100000" w:firstRow="0" w:lastRow="0" w:firstColumn="0" w:lastColumn="0" w:oddVBand="0" w:evenVBand="0" w:oddHBand="1" w:evenHBand="0" w:firstRowFirstColumn="0" w:firstRowLastColumn="0" w:lastRowFirstColumn="0" w:lastRowLastColumn="0"/>
          <w:trHeight w:val="300"/>
        </w:trPr>
        <w:tc>
          <w:tcPr>
            <w:tcW w:w="4890" w:type="dxa"/>
            <w:hideMark/>
          </w:tcPr>
          <w:p w14:paraId="3BF3A0F1" w14:textId="2F8D7741" w:rsidR="008954EF" w:rsidRPr="008954EF" w:rsidRDefault="008954EF" w:rsidP="008414CB">
            <w:pPr>
              <w:pStyle w:val="TableTextLeft"/>
              <w:rPr>
                <w:szCs w:val="18"/>
              </w:rPr>
            </w:pPr>
            <w:r w:rsidRPr="00F27786">
              <w:rPr>
                <w:rStyle w:val="Strong"/>
              </w:rPr>
              <w:t>Recommendation 8:</w:t>
            </w:r>
            <w:r w:rsidRPr="008954EF">
              <w:rPr>
                <w:szCs w:val="18"/>
              </w:rPr>
              <w:t xml:space="preserve"> The attendees of some meetings of the ASBFEO and the state small business commissioners should be expanded to facilitate a broader discussion of common issues and areas of potential duplication.</w:t>
            </w:r>
          </w:p>
        </w:tc>
        <w:tc>
          <w:tcPr>
            <w:tcW w:w="4455" w:type="dxa"/>
            <w:hideMark/>
          </w:tcPr>
          <w:p w14:paraId="0C72027D" w14:textId="53243524" w:rsidR="008954EF" w:rsidRPr="008954EF" w:rsidRDefault="008954EF" w:rsidP="008414CB">
            <w:pPr>
              <w:pStyle w:val="TableTextLeft"/>
              <w:rPr>
                <w:szCs w:val="18"/>
              </w:rPr>
            </w:pPr>
          </w:p>
        </w:tc>
      </w:tr>
      <w:tr w:rsidR="008954EF" w:rsidRPr="008954EF" w14:paraId="15EE67FC" w14:textId="77777777" w:rsidTr="00D131F1">
        <w:trPr>
          <w:cnfStyle w:val="000000010000" w:firstRow="0" w:lastRow="0" w:firstColumn="0" w:lastColumn="0" w:oddVBand="0" w:evenVBand="0" w:oddHBand="0" w:evenHBand="1" w:firstRowFirstColumn="0" w:firstRowLastColumn="0" w:lastRowFirstColumn="0" w:lastRowLastColumn="0"/>
          <w:trHeight w:val="300"/>
        </w:trPr>
        <w:tc>
          <w:tcPr>
            <w:tcW w:w="9360" w:type="dxa"/>
            <w:gridSpan w:val="2"/>
            <w:hideMark/>
          </w:tcPr>
          <w:p w14:paraId="0F8C56E6" w14:textId="5BB11BF9" w:rsidR="008954EF" w:rsidRPr="008954EF" w:rsidRDefault="008954EF" w:rsidP="008414CB">
            <w:pPr>
              <w:pStyle w:val="TableTextLeft"/>
              <w:rPr>
                <w:szCs w:val="18"/>
              </w:rPr>
            </w:pPr>
            <w:r w:rsidRPr="008954EF">
              <w:rPr>
                <w:color w:val="212937"/>
                <w:szCs w:val="18"/>
              </w:rPr>
              <w:t>No government response was issued for the reviews.</w:t>
            </w:r>
          </w:p>
        </w:tc>
      </w:tr>
    </w:tbl>
    <w:p w14:paraId="3D2165CF" w14:textId="0CF318AB" w:rsidR="0086023E" w:rsidRPr="00BD659D" w:rsidRDefault="00D54912" w:rsidP="0086023E">
      <w:pPr>
        <w:pStyle w:val="Heading2"/>
      </w:pPr>
      <w:bookmarkStart w:id="110" w:name="_Toc199941016"/>
      <w:r>
        <w:lastRenderedPageBreak/>
        <w:t xml:space="preserve">Appendix </w:t>
      </w:r>
      <w:r w:rsidR="004166A3">
        <w:t>B</w:t>
      </w:r>
      <w:r w:rsidR="00782BE7">
        <w:t xml:space="preserve">: </w:t>
      </w:r>
      <w:r w:rsidR="00DE3484">
        <w:t>Stakeholder consultation matrix</w:t>
      </w:r>
      <w:bookmarkEnd w:id="110"/>
    </w:p>
    <w:p w14:paraId="167DCE30" w14:textId="1926D902" w:rsidR="009F163E" w:rsidRDefault="00474FEA" w:rsidP="003E6EE3">
      <w:pPr>
        <w:pStyle w:val="ChartGraphic"/>
      </w:pPr>
      <w:r>
        <w:rPr>
          <w:noProof/>
        </w:rPr>
        <w:drawing>
          <wp:inline distT="0" distB="0" distL="0" distR="0" wp14:anchorId="6D75CD94" wp14:editId="5FCDF026">
            <wp:extent cx="5448300" cy="8245469"/>
            <wp:effectExtent l="0" t="0" r="0" b="3810"/>
            <wp:docPr id="1751420390" name="Picture 1" descr="This infographic provides a list of 45 bilateral stakeholder meetings held across Australia. These meetings included a wide range of federal and state government agencies, industry associations, peak bodies and special interest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20390" name="Picture 1" descr="This infographic provides a list of 45 bilateral stakeholder meetings held across Australia. These meetings included a wide range of federal and state government agencies, industry associations, peak bodies and special interest groups. "/>
                    <pic:cNvPicPr>
                      <a:picLocks noChangeAspect="1" noChangeArrowheads="1"/>
                    </pic:cNvPicPr>
                  </pic:nvPicPr>
                  <pic:blipFill>
                    <a:blip r:embed="rId71">
                      <a:extLst>
                        <a:ext uri="{96DAC541-7B7A-43D3-8B79-37D633B846F1}">
                          <asvg:svgBlip xmlns:asvg="http://schemas.microsoft.com/office/drawing/2016/SVG/main" r:embed="rId72"/>
                        </a:ext>
                      </a:extLst>
                    </a:blip>
                    <a:stretch>
                      <a:fillRect/>
                    </a:stretch>
                  </pic:blipFill>
                  <pic:spPr bwMode="auto">
                    <a:xfrm>
                      <a:off x="0" y="0"/>
                      <a:ext cx="5464760" cy="8270379"/>
                    </a:xfrm>
                    <a:prstGeom prst="rect">
                      <a:avLst/>
                    </a:prstGeom>
                  </pic:spPr>
                </pic:pic>
              </a:graphicData>
            </a:graphic>
          </wp:inline>
        </w:drawing>
      </w:r>
    </w:p>
    <w:p w14:paraId="11FBE5B4" w14:textId="377AC96B" w:rsidR="00E3525C" w:rsidRPr="00BD659D" w:rsidRDefault="00E3525C" w:rsidP="00E3525C">
      <w:pPr>
        <w:pStyle w:val="Heading2"/>
      </w:pPr>
      <w:bookmarkStart w:id="111" w:name="_Toc199941017"/>
      <w:r>
        <w:lastRenderedPageBreak/>
        <w:t xml:space="preserve">Appendix C: </w:t>
      </w:r>
      <w:r w:rsidR="00471821">
        <w:t xml:space="preserve">Stakeholder </w:t>
      </w:r>
      <w:r w:rsidR="008A1332">
        <w:t>s</w:t>
      </w:r>
      <w:r w:rsidR="00471821">
        <w:t>urvey</w:t>
      </w:r>
      <w:bookmarkEnd w:id="111"/>
    </w:p>
    <w:p w14:paraId="15314157" w14:textId="4E76772D" w:rsidR="00326F68" w:rsidRDefault="00BE7555" w:rsidP="008A53D9">
      <w:pPr>
        <w:pStyle w:val="Heading3"/>
      </w:pPr>
      <w:bookmarkStart w:id="112" w:name="_Toc199941018"/>
      <w:r>
        <w:t xml:space="preserve">Survey </w:t>
      </w:r>
      <w:r w:rsidR="002B7FA9">
        <w:t>questions and responses</w:t>
      </w:r>
      <w:bookmarkEnd w:id="112"/>
    </w:p>
    <w:p w14:paraId="03C0BB55" w14:textId="37D71F99" w:rsidR="004B17CB" w:rsidRPr="0010234A" w:rsidRDefault="004B17CB" w:rsidP="0010234A">
      <w:pPr>
        <w:rPr>
          <w:lang w:val="en-US"/>
        </w:rPr>
      </w:pPr>
      <w:r w:rsidRPr="00833D5F">
        <w:rPr>
          <w:lang w:val="en-US"/>
        </w:rPr>
        <w:t>The survey aimed to understand stakeholders’ experiences, challenges and perspectives regarding the assistance and dispute resolution services provided by ASBFEO.</w:t>
      </w:r>
      <w:r w:rsidRPr="003E49E4">
        <w:rPr>
          <w:lang w:val="en-US"/>
        </w:rPr>
        <w:t xml:space="preserve"> The survey was distributed </w:t>
      </w:r>
      <w:r>
        <w:rPr>
          <w:lang w:val="en-US"/>
        </w:rPr>
        <w:t xml:space="preserve">directly </w:t>
      </w:r>
      <w:r w:rsidRPr="003E49E4">
        <w:rPr>
          <w:lang w:val="en-US"/>
        </w:rPr>
        <w:t xml:space="preserve">to </w:t>
      </w:r>
      <w:r w:rsidR="00191975">
        <w:rPr>
          <w:lang w:val="en-US"/>
        </w:rPr>
        <w:t>many</w:t>
      </w:r>
      <w:r w:rsidRPr="003E49E4">
        <w:rPr>
          <w:lang w:val="en-US"/>
        </w:rPr>
        <w:t xml:space="preserve"> stakeholders </w:t>
      </w:r>
      <w:r>
        <w:rPr>
          <w:lang w:val="en-US"/>
        </w:rPr>
        <w:t>and</w:t>
      </w:r>
      <w:r w:rsidRPr="003E49E4">
        <w:rPr>
          <w:lang w:val="en-US"/>
        </w:rPr>
        <w:t xml:space="preserve"> through agencies </w:t>
      </w:r>
      <w:r>
        <w:rPr>
          <w:lang w:val="en-US"/>
        </w:rPr>
        <w:t>that published</w:t>
      </w:r>
      <w:r w:rsidRPr="003E49E4">
        <w:rPr>
          <w:lang w:val="en-US"/>
        </w:rPr>
        <w:t xml:space="preserve"> the survey in their newsletter</w:t>
      </w:r>
      <w:r>
        <w:rPr>
          <w:lang w:val="en-US"/>
        </w:rPr>
        <w:t>s</w:t>
      </w:r>
      <w:r w:rsidRPr="003E49E4">
        <w:rPr>
          <w:lang w:val="en-US"/>
        </w:rPr>
        <w:t xml:space="preserve"> or distribut</w:t>
      </w:r>
      <w:r>
        <w:rPr>
          <w:lang w:val="en-US"/>
        </w:rPr>
        <w:t>ed</w:t>
      </w:r>
      <w:r w:rsidRPr="003E49E4">
        <w:rPr>
          <w:lang w:val="en-US"/>
        </w:rPr>
        <w:t xml:space="preserve"> it directly to their members. </w:t>
      </w:r>
      <w:r>
        <w:rPr>
          <w:lang w:val="en-US"/>
        </w:rPr>
        <w:t xml:space="preserve">The survey received a </w:t>
      </w:r>
      <w:r w:rsidRPr="003E49E4">
        <w:rPr>
          <w:lang w:val="en-US"/>
        </w:rPr>
        <w:t>response rate of 225 participants</w:t>
      </w:r>
      <w:r>
        <w:rPr>
          <w:lang w:val="en-US"/>
        </w:rPr>
        <w:t>.</w:t>
      </w:r>
      <w:r w:rsidRPr="003E49E4">
        <w:rPr>
          <w:lang w:val="en-US"/>
        </w:rPr>
        <w:t xml:space="preserve"> The survey gathered insights from broad groups of stakeholders, specifically small business and family enterprise owners</w:t>
      </w:r>
      <w:r>
        <w:rPr>
          <w:lang w:val="en-US"/>
        </w:rPr>
        <w:t>,</w:t>
      </w:r>
      <w:r w:rsidRPr="003E49E4">
        <w:rPr>
          <w:lang w:val="en-US"/>
        </w:rPr>
        <w:t xml:space="preserve"> government agencies, industry bodies and associations. The survey </w:t>
      </w:r>
      <w:r>
        <w:rPr>
          <w:lang w:val="en-US"/>
        </w:rPr>
        <w:t>targeted</w:t>
      </w:r>
      <w:r w:rsidRPr="003E49E4">
        <w:rPr>
          <w:lang w:val="en-US"/>
        </w:rPr>
        <w:t xml:space="preserve"> CALD, First Nation</w:t>
      </w:r>
      <w:r>
        <w:rPr>
          <w:lang w:val="en-US"/>
        </w:rPr>
        <w:t>s people</w:t>
      </w:r>
      <w:r w:rsidRPr="003E49E4">
        <w:rPr>
          <w:lang w:val="en-US"/>
        </w:rPr>
        <w:t xml:space="preserve">, women and regional </w:t>
      </w:r>
      <w:r>
        <w:rPr>
          <w:lang w:val="en-US"/>
        </w:rPr>
        <w:t>small business owners</w:t>
      </w:r>
      <w:r w:rsidRPr="003E49E4">
        <w:rPr>
          <w:lang w:val="en-US"/>
        </w:rPr>
        <w:t xml:space="preserve"> to gain their perspective on </w:t>
      </w:r>
      <w:r>
        <w:rPr>
          <w:lang w:val="en-US"/>
        </w:rPr>
        <w:t xml:space="preserve">the </w:t>
      </w:r>
      <w:r w:rsidRPr="003E49E4">
        <w:rPr>
          <w:lang w:val="en-US"/>
        </w:rPr>
        <w:t>assistance available</w:t>
      </w:r>
      <w:r>
        <w:rPr>
          <w:lang w:val="en-US"/>
        </w:rPr>
        <w:t xml:space="preserve"> from ASBFEO.</w:t>
      </w:r>
      <w:r w:rsidRPr="003E49E4">
        <w:rPr>
          <w:lang w:val="en-US"/>
        </w:rPr>
        <w:t xml:space="preserve"> </w:t>
      </w:r>
    </w:p>
    <w:p w14:paraId="463E31E2" w14:textId="72786CF5" w:rsidR="00F65EF4" w:rsidRDefault="00DB4EDA" w:rsidP="00F3490E">
      <w:pPr>
        <w:pStyle w:val="Heading4"/>
      </w:pPr>
      <w:r>
        <w:t xml:space="preserve">Question 1: </w:t>
      </w:r>
      <w:r w:rsidRPr="00665720">
        <w:t xml:space="preserve">What do you know about </w:t>
      </w:r>
      <w:r w:rsidR="005A1CED">
        <w:t xml:space="preserve">the </w:t>
      </w:r>
      <w:r w:rsidRPr="00665720">
        <w:t>Australian Small Business and Family Enterprise Ombudsman (ASBFEO)?</w:t>
      </w:r>
    </w:p>
    <w:p w14:paraId="19174232" w14:textId="1939C5FD" w:rsidR="00F3490E" w:rsidRDefault="00F65EF4" w:rsidP="00C310F4">
      <w:pPr>
        <w:pStyle w:val="ChartGraphic"/>
      </w:pPr>
      <w:r>
        <w:rPr>
          <w:noProof/>
        </w:rPr>
        <w:drawing>
          <wp:inline distT="0" distB="0" distL="0" distR="0" wp14:anchorId="33CB40FB" wp14:editId="038BAB45">
            <wp:extent cx="5493715" cy="2740025"/>
            <wp:effectExtent l="0" t="0" r="0" b="3175"/>
            <wp:docPr id="1388827731" name="Chart 1" descr="This chart shows response to stakeholder survey question 1 &quot;What do you know about Australian Small Business and Family Enterprise Ombudsman (ASBFEO)?&quot;. 59 per cent (133 respondents) reported never having heard of the subject.  31 per cent (69 respondents) selected option &quot;I know about them&quot;, while usage and regular engagement were considerably lower (7 per cent 15 respondents and 4 per cent 8 respondents respectively).">
              <a:extLst xmlns:a="http://schemas.openxmlformats.org/drawingml/2006/main">
                <a:ext uri="{FF2B5EF4-FFF2-40B4-BE49-F238E27FC236}">
                  <a16:creationId xmlns:a16="http://schemas.microsoft.com/office/drawing/2014/main" id="{0CBEEB6A-A70B-7FE0-E885-F7F0525AA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F4BA2D8" w14:textId="4A03BD2F" w:rsidR="00CB78E7" w:rsidRPr="00B85B73" w:rsidRDefault="00CB78E7" w:rsidP="0034420C">
      <w:r w:rsidRPr="00833D5F">
        <w:t>The survey identified a low awareness of ASBFEO, with almost 60 per cent of respondents having never heard of ASBFEO.</w:t>
      </w:r>
      <w:r w:rsidRPr="21D701FD">
        <w:t xml:space="preserve"> Surprisingly, professional bodies and advisers were also unaware of ASBFEO and its services, such as tax agents who advise small businesses. Several comments highlighted this lack of awareness. One respondent stated, </w:t>
      </w:r>
      <w:r>
        <w:rPr>
          <w:rStyle w:val="Emphasis"/>
        </w:rPr>
        <w:t>‘</w:t>
      </w:r>
      <w:r w:rsidRPr="00C310F4">
        <w:rPr>
          <w:rStyle w:val="Emphasis"/>
        </w:rPr>
        <w:t>I have been in business over 5 years and never heard of this before. If it is really for helping people put it out there so we can get help</w:t>
      </w:r>
      <w:r w:rsidR="006229F6">
        <w:rPr>
          <w:rStyle w:val="Emphasis"/>
        </w:rPr>
        <w:t>.’</w:t>
      </w:r>
      <w:r w:rsidRPr="21D701FD">
        <w:t xml:space="preserve"> Another mentioned, </w:t>
      </w:r>
      <w:r>
        <w:rPr>
          <w:rStyle w:val="Emphasis"/>
        </w:rPr>
        <w:t>‘</w:t>
      </w:r>
      <w:r w:rsidRPr="00C310F4">
        <w:rPr>
          <w:rStyle w:val="Emphasis"/>
        </w:rPr>
        <w:t>Was unaware of the services provided or received any prior correspondence from this office</w:t>
      </w:r>
      <w:r w:rsidR="006229F6">
        <w:rPr>
          <w:rStyle w:val="Emphasis"/>
        </w:rPr>
        <w:t>.’</w:t>
      </w:r>
      <w:r w:rsidRPr="21D701FD">
        <w:t xml:space="preserve"> Another stakeholder emphasised, </w:t>
      </w:r>
      <w:r>
        <w:rPr>
          <w:rStyle w:val="Emphasis"/>
        </w:rPr>
        <w:t>‘</w:t>
      </w:r>
      <w:r w:rsidRPr="00C310F4">
        <w:rPr>
          <w:rStyle w:val="Emphasis"/>
        </w:rPr>
        <w:t>There needs to be a further education awareness campaign around who you are and how you help. Also, a campaign on what small business owners need to know about their obligations</w:t>
      </w:r>
      <w:r w:rsidR="006229F6">
        <w:rPr>
          <w:rStyle w:val="Emphasis"/>
        </w:rPr>
        <w:t>.’</w:t>
      </w:r>
    </w:p>
    <w:p w14:paraId="78CBCF34" w14:textId="4C69C877" w:rsidR="00520E11" w:rsidRDefault="00465F58" w:rsidP="00520E11">
      <w:pPr>
        <w:pStyle w:val="Heading4"/>
      </w:pPr>
      <w:r w:rsidRPr="00AC542C">
        <w:lastRenderedPageBreak/>
        <w:t>Question 2: Have you ever had a dispute with another business or government agency and how did you resolve it?</w:t>
      </w:r>
    </w:p>
    <w:p w14:paraId="19380482" w14:textId="5EDA53C0" w:rsidR="005F316E" w:rsidRDefault="005F316E" w:rsidP="00C310F4">
      <w:pPr>
        <w:pStyle w:val="ChartGraphic"/>
      </w:pPr>
      <w:r>
        <w:rPr>
          <w:noProof/>
        </w:rPr>
        <w:drawing>
          <wp:inline distT="0" distB="0" distL="0" distR="0" wp14:anchorId="64531A41" wp14:editId="6A30DECE">
            <wp:extent cx="5713426" cy="2896235"/>
            <wp:effectExtent l="0" t="0" r="1905" b="0"/>
            <wp:docPr id="2020060757" name="Chart 1" descr="This chart shows response to stakeholder survey question 2 &quot;Have you ever had a dispute with another business or government agency and how did you resolve it?&quot;. 47 per cent (96 respondents) reported no dispute.  Of those who did have a dispute, the most common resolution method was discussion with the other party 17 per cent (35 respondents).  A significant number of respondents 20 per cent (40 respondents) did not resolve their dispute.">
              <a:extLst xmlns:a="http://schemas.openxmlformats.org/drawingml/2006/main">
                <a:ext uri="{FF2B5EF4-FFF2-40B4-BE49-F238E27FC236}">
                  <a16:creationId xmlns:a16="http://schemas.microsoft.com/office/drawing/2014/main" id="{6063061D-2D01-10CE-E17D-5FD454579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511BB82" w14:textId="7CD006D4" w:rsidR="005F316E" w:rsidRDefault="005F316E" w:rsidP="00BD5874">
      <w:pPr>
        <w:pStyle w:val="ChartorTablenoteandsource"/>
      </w:pPr>
      <w:r>
        <w:t>Note:</w:t>
      </w:r>
      <w:r w:rsidR="00175F2D">
        <w:tab/>
      </w:r>
      <w:r>
        <w:t>Response 1: Resolved it through discussion with the other party, Response 2: I used the State Small Business Commissioners or an ombudsman’s services, Response 3: My solicitor resolved it, Response 4: A third party helped me resolve it, Response 5: I didn’t resolve it, Response 6: I’ve not had a dispute.</w:t>
      </w:r>
    </w:p>
    <w:p w14:paraId="71D5D542" w14:textId="3741B322" w:rsidR="00D00874" w:rsidRPr="00833D5F" w:rsidRDefault="00D00874" w:rsidP="00833D5F">
      <w:pPr>
        <w:rPr>
          <w:lang w:val="en-US"/>
        </w:rPr>
      </w:pPr>
      <w:r w:rsidRPr="00833D5F">
        <w:rPr>
          <w:lang w:val="en-US"/>
        </w:rPr>
        <w:t>Approximately 50 per cent of respondents (96 respondents) reported having a dispute with other businesses or government agencies.</w:t>
      </w:r>
      <w:r w:rsidRPr="003E49E4">
        <w:rPr>
          <w:lang w:val="en-US"/>
        </w:rPr>
        <w:t xml:space="preserve"> Among th</w:t>
      </w:r>
      <w:r>
        <w:rPr>
          <w:lang w:val="en-US"/>
        </w:rPr>
        <w:t xml:space="preserve">e respondents </w:t>
      </w:r>
      <w:r w:rsidRPr="003E49E4">
        <w:rPr>
          <w:lang w:val="en-US"/>
        </w:rPr>
        <w:t>who experience</w:t>
      </w:r>
      <w:r>
        <w:rPr>
          <w:lang w:val="en-US"/>
        </w:rPr>
        <w:t>d</w:t>
      </w:r>
      <w:r w:rsidRPr="003E49E4">
        <w:rPr>
          <w:lang w:val="en-US"/>
        </w:rPr>
        <w:t xml:space="preserve"> disputes, the most common resolution approach was through direct discussion with the other party (17 per cent, 35</w:t>
      </w:r>
      <w:r w:rsidR="003C699C">
        <w:rPr>
          <w:lang w:val="en-US"/>
        </w:rPr>
        <w:t> </w:t>
      </w:r>
      <w:r w:rsidRPr="003E49E4">
        <w:rPr>
          <w:lang w:val="en-US"/>
        </w:rPr>
        <w:t xml:space="preserve">respondents). This was followed by seeking assistance from solicitors, state commissioners, or other third parties. Although the third parties were not explicitly defined, written responses suggested they might include friends working in similar agencies, industry associations, or </w:t>
      </w:r>
      <w:r>
        <w:rPr>
          <w:lang w:val="en-US"/>
        </w:rPr>
        <w:t>c</w:t>
      </w:r>
      <w:r w:rsidRPr="003E49E4">
        <w:rPr>
          <w:lang w:val="en-US"/>
        </w:rPr>
        <w:t xml:space="preserve">hambers of </w:t>
      </w:r>
      <w:r>
        <w:rPr>
          <w:lang w:val="en-US"/>
        </w:rPr>
        <w:t>c</w:t>
      </w:r>
      <w:r w:rsidRPr="003E49E4">
        <w:rPr>
          <w:lang w:val="en-US"/>
        </w:rPr>
        <w:t>ommerce/</w:t>
      </w:r>
      <w:r>
        <w:rPr>
          <w:lang w:val="en-US"/>
        </w:rPr>
        <w:t>b</w:t>
      </w:r>
      <w:r w:rsidRPr="003E49E4">
        <w:rPr>
          <w:lang w:val="en-US"/>
        </w:rPr>
        <w:t xml:space="preserve">usiness </w:t>
      </w:r>
      <w:r>
        <w:rPr>
          <w:lang w:val="en-US"/>
        </w:rPr>
        <w:t>c</w:t>
      </w:r>
      <w:r w:rsidRPr="003E49E4">
        <w:rPr>
          <w:lang w:val="en-US"/>
        </w:rPr>
        <w:t xml:space="preserve">hambers for direction or referrals to the appropriate agency. Additionally, the data suggests a high rate of unresolved disputes, with 20 per cent (40 respondents) indicating their disputes remained unresolved. </w:t>
      </w:r>
    </w:p>
    <w:p w14:paraId="3FE96E92" w14:textId="77777777" w:rsidR="003C699C" w:rsidRDefault="003C699C">
      <w:pPr>
        <w:spacing w:before="0" w:after="160" w:line="259" w:lineRule="auto"/>
        <w:rPr>
          <w:rFonts w:ascii="Calibri Light" w:hAnsi="Calibri Light" w:cs="Arial"/>
          <w:b/>
          <w:kern w:val="32"/>
          <w:sz w:val="28"/>
          <w:szCs w:val="26"/>
        </w:rPr>
      </w:pPr>
      <w:r>
        <w:br w:type="page"/>
      </w:r>
    </w:p>
    <w:p w14:paraId="7090047E" w14:textId="41038A9D" w:rsidR="003C07F4" w:rsidRDefault="003C07F4" w:rsidP="00F3490E">
      <w:pPr>
        <w:pStyle w:val="Heading4"/>
      </w:pPr>
      <w:r>
        <w:lastRenderedPageBreak/>
        <w:t xml:space="preserve">Question 3: </w:t>
      </w:r>
      <w:r w:rsidRPr="000732E7">
        <w:t>What best describes your engagement with ASBFEO?</w:t>
      </w:r>
    </w:p>
    <w:p w14:paraId="3BE641FA" w14:textId="77777777" w:rsidR="00686E59" w:rsidRDefault="00686E59" w:rsidP="003C699C">
      <w:pPr>
        <w:pStyle w:val="ChartGraphic"/>
      </w:pPr>
      <w:r>
        <w:rPr>
          <w:noProof/>
        </w:rPr>
        <w:drawing>
          <wp:inline distT="0" distB="0" distL="0" distR="0" wp14:anchorId="75CBE3D4" wp14:editId="7323BB10">
            <wp:extent cx="5757845" cy="2933934"/>
            <wp:effectExtent l="0" t="0" r="0" b="0"/>
            <wp:docPr id="1386663221" name="Chart 1" descr="This chart shows response to stakeholder survey question 3 &quot;What best describes your engagement with ASBFEO?&quot; The ASBFEO website and advice or assistance on a dispute with a business or government agency were the most frequent options of engagement selected, each used by 25 per cent (14 respondents).  ASBFEO updates or newsletters from ASBFEO 20 per cent (11 respondents) and attendance of meetings/roundtables with ASBFEO 18 per cent (10 respondents) saw comparatively lower usage, while the ASBFEO call centre were selected by 4 per cent (2 respondents).  9 per cent (8 respondents) selected 'Other'.">
              <a:extLst xmlns:a="http://schemas.openxmlformats.org/drawingml/2006/main">
                <a:ext uri="{FF2B5EF4-FFF2-40B4-BE49-F238E27FC236}">
                  <a16:creationId xmlns:a16="http://schemas.microsoft.com/office/drawing/2014/main" id="{543466A2-5C42-F666-2AE0-CBE2B84A6E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B7DD7C9" w14:textId="23D94428" w:rsidR="00686E59" w:rsidRDefault="00686E59" w:rsidP="00BD5874">
      <w:pPr>
        <w:pStyle w:val="ChartorTablenoteandsource"/>
      </w:pPr>
      <w:r>
        <w:t>Notes:</w:t>
      </w:r>
      <w:r w:rsidR="003C699C">
        <w:tab/>
      </w:r>
      <w:r>
        <w:t>Response 1: Advice or assistance on a dispute with a business or government agency, Response 2: Updates or newsletters from the ASBFEO, Response 3: The ASBFEO website, Response 4: The ASBFEO call centre, Response</w:t>
      </w:r>
      <w:r w:rsidR="00BD5874">
        <w:t> </w:t>
      </w:r>
      <w:r>
        <w:t>5: Attended meetings/roundtables with ASBFEO, Response 6: Other.</w:t>
      </w:r>
    </w:p>
    <w:p w14:paraId="62875BCB" w14:textId="564BE8AF" w:rsidR="00CF20A4" w:rsidRPr="00CF20A4" w:rsidRDefault="00CF20A4" w:rsidP="00833D5F">
      <w:r w:rsidRPr="00833D5F">
        <w:t>25 per cent of respondents engaged with ASBFEO through ASBFEO’s website and another 25 per cent through advice or assistance on a dispute with a business or government agency.</w:t>
      </w:r>
      <w:r>
        <w:t xml:space="preserve"> ASBFEO’s call centre received the lowest response at 3.6 per cent, indicating lack of engagement through this service. Around 20 per cent engaged through the newsletter and another approximately 20 per cent engaged through meetings and roundtables. ‘Other’ responses constituted 9 per cent of responses. Overall, most engagement is through the ASBFEO website and advice or assistance on a dispute with business or government agency.</w:t>
      </w:r>
    </w:p>
    <w:p w14:paraId="7C657637" w14:textId="77777777" w:rsidR="003C699C" w:rsidRDefault="003C699C">
      <w:pPr>
        <w:spacing w:before="0" w:after="160" w:line="259" w:lineRule="auto"/>
        <w:rPr>
          <w:rFonts w:ascii="Calibri Light" w:hAnsi="Calibri Light" w:cs="Arial"/>
          <w:b/>
          <w:kern w:val="32"/>
          <w:sz w:val="28"/>
          <w:szCs w:val="26"/>
        </w:rPr>
      </w:pPr>
      <w:r>
        <w:br w:type="page"/>
      </w:r>
    </w:p>
    <w:p w14:paraId="0A139144" w14:textId="5A2945BE" w:rsidR="002617CA" w:rsidRDefault="002617CA" w:rsidP="00F3490E">
      <w:pPr>
        <w:pStyle w:val="Heading4"/>
      </w:pPr>
      <w:r>
        <w:lastRenderedPageBreak/>
        <w:t xml:space="preserve">Question 4: </w:t>
      </w:r>
      <w:r w:rsidRPr="006C7F5A">
        <w:t>If you have sought advice or assistance from ASBFEO for a dispute with a business or government agency, was the dispute resolved to your satisfaction?</w:t>
      </w:r>
    </w:p>
    <w:p w14:paraId="5429A819" w14:textId="309D1E17" w:rsidR="00550F2A" w:rsidRDefault="00550F2A" w:rsidP="0034420C">
      <w:r>
        <w:rPr>
          <w:noProof/>
        </w:rPr>
        <w:drawing>
          <wp:inline distT="0" distB="0" distL="0" distR="0" wp14:anchorId="169823A9" wp14:editId="37D62F82">
            <wp:extent cx="5698540" cy="2874874"/>
            <wp:effectExtent l="0" t="0" r="0" b="1905"/>
            <wp:docPr id="1546334331" name="Chart 1" descr="This chart shows response to stakeholder survey question 4 &quot;If you have sought advice or assistance from ASBFEO for a dispute with a business or government agency, was the dispute resolved to your satisfaction?&quot; Responses were heavily skewed towards &quot;Yes&quot;, with significantly fewer respondents selecting &quot;No&quot;, and a very small number choosing &quot;Other&quot;.">
              <a:extLst xmlns:a="http://schemas.openxmlformats.org/drawingml/2006/main">
                <a:ext uri="{FF2B5EF4-FFF2-40B4-BE49-F238E27FC236}">
                  <a16:creationId xmlns:a16="http://schemas.microsoft.com/office/drawing/2014/main" id="{60CEBF0B-2D76-E9D5-FA58-2963091B30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2E0320E" w14:textId="2EE49096" w:rsidR="002F460C" w:rsidRPr="00833D5F" w:rsidRDefault="002F460C" w:rsidP="0034420C">
      <w:pPr>
        <w:rPr>
          <w:lang w:val="en-US"/>
        </w:rPr>
      </w:pPr>
      <w:r w:rsidRPr="00833D5F">
        <w:rPr>
          <w:lang w:val="en-US"/>
        </w:rPr>
        <w:t>Satisfaction with dispute resolution was generally positive, with almost 60 per cent of respondents indicating their disputes were resolved satisfactorily</w:t>
      </w:r>
      <w:r w:rsidRPr="003E49E4">
        <w:rPr>
          <w:lang w:val="en-US"/>
        </w:rPr>
        <w:t>.</w:t>
      </w:r>
      <w:r>
        <w:rPr>
          <w:lang w:val="en-US"/>
        </w:rPr>
        <w:t xml:space="preserve"> </w:t>
      </w:r>
      <w:r w:rsidRPr="003E49E4">
        <w:rPr>
          <w:lang w:val="en-US"/>
        </w:rPr>
        <w:t>About 36 per cent of respondents expressed dissatisfaction, citing specific issues such as</w:t>
      </w:r>
      <w:r>
        <w:rPr>
          <w:lang w:val="en-US"/>
        </w:rPr>
        <w:t xml:space="preserve"> a</w:t>
      </w:r>
      <w:r w:rsidRPr="003E49E4">
        <w:rPr>
          <w:lang w:val="en-US"/>
        </w:rPr>
        <w:t xml:space="preserve"> lack of financial help.</w:t>
      </w:r>
    </w:p>
    <w:p w14:paraId="398CA3DD" w14:textId="77777777" w:rsidR="00D01196" w:rsidRDefault="00D01196" w:rsidP="007344E2">
      <w:pPr>
        <w:pStyle w:val="Heading4"/>
      </w:pPr>
      <w:r>
        <w:t xml:space="preserve">Question 5: </w:t>
      </w:r>
      <w:r w:rsidRPr="00640AEC">
        <w:t>If not resolved to your satisfaction, please specify why?</w:t>
      </w:r>
    </w:p>
    <w:tbl>
      <w:tblPr>
        <w:tblStyle w:val="BoxStyle"/>
        <w:tblW w:w="5000" w:type="pct"/>
        <w:shd w:val="clear" w:color="auto" w:fill="F4F0EC"/>
        <w:tblLook w:val="0620" w:firstRow="1" w:lastRow="0" w:firstColumn="0" w:lastColumn="0" w:noHBand="1" w:noVBand="1"/>
      </w:tblPr>
      <w:tblGrid>
        <w:gridCol w:w="9070"/>
      </w:tblGrid>
      <w:tr w:rsidR="00F3490E" w14:paraId="1816E5A4" w14:textId="77777777" w:rsidTr="004C4118">
        <w:tc>
          <w:tcPr>
            <w:tcW w:w="5000" w:type="pct"/>
            <w:shd w:val="clear" w:color="auto" w:fill="F4F0EC"/>
            <w:hideMark/>
          </w:tcPr>
          <w:p w14:paraId="2EE1661B" w14:textId="498B8991" w:rsidR="00F3490E" w:rsidRPr="00DD3F2A" w:rsidRDefault="00F3490E" w:rsidP="00DD3F2A">
            <w:pPr>
              <w:pStyle w:val="BoxText"/>
              <w:rPr>
                <w:rStyle w:val="Emphasis"/>
              </w:rPr>
            </w:pPr>
            <w:r w:rsidRPr="00DD3F2A">
              <w:rPr>
                <w:rStyle w:val="Emphasis"/>
              </w:rPr>
              <w:t>This was a free text field. 5 respondents provided a response to the question.</w:t>
            </w:r>
          </w:p>
        </w:tc>
      </w:tr>
    </w:tbl>
    <w:p w14:paraId="39C16C6D" w14:textId="77777777" w:rsidR="00A32E56" w:rsidRDefault="00A32E56" w:rsidP="00DD3F2A">
      <w:pPr>
        <w:pStyle w:val="Heading4"/>
      </w:pPr>
      <w:r>
        <w:lastRenderedPageBreak/>
        <w:t xml:space="preserve">Question 6: </w:t>
      </w:r>
      <w:r w:rsidRPr="00181F39">
        <w:t>If you engaged in other services of ASBFEO, how would you rate the information provided?</w:t>
      </w:r>
    </w:p>
    <w:p w14:paraId="414780D1" w14:textId="22AE15B9" w:rsidR="000F3198" w:rsidRDefault="000F3198" w:rsidP="00827745">
      <w:pPr>
        <w:pStyle w:val="ChartGraphic"/>
      </w:pPr>
      <w:r>
        <w:rPr>
          <w:noProof/>
        </w:rPr>
        <w:drawing>
          <wp:inline distT="0" distB="0" distL="0" distR="0" wp14:anchorId="0B842716" wp14:editId="5F8BC79F">
            <wp:extent cx="5588812" cy="2911450"/>
            <wp:effectExtent l="0" t="0" r="0" b="3810"/>
            <wp:docPr id="307588198" name="Chart 1" descr="This chart shows response to stakeholder survey question 6 &quot;If you engaged in other services of ASBFEO, how would you rate the information provided?&quot;. Response distribution shows a strong preference for &quot;Excellent,&quot; with significantly fewer responses in the &quot;Very informative&quot; and &quot;Average&quot; categories.  The remaining options received no responses.">
              <a:extLst xmlns:a="http://schemas.openxmlformats.org/drawingml/2006/main">
                <a:ext uri="{FF2B5EF4-FFF2-40B4-BE49-F238E27FC236}">
                  <a16:creationId xmlns:a16="http://schemas.microsoft.com/office/drawing/2014/main" id="{1BFD13FB-F799-EF57-65DA-85FE2D048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98756BC" w14:textId="4FC04602" w:rsidR="00687DDD" w:rsidRDefault="00687DDD" w:rsidP="00A5371B">
      <w:r w:rsidRPr="003E49E4">
        <w:rPr>
          <w:lang w:val="en-US"/>
        </w:rPr>
        <w:t xml:space="preserve">The information provided by ASBFEO for other services outside of dispute resolution was rated as </w:t>
      </w:r>
      <w:r w:rsidR="003A0D5E">
        <w:rPr>
          <w:lang w:val="en-US"/>
        </w:rPr>
        <w:t>‘</w:t>
      </w:r>
      <w:r w:rsidRPr="003E49E4">
        <w:rPr>
          <w:lang w:val="en-US"/>
        </w:rPr>
        <w:t>Excellent</w:t>
      </w:r>
      <w:r w:rsidR="003A0D5E">
        <w:rPr>
          <w:lang w:val="en-US"/>
        </w:rPr>
        <w:t>’</w:t>
      </w:r>
      <w:r w:rsidRPr="003E49E4">
        <w:rPr>
          <w:lang w:val="en-US"/>
        </w:rPr>
        <w:t xml:space="preserve"> by 56 per cent of those who engaged with these services. ‘‘Very informative’ by almost 19</w:t>
      </w:r>
      <w:r w:rsidR="00827745">
        <w:rPr>
          <w:lang w:val="en-US"/>
        </w:rPr>
        <w:t> </w:t>
      </w:r>
      <w:r w:rsidRPr="003E49E4">
        <w:rPr>
          <w:lang w:val="en-US"/>
        </w:rPr>
        <w:t xml:space="preserve">per cent (3 responses) and ‘Average’ by 25 per cent (4 responses). The remaining categories received no responses. </w:t>
      </w:r>
    </w:p>
    <w:p w14:paraId="1D1136E0" w14:textId="0F8BB0D3" w:rsidR="004955AE" w:rsidRDefault="004955AE" w:rsidP="00DD3F2A">
      <w:pPr>
        <w:pStyle w:val="Heading4"/>
      </w:pPr>
      <w:r>
        <w:t xml:space="preserve">Question 7: </w:t>
      </w:r>
      <w:r w:rsidRPr="00014A35">
        <w:t>What improvements could be made to ASBFEO services?</w:t>
      </w:r>
    </w:p>
    <w:p w14:paraId="7FE4FC7A" w14:textId="271CAE5E" w:rsidR="00CA0A1B" w:rsidRDefault="00CA0A1B" w:rsidP="00827745">
      <w:pPr>
        <w:pStyle w:val="ChartGraphic"/>
        <w:rPr>
          <w:lang w:val="en-US"/>
        </w:rPr>
      </w:pPr>
      <w:r>
        <w:rPr>
          <w:noProof/>
        </w:rPr>
        <w:drawing>
          <wp:inline distT="0" distB="0" distL="0" distR="0" wp14:anchorId="0980833C" wp14:editId="4528ADE2">
            <wp:extent cx="5727801" cy="2955341"/>
            <wp:effectExtent l="0" t="0" r="6350" b="0"/>
            <wp:docPr id="95450914" name="Chart 1" descr="This chart shows response to stakeholder survey question 7 &quot; What improvements could be made to ASBFEO services?&quot; Responses show &quot;Additional dispute resolution services&quot; as the most frequently selected option at 27 per cent (12 responses), while &quot;More timely assistance with disputes&quot; received the fewest 2 per cent (1 response).  A relatively even distribution is observed across the remaining categories, ranging from 5 to 9 responses.">
              <a:extLst xmlns:a="http://schemas.openxmlformats.org/drawingml/2006/main">
                <a:ext uri="{FF2B5EF4-FFF2-40B4-BE49-F238E27FC236}">
                  <a16:creationId xmlns:a16="http://schemas.microsoft.com/office/drawing/2014/main" id="{25ECB19A-A803-8420-0FED-8C7C6F2E0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1F75309" w14:textId="35D8C6C9" w:rsidR="00460398" w:rsidRDefault="00460398" w:rsidP="00A5371B">
      <w:r w:rsidRPr="00833D5F">
        <w:rPr>
          <w:lang w:val="en-US"/>
        </w:rPr>
        <w:t>Stakeholders expressed the need for improvement across all services provided, including 29 per cent for additional dispute resolution services and 17 per cent for better educational resources, 2.4</w:t>
      </w:r>
      <w:r w:rsidR="00827745">
        <w:rPr>
          <w:lang w:val="en-US"/>
        </w:rPr>
        <w:t> </w:t>
      </w:r>
      <w:r w:rsidRPr="00833D5F">
        <w:rPr>
          <w:lang w:val="en-US"/>
        </w:rPr>
        <w:t>per</w:t>
      </w:r>
      <w:r w:rsidR="00827745">
        <w:rPr>
          <w:lang w:val="en-US"/>
        </w:rPr>
        <w:t> </w:t>
      </w:r>
      <w:r w:rsidRPr="00833D5F">
        <w:rPr>
          <w:lang w:val="en-US"/>
        </w:rPr>
        <w:t>cent wanted more timely assistance with disputes.</w:t>
      </w:r>
      <w:r w:rsidRPr="003E49E4">
        <w:rPr>
          <w:lang w:val="en-US"/>
        </w:rPr>
        <w:t xml:space="preserve"> A significant portion of respondents </w:t>
      </w:r>
      <w:r>
        <w:rPr>
          <w:lang w:val="en-US"/>
        </w:rPr>
        <w:t>–</w:t>
      </w:r>
      <w:r w:rsidRPr="003E49E4">
        <w:rPr>
          <w:lang w:val="en-US"/>
        </w:rPr>
        <w:t xml:space="preserve"> about 21 per cent (9 responses)</w:t>
      </w:r>
      <w:r w:rsidRPr="00493A37">
        <w:t xml:space="preserve"> </w:t>
      </w:r>
      <w:r w:rsidRPr="00493A37">
        <w:rPr>
          <w:lang w:val="en-US"/>
        </w:rPr>
        <w:t>–</w:t>
      </w:r>
      <w:r w:rsidRPr="003E49E4">
        <w:rPr>
          <w:lang w:val="en-US"/>
        </w:rPr>
        <w:t xml:space="preserve"> selected ‘Other’, suggesting a range of unmet needs beyond the </w:t>
      </w:r>
      <w:r w:rsidRPr="003E49E4">
        <w:rPr>
          <w:lang w:val="en-US"/>
        </w:rPr>
        <w:lastRenderedPageBreak/>
        <w:t>provided options. Providing more or better educational resources received 17 pe</w:t>
      </w:r>
      <w:r>
        <w:rPr>
          <w:lang w:val="en-US"/>
        </w:rPr>
        <w:t>r</w:t>
      </w:r>
      <w:r w:rsidRPr="003E49E4">
        <w:rPr>
          <w:lang w:val="en-US"/>
        </w:rPr>
        <w:t xml:space="preserve"> cent (7 responses), better guidance/instructions 12 per cent (5 responses), and better representation of small business needs with government 19 per cent (8 responses). Overall, analysis of the stakeholder responses indicates </w:t>
      </w:r>
      <w:r>
        <w:rPr>
          <w:lang w:val="en-US"/>
        </w:rPr>
        <w:t>that the ADR function requires improvements.</w:t>
      </w:r>
    </w:p>
    <w:p w14:paraId="243E2DD8" w14:textId="77777777" w:rsidR="00594101" w:rsidRDefault="00594101" w:rsidP="00DD3F2A">
      <w:pPr>
        <w:pStyle w:val="Heading4"/>
      </w:pPr>
      <w:r>
        <w:t xml:space="preserve">Question 8: </w:t>
      </w:r>
      <w:r w:rsidRPr="00A455D2">
        <w:t>Who would you most likely contact for assistance?</w:t>
      </w:r>
    </w:p>
    <w:p w14:paraId="33015A6C" w14:textId="77777777" w:rsidR="00902B31" w:rsidRDefault="00902B31" w:rsidP="00902B31">
      <w:r>
        <w:rPr>
          <w:noProof/>
        </w:rPr>
        <w:drawing>
          <wp:inline distT="0" distB="0" distL="0" distR="0" wp14:anchorId="7403AA20" wp14:editId="7BB8F783">
            <wp:extent cx="5677134" cy="3453789"/>
            <wp:effectExtent l="0" t="0" r="0" b="0"/>
            <wp:docPr id="1431887372" name="Chart 1" descr="This chart shows response to stakeholder survey question 8 &quot;Who would you most likely contact for assistance?&quot; Professional advisors were the most frequently cited source of support, with 39 per cent (87 responses).  Industry associations/bodies and &quot;Other&quot; categories also received a substantial number of responses (12 per cent 26 responses and 13 per cent 30 responses respectively). Conversely, the Office of the Commonwealth Ombudsman and The Inspector General of Taxation and Tax Ombudsman received the fewest responses (1 per cent 2 respondents and 0.4 per cent 1 respondent respectively).  ">
              <a:extLst xmlns:a="http://schemas.openxmlformats.org/drawingml/2006/main">
                <a:ext uri="{FF2B5EF4-FFF2-40B4-BE49-F238E27FC236}">
                  <a16:creationId xmlns:a16="http://schemas.microsoft.com/office/drawing/2014/main" id="{2CEDB2E4-6703-9B99-CC43-198404B21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5F6B17B" w14:textId="29619BBF" w:rsidR="00902B31" w:rsidRDefault="00902B31" w:rsidP="00167628">
      <w:pPr>
        <w:pStyle w:val="ChartorTablenoteandsource"/>
      </w:pPr>
      <w:r>
        <w:t>Note:</w:t>
      </w:r>
      <w:r w:rsidR="00731AB8">
        <w:tab/>
      </w:r>
      <w:r>
        <w:t>Response 1: ASBFEO, Response 2: business.gov.au, Response 3: State Small Business Commissioner, Response</w:t>
      </w:r>
      <w:r w:rsidR="00556C55">
        <w:t> </w:t>
      </w:r>
      <w:r>
        <w:t>4:</w:t>
      </w:r>
      <w:r w:rsidR="00556C55">
        <w:t> </w:t>
      </w:r>
      <w:r>
        <w:t>Industry association or body, Response 5: Local Business Chambers/Chambers of Commerce and Industry, Response 6: Professional advis</w:t>
      </w:r>
      <w:r w:rsidR="00AB4422">
        <w:t>e</w:t>
      </w:r>
      <w:r>
        <w:t>r (</w:t>
      </w:r>
      <w:r w:rsidR="00AB4422">
        <w:t>for example,</w:t>
      </w:r>
      <w:r>
        <w:t xml:space="preserve"> lawyer, accountant), Response 7: State Ombudsman office, Response 8: The Inspector General of Taxation and Tax Ombudsman, Response 9: The Office of the Commonwealth Ombudsman, Response 10: Other.</w:t>
      </w:r>
    </w:p>
    <w:p w14:paraId="30E33D80" w14:textId="144CF3B0" w:rsidR="00E67737" w:rsidRPr="00833D5F" w:rsidRDefault="00460398" w:rsidP="00833D5F">
      <w:pPr>
        <w:rPr>
          <w:lang w:val="en-US"/>
        </w:rPr>
      </w:pPr>
      <w:r w:rsidRPr="00BA067E">
        <w:rPr>
          <w:lang w:val="en-US"/>
        </w:rPr>
        <w:t>When asked</w:t>
      </w:r>
      <w:r w:rsidRPr="00BA067E" w:rsidDel="004366A4">
        <w:rPr>
          <w:lang w:val="en-US"/>
        </w:rPr>
        <w:t xml:space="preserve"> </w:t>
      </w:r>
      <w:r w:rsidRPr="00BA067E">
        <w:rPr>
          <w:lang w:val="en-US"/>
        </w:rPr>
        <w:t>who the stakeholders are more likely to contact for assistance, 39 per cent of respondents contacted professional advisers, with only 8 per cent (18 responses) of respondents selecting ASBFEO.</w:t>
      </w:r>
      <w:r w:rsidRPr="001B2173">
        <w:rPr>
          <w:lang w:val="en-US"/>
        </w:rPr>
        <w:t xml:space="preserve"> The next highest categories were assistance from industry associations at 11</w:t>
      </w:r>
      <w:r w:rsidR="001351EE">
        <w:rPr>
          <w:lang w:val="en-US"/>
        </w:rPr>
        <w:t> </w:t>
      </w:r>
      <w:r w:rsidRPr="001B2173">
        <w:rPr>
          <w:lang w:val="en-US"/>
        </w:rPr>
        <w:t>per</w:t>
      </w:r>
      <w:r w:rsidR="001351EE">
        <w:rPr>
          <w:lang w:val="en-US"/>
        </w:rPr>
        <w:t> </w:t>
      </w:r>
      <w:r w:rsidRPr="001B2173">
        <w:rPr>
          <w:lang w:val="en-US"/>
        </w:rPr>
        <w:t>cent (26 responses) and ‘Other’ sources at 13 per cent (30 responses). The Office of the Commonwealth Ombudsman 0.9 per cent (2 responses) and the IGTO 0.4 per cent (1 response). Only 8 per cent (18 respondents) selected ASBFEO, business.gov.au 4.5 per cent (10), small business commissioners 8.5 per cent (15), business chambers 7.1 per cent (16) and State Ombudsman office 8.5 per cent (19). Overall, the stakeholders appear to be more comfortable reaching out to professional advisers who might already be assisting their business before contacting other agencies. </w:t>
      </w:r>
    </w:p>
    <w:p w14:paraId="6D638A50" w14:textId="47831E16" w:rsidR="00A5371B" w:rsidRDefault="00386D52" w:rsidP="00DD3F2A">
      <w:pPr>
        <w:pStyle w:val="Heading4"/>
      </w:pPr>
      <w:r>
        <w:t xml:space="preserve">Question 9: </w:t>
      </w:r>
      <w:r w:rsidRPr="00C460E6">
        <w:t>General feedback</w:t>
      </w:r>
    </w:p>
    <w:tbl>
      <w:tblPr>
        <w:tblStyle w:val="BoxStyle"/>
        <w:tblpPr w:leftFromText="180" w:rightFromText="180" w:vertAnchor="text" w:horzAnchor="margin" w:tblpY="61"/>
        <w:tblW w:w="5000" w:type="pct"/>
        <w:shd w:val="clear" w:color="auto" w:fill="F4F0EC"/>
        <w:tblLook w:val="0620" w:firstRow="1" w:lastRow="0" w:firstColumn="0" w:lastColumn="0" w:noHBand="1" w:noVBand="1"/>
      </w:tblPr>
      <w:tblGrid>
        <w:gridCol w:w="9070"/>
      </w:tblGrid>
      <w:tr w:rsidR="005B3EFE" w14:paraId="59D7D932" w14:textId="77777777" w:rsidTr="004C4118">
        <w:tc>
          <w:tcPr>
            <w:tcW w:w="5000" w:type="pct"/>
            <w:shd w:val="clear" w:color="auto" w:fill="F4F0EC"/>
            <w:hideMark/>
          </w:tcPr>
          <w:p w14:paraId="0E04665E" w14:textId="77777777" w:rsidR="005B3EFE" w:rsidRPr="00DD3F2A" w:rsidRDefault="005B3EFE" w:rsidP="005B3EFE">
            <w:pPr>
              <w:pStyle w:val="BoxText"/>
              <w:rPr>
                <w:rStyle w:val="Emphasis"/>
              </w:rPr>
            </w:pPr>
            <w:r w:rsidRPr="00DD3F2A">
              <w:rPr>
                <w:rStyle w:val="Emphasis"/>
              </w:rPr>
              <w:t>This was a free text field. 81 respondents provided a response to the question.</w:t>
            </w:r>
          </w:p>
        </w:tc>
      </w:tr>
    </w:tbl>
    <w:p w14:paraId="5B21387D" w14:textId="4F31F7A0" w:rsidR="00052BB6" w:rsidRPr="00052BB6" w:rsidRDefault="00052BB6" w:rsidP="0010234A">
      <w:r w:rsidRPr="00833D5F">
        <w:rPr>
          <w:lang w:val="en-US"/>
        </w:rPr>
        <w:lastRenderedPageBreak/>
        <w:t xml:space="preserve">Respondents expressed a need for dispute resolution system that serves small businesses, that is more </w:t>
      </w:r>
      <w:r w:rsidR="008D26DA" w:rsidRPr="00833D5F">
        <w:rPr>
          <w:lang w:val="en-US"/>
        </w:rPr>
        <w:t>affordable</w:t>
      </w:r>
      <w:r w:rsidRPr="00833D5F">
        <w:rPr>
          <w:lang w:val="en-US"/>
        </w:rPr>
        <w:t xml:space="preserve"> and puts less financial pressure on businesses already going through a difficult time resolving a dispute.</w:t>
      </w:r>
      <w:r w:rsidRPr="004D1FDF">
        <w:rPr>
          <w:b/>
          <w:bCs/>
          <w:lang w:val="en-US"/>
        </w:rPr>
        <w:t xml:space="preserve"> </w:t>
      </w:r>
      <w:r w:rsidRPr="003E49E4">
        <w:rPr>
          <w:lang w:val="en-US"/>
        </w:rPr>
        <w:t>One responde</w:t>
      </w:r>
      <w:r>
        <w:rPr>
          <w:lang w:val="en-US"/>
        </w:rPr>
        <w:t>nt</w:t>
      </w:r>
      <w:r w:rsidRPr="003E49E4">
        <w:rPr>
          <w:lang w:val="en-US"/>
        </w:rPr>
        <w:t xml:space="preserve"> stated</w:t>
      </w:r>
      <w:r w:rsidR="00D5735E">
        <w:rPr>
          <w:lang w:val="en-US"/>
        </w:rPr>
        <w:t>,</w:t>
      </w:r>
      <w:r w:rsidRPr="003E49E4">
        <w:rPr>
          <w:lang w:val="en-US"/>
        </w:rPr>
        <w:t xml:space="preserve"> </w:t>
      </w:r>
      <w:r>
        <w:rPr>
          <w:rStyle w:val="Emphasis"/>
        </w:rPr>
        <w:t>‘</w:t>
      </w:r>
      <w:r w:rsidRPr="001351EE">
        <w:rPr>
          <w:rStyle w:val="Emphasis"/>
        </w:rPr>
        <w:t>Next door sent us legal threat</w:t>
      </w:r>
      <w:r w:rsidR="001A62B6" w:rsidRPr="001351EE">
        <w:rPr>
          <w:rStyle w:val="Emphasis"/>
        </w:rPr>
        <w:t xml:space="preserve"> (sic)</w:t>
      </w:r>
      <w:r w:rsidRPr="001351EE">
        <w:rPr>
          <w:rStyle w:val="Emphasis"/>
        </w:rPr>
        <w:t>. We spent odd $5k to defend ourselves. Glad it didn</w:t>
      </w:r>
      <w:r w:rsidR="003A0D5E">
        <w:rPr>
          <w:rStyle w:val="Emphasis"/>
        </w:rPr>
        <w:t>’</w:t>
      </w:r>
      <w:r w:rsidRPr="001351EE">
        <w:rPr>
          <w:rStyle w:val="Emphasis"/>
        </w:rPr>
        <w:t>t require going to court. But lawyers and system shouldn</w:t>
      </w:r>
      <w:r w:rsidR="003A0D5E">
        <w:rPr>
          <w:rStyle w:val="Emphasis"/>
        </w:rPr>
        <w:t>’</w:t>
      </w:r>
      <w:r w:rsidRPr="001351EE">
        <w:rPr>
          <w:rStyle w:val="Emphasis"/>
        </w:rPr>
        <w:t>t make things difficult for us already financially struggling businesses.</w:t>
      </w:r>
      <w:r w:rsidR="005906EC">
        <w:rPr>
          <w:rStyle w:val="Emphasis"/>
        </w:rPr>
        <w:t>’</w:t>
      </w:r>
      <w:r w:rsidRPr="003E49E4">
        <w:rPr>
          <w:lang w:val="en-US"/>
        </w:rPr>
        <w:t xml:space="preserve"> Another</w:t>
      </w:r>
      <w:r w:rsidR="004F1C00">
        <w:rPr>
          <w:lang w:val="en-US"/>
        </w:rPr>
        <w:t xml:space="preserve"> respondent</w:t>
      </w:r>
      <w:r w:rsidRPr="003E49E4">
        <w:rPr>
          <w:lang w:val="en-US"/>
        </w:rPr>
        <w:t xml:space="preserve"> provided a detailed case study of issues that caused their business to </w:t>
      </w:r>
      <w:proofErr w:type="gramStart"/>
      <w:r w:rsidRPr="003E49E4">
        <w:rPr>
          <w:lang w:val="en-US"/>
        </w:rPr>
        <w:t>close down</w:t>
      </w:r>
      <w:proofErr w:type="gramEnd"/>
      <w:r w:rsidRPr="003E49E4">
        <w:rPr>
          <w:lang w:val="en-US"/>
        </w:rPr>
        <w:t xml:space="preserve">. </w:t>
      </w:r>
      <w:r w:rsidRPr="1188C901">
        <w:t xml:space="preserve">Written responses from the stakeholders highlighted concerns about the lack of support and awareness of ASBFEO services, with some respondents providing detailed accounts of their experiences. For example, one respondent stated, </w:t>
      </w:r>
      <w:r w:rsidR="005C2ACF">
        <w:rPr>
          <w:rStyle w:val="Emphasis"/>
        </w:rPr>
        <w:t>‘</w:t>
      </w:r>
      <w:r w:rsidRPr="001351EE">
        <w:rPr>
          <w:rStyle w:val="Emphasis"/>
        </w:rPr>
        <w:t>ASBFEO lacks a true awareness of the small business landscape, especially the role of micro business</w:t>
      </w:r>
      <w:r w:rsidR="006229F6">
        <w:rPr>
          <w:rStyle w:val="Emphasis"/>
        </w:rPr>
        <w:t>.’</w:t>
      </w:r>
      <w:r w:rsidRPr="1188C901">
        <w:t xml:space="preserve"> While </w:t>
      </w:r>
      <w:proofErr w:type="gramStart"/>
      <w:r w:rsidRPr="1188C901">
        <w:t>a number of</w:t>
      </w:r>
      <w:proofErr w:type="gramEnd"/>
      <w:r w:rsidRPr="1188C901">
        <w:t xml:space="preserve"> stakeholders expressed the professionalism and effectiveness of ASBFEO for small businesses, especially in the franchising space</w:t>
      </w:r>
      <w:r w:rsidR="00576D2C">
        <w:t>,</w:t>
      </w:r>
      <w:r w:rsidRPr="1188C901">
        <w:t xml:space="preserve"> the majority will first consult with their professional </w:t>
      </w:r>
      <w:r w:rsidR="00576D2C" w:rsidRPr="1188C901">
        <w:t>advis</w:t>
      </w:r>
      <w:r w:rsidR="00576D2C">
        <w:t>e</w:t>
      </w:r>
      <w:r w:rsidR="00576D2C" w:rsidRPr="1188C901" w:rsidDel="00AB4422">
        <w:t>r</w:t>
      </w:r>
      <w:r w:rsidR="00576D2C" w:rsidRPr="1188C901">
        <w:t>s</w:t>
      </w:r>
      <w:r w:rsidRPr="1188C901">
        <w:t xml:space="preserve"> for assistance. One responded stated</w:t>
      </w:r>
      <w:r w:rsidR="00074C75">
        <w:t>,</w:t>
      </w:r>
      <w:r w:rsidRPr="1188C901">
        <w:t xml:space="preserve"> </w:t>
      </w:r>
      <w:r w:rsidR="00074C75">
        <w:rPr>
          <w:rStyle w:val="Emphasis"/>
        </w:rPr>
        <w:t>‘</w:t>
      </w:r>
      <w:r w:rsidRPr="001351EE">
        <w:rPr>
          <w:rStyle w:val="Emphasis"/>
        </w:rPr>
        <w:t>I</w:t>
      </w:r>
      <w:r w:rsidR="003A0D5E">
        <w:rPr>
          <w:rStyle w:val="Emphasis"/>
        </w:rPr>
        <w:t>’</w:t>
      </w:r>
      <w:r w:rsidRPr="001351EE">
        <w:rPr>
          <w:rStyle w:val="Emphasis"/>
        </w:rPr>
        <w:t>ve never had a serious problem, but when I have problems, I first go to the Industry Association or TCCI and seek guidance from there as to which direction to head for resolution, be it ombudsman, professional advis</w:t>
      </w:r>
      <w:r w:rsidRPr="001351EE" w:rsidDel="00AB4422">
        <w:rPr>
          <w:rStyle w:val="Emphasis"/>
        </w:rPr>
        <w:t>o</w:t>
      </w:r>
      <w:r w:rsidRPr="001351EE">
        <w:rPr>
          <w:rStyle w:val="Emphasis"/>
        </w:rPr>
        <w:t>r etc</w:t>
      </w:r>
      <w:r w:rsidR="006229F6">
        <w:rPr>
          <w:rStyle w:val="Emphasis"/>
        </w:rPr>
        <w:t>.’</w:t>
      </w:r>
    </w:p>
    <w:p w14:paraId="2066AAB2" w14:textId="77777777" w:rsidR="00FF321F" w:rsidRDefault="00FF321F" w:rsidP="00DD3F2A">
      <w:pPr>
        <w:pStyle w:val="Heading4"/>
      </w:pPr>
      <w:r w:rsidRPr="00C460E6">
        <w:t xml:space="preserve">Question 10: </w:t>
      </w:r>
      <w:r w:rsidRPr="0037441E">
        <w:t>Demographics</w:t>
      </w:r>
    </w:p>
    <w:tbl>
      <w:tblPr>
        <w:tblStyle w:val="BoxStyle"/>
        <w:tblW w:w="5000" w:type="pct"/>
        <w:shd w:val="clear" w:color="auto" w:fill="F4F0EC"/>
        <w:tblLook w:val="0620" w:firstRow="1" w:lastRow="0" w:firstColumn="0" w:lastColumn="0" w:noHBand="1" w:noVBand="1"/>
      </w:tblPr>
      <w:tblGrid>
        <w:gridCol w:w="9070"/>
      </w:tblGrid>
      <w:tr w:rsidR="0015574C" w14:paraId="51EB7B54" w14:textId="77777777" w:rsidTr="004C4118">
        <w:tc>
          <w:tcPr>
            <w:tcW w:w="5000" w:type="pct"/>
            <w:shd w:val="clear" w:color="auto" w:fill="F4F0EC"/>
            <w:hideMark/>
          </w:tcPr>
          <w:p w14:paraId="3F08DBF7" w14:textId="0E8FF8E5" w:rsidR="0015574C" w:rsidRPr="00D2675F" w:rsidRDefault="0015574C">
            <w:pPr>
              <w:pStyle w:val="BoxText"/>
              <w:rPr>
                <w:rStyle w:val="Emphasis"/>
              </w:rPr>
            </w:pPr>
            <w:r w:rsidRPr="0015574C">
              <w:rPr>
                <w:rStyle w:val="Emphasis"/>
              </w:rPr>
              <w:t>Respondents were asked to provide their Australian post code. 179 respondents provided response to this question.</w:t>
            </w:r>
          </w:p>
        </w:tc>
      </w:tr>
    </w:tbl>
    <w:p w14:paraId="1AD2CD20" w14:textId="40B4B3FA" w:rsidR="003C293B" w:rsidRPr="00833D5F" w:rsidRDefault="00153201" w:rsidP="002C41F3">
      <w:pPr>
        <w:pStyle w:val="Heading4"/>
        <w:rPr>
          <w:rFonts w:asciiTheme="minorHAnsi" w:hAnsiTheme="minorHAnsi" w:cs="Times New Roman"/>
          <w:b w:val="0"/>
          <w:kern w:val="0"/>
          <w:sz w:val="22"/>
          <w:szCs w:val="20"/>
          <w:lang w:val="en-US"/>
        </w:rPr>
      </w:pPr>
      <w:r w:rsidRPr="00833D5F">
        <w:rPr>
          <w:rFonts w:asciiTheme="minorHAnsi" w:hAnsiTheme="minorHAnsi" w:cs="Times New Roman"/>
          <w:b w:val="0"/>
          <w:kern w:val="0"/>
          <w:sz w:val="22"/>
          <w:szCs w:val="20"/>
          <w:lang w:val="en-US"/>
        </w:rPr>
        <w:t>The demographic data collected demonstrated strong representation from a broad cross</w:t>
      </w:r>
      <w:r w:rsidR="003A0D5E">
        <w:rPr>
          <w:rFonts w:asciiTheme="minorHAnsi" w:hAnsiTheme="minorHAnsi" w:cs="Times New Roman"/>
          <w:b w:val="0"/>
          <w:kern w:val="0"/>
          <w:sz w:val="22"/>
          <w:szCs w:val="20"/>
          <w:lang w:val="en-US"/>
        </w:rPr>
        <w:noBreakHyphen/>
      </w:r>
      <w:r w:rsidRPr="00833D5F">
        <w:rPr>
          <w:rFonts w:asciiTheme="minorHAnsi" w:hAnsiTheme="minorHAnsi" w:cs="Times New Roman"/>
          <w:b w:val="0"/>
          <w:kern w:val="0"/>
          <w:sz w:val="22"/>
          <w:szCs w:val="20"/>
          <w:lang w:val="en-US"/>
        </w:rPr>
        <w:t>section of the Australian small business community, including rural, regional, and remote areas.</w:t>
      </w:r>
    </w:p>
    <w:p w14:paraId="531A7049" w14:textId="77777777" w:rsidR="001351EE" w:rsidRDefault="001351EE">
      <w:pPr>
        <w:spacing w:before="0" w:after="160" w:line="259" w:lineRule="auto"/>
        <w:rPr>
          <w:rFonts w:ascii="Calibri Light" w:hAnsi="Calibri Light" w:cs="Arial"/>
          <w:b/>
          <w:kern w:val="32"/>
          <w:sz w:val="28"/>
          <w:szCs w:val="26"/>
        </w:rPr>
      </w:pPr>
      <w:r>
        <w:br w:type="page"/>
      </w:r>
    </w:p>
    <w:p w14:paraId="5986ACAB" w14:textId="08EEFADC" w:rsidR="005F7084" w:rsidRDefault="005F7084" w:rsidP="002C41F3">
      <w:pPr>
        <w:pStyle w:val="Heading4"/>
      </w:pPr>
      <w:r w:rsidRPr="00C460E6">
        <w:lastRenderedPageBreak/>
        <w:t>Question 1</w:t>
      </w:r>
      <w:r>
        <w:t>1</w:t>
      </w:r>
      <w:r w:rsidRPr="00C460E6">
        <w:t xml:space="preserve">: </w:t>
      </w:r>
      <w:r w:rsidRPr="000A44D7">
        <w:t>Please indicate if you identify with any of the following:</w:t>
      </w:r>
    </w:p>
    <w:p w14:paraId="1533C326" w14:textId="77777777" w:rsidR="005709A4" w:rsidRDefault="005709A4" w:rsidP="005709A4">
      <w:r>
        <w:rPr>
          <w:noProof/>
        </w:rPr>
        <w:drawing>
          <wp:inline distT="0" distB="0" distL="0" distR="0" wp14:anchorId="06569CB6" wp14:editId="3474B24D">
            <wp:extent cx="5727622" cy="2665131"/>
            <wp:effectExtent l="0" t="0" r="6985" b="1905"/>
            <wp:docPr id="852116227" name="Chart 1" descr="This chart shows response to stakeholder survey question 11 &quot;Please indicate if you identify with any of the following: Commonwealth Agency, Family Enterprise, Franchisee, Franchisor, Interested member of the public, Professional advisor (e.g. lawyer, accountant), Representative of Industry Association or Body, Small Business, State and Territory Agency and Other. Small businesses constitute the largest respondent group 56 per cent (185 responses), followed by Family Enterprise 14 per cent (46 responses), interested members of the public 7 per cent (24 responses) and professional advisors 9 per cent  (31 responses). Responses from Commonwealth and State/Territory agencies were comparatively low (0.3 per cent 1 respondent and 1 per cent 3 respondents respectively).  A notable number of respondents identified as representatives of industry associations or bodies 4 per cent (13 responses).">
              <a:extLst xmlns:a="http://schemas.openxmlformats.org/drawingml/2006/main">
                <a:ext uri="{FF2B5EF4-FFF2-40B4-BE49-F238E27FC236}">
                  <a16:creationId xmlns:a16="http://schemas.microsoft.com/office/drawing/2014/main" id="{E47B1081-CE4D-A75B-C5D7-37958E6FC7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DD242B9" w14:textId="54BE65FF" w:rsidR="005709A4" w:rsidRPr="00D976DC" w:rsidRDefault="005709A4" w:rsidP="00167628">
      <w:pPr>
        <w:pStyle w:val="ChartorTablenoteandsource"/>
      </w:pPr>
      <w:r w:rsidRPr="00D976DC">
        <w:t>Note:</w:t>
      </w:r>
      <w:r w:rsidR="001351EE">
        <w:tab/>
      </w:r>
      <w:r w:rsidRPr="00D976DC">
        <w:t>Response 1: Commonwealth Agency, Response 2: Family Enterprise, Response 3: Franchisee, Response</w:t>
      </w:r>
      <w:r w:rsidR="00556C55">
        <w:t> </w:t>
      </w:r>
      <w:r w:rsidRPr="00D976DC">
        <w:t>4:</w:t>
      </w:r>
      <w:r w:rsidR="00556C55">
        <w:t> </w:t>
      </w:r>
      <w:r w:rsidRPr="00D976DC">
        <w:t>Franchisor, Response 5: Interested member of the public, Response 6: Professional advisor (</w:t>
      </w:r>
      <w:r w:rsidR="0025021A">
        <w:t>for example,</w:t>
      </w:r>
      <w:r w:rsidRPr="00D976DC">
        <w:t xml:space="preserve"> lawyer, accountant), Response 7: Representative of Industry Association or Body, Response 8: Small Business, Response 9: State and Territory Agency, Response 10: Other</w:t>
      </w:r>
      <w:r>
        <w:t>.</w:t>
      </w:r>
    </w:p>
    <w:p w14:paraId="51729126" w14:textId="60CEEB0D" w:rsidR="0032157D" w:rsidRDefault="0032157D" w:rsidP="0032157D">
      <w:pPr>
        <w:rPr>
          <w:lang w:val="en-US"/>
        </w:rPr>
      </w:pPr>
      <w:r w:rsidRPr="003E49E4">
        <w:rPr>
          <w:lang w:val="en-US"/>
        </w:rPr>
        <w:t>Most of the responses were from small businesses at 56 per cent (185 responses), followed by 14</w:t>
      </w:r>
      <w:r w:rsidR="00E012CD">
        <w:rPr>
          <w:lang w:val="en-US"/>
        </w:rPr>
        <w:t> </w:t>
      </w:r>
      <w:r w:rsidRPr="003E49E4">
        <w:rPr>
          <w:lang w:val="en-US"/>
        </w:rPr>
        <w:t>per</w:t>
      </w:r>
      <w:r w:rsidR="00E012CD">
        <w:rPr>
          <w:lang w:val="en-US"/>
        </w:rPr>
        <w:t> </w:t>
      </w:r>
      <w:r w:rsidRPr="003E49E4">
        <w:rPr>
          <w:lang w:val="en-US"/>
        </w:rPr>
        <w:t>cent of family enterprises (46 responses) followed by professional advis</w:t>
      </w:r>
      <w:r>
        <w:rPr>
          <w:lang w:val="en-US"/>
        </w:rPr>
        <w:t>e</w:t>
      </w:r>
      <w:r w:rsidRPr="003E49E4">
        <w:rPr>
          <w:lang w:val="en-US"/>
        </w:rPr>
        <w:t>rs at almost 10</w:t>
      </w:r>
      <w:r w:rsidR="00E012CD">
        <w:rPr>
          <w:lang w:val="en-US"/>
        </w:rPr>
        <w:t> </w:t>
      </w:r>
      <w:r w:rsidRPr="003E49E4">
        <w:rPr>
          <w:lang w:val="en-US"/>
        </w:rPr>
        <w:t>per</w:t>
      </w:r>
      <w:r w:rsidR="00E012CD">
        <w:rPr>
          <w:lang w:val="en-US"/>
        </w:rPr>
        <w:t> </w:t>
      </w:r>
      <w:r w:rsidRPr="003E49E4">
        <w:rPr>
          <w:lang w:val="en-US"/>
        </w:rPr>
        <w:t>cent (31 responses) and then 7 per cent from interested members of the public (24</w:t>
      </w:r>
      <w:r w:rsidR="0082583B">
        <w:rPr>
          <w:lang w:val="en-US"/>
        </w:rPr>
        <w:t> </w:t>
      </w:r>
      <w:r w:rsidRPr="003E49E4">
        <w:rPr>
          <w:lang w:val="en-US"/>
        </w:rPr>
        <w:t xml:space="preserve">responses). Franchisors were notably absent from the responses, while </w:t>
      </w:r>
      <w:r>
        <w:rPr>
          <w:lang w:val="en-US"/>
        </w:rPr>
        <w:t>f</w:t>
      </w:r>
      <w:r w:rsidRPr="003E49E4">
        <w:rPr>
          <w:lang w:val="en-US"/>
        </w:rPr>
        <w:t>ranchisees made up 3</w:t>
      </w:r>
      <w:r w:rsidR="0082583B">
        <w:rPr>
          <w:lang w:val="en-US"/>
        </w:rPr>
        <w:t> </w:t>
      </w:r>
      <w:r w:rsidRPr="003E49E4">
        <w:rPr>
          <w:lang w:val="en-US"/>
        </w:rPr>
        <w:t>per</w:t>
      </w:r>
      <w:r w:rsidR="0082583B">
        <w:rPr>
          <w:lang w:val="en-US"/>
        </w:rPr>
        <w:t> </w:t>
      </w:r>
      <w:r w:rsidRPr="003E49E4">
        <w:rPr>
          <w:lang w:val="en-US"/>
        </w:rPr>
        <w:t xml:space="preserve">cent of responses (11 responses). </w:t>
      </w:r>
    </w:p>
    <w:p w14:paraId="30926594" w14:textId="77777777" w:rsidR="00246A69" w:rsidRPr="003E49E4" w:rsidRDefault="00246A69" w:rsidP="00246A69">
      <w:pPr>
        <w:pStyle w:val="Heading4"/>
        <w:rPr>
          <w:lang w:val="en-US"/>
        </w:rPr>
      </w:pPr>
      <w:r w:rsidRPr="003E49E4">
        <w:rPr>
          <w:lang w:val="en-US"/>
        </w:rPr>
        <w:t>Franchisee</w:t>
      </w:r>
    </w:p>
    <w:p w14:paraId="7B4FBD66" w14:textId="7E3206E1" w:rsidR="00246A69" w:rsidRPr="003E49E4" w:rsidRDefault="00246A69" w:rsidP="00246A69">
      <w:pPr>
        <w:rPr>
          <w:lang w:val="en-US"/>
        </w:rPr>
      </w:pPr>
      <w:r>
        <w:rPr>
          <w:lang w:val="en-US"/>
        </w:rPr>
        <w:t>Out of</w:t>
      </w:r>
      <w:r w:rsidRPr="003E49E4">
        <w:rPr>
          <w:lang w:val="en-US"/>
        </w:rPr>
        <w:t xml:space="preserve"> the 3</w:t>
      </w:r>
      <w:r>
        <w:rPr>
          <w:lang w:val="en-US"/>
        </w:rPr>
        <w:t> </w:t>
      </w:r>
      <w:r w:rsidRPr="003E49E4">
        <w:rPr>
          <w:lang w:val="en-US"/>
        </w:rPr>
        <w:t xml:space="preserve">per cent of franchisees that responded </w:t>
      </w:r>
      <w:r>
        <w:rPr>
          <w:lang w:val="en-US"/>
        </w:rPr>
        <w:t>to the survey</w:t>
      </w:r>
      <w:r w:rsidRPr="003E49E4">
        <w:rPr>
          <w:lang w:val="en-US"/>
        </w:rPr>
        <w:t xml:space="preserve"> (11</w:t>
      </w:r>
      <w:r>
        <w:rPr>
          <w:lang w:val="en-US"/>
        </w:rPr>
        <w:t> </w:t>
      </w:r>
      <w:r w:rsidRPr="003E49E4">
        <w:rPr>
          <w:lang w:val="en-US"/>
        </w:rPr>
        <w:t>responses), 55</w:t>
      </w:r>
      <w:r>
        <w:rPr>
          <w:lang w:val="en-US"/>
        </w:rPr>
        <w:t> </w:t>
      </w:r>
      <w:r w:rsidRPr="003E49E4">
        <w:rPr>
          <w:lang w:val="en-US"/>
        </w:rPr>
        <w:t>per cent have never heard of ASBFEO (6</w:t>
      </w:r>
      <w:r>
        <w:rPr>
          <w:lang w:val="en-US"/>
        </w:rPr>
        <w:t> </w:t>
      </w:r>
      <w:r w:rsidRPr="003E49E4">
        <w:rPr>
          <w:lang w:val="en-US"/>
        </w:rPr>
        <w:t xml:space="preserve">responses). Out of those who </w:t>
      </w:r>
      <w:r>
        <w:rPr>
          <w:lang w:val="en-US"/>
        </w:rPr>
        <w:t>have</w:t>
      </w:r>
      <w:r w:rsidRPr="003E49E4">
        <w:rPr>
          <w:lang w:val="en-US"/>
        </w:rPr>
        <w:t xml:space="preserve"> never heard of them (6 responses)</w:t>
      </w:r>
      <w:r>
        <w:rPr>
          <w:lang w:val="en-US"/>
        </w:rPr>
        <w:t>,</w:t>
      </w:r>
      <w:r w:rsidRPr="003E49E4">
        <w:rPr>
          <w:lang w:val="en-US"/>
        </w:rPr>
        <w:t xml:space="preserve"> 50</w:t>
      </w:r>
      <w:r w:rsidR="0082583B">
        <w:rPr>
          <w:lang w:val="en-US"/>
        </w:rPr>
        <w:t> </w:t>
      </w:r>
      <w:r w:rsidRPr="003E49E4">
        <w:rPr>
          <w:lang w:val="en-US"/>
        </w:rPr>
        <w:t>per cent (3 responses) identified as being from regional and remote areas. Furthermore, out of the 11 responses received, 27</w:t>
      </w:r>
      <w:r>
        <w:rPr>
          <w:lang w:val="en-US"/>
        </w:rPr>
        <w:t> </w:t>
      </w:r>
      <w:r w:rsidRPr="003E49E4">
        <w:rPr>
          <w:lang w:val="en-US"/>
        </w:rPr>
        <w:t>per cent identified as CALD and 27</w:t>
      </w:r>
      <w:r>
        <w:rPr>
          <w:lang w:val="en-US"/>
        </w:rPr>
        <w:t> </w:t>
      </w:r>
      <w:r w:rsidRPr="003E49E4">
        <w:rPr>
          <w:lang w:val="en-US"/>
        </w:rPr>
        <w:t>per</w:t>
      </w:r>
      <w:r>
        <w:rPr>
          <w:lang w:val="en-US"/>
        </w:rPr>
        <w:t xml:space="preserve"> </w:t>
      </w:r>
      <w:r w:rsidRPr="003E49E4">
        <w:rPr>
          <w:lang w:val="en-US"/>
        </w:rPr>
        <w:t>cent as</w:t>
      </w:r>
      <w:r>
        <w:rPr>
          <w:lang w:val="en-US"/>
        </w:rPr>
        <w:t xml:space="preserve"> being from a</w:t>
      </w:r>
      <w:r w:rsidRPr="003E49E4">
        <w:rPr>
          <w:lang w:val="en-US"/>
        </w:rPr>
        <w:t xml:space="preserve"> regional and remote location. </w:t>
      </w:r>
    </w:p>
    <w:p w14:paraId="3D21DBB4" w14:textId="77777777" w:rsidR="00246A69" w:rsidRPr="003E49E4" w:rsidRDefault="00246A69" w:rsidP="00246A69">
      <w:pPr>
        <w:rPr>
          <w:lang w:val="en-US"/>
        </w:rPr>
      </w:pPr>
      <w:r>
        <w:rPr>
          <w:lang w:val="en-US"/>
        </w:rPr>
        <w:t>F</w:t>
      </w:r>
      <w:r w:rsidRPr="003E49E4">
        <w:rPr>
          <w:lang w:val="en-US"/>
        </w:rPr>
        <w:t>ranchisees</w:t>
      </w:r>
      <w:r>
        <w:rPr>
          <w:lang w:val="en-US"/>
        </w:rPr>
        <w:t xml:space="preserve"> provided several comments</w:t>
      </w:r>
      <w:r w:rsidRPr="003E49E4">
        <w:rPr>
          <w:lang w:val="en-US"/>
        </w:rPr>
        <w:t xml:space="preserve"> to support their responses. These are listed below.</w:t>
      </w:r>
    </w:p>
    <w:p w14:paraId="56F666B9" w14:textId="41897FAF" w:rsidR="00246A69" w:rsidRPr="003E49E4" w:rsidRDefault="00246A69" w:rsidP="00246A69">
      <w:r w:rsidRPr="1188C901">
        <w:t xml:space="preserve">One franchisee from </w:t>
      </w:r>
      <w:r>
        <w:t>a</w:t>
      </w:r>
      <w:r w:rsidRPr="1188C901">
        <w:t xml:space="preserve"> regional area, who </w:t>
      </w:r>
      <w:r>
        <w:t>had</w:t>
      </w:r>
      <w:r w:rsidRPr="1188C901">
        <w:t xml:space="preserve"> an unresolved dispute stated, </w:t>
      </w:r>
      <w:r w:rsidRPr="003626C4">
        <w:rPr>
          <w:rStyle w:val="Emphasis"/>
        </w:rPr>
        <w:t xml:space="preserve">‘I have lost faith on </w:t>
      </w:r>
      <w:r w:rsidRPr="00896BC2">
        <w:rPr>
          <w:rStyle w:val="Emphasis"/>
          <w:i w:val="0"/>
          <w:iCs w:val="0"/>
        </w:rPr>
        <w:t>[sic]</w:t>
      </w:r>
      <w:r w:rsidRPr="003626C4">
        <w:rPr>
          <w:rStyle w:val="Emphasis"/>
        </w:rPr>
        <w:t xml:space="preserve"> these agencies from the dealing with ASBFEO</w:t>
      </w:r>
      <w:r w:rsidR="006229F6" w:rsidRPr="003626C4">
        <w:rPr>
          <w:rStyle w:val="Emphasis"/>
        </w:rPr>
        <w:t>.’</w:t>
      </w:r>
      <w:r w:rsidRPr="1188C901">
        <w:t xml:space="preserve"> Furthermore,</w:t>
      </w:r>
      <w:r>
        <w:t xml:space="preserve"> a</w:t>
      </w:r>
      <w:r w:rsidRPr="1188C901">
        <w:t xml:space="preserve"> statement was made </w:t>
      </w:r>
      <w:r>
        <w:t>about</w:t>
      </w:r>
      <w:r w:rsidRPr="1188C901">
        <w:t xml:space="preserve"> improvements to ASBFEO services</w:t>
      </w:r>
      <w:r>
        <w:t>. It said</w:t>
      </w:r>
      <w:r w:rsidRPr="1188C901">
        <w:t xml:space="preserve">, </w:t>
      </w:r>
      <w:r w:rsidRPr="003626C4">
        <w:rPr>
          <w:rStyle w:val="Emphasis"/>
        </w:rPr>
        <w:t xml:space="preserve">‘They are an agency which is not much of </w:t>
      </w:r>
      <w:r w:rsidRPr="00896BC2">
        <w:rPr>
          <w:rStyle w:val="Emphasis"/>
          <w:i w:val="0"/>
          <w:iCs w:val="0"/>
        </w:rPr>
        <w:t>[sic]</w:t>
      </w:r>
      <w:r w:rsidRPr="003626C4">
        <w:rPr>
          <w:rStyle w:val="Emphasis"/>
        </w:rPr>
        <w:t xml:space="preserve"> use to the small business/franchisees and is a big waste of taxpayer money</w:t>
      </w:r>
      <w:r w:rsidR="006229F6" w:rsidRPr="003626C4">
        <w:rPr>
          <w:rStyle w:val="Emphasis"/>
        </w:rPr>
        <w:t>.’</w:t>
      </w:r>
    </w:p>
    <w:p w14:paraId="45CFBB59" w14:textId="420B2E80" w:rsidR="00246A69" w:rsidRPr="003E49E4" w:rsidRDefault="00246A69" w:rsidP="00246A69">
      <w:pPr>
        <w:rPr>
          <w:lang w:val="en-US"/>
        </w:rPr>
      </w:pPr>
      <w:r>
        <w:rPr>
          <w:lang w:val="en-US"/>
        </w:rPr>
        <w:t>F</w:t>
      </w:r>
      <w:r w:rsidRPr="003E49E4">
        <w:rPr>
          <w:lang w:val="en-US"/>
        </w:rPr>
        <w:t>ranchisees</w:t>
      </w:r>
      <w:r>
        <w:rPr>
          <w:lang w:val="en-US"/>
        </w:rPr>
        <w:t xml:space="preserve"> provided further comments </w:t>
      </w:r>
      <w:r w:rsidRPr="003E49E4">
        <w:rPr>
          <w:lang w:val="en-US"/>
        </w:rPr>
        <w:t>under general feedback. These are listed:</w:t>
      </w:r>
    </w:p>
    <w:p w14:paraId="4D530DA3" w14:textId="53D6FC29" w:rsidR="00246A69" w:rsidRPr="003626C4" w:rsidRDefault="00246A69">
      <w:pPr>
        <w:pStyle w:val="Bullet"/>
        <w:numPr>
          <w:ilvl w:val="0"/>
          <w:numId w:val="0"/>
        </w:numPr>
        <w:rPr>
          <w:rStyle w:val="Emphasis"/>
        </w:rPr>
      </w:pPr>
      <w:r>
        <w:rPr>
          <w:rStyle w:val="Emphasis"/>
        </w:rPr>
        <w:t>‘</w:t>
      </w:r>
      <w:r w:rsidRPr="003626C4">
        <w:rPr>
          <w:rStyle w:val="Emphasis"/>
        </w:rPr>
        <w:t xml:space="preserve">There is still no protection for tenants of major shopping centres, as our rent is too high, and we are considered ‘big business’ despite the massive power imbalance we face. I have had to sit in a room with six lawyers and leasing executives from Westfield with only me and my lease negotiator. I ended up getting the (then) commissioner for small business to assist. If that were to happen again, I would </w:t>
      </w:r>
      <w:r w:rsidRPr="003626C4">
        <w:rPr>
          <w:rStyle w:val="Emphasis"/>
        </w:rPr>
        <w:lastRenderedPageBreak/>
        <w:t>have zero protection under the act and would have to rely on ‘unconscionable conduct’ to get anywhere – which is extremely difficult.</w:t>
      </w:r>
      <w:r>
        <w:rPr>
          <w:rStyle w:val="Emphasis"/>
        </w:rPr>
        <w:t>’</w:t>
      </w:r>
    </w:p>
    <w:p w14:paraId="063F0AEC" w14:textId="654A0FFB" w:rsidR="00246A69" w:rsidRPr="003626C4" w:rsidRDefault="00246A69">
      <w:pPr>
        <w:pStyle w:val="Bullet"/>
        <w:numPr>
          <w:ilvl w:val="0"/>
          <w:numId w:val="0"/>
        </w:numPr>
        <w:rPr>
          <w:rStyle w:val="Emphasis"/>
        </w:rPr>
      </w:pPr>
      <w:r>
        <w:rPr>
          <w:rStyle w:val="Emphasis"/>
        </w:rPr>
        <w:t>‘</w:t>
      </w:r>
      <w:r w:rsidRPr="003626C4">
        <w:rPr>
          <w:rStyle w:val="Emphasis"/>
        </w:rPr>
        <w:t>Without Prejudice, I have also contacted ACCC, Scam Watch, ATO etc regarding the Franchise and Fraud, misrepresentations, and embezzlement with written proof and they appear to have just ignored it and taken no action. Hundreds of people have lost their money, I guess because the funds range in the low level (between $16</w:t>
      </w:r>
      <w:r w:rsidR="003A0D5E">
        <w:rPr>
          <w:rStyle w:val="Emphasis"/>
        </w:rPr>
        <w:noBreakHyphen/>
      </w:r>
      <w:r w:rsidRPr="003626C4">
        <w:rPr>
          <w:rStyle w:val="Emphasis"/>
        </w:rPr>
        <w:t>50K approximately) no one is interested. Guess it is ok for hard</w:t>
      </w:r>
      <w:r w:rsidRPr="003626C4">
        <w:rPr>
          <w:rStyle w:val="Emphasis"/>
        </w:rPr>
        <w:noBreakHyphen/>
        <w:t>working people to lose money. Perhaps the franchisor has an interest in this department as it is crystal clear there are breaches of the law.</w:t>
      </w:r>
      <w:r>
        <w:rPr>
          <w:rStyle w:val="Emphasis"/>
        </w:rPr>
        <w:t>’</w:t>
      </w:r>
    </w:p>
    <w:p w14:paraId="5011AA05" w14:textId="277ADEF9" w:rsidR="00246A69" w:rsidRPr="00833D5F" w:rsidRDefault="00246A69" w:rsidP="00833D5F">
      <w:pPr>
        <w:rPr>
          <w:lang w:val="en-US"/>
        </w:rPr>
      </w:pPr>
      <w:r w:rsidRPr="003E49E4">
        <w:rPr>
          <w:lang w:val="en-US"/>
        </w:rPr>
        <w:t>The dispute for the 3.3</w:t>
      </w:r>
      <w:r>
        <w:rPr>
          <w:lang w:val="en-US"/>
        </w:rPr>
        <w:t> </w:t>
      </w:r>
      <w:r w:rsidRPr="003E49E4">
        <w:rPr>
          <w:lang w:val="en-US"/>
        </w:rPr>
        <w:t>per cent of franchisees (11</w:t>
      </w:r>
      <w:r>
        <w:rPr>
          <w:lang w:val="en-US"/>
        </w:rPr>
        <w:t> </w:t>
      </w:r>
      <w:r w:rsidRPr="003E49E4">
        <w:rPr>
          <w:lang w:val="en-US"/>
        </w:rPr>
        <w:t xml:space="preserve">respondents) was resolved </w:t>
      </w:r>
      <w:r>
        <w:rPr>
          <w:lang w:val="en-US"/>
        </w:rPr>
        <w:t>in</w:t>
      </w:r>
      <w:r w:rsidRPr="003E49E4">
        <w:rPr>
          <w:lang w:val="en-US"/>
        </w:rPr>
        <w:t xml:space="preserve"> the following ways</w:t>
      </w:r>
      <w:r>
        <w:rPr>
          <w:lang w:val="en-US"/>
        </w:rPr>
        <w:t>:</w:t>
      </w:r>
      <w:r w:rsidRPr="003E49E4">
        <w:rPr>
          <w:lang w:val="en-US"/>
        </w:rPr>
        <w:t xml:space="preserve"> 9 per cent (1 respondent) did not resolve the dispute, 27</w:t>
      </w:r>
      <w:r>
        <w:rPr>
          <w:lang w:val="en-US"/>
        </w:rPr>
        <w:t> </w:t>
      </w:r>
      <w:r w:rsidRPr="003E49E4">
        <w:rPr>
          <w:lang w:val="en-US"/>
        </w:rPr>
        <w:t>per cent (3</w:t>
      </w:r>
      <w:r>
        <w:rPr>
          <w:lang w:val="en-US"/>
        </w:rPr>
        <w:t> </w:t>
      </w:r>
      <w:r w:rsidRPr="003E49E4">
        <w:rPr>
          <w:lang w:val="en-US"/>
        </w:rPr>
        <w:t xml:space="preserve">responses) resolve it through discussion with other party, 9 per cent (1 respondent) stated that their dispute was not resolved to their satisfaction as </w:t>
      </w:r>
      <w:r w:rsidRPr="003626C4">
        <w:rPr>
          <w:rStyle w:val="Emphasis"/>
        </w:rPr>
        <w:t>‘They did not attend to my queries and they did not do anything to resolve the dispute’</w:t>
      </w:r>
      <w:r w:rsidRPr="003E49E4">
        <w:rPr>
          <w:lang w:val="en-US"/>
        </w:rPr>
        <w:t>.</w:t>
      </w:r>
    </w:p>
    <w:p w14:paraId="256E379D" w14:textId="77777777" w:rsidR="004A493F" w:rsidRDefault="004A493F" w:rsidP="002C41F3">
      <w:pPr>
        <w:pStyle w:val="Heading4"/>
      </w:pPr>
      <w:r>
        <w:t xml:space="preserve">Question 12: </w:t>
      </w:r>
      <w:r w:rsidRPr="00A06F62">
        <w:t>Please indicate if you identify with any of the following:</w:t>
      </w:r>
    </w:p>
    <w:p w14:paraId="1DCC211A" w14:textId="2D298685" w:rsidR="00F82C05" w:rsidRDefault="00F82C05" w:rsidP="006B693E">
      <w:pPr>
        <w:pStyle w:val="ChartGraphic"/>
      </w:pPr>
      <w:r>
        <w:rPr>
          <w:noProof/>
        </w:rPr>
        <w:drawing>
          <wp:inline distT="0" distB="0" distL="0" distR="0" wp14:anchorId="2D1A57F6" wp14:editId="0B2177BE">
            <wp:extent cx="5449824" cy="2842438"/>
            <wp:effectExtent l="0" t="0" r="0" b="0"/>
            <wp:docPr id="680447518" name="Chart 1" descr="This chart shows response to stakeholder survey question 12 &quot;Please indicate if you identify with any of the following: Culturally and linguistically diverse, First Nations, Regional or remote business location and Women&quot;. Women comprised the largest group 49 per cent (116 responses), followed by those identifying as from regional or remote business locations 36 per cent (84 responses). Culturally and linguistically diverse respondents 11 per cent (26 responses) and First Nations respondents 4 per cent (10 responses) represented smaller proportions of the total.">
              <a:extLst xmlns:a="http://schemas.openxmlformats.org/drawingml/2006/main">
                <a:ext uri="{FF2B5EF4-FFF2-40B4-BE49-F238E27FC236}">
                  <a16:creationId xmlns:a16="http://schemas.microsoft.com/office/drawing/2014/main" id="{A6D0853D-EB36-EBFD-BA37-6BA520788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CF48BD3" w14:textId="1566F417" w:rsidR="003E49E4" w:rsidRPr="003E49E4" w:rsidRDefault="0050564D" w:rsidP="00833D5F">
      <w:pPr>
        <w:pStyle w:val="Heading4"/>
        <w:rPr>
          <w:lang w:val="en-US"/>
        </w:rPr>
      </w:pPr>
      <w:r w:rsidRPr="00CB1D84">
        <w:rPr>
          <w:rFonts w:asciiTheme="minorHAnsi" w:hAnsiTheme="minorHAnsi" w:cs="Times New Roman"/>
          <w:b w:val="0"/>
          <w:kern w:val="0"/>
          <w:sz w:val="22"/>
          <w:szCs w:val="20"/>
          <w:lang w:val="en-US"/>
        </w:rPr>
        <w:t xml:space="preserve">Women </w:t>
      </w:r>
      <w:r w:rsidR="003E49E4" w:rsidRPr="00CB1D84">
        <w:rPr>
          <w:rFonts w:asciiTheme="minorHAnsi" w:hAnsiTheme="minorHAnsi" w:cs="Times New Roman"/>
          <w:b w:val="0"/>
          <w:kern w:val="0"/>
          <w:sz w:val="22"/>
          <w:szCs w:val="20"/>
          <w:lang w:val="en-US"/>
        </w:rPr>
        <w:t xml:space="preserve">represented the largest group </w:t>
      </w:r>
      <w:r w:rsidR="00B845BF" w:rsidRPr="00CB1D84">
        <w:rPr>
          <w:rFonts w:asciiTheme="minorHAnsi" w:hAnsiTheme="minorHAnsi" w:cs="Times New Roman"/>
          <w:b w:val="0"/>
          <w:kern w:val="0"/>
          <w:sz w:val="22"/>
          <w:szCs w:val="20"/>
          <w:lang w:val="en-US"/>
        </w:rPr>
        <w:t>of survey respondents</w:t>
      </w:r>
      <w:r w:rsidR="003E49E4" w:rsidRPr="00CB1D84">
        <w:rPr>
          <w:rFonts w:asciiTheme="minorHAnsi" w:hAnsiTheme="minorHAnsi" w:cs="Times New Roman"/>
          <w:b w:val="0"/>
          <w:kern w:val="0"/>
          <w:sz w:val="22"/>
          <w:szCs w:val="20"/>
          <w:lang w:val="en-US"/>
        </w:rPr>
        <w:t xml:space="preserve"> at almost 50</w:t>
      </w:r>
      <w:r w:rsidR="003626C4" w:rsidRPr="00CB1D84">
        <w:rPr>
          <w:rFonts w:asciiTheme="minorHAnsi" w:hAnsiTheme="minorHAnsi" w:cs="Times New Roman"/>
          <w:b w:val="0"/>
          <w:kern w:val="0"/>
          <w:sz w:val="22"/>
          <w:szCs w:val="20"/>
          <w:lang w:val="en-US"/>
        </w:rPr>
        <w:t> </w:t>
      </w:r>
      <w:r w:rsidR="003E49E4" w:rsidRPr="00CB1D84">
        <w:rPr>
          <w:rFonts w:asciiTheme="minorHAnsi" w:hAnsiTheme="minorHAnsi" w:cs="Times New Roman"/>
          <w:b w:val="0"/>
          <w:kern w:val="0"/>
          <w:sz w:val="22"/>
          <w:szCs w:val="20"/>
          <w:lang w:val="en-US"/>
        </w:rPr>
        <w:t>per cent (116</w:t>
      </w:r>
      <w:r w:rsidR="003626C4" w:rsidRPr="00CB1D84">
        <w:rPr>
          <w:rFonts w:asciiTheme="minorHAnsi" w:hAnsiTheme="minorHAnsi" w:cs="Times New Roman"/>
          <w:b w:val="0"/>
          <w:kern w:val="0"/>
          <w:sz w:val="22"/>
          <w:szCs w:val="20"/>
          <w:lang w:val="en-US"/>
        </w:rPr>
        <w:t> </w:t>
      </w:r>
      <w:r w:rsidR="003E49E4" w:rsidRPr="00CB1D84">
        <w:rPr>
          <w:rFonts w:asciiTheme="minorHAnsi" w:hAnsiTheme="minorHAnsi" w:cs="Times New Roman"/>
          <w:b w:val="0"/>
          <w:kern w:val="0"/>
          <w:sz w:val="22"/>
          <w:szCs w:val="20"/>
          <w:lang w:val="en-US"/>
        </w:rPr>
        <w:t xml:space="preserve">responses) followed by those identifying as </w:t>
      </w:r>
      <w:r w:rsidR="00106326" w:rsidRPr="00CB1D84">
        <w:rPr>
          <w:rFonts w:asciiTheme="minorHAnsi" w:hAnsiTheme="minorHAnsi" w:cs="Times New Roman"/>
          <w:b w:val="0"/>
          <w:kern w:val="0"/>
          <w:sz w:val="22"/>
          <w:szCs w:val="20"/>
          <w:lang w:val="en-US"/>
        </w:rPr>
        <w:t>being</w:t>
      </w:r>
      <w:r w:rsidR="003E49E4" w:rsidRPr="00CB1D84">
        <w:rPr>
          <w:rFonts w:asciiTheme="minorHAnsi" w:hAnsiTheme="minorHAnsi" w:cs="Times New Roman"/>
          <w:b w:val="0"/>
          <w:kern w:val="0"/>
          <w:sz w:val="22"/>
          <w:szCs w:val="20"/>
          <w:lang w:val="en-US"/>
        </w:rPr>
        <w:t xml:space="preserve"> </w:t>
      </w:r>
      <w:r w:rsidR="0010392C" w:rsidRPr="00CB1D84">
        <w:rPr>
          <w:rFonts w:asciiTheme="minorHAnsi" w:hAnsiTheme="minorHAnsi" w:cs="Times New Roman"/>
          <w:b w:val="0"/>
          <w:kern w:val="0"/>
          <w:sz w:val="22"/>
          <w:szCs w:val="20"/>
          <w:lang w:val="en-US"/>
        </w:rPr>
        <w:t xml:space="preserve">from </w:t>
      </w:r>
      <w:r w:rsidR="003E49E4" w:rsidRPr="00CB1D84">
        <w:rPr>
          <w:rFonts w:asciiTheme="minorHAnsi" w:hAnsiTheme="minorHAnsi" w:cs="Times New Roman"/>
          <w:b w:val="0"/>
          <w:kern w:val="0"/>
          <w:sz w:val="22"/>
          <w:szCs w:val="20"/>
          <w:lang w:val="en-US"/>
        </w:rPr>
        <w:t>regional or remote business locations at 36</w:t>
      </w:r>
      <w:r w:rsidR="003626C4" w:rsidRPr="00CB1D84">
        <w:rPr>
          <w:rFonts w:asciiTheme="minorHAnsi" w:hAnsiTheme="minorHAnsi" w:cs="Times New Roman"/>
          <w:b w:val="0"/>
          <w:kern w:val="0"/>
          <w:sz w:val="22"/>
          <w:szCs w:val="20"/>
          <w:lang w:val="en-US"/>
        </w:rPr>
        <w:t> </w:t>
      </w:r>
      <w:r w:rsidR="003E49E4" w:rsidRPr="00CB1D84">
        <w:rPr>
          <w:rFonts w:asciiTheme="minorHAnsi" w:hAnsiTheme="minorHAnsi" w:cs="Times New Roman"/>
          <w:b w:val="0"/>
          <w:kern w:val="0"/>
          <w:sz w:val="22"/>
          <w:szCs w:val="20"/>
          <w:lang w:val="en-US"/>
        </w:rPr>
        <w:t>per cent (84</w:t>
      </w:r>
      <w:r w:rsidR="003626C4" w:rsidRPr="00CB1D84">
        <w:rPr>
          <w:rFonts w:asciiTheme="minorHAnsi" w:hAnsiTheme="minorHAnsi" w:cs="Times New Roman"/>
          <w:b w:val="0"/>
          <w:kern w:val="0"/>
          <w:sz w:val="22"/>
          <w:szCs w:val="20"/>
          <w:lang w:val="en-US"/>
        </w:rPr>
        <w:t> </w:t>
      </w:r>
      <w:r w:rsidR="003E49E4" w:rsidRPr="00CB1D84">
        <w:rPr>
          <w:rFonts w:asciiTheme="minorHAnsi" w:hAnsiTheme="minorHAnsi" w:cs="Times New Roman"/>
          <w:b w:val="0"/>
          <w:kern w:val="0"/>
          <w:sz w:val="22"/>
          <w:szCs w:val="20"/>
          <w:lang w:val="en-US"/>
        </w:rPr>
        <w:t xml:space="preserve">responses). </w:t>
      </w:r>
      <w:r w:rsidR="00E433E1" w:rsidRPr="00CB1D84">
        <w:rPr>
          <w:rFonts w:asciiTheme="minorHAnsi" w:hAnsiTheme="minorHAnsi" w:cs="Times New Roman"/>
          <w:b w:val="0"/>
          <w:kern w:val="0"/>
          <w:sz w:val="22"/>
          <w:szCs w:val="20"/>
          <w:lang w:val="en-US"/>
        </w:rPr>
        <w:t>CALD</w:t>
      </w:r>
      <w:r w:rsidR="003E49E4" w:rsidRPr="00CB1D84">
        <w:rPr>
          <w:rFonts w:asciiTheme="minorHAnsi" w:hAnsiTheme="minorHAnsi" w:cs="Times New Roman"/>
          <w:b w:val="0"/>
          <w:kern w:val="0"/>
          <w:sz w:val="22"/>
          <w:szCs w:val="20"/>
          <w:lang w:val="en-US"/>
        </w:rPr>
        <w:t xml:space="preserve"> and First Nations participants represent smaller proportions of the total, at 11</w:t>
      </w:r>
      <w:r w:rsidR="003626C4" w:rsidRPr="00CB1D84">
        <w:rPr>
          <w:rFonts w:asciiTheme="minorHAnsi" w:hAnsiTheme="minorHAnsi" w:cs="Times New Roman"/>
          <w:b w:val="0"/>
          <w:kern w:val="0"/>
          <w:sz w:val="22"/>
          <w:szCs w:val="20"/>
          <w:lang w:val="en-US"/>
        </w:rPr>
        <w:t> </w:t>
      </w:r>
      <w:r w:rsidR="003E49E4" w:rsidRPr="00CB1D84">
        <w:rPr>
          <w:rFonts w:asciiTheme="minorHAnsi" w:hAnsiTheme="minorHAnsi" w:cs="Times New Roman"/>
          <w:b w:val="0"/>
          <w:kern w:val="0"/>
          <w:sz w:val="22"/>
          <w:szCs w:val="20"/>
          <w:lang w:val="en-US"/>
        </w:rPr>
        <w:t>per cent (26</w:t>
      </w:r>
      <w:r w:rsidR="003626C4" w:rsidRPr="00833D5F">
        <w:rPr>
          <w:rFonts w:asciiTheme="minorHAnsi" w:hAnsiTheme="minorHAnsi" w:cs="Times New Roman"/>
          <w:b w:val="0"/>
          <w:kern w:val="0"/>
          <w:sz w:val="22"/>
          <w:szCs w:val="20"/>
          <w:lang w:val="en-US"/>
        </w:rPr>
        <w:t> </w:t>
      </w:r>
      <w:r w:rsidR="003E49E4" w:rsidRPr="00CB1D84">
        <w:rPr>
          <w:rFonts w:asciiTheme="minorHAnsi" w:hAnsiTheme="minorHAnsi" w:cs="Times New Roman"/>
          <w:b w:val="0"/>
          <w:kern w:val="0"/>
          <w:sz w:val="22"/>
          <w:szCs w:val="20"/>
          <w:lang w:val="en-US"/>
        </w:rPr>
        <w:t>responses) and</w:t>
      </w:r>
      <w:r w:rsidR="003E49E4" w:rsidRPr="00833D5F">
        <w:rPr>
          <w:rFonts w:asciiTheme="minorHAnsi" w:hAnsiTheme="minorHAnsi" w:cs="Times New Roman"/>
          <w:b w:val="0"/>
          <w:kern w:val="0"/>
          <w:sz w:val="22"/>
          <w:szCs w:val="20"/>
          <w:lang w:val="en-US"/>
        </w:rPr>
        <w:t xml:space="preserve"> </w:t>
      </w:r>
      <w:r w:rsidR="003E49E4" w:rsidRPr="00CB1D84">
        <w:rPr>
          <w:rFonts w:asciiTheme="minorHAnsi" w:hAnsiTheme="minorHAnsi" w:cs="Times New Roman"/>
          <w:b w:val="0"/>
          <w:kern w:val="0"/>
          <w:sz w:val="22"/>
          <w:szCs w:val="20"/>
          <w:lang w:val="en-US"/>
        </w:rPr>
        <w:t>4</w:t>
      </w:r>
      <w:r w:rsidR="003626C4" w:rsidRPr="00833D5F">
        <w:rPr>
          <w:rFonts w:asciiTheme="minorHAnsi" w:hAnsiTheme="minorHAnsi" w:cs="Times New Roman"/>
          <w:b w:val="0"/>
          <w:kern w:val="0"/>
          <w:sz w:val="22"/>
          <w:szCs w:val="20"/>
          <w:lang w:val="en-US"/>
        </w:rPr>
        <w:t> </w:t>
      </w:r>
      <w:r w:rsidR="003E49E4" w:rsidRPr="00CB1D84">
        <w:rPr>
          <w:rFonts w:asciiTheme="minorHAnsi" w:hAnsiTheme="minorHAnsi" w:cs="Times New Roman"/>
          <w:b w:val="0"/>
          <w:kern w:val="0"/>
          <w:sz w:val="22"/>
          <w:szCs w:val="20"/>
          <w:lang w:val="en-US"/>
        </w:rPr>
        <w:t>per cent (10</w:t>
      </w:r>
      <w:r w:rsidR="003626C4" w:rsidRPr="00CB1D84">
        <w:rPr>
          <w:rFonts w:asciiTheme="minorHAnsi" w:hAnsiTheme="minorHAnsi" w:cs="Times New Roman"/>
          <w:b w:val="0"/>
          <w:kern w:val="0"/>
          <w:sz w:val="22"/>
          <w:szCs w:val="20"/>
          <w:lang w:val="en-US"/>
        </w:rPr>
        <w:t> </w:t>
      </w:r>
      <w:r w:rsidR="003E49E4" w:rsidRPr="00CB1D84">
        <w:rPr>
          <w:rFonts w:asciiTheme="minorHAnsi" w:hAnsiTheme="minorHAnsi" w:cs="Times New Roman"/>
          <w:b w:val="0"/>
          <w:kern w:val="0"/>
          <w:sz w:val="22"/>
          <w:szCs w:val="20"/>
          <w:lang w:val="en-US"/>
        </w:rPr>
        <w:t xml:space="preserve">responses) respectively. </w:t>
      </w:r>
    </w:p>
    <w:p w14:paraId="0CA4EF67" w14:textId="77777777" w:rsidR="003E49E4" w:rsidRPr="003E49E4" w:rsidRDefault="003E49E4" w:rsidP="008A53D9">
      <w:pPr>
        <w:pStyle w:val="Heading4"/>
        <w:rPr>
          <w:lang w:val="en-US"/>
        </w:rPr>
      </w:pPr>
      <w:r w:rsidRPr="003E49E4">
        <w:rPr>
          <w:lang w:val="en-US"/>
        </w:rPr>
        <w:t>CALD</w:t>
      </w:r>
    </w:p>
    <w:p w14:paraId="2E80FC6A" w14:textId="5A2D80FF" w:rsidR="003E49E4" w:rsidRPr="003E49E4" w:rsidRDefault="003E49E4" w:rsidP="003E49E4">
      <w:pPr>
        <w:rPr>
          <w:lang w:val="en-US"/>
        </w:rPr>
      </w:pPr>
      <w:r w:rsidRPr="003E49E4">
        <w:rPr>
          <w:lang w:val="en-US"/>
        </w:rPr>
        <w:t>Those</w:t>
      </w:r>
      <w:r w:rsidR="00E41B09">
        <w:rPr>
          <w:lang w:val="en-US"/>
        </w:rPr>
        <w:t xml:space="preserve"> survey</w:t>
      </w:r>
      <w:r w:rsidRPr="003E49E4">
        <w:rPr>
          <w:lang w:val="en-US"/>
        </w:rPr>
        <w:t xml:space="preserve"> respondents that identified as CALD presented the following data. 77</w:t>
      </w:r>
      <w:r w:rsidR="003626C4">
        <w:rPr>
          <w:lang w:val="en-US"/>
        </w:rPr>
        <w:t> </w:t>
      </w:r>
      <w:r w:rsidRPr="003E49E4">
        <w:rPr>
          <w:lang w:val="en-US"/>
        </w:rPr>
        <w:t>per cent (20</w:t>
      </w:r>
      <w:r w:rsidR="003626C4">
        <w:rPr>
          <w:lang w:val="en-US"/>
        </w:rPr>
        <w:t> </w:t>
      </w:r>
      <w:r w:rsidRPr="003E49E4">
        <w:rPr>
          <w:lang w:val="en-US"/>
        </w:rPr>
        <w:t xml:space="preserve">responses) </w:t>
      </w:r>
      <w:r w:rsidR="001C573A">
        <w:rPr>
          <w:lang w:val="en-US"/>
        </w:rPr>
        <w:t>had</w:t>
      </w:r>
      <w:r w:rsidRPr="003E49E4">
        <w:rPr>
          <w:lang w:val="en-US"/>
        </w:rPr>
        <w:t xml:space="preserve"> never heard of ASBFEO and 50 per cent (13 responses) did not have a dispute. For those who did have a dispute, 38</w:t>
      </w:r>
      <w:r w:rsidR="003626C4">
        <w:rPr>
          <w:lang w:val="en-US"/>
        </w:rPr>
        <w:t> </w:t>
      </w:r>
      <w:r w:rsidRPr="003E49E4">
        <w:rPr>
          <w:lang w:val="en-US"/>
        </w:rPr>
        <w:t>per cent (5</w:t>
      </w:r>
      <w:r w:rsidR="003626C4">
        <w:rPr>
          <w:lang w:val="en-US"/>
        </w:rPr>
        <w:t> </w:t>
      </w:r>
      <w:r w:rsidRPr="003E49E4">
        <w:rPr>
          <w:lang w:val="en-US"/>
        </w:rPr>
        <w:t>responses) resolved it through a discussion with the other party, 23</w:t>
      </w:r>
      <w:r w:rsidR="003626C4">
        <w:rPr>
          <w:lang w:val="en-US"/>
        </w:rPr>
        <w:t> </w:t>
      </w:r>
      <w:r w:rsidRPr="003E49E4">
        <w:rPr>
          <w:lang w:val="en-US"/>
        </w:rPr>
        <w:t>per</w:t>
      </w:r>
      <w:r w:rsidR="001C573A">
        <w:rPr>
          <w:lang w:val="en-US"/>
        </w:rPr>
        <w:t xml:space="preserve"> </w:t>
      </w:r>
      <w:r w:rsidRPr="003E49E4">
        <w:rPr>
          <w:lang w:val="en-US"/>
        </w:rPr>
        <w:t>cent (3</w:t>
      </w:r>
      <w:r w:rsidR="003626C4">
        <w:rPr>
          <w:lang w:val="en-US"/>
        </w:rPr>
        <w:t> </w:t>
      </w:r>
      <w:r w:rsidRPr="003E49E4">
        <w:rPr>
          <w:lang w:val="en-US"/>
        </w:rPr>
        <w:t>responses) had their solicitor to resolve it, 8</w:t>
      </w:r>
      <w:r w:rsidR="003626C4">
        <w:rPr>
          <w:lang w:val="en-US"/>
        </w:rPr>
        <w:t> </w:t>
      </w:r>
      <w:r w:rsidRPr="003E49E4">
        <w:rPr>
          <w:lang w:val="en-US"/>
        </w:rPr>
        <w:t>per cent (1</w:t>
      </w:r>
      <w:r w:rsidR="003626C4">
        <w:rPr>
          <w:lang w:val="en-US"/>
        </w:rPr>
        <w:t> </w:t>
      </w:r>
      <w:r w:rsidRPr="003E49E4">
        <w:rPr>
          <w:lang w:val="en-US"/>
        </w:rPr>
        <w:t xml:space="preserve">response) had a </w:t>
      </w:r>
      <w:proofErr w:type="gramStart"/>
      <w:r w:rsidRPr="003E49E4">
        <w:rPr>
          <w:lang w:val="en-US"/>
        </w:rPr>
        <w:t>third party</w:t>
      </w:r>
      <w:proofErr w:type="gramEnd"/>
      <w:r w:rsidRPr="003E49E4">
        <w:rPr>
          <w:lang w:val="en-US"/>
        </w:rPr>
        <w:t xml:space="preserve"> help to resolve it and 15</w:t>
      </w:r>
      <w:r w:rsidR="003626C4">
        <w:rPr>
          <w:lang w:val="en-US"/>
        </w:rPr>
        <w:t> </w:t>
      </w:r>
      <w:r w:rsidRPr="003E49E4">
        <w:rPr>
          <w:lang w:val="en-US"/>
        </w:rPr>
        <w:t>per cent (2</w:t>
      </w:r>
      <w:r w:rsidR="003626C4">
        <w:rPr>
          <w:lang w:val="en-US"/>
        </w:rPr>
        <w:t> </w:t>
      </w:r>
      <w:r w:rsidRPr="003E49E4">
        <w:rPr>
          <w:lang w:val="en-US"/>
        </w:rPr>
        <w:t>responses) did not resolve it.</w:t>
      </w:r>
    </w:p>
    <w:p w14:paraId="2560389D" w14:textId="5C9C2792" w:rsidR="003E49E4" w:rsidRPr="003E49E4" w:rsidRDefault="009257F5" w:rsidP="003E49E4">
      <w:pPr>
        <w:rPr>
          <w:lang w:val="en-US"/>
        </w:rPr>
      </w:pPr>
      <w:r>
        <w:rPr>
          <w:lang w:val="en-US"/>
        </w:rPr>
        <w:lastRenderedPageBreak/>
        <w:t>In the</w:t>
      </w:r>
      <w:r w:rsidR="00C36F47" w:rsidRPr="003E49E4">
        <w:rPr>
          <w:lang w:val="en-US"/>
        </w:rPr>
        <w:t xml:space="preserve"> improvements to ASBFEO services</w:t>
      </w:r>
      <w:r w:rsidR="00530ED0">
        <w:rPr>
          <w:lang w:val="en-US"/>
        </w:rPr>
        <w:t xml:space="preserve"> section</w:t>
      </w:r>
      <w:r w:rsidR="00C36F47">
        <w:rPr>
          <w:lang w:val="en-US"/>
        </w:rPr>
        <w:t>,</w:t>
      </w:r>
      <w:r w:rsidR="00C36F47" w:rsidRPr="003E49E4">
        <w:rPr>
          <w:lang w:val="en-US"/>
        </w:rPr>
        <w:t xml:space="preserve"> </w:t>
      </w:r>
      <w:r w:rsidR="00C36F47">
        <w:rPr>
          <w:lang w:val="en-US"/>
        </w:rPr>
        <w:t>o</w:t>
      </w:r>
      <w:r w:rsidR="003E49E4" w:rsidRPr="003E49E4">
        <w:rPr>
          <w:lang w:val="en-US"/>
        </w:rPr>
        <w:t>ne</w:t>
      </w:r>
      <w:r w:rsidR="00C36F47">
        <w:rPr>
          <w:lang w:val="en-US"/>
        </w:rPr>
        <w:t xml:space="preserve"> respondent</w:t>
      </w:r>
      <w:r w:rsidR="003E49E4" w:rsidRPr="003E49E4">
        <w:rPr>
          <w:lang w:val="en-US"/>
        </w:rPr>
        <w:t xml:space="preserve"> suggested</w:t>
      </w:r>
      <w:r w:rsidR="00727DB2">
        <w:rPr>
          <w:lang w:val="en-US"/>
        </w:rPr>
        <w:t>,</w:t>
      </w:r>
      <w:r w:rsidR="003E49E4" w:rsidRPr="003E49E4">
        <w:rPr>
          <w:lang w:val="en-US"/>
        </w:rPr>
        <w:t xml:space="preserve"> </w:t>
      </w:r>
      <w:r w:rsidR="003626C4" w:rsidRPr="003626C4">
        <w:rPr>
          <w:rStyle w:val="Emphasis"/>
        </w:rPr>
        <w:t>‘</w:t>
      </w:r>
      <w:r w:rsidR="003E49E4" w:rsidRPr="003626C4">
        <w:rPr>
          <w:rStyle w:val="Emphasis"/>
        </w:rPr>
        <w:t>Integrate some of the information with what the ATO provides so that we don</w:t>
      </w:r>
      <w:r w:rsidR="00916FA5" w:rsidRPr="003626C4">
        <w:rPr>
          <w:rStyle w:val="Emphasis"/>
        </w:rPr>
        <w:t>’</w:t>
      </w:r>
      <w:r w:rsidR="003E49E4" w:rsidRPr="003626C4">
        <w:rPr>
          <w:rStyle w:val="Emphasis"/>
        </w:rPr>
        <w:t>t receive multiple pieces of information</w:t>
      </w:r>
      <w:r w:rsidR="003626C4" w:rsidRPr="003626C4">
        <w:rPr>
          <w:rStyle w:val="Emphasis"/>
        </w:rPr>
        <w:t>’</w:t>
      </w:r>
      <w:r w:rsidR="00276CE1">
        <w:rPr>
          <w:rStyle w:val="Emphasis"/>
        </w:rPr>
        <w:t>.</w:t>
      </w:r>
    </w:p>
    <w:p w14:paraId="7768AB29" w14:textId="6CE77FCD" w:rsidR="003E49E4" w:rsidRPr="003E49E4" w:rsidRDefault="003E49E4" w:rsidP="003E49E4">
      <w:pPr>
        <w:rPr>
          <w:lang w:val="en-US"/>
        </w:rPr>
      </w:pPr>
      <w:r w:rsidRPr="003E49E4">
        <w:rPr>
          <w:lang w:val="en-US"/>
        </w:rPr>
        <w:t>CALD respondents</w:t>
      </w:r>
      <w:r w:rsidR="001417A7">
        <w:rPr>
          <w:lang w:val="en-US"/>
        </w:rPr>
        <w:t xml:space="preserve"> provided general feedback</w:t>
      </w:r>
      <w:r w:rsidRPr="003E49E4">
        <w:rPr>
          <w:lang w:val="en-US"/>
        </w:rPr>
        <w:t xml:space="preserve"> stating the following</w:t>
      </w:r>
    </w:p>
    <w:p w14:paraId="057B32B8" w14:textId="3A76D040" w:rsidR="003E49E4" w:rsidRPr="003626C4" w:rsidRDefault="00B06367" w:rsidP="00AA4DFA">
      <w:pPr>
        <w:pStyle w:val="Bullet"/>
        <w:numPr>
          <w:ilvl w:val="0"/>
          <w:numId w:val="0"/>
        </w:numPr>
        <w:rPr>
          <w:rStyle w:val="Emphasis"/>
        </w:rPr>
      </w:pPr>
      <w:r>
        <w:rPr>
          <w:rStyle w:val="Emphasis"/>
        </w:rPr>
        <w:t>‘</w:t>
      </w:r>
      <w:r w:rsidR="003E49E4" w:rsidRPr="003626C4">
        <w:rPr>
          <w:rStyle w:val="Emphasis"/>
        </w:rPr>
        <w:t>Proactively improve your brand, mission and services constantly to be known and remembered.</w:t>
      </w:r>
    </w:p>
    <w:p w14:paraId="625562D5" w14:textId="03DCF58D" w:rsidR="003E49E4" w:rsidRPr="003626C4" w:rsidRDefault="00620A7B" w:rsidP="00AA4DFA">
      <w:pPr>
        <w:pStyle w:val="Bullet"/>
        <w:numPr>
          <w:ilvl w:val="0"/>
          <w:numId w:val="0"/>
        </w:numPr>
        <w:rPr>
          <w:rStyle w:val="Emphasis"/>
        </w:rPr>
      </w:pPr>
      <w:r>
        <w:rPr>
          <w:rStyle w:val="Emphasis"/>
        </w:rPr>
        <w:t>‘</w:t>
      </w:r>
      <w:r w:rsidR="003E49E4" w:rsidRPr="003626C4">
        <w:rPr>
          <w:rStyle w:val="Emphasis"/>
        </w:rPr>
        <w:t>All you get when dealing with anything with.gov.au is the run around.</w:t>
      </w:r>
      <w:r>
        <w:rPr>
          <w:rStyle w:val="Emphasis"/>
        </w:rPr>
        <w:t>’</w:t>
      </w:r>
    </w:p>
    <w:p w14:paraId="7C81D2EF" w14:textId="068D11F9" w:rsidR="003E49E4" w:rsidRPr="003626C4" w:rsidRDefault="00620A7B" w:rsidP="00AA4DFA">
      <w:pPr>
        <w:pStyle w:val="Bullet"/>
        <w:numPr>
          <w:ilvl w:val="0"/>
          <w:numId w:val="0"/>
        </w:numPr>
        <w:rPr>
          <w:rStyle w:val="Emphasis"/>
        </w:rPr>
      </w:pPr>
      <w:r>
        <w:rPr>
          <w:rStyle w:val="Emphasis"/>
        </w:rPr>
        <w:t>‘</w:t>
      </w:r>
      <w:r w:rsidR="003E49E4" w:rsidRPr="003626C4">
        <w:rPr>
          <w:rStyle w:val="Emphasis"/>
        </w:rPr>
        <w:t>ASBFEO has done a fantastic job in presenting information in an easy</w:t>
      </w:r>
      <w:r w:rsidR="00916FA5" w:rsidRPr="003626C4">
        <w:rPr>
          <w:rStyle w:val="Emphasis"/>
        </w:rPr>
        <w:noBreakHyphen/>
      </w:r>
      <w:r w:rsidR="003E49E4" w:rsidRPr="003626C4">
        <w:rPr>
          <w:rStyle w:val="Emphasis"/>
        </w:rPr>
        <w:t>to</w:t>
      </w:r>
      <w:r w:rsidR="00916FA5" w:rsidRPr="003626C4">
        <w:rPr>
          <w:rStyle w:val="Emphasis"/>
        </w:rPr>
        <w:noBreakHyphen/>
      </w:r>
      <w:r w:rsidR="003E49E4" w:rsidRPr="003626C4">
        <w:rPr>
          <w:rStyle w:val="Emphasis"/>
        </w:rPr>
        <w:t>read format. The challenge is that the ATO also has a SME hub so it would be great if some of the information is streamlined.</w:t>
      </w:r>
      <w:r>
        <w:rPr>
          <w:rStyle w:val="Emphasis"/>
        </w:rPr>
        <w:t>’</w:t>
      </w:r>
    </w:p>
    <w:p w14:paraId="1B8618B5" w14:textId="66C7CCBA" w:rsidR="003E49E4" w:rsidRPr="003626C4" w:rsidRDefault="003E49E4" w:rsidP="00AA4DFA">
      <w:pPr>
        <w:pStyle w:val="Bullet"/>
        <w:numPr>
          <w:ilvl w:val="0"/>
          <w:numId w:val="0"/>
        </w:numPr>
        <w:rPr>
          <w:rStyle w:val="Emphasis"/>
        </w:rPr>
      </w:pPr>
      <w:r w:rsidRPr="003626C4">
        <w:rPr>
          <w:rStyle w:val="Emphasis"/>
        </w:rPr>
        <w:t xml:space="preserve"> </w:t>
      </w:r>
      <w:r w:rsidR="00620A7B">
        <w:rPr>
          <w:rStyle w:val="Emphasis"/>
        </w:rPr>
        <w:t>‘</w:t>
      </w:r>
      <w:r w:rsidRPr="003626C4">
        <w:rPr>
          <w:rStyle w:val="Emphasis"/>
        </w:rPr>
        <w:t>A lawyer can be handy sometimes. I have used an Ombudsman; my experience was that they are too careful and cautious not to make a mistake and struggled to give clear direction!</w:t>
      </w:r>
      <w:r w:rsidR="00620A7B">
        <w:rPr>
          <w:rStyle w:val="Emphasis"/>
        </w:rPr>
        <w:t>’</w:t>
      </w:r>
    </w:p>
    <w:p w14:paraId="026E9CC4" w14:textId="66A1073E" w:rsidR="003E49E4" w:rsidRPr="003626C4" w:rsidRDefault="00620A7B" w:rsidP="00833D5F">
      <w:pPr>
        <w:pStyle w:val="Bullet"/>
        <w:numPr>
          <w:ilvl w:val="0"/>
          <w:numId w:val="0"/>
        </w:numPr>
        <w:rPr>
          <w:rStyle w:val="Emphasis"/>
        </w:rPr>
      </w:pPr>
      <w:r>
        <w:rPr>
          <w:rStyle w:val="Emphasis"/>
        </w:rPr>
        <w:t>‘</w:t>
      </w:r>
      <w:r w:rsidR="003E49E4" w:rsidRPr="003626C4">
        <w:rPr>
          <w:rStyle w:val="Emphasis"/>
        </w:rPr>
        <w:t>Next door sent us legal threat. We spent odd $5k to defend ourselves. Glad it didn</w:t>
      </w:r>
      <w:r w:rsidR="00916FA5" w:rsidRPr="003626C4">
        <w:rPr>
          <w:rStyle w:val="Emphasis"/>
        </w:rPr>
        <w:t>’</w:t>
      </w:r>
      <w:r w:rsidR="003E49E4" w:rsidRPr="003626C4">
        <w:rPr>
          <w:rStyle w:val="Emphasis"/>
        </w:rPr>
        <w:t>t require going to court. But law and system shouldn</w:t>
      </w:r>
      <w:r w:rsidR="00916FA5" w:rsidRPr="003626C4">
        <w:rPr>
          <w:rStyle w:val="Emphasis"/>
        </w:rPr>
        <w:t>’</w:t>
      </w:r>
      <w:r w:rsidR="003E49E4" w:rsidRPr="003626C4">
        <w:rPr>
          <w:rStyle w:val="Emphasis"/>
        </w:rPr>
        <w:t>t make things difficult for us already financially struggling businesses.</w:t>
      </w:r>
      <w:r>
        <w:rPr>
          <w:rStyle w:val="Emphasis"/>
        </w:rPr>
        <w:t>’</w:t>
      </w:r>
    </w:p>
    <w:p w14:paraId="6880C9D7" w14:textId="628427AD" w:rsidR="003E49E4" w:rsidRPr="003E49E4" w:rsidRDefault="003E49E4" w:rsidP="008A53D9">
      <w:pPr>
        <w:pStyle w:val="Heading4"/>
        <w:rPr>
          <w:lang w:val="en-US"/>
        </w:rPr>
      </w:pPr>
      <w:r w:rsidRPr="003E49E4">
        <w:rPr>
          <w:lang w:val="en-US"/>
        </w:rPr>
        <w:t>First Nation</w:t>
      </w:r>
      <w:r w:rsidR="0048618C">
        <w:rPr>
          <w:lang w:val="en-US"/>
        </w:rPr>
        <w:t>s</w:t>
      </w:r>
      <w:r w:rsidRPr="003E49E4">
        <w:rPr>
          <w:lang w:val="en-US"/>
        </w:rPr>
        <w:t xml:space="preserve"> people</w:t>
      </w:r>
    </w:p>
    <w:p w14:paraId="2FCC379E" w14:textId="1775A9D8" w:rsidR="003E49E4" w:rsidRPr="003E49E4" w:rsidRDefault="003E49E4" w:rsidP="003E49E4">
      <w:pPr>
        <w:rPr>
          <w:lang w:val="en-US"/>
        </w:rPr>
      </w:pPr>
      <w:r w:rsidRPr="003E49E4">
        <w:rPr>
          <w:lang w:val="en-US"/>
        </w:rPr>
        <w:t xml:space="preserve">Those respondents that identified as </w:t>
      </w:r>
      <w:r w:rsidR="00755A94">
        <w:rPr>
          <w:lang w:val="en-US"/>
        </w:rPr>
        <w:t>F</w:t>
      </w:r>
      <w:r w:rsidRPr="003E49E4">
        <w:rPr>
          <w:lang w:val="en-US"/>
        </w:rPr>
        <w:t xml:space="preserve">irst </w:t>
      </w:r>
      <w:r w:rsidR="00755A94">
        <w:rPr>
          <w:lang w:val="en-US"/>
        </w:rPr>
        <w:t>N</w:t>
      </w:r>
      <w:r w:rsidRPr="003E49E4">
        <w:rPr>
          <w:lang w:val="en-US"/>
        </w:rPr>
        <w:t>ation</w:t>
      </w:r>
      <w:r w:rsidR="00DC5AC6">
        <w:rPr>
          <w:lang w:val="en-US"/>
        </w:rPr>
        <w:t>s</w:t>
      </w:r>
      <w:r w:rsidRPr="003E49E4">
        <w:rPr>
          <w:lang w:val="en-US"/>
        </w:rPr>
        <w:t xml:space="preserve"> people presented the following data. </w:t>
      </w:r>
      <w:r w:rsidRPr="003E49E4" w:rsidDel="0048618C">
        <w:rPr>
          <w:lang w:val="en-US"/>
        </w:rPr>
        <w:t>70</w:t>
      </w:r>
      <w:r w:rsidRPr="003E49E4">
        <w:rPr>
          <w:lang w:val="en-US"/>
        </w:rPr>
        <w:t xml:space="preserve"> per cent (7</w:t>
      </w:r>
      <w:r w:rsidR="003626C4">
        <w:rPr>
          <w:lang w:val="en-US"/>
        </w:rPr>
        <w:t> </w:t>
      </w:r>
      <w:r w:rsidRPr="003E49E4">
        <w:rPr>
          <w:lang w:val="en-US"/>
        </w:rPr>
        <w:t xml:space="preserve">responses) </w:t>
      </w:r>
      <w:r w:rsidR="00FC67B1">
        <w:rPr>
          <w:lang w:val="en-US"/>
        </w:rPr>
        <w:t>had</w:t>
      </w:r>
      <w:r w:rsidRPr="003E49E4">
        <w:rPr>
          <w:lang w:val="en-US"/>
        </w:rPr>
        <w:t xml:space="preserve"> never heard of ASBFEO, 20</w:t>
      </w:r>
      <w:r w:rsidR="003626C4">
        <w:rPr>
          <w:lang w:val="en-US"/>
        </w:rPr>
        <w:t> </w:t>
      </w:r>
      <w:r w:rsidRPr="003E49E4">
        <w:rPr>
          <w:lang w:val="en-US"/>
        </w:rPr>
        <w:t>per cent (2</w:t>
      </w:r>
      <w:r w:rsidR="003626C4">
        <w:rPr>
          <w:lang w:val="en-US"/>
        </w:rPr>
        <w:t> </w:t>
      </w:r>
      <w:r w:rsidRPr="003E49E4">
        <w:rPr>
          <w:lang w:val="en-US"/>
        </w:rPr>
        <w:t>responses) did not have a dispute and 10</w:t>
      </w:r>
      <w:r w:rsidR="00286EB1">
        <w:rPr>
          <w:lang w:val="en-US"/>
        </w:rPr>
        <w:t> </w:t>
      </w:r>
      <w:r w:rsidRPr="003E49E4">
        <w:rPr>
          <w:lang w:val="en-US"/>
        </w:rPr>
        <w:t>per cent (1 respondent) noted that they are most likely to contact ASBFEO. From those respondents that did have a dispute 50</w:t>
      </w:r>
      <w:r w:rsidR="003626C4">
        <w:rPr>
          <w:lang w:val="en-US"/>
        </w:rPr>
        <w:t> </w:t>
      </w:r>
      <w:r w:rsidRPr="003E49E4">
        <w:rPr>
          <w:lang w:val="en-US"/>
        </w:rPr>
        <w:t>per cent (5</w:t>
      </w:r>
      <w:r w:rsidR="003626C4">
        <w:rPr>
          <w:lang w:val="en-US"/>
        </w:rPr>
        <w:t> </w:t>
      </w:r>
      <w:r w:rsidRPr="003E49E4">
        <w:rPr>
          <w:lang w:val="en-US"/>
        </w:rPr>
        <w:t>responses) did not resolve it, 20</w:t>
      </w:r>
      <w:r w:rsidR="003626C4">
        <w:rPr>
          <w:lang w:val="en-US"/>
        </w:rPr>
        <w:t> </w:t>
      </w:r>
      <w:r w:rsidRPr="003E49E4">
        <w:rPr>
          <w:lang w:val="en-US"/>
        </w:rPr>
        <w:t>per cent (2</w:t>
      </w:r>
      <w:r w:rsidR="00286EB1">
        <w:rPr>
          <w:lang w:val="en-US"/>
        </w:rPr>
        <w:t> </w:t>
      </w:r>
      <w:r w:rsidRPr="003E49E4">
        <w:rPr>
          <w:lang w:val="en-US"/>
        </w:rPr>
        <w:t>responses) resolved it through discussion with the other party and 10</w:t>
      </w:r>
      <w:r w:rsidR="003626C4">
        <w:t> </w:t>
      </w:r>
      <w:r w:rsidRPr="003E49E4">
        <w:rPr>
          <w:lang w:val="en-US"/>
        </w:rPr>
        <w:t xml:space="preserve">per cent (1 respondent) third party helped to resolve it. </w:t>
      </w:r>
    </w:p>
    <w:p w14:paraId="487E7234" w14:textId="3AABA2E1" w:rsidR="003E49E4" w:rsidRPr="003E49E4" w:rsidRDefault="003E49E4" w:rsidP="003E49E4">
      <w:pPr>
        <w:rPr>
          <w:lang w:val="en-US"/>
        </w:rPr>
      </w:pPr>
      <w:r w:rsidRPr="003E49E4">
        <w:rPr>
          <w:lang w:val="en-US"/>
        </w:rPr>
        <w:t>First Nation</w:t>
      </w:r>
      <w:r w:rsidR="0048618C">
        <w:rPr>
          <w:lang w:val="en-US"/>
        </w:rPr>
        <w:t>s</w:t>
      </w:r>
      <w:r w:rsidRPr="003E49E4">
        <w:rPr>
          <w:lang w:val="en-US"/>
        </w:rPr>
        <w:t xml:space="preserve"> respondents</w:t>
      </w:r>
      <w:r w:rsidR="00DC1691">
        <w:rPr>
          <w:lang w:val="en-US"/>
        </w:rPr>
        <w:t xml:space="preserve"> provided general feedback</w:t>
      </w:r>
      <w:r w:rsidRPr="003E49E4">
        <w:rPr>
          <w:lang w:val="en-US"/>
        </w:rPr>
        <w:t>, stating the following:</w:t>
      </w:r>
    </w:p>
    <w:p w14:paraId="35F00B82" w14:textId="07A28F82" w:rsidR="003E49E4" w:rsidRPr="003626C4" w:rsidRDefault="00C92806" w:rsidP="00833D5F">
      <w:pPr>
        <w:pStyle w:val="Bullet"/>
        <w:numPr>
          <w:ilvl w:val="0"/>
          <w:numId w:val="0"/>
        </w:numPr>
        <w:rPr>
          <w:rStyle w:val="Emphasis"/>
        </w:rPr>
      </w:pPr>
      <w:r>
        <w:rPr>
          <w:rStyle w:val="Emphasis"/>
        </w:rPr>
        <w:t>‘</w:t>
      </w:r>
      <w:r w:rsidR="003E49E4" w:rsidRPr="003626C4">
        <w:rPr>
          <w:rStyle w:val="Emphasis"/>
        </w:rPr>
        <w:t>The state government doesn</w:t>
      </w:r>
      <w:r w:rsidR="00916FA5" w:rsidRPr="003626C4">
        <w:rPr>
          <w:rStyle w:val="Emphasis"/>
        </w:rPr>
        <w:t>’</w:t>
      </w:r>
      <w:r w:rsidR="003E49E4" w:rsidRPr="003626C4">
        <w:rPr>
          <w:rStyle w:val="Emphasis"/>
        </w:rPr>
        <w:t>t care for small business and the 2022</w:t>
      </w:r>
      <w:r w:rsidR="00510206" w:rsidRPr="00510206">
        <w:t>–</w:t>
      </w:r>
      <w:r w:rsidR="003E49E4" w:rsidRPr="003626C4">
        <w:rPr>
          <w:rStyle w:val="Emphasis"/>
        </w:rPr>
        <w:t xml:space="preserve">23 floods on the </w:t>
      </w:r>
      <w:r w:rsidR="00795D0D" w:rsidRPr="003626C4">
        <w:rPr>
          <w:rStyle w:val="Emphasis"/>
        </w:rPr>
        <w:t>Murray</w:t>
      </w:r>
      <w:r w:rsidR="003E49E4" w:rsidRPr="003626C4">
        <w:rPr>
          <w:rStyle w:val="Emphasis"/>
        </w:rPr>
        <w:t xml:space="preserve"> proved that. Their arrogance nearly squashed my business and nobody cared.</w:t>
      </w:r>
      <w:r>
        <w:rPr>
          <w:rStyle w:val="Emphasis"/>
        </w:rPr>
        <w:t>’</w:t>
      </w:r>
    </w:p>
    <w:p w14:paraId="54F6532A" w14:textId="52E6CE24" w:rsidR="003E49E4" w:rsidRPr="003626C4" w:rsidRDefault="00C92806" w:rsidP="00833D5F">
      <w:pPr>
        <w:pStyle w:val="Bullet"/>
        <w:numPr>
          <w:ilvl w:val="0"/>
          <w:numId w:val="0"/>
        </w:numPr>
        <w:rPr>
          <w:rStyle w:val="Emphasis"/>
        </w:rPr>
      </w:pPr>
      <w:r>
        <w:rPr>
          <w:rStyle w:val="Emphasis"/>
        </w:rPr>
        <w:t>‘</w:t>
      </w:r>
      <w:r w:rsidR="003E49E4" w:rsidRPr="003626C4">
        <w:rPr>
          <w:rStyle w:val="Emphasis"/>
        </w:rPr>
        <w:t>Specific issue I</w:t>
      </w:r>
      <w:r w:rsidR="00916FA5" w:rsidRPr="003626C4">
        <w:rPr>
          <w:rStyle w:val="Emphasis"/>
        </w:rPr>
        <w:t>’</w:t>
      </w:r>
      <w:r w:rsidR="003E49E4" w:rsidRPr="003626C4">
        <w:rPr>
          <w:rStyle w:val="Emphasis"/>
        </w:rPr>
        <w:t>m referencing is a contract with a telecommunications provider for the business</w:t>
      </w:r>
      <w:r w:rsidR="009A4A77">
        <w:rPr>
          <w:rStyle w:val="Emphasis"/>
        </w:rPr>
        <w:t>.</w:t>
      </w:r>
      <w:r>
        <w:rPr>
          <w:rStyle w:val="Emphasis"/>
        </w:rPr>
        <w:t>’</w:t>
      </w:r>
    </w:p>
    <w:p w14:paraId="08E16367" w14:textId="5F336C56" w:rsidR="003E49E4" w:rsidRPr="003626C4" w:rsidRDefault="00C92806" w:rsidP="00833D5F">
      <w:pPr>
        <w:pStyle w:val="Bullet"/>
        <w:numPr>
          <w:ilvl w:val="0"/>
          <w:numId w:val="0"/>
        </w:numPr>
        <w:rPr>
          <w:rStyle w:val="Emphasis"/>
        </w:rPr>
      </w:pPr>
      <w:r>
        <w:rPr>
          <w:rStyle w:val="Emphasis"/>
        </w:rPr>
        <w:t>‘</w:t>
      </w:r>
      <w:r w:rsidR="003E49E4" w:rsidRPr="003626C4">
        <w:rPr>
          <w:rStyle w:val="Emphasis"/>
        </w:rPr>
        <w:t>Most issues revolve around failure to supply or deliver. We always use the banks as first course of action to block or recover funds. ACCC never responds or follows up.</w:t>
      </w:r>
      <w:r>
        <w:rPr>
          <w:rStyle w:val="Emphasis"/>
        </w:rPr>
        <w:t>’</w:t>
      </w:r>
    </w:p>
    <w:p w14:paraId="49AF2489" w14:textId="0620CD38" w:rsidR="003E49E4" w:rsidRPr="003626C4" w:rsidRDefault="00C92806" w:rsidP="00833D5F">
      <w:pPr>
        <w:pStyle w:val="Bullet"/>
        <w:numPr>
          <w:ilvl w:val="0"/>
          <w:numId w:val="0"/>
        </w:numPr>
        <w:rPr>
          <w:rStyle w:val="Emphasis"/>
        </w:rPr>
      </w:pPr>
      <w:r>
        <w:rPr>
          <w:rStyle w:val="Emphasis"/>
        </w:rPr>
        <w:t>‘</w:t>
      </w:r>
      <w:r w:rsidR="008738B1">
        <w:rPr>
          <w:rStyle w:val="Emphasis"/>
        </w:rPr>
        <w:t>A</w:t>
      </w:r>
      <w:r w:rsidR="003E49E4" w:rsidRPr="003626C4">
        <w:rPr>
          <w:rStyle w:val="Emphasis"/>
        </w:rPr>
        <w:t>ll you get when dealing with anything with.gov.au is the run around</w:t>
      </w:r>
      <w:r w:rsidR="00192C45">
        <w:rPr>
          <w:rStyle w:val="Emphasis"/>
        </w:rPr>
        <w:t>.</w:t>
      </w:r>
      <w:r>
        <w:rPr>
          <w:rStyle w:val="Emphasis"/>
        </w:rPr>
        <w:t>’</w:t>
      </w:r>
    </w:p>
    <w:p w14:paraId="5F19657F" w14:textId="0ABCD18E" w:rsidR="003E49E4" w:rsidRPr="003626C4" w:rsidRDefault="00C92806" w:rsidP="00833D5F">
      <w:pPr>
        <w:pStyle w:val="Bullet"/>
        <w:numPr>
          <w:ilvl w:val="0"/>
          <w:numId w:val="0"/>
        </w:numPr>
        <w:rPr>
          <w:rStyle w:val="Emphasis"/>
        </w:rPr>
      </w:pPr>
      <w:r>
        <w:rPr>
          <w:rStyle w:val="Emphasis"/>
        </w:rPr>
        <w:t>‘</w:t>
      </w:r>
      <w:r w:rsidR="003E49E4" w:rsidRPr="003626C4">
        <w:rPr>
          <w:rStyle w:val="Emphasis"/>
        </w:rPr>
        <w:t>My dispute wasn</w:t>
      </w:r>
      <w:r w:rsidR="00916FA5" w:rsidRPr="003626C4">
        <w:rPr>
          <w:rStyle w:val="Emphasis"/>
        </w:rPr>
        <w:t>’</w:t>
      </w:r>
      <w:r w:rsidR="003E49E4" w:rsidRPr="003626C4">
        <w:rPr>
          <w:rStyle w:val="Emphasis"/>
        </w:rPr>
        <w:t>t resolved, which wasn</w:t>
      </w:r>
      <w:r w:rsidR="00916FA5" w:rsidRPr="003626C4">
        <w:rPr>
          <w:rStyle w:val="Emphasis"/>
        </w:rPr>
        <w:t>’</w:t>
      </w:r>
      <w:r w:rsidR="003E49E4" w:rsidRPr="003626C4">
        <w:rPr>
          <w:rStyle w:val="Emphasis"/>
        </w:rPr>
        <w:t>t an option for that question.</w:t>
      </w:r>
      <w:r>
        <w:rPr>
          <w:rStyle w:val="Emphasis"/>
        </w:rPr>
        <w:t>’</w:t>
      </w:r>
    </w:p>
    <w:p w14:paraId="6C57AF25" w14:textId="4926633E" w:rsidR="003E49E4" w:rsidRPr="003626C4" w:rsidRDefault="00C92806" w:rsidP="00833D5F">
      <w:pPr>
        <w:pStyle w:val="Bullet"/>
        <w:numPr>
          <w:ilvl w:val="0"/>
          <w:numId w:val="0"/>
        </w:numPr>
        <w:rPr>
          <w:rStyle w:val="Emphasis"/>
        </w:rPr>
      </w:pPr>
      <w:r>
        <w:rPr>
          <w:rStyle w:val="Emphasis"/>
        </w:rPr>
        <w:t>‘</w:t>
      </w:r>
      <w:r w:rsidR="003E49E4" w:rsidRPr="003626C4">
        <w:rPr>
          <w:rStyle w:val="Emphasis"/>
        </w:rPr>
        <w:t>Managing compliance is becoming increasingly expensive and fast reaching the point where I don</w:t>
      </w:r>
      <w:r w:rsidR="00916FA5" w:rsidRPr="003626C4">
        <w:rPr>
          <w:rStyle w:val="Emphasis"/>
        </w:rPr>
        <w:t>’</w:t>
      </w:r>
      <w:r w:rsidR="003E49E4" w:rsidRPr="003626C4">
        <w:rPr>
          <w:rStyle w:val="Emphasis"/>
        </w:rPr>
        <w:t>t want to continue trading. Some of the tipping points are the container refund scheme, the toilet tax and the trade waste requirements.</w:t>
      </w:r>
      <w:r w:rsidR="00121AA3">
        <w:rPr>
          <w:rStyle w:val="Emphasis"/>
        </w:rPr>
        <w:t>’</w:t>
      </w:r>
    </w:p>
    <w:p w14:paraId="7AE721DD" w14:textId="5A7FD0EA" w:rsidR="003E49E4" w:rsidRPr="003626C4" w:rsidRDefault="00121AA3" w:rsidP="00833D5F">
      <w:pPr>
        <w:pStyle w:val="Bullet"/>
        <w:numPr>
          <w:ilvl w:val="0"/>
          <w:numId w:val="0"/>
        </w:numPr>
        <w:rPr>
          <w:rStyle w:val="Emphasis"/>
        </w:rPr>
      </w:pPr>
      <w:r>
        <w:rPr>
          <w:rStyle w:val="Emphasis"/>
        </w:rPr>
        <w:t>‘</w:t>
      </w:r>
      <w:r w:rsidR="003E49E4" w:rsidRPr="003626C4">
        <w:rPr>
          <w:rStyle w:val="Emphasis"/>
        </w:rPr>
        <w:t>For a small, family</w:t>
      </w:r>
      <w:r w:rsidR="00916FA5" w:rsidRPr="003626C4">
        <w:rPr>
          <w:rStyle w:val="Emphasis"/>
        </w:rPr>
        <w:noBreakHyphen/>
      </w:r>
      <w:r w:rsidR="003E49E4" w:rsidRPr="003626C4">
        <w:rPr>
          <w:rStyle w:val="Emphasis"/>
        </w:rPr>
        <w:t>owned enterprise trading less than ten hours a week, these costs have become prohibitive.</w:t>
      </w:r>
      <w:r>
        <w:rPr>
          <w:rStyle w:val="Emphasis"/>
        </w:rPr>
        <w:t>’</w:t>
      </w:r>
    </w:p>
    <w:p w14:paraId="12DFF68B" w14:textId="52183D1A" w:rsidR="003E49E4" w:rsidRPr="002F0BC1" w:rsidRDefault="00121AA3" w:rsidP="00833D5F">
      <w:pPr>
        <w:pStyle w:val="Bullet"/>
        <w:numPr>
          <w:ilvl w:val="0"/>
          <w:numId w:val="0"/>
        </w:numPr>
        <w:rPr>
          <w:lang w:val="en-US"/>
        </w:rPr>
      </w:pPr>
      <w:r>
        <w:rPr>
          <w:rStyle w:val="Emphasis"/>
        </w:rPr>
        <w:t>‘</w:t>
      </w:r>
      <w:r w:rsidR="003E49E4" w:rsidRPr="003626C4">
        <w:rPr>
          <w:rStyle w:val="Emphasis"/>
        </w:rPr>
        <w:t xml:space="preserve">My business partner and I both have relevant tertiary qualifications </w:t>
      </w:r>
      <w:r w:rsidR="003E49E4" w:rsidRPr="002F0BC1">
        <w:rPr>
          <w:lang w:val="en-US"/>
        </w:rPr>
        <w:t>so please don</w:t>
      </w:r>
      <w:r w:rsidR="00916FA5" w:rsidRPr="002F0BC1">
        <w:rPr>
          <w:lang w:val="en-US"/>
        </w:rPr>
        <w:t>’</w:t>
      </w:r>
      <w:r w:rsidR="003E49E4" w:rsidRPr="002F0BC1">
        <w:rPr>
          <w:lang w:val="en-US"/>
        </w:rPr>
        <w:t>t assume we</w:t>
      </w:r>
      <w:r w:rsidR="00916FA5" w:rsidRPr="002F0BC1">
        <w:rPr>
          <w:lang w:val="en-US"/>
        </w:rPr>
        <w:t>’</w:t>
      </w:r>
      <w:r w:rsidR="003E49E4" w:rsidRPr="002F0BC1">
        <w:rPr>
          <w:lang w:val="en-US"/>
        </w:rPr>
        <w:t>re just a couple of yokels who shouldn</w:t>
      </w:r>
      <w:r w:rsidR="00916FA5" w:rsidRPr="002F0BC1">
        <w:rPr>
          <w:lang w:val="en-US"/>
        </w:rPr>
        <w:t>’</w:t>
      </w:r>
      <w:r w:rsidR="003E49E4" w:rsidRPr="002F0BC1">
        <w:rPr>
          <w:lang w:val="en-US"/>
        </w:rPr>
        <w:t>t be in business.</w:t>
      </w:r>
      <w:r>
        <w:rPr>
          <w:lang w:val="en-US"/>
        </w:rPr>
        <w:t>’</w:t>
      </w:r>
    </w:p>
    <w:p w14:paraId="3501E932" w14:textId="0B747877" w:rsidR="003E49E4" w:rsidRDefault="003E49E4" w:rsidP="003E49E4">
      <w:pPr>
        <w:rPr>
          <w:lang w:val="en-US"/>
        </w:rPr>
      </w:pPr>
      <w:r w:rsidRPr="003E49E4">
        <w:rPr>
          <w:lang w:val="en-US"/>
        </w:rPr>
        <w:lastRenderedPageBreak/>
        <w:t xml:space="preserve">The survey responses indicate a significant need for improved communication, support, and awareness of the services provided by ASBFEO. Notwithstanding the positive support expressed by </w:t>
      </w:r>
      <w:r w:rsidR="00722AB5" w:rsidRPr="003E49E4">
        <w:rPr>
          <w:lang w:val="en-US"/>
        </w:rPr>
        <w:t>several</w:t>
      </w:r>
      <w:r w:rsidRPr="003E49E4">
        <w:rPr>
          <w:lang w:val="en-US"/>
        </w:rPr>
        <w:t xml:space="preserve"> stakeholders, the survey findings identified some gaps related to awareness, effectiveness, and accessibility of ASBFEO</w:t>
      </w:r>
      <w:r w:rsidR="00916FA5">
        <w:rPr>
          <w:lang w:val="en-US"/>
        </w:rPr>
        <w:t>’</w:t>
      </w:r>
      <w:r w:rsidRPr="003E49E4">
        <w:rPr>
          <w:lang w:val="en-US"/>
        </w:rPr>
        <w:t>s dispute resolution services.</w:t>
      </w:r>
    </w:p>
    <w:p w14:paraId="0E3E2A4D" w14:textId="77777777" w:rsidR="005C6F51" w:rsidRDefault="005C6F51">
      <w:pPr>
        <w:spacing w:before="0" w:after="160" w:line="259" w:lineRule="auto"/>
        <w:rPr>
          <w:lang w:val="en-US"/>
        </w:rPr>
      </w:pPr>
      <w:r>
        <w:rPr>
          <w:lang w:val="en-US"/>
        </w:rPr>
        <w:br w:type="page"/>
      </w:r>
    </w:p>
    <w:p w14:paraId="18B2CDBF" w14:textId="2E50C27B" w:rsidR="00B33032" w:rsidRPr="00BD659D" w:rsidRDefault="00B33032" w:rsidP="00B33032">
      <w:pPr>
        <w:pStyle w:val="Heading2"/>
      </w:pPr>
      <w:bookmarkStart w:id="113" w:name="_Toc199941019"/>
      <w:r>
        <w:lastRenderedPageBreak/>
        <w:t xml:space="preserve">Appendix D: </w:t>
      </w:r>
      <w:r w:rsidR="009C56D9">
        <w:t xml:space="preserve">Mediator </w:t>
      </w:r>
      <w:r w:rsidR="006F5E20">
        <w:t>s</w:t>
      </w:r>
      <w:r w:rsidR="009C56D9">
        <w:t>urvey</w:t>
      </w:r>
      <w:bookmarkEnd w:id="113"/>
    </w:p>
    <w:p w14:paraId="2BDDAE06" w14:textId="77777777" w:rsidR="009C56D9" w:rsidRDefault="009C56D9" w:rsidP="008A53D9">
      <w:pPr>
        <w:pStyle w:val="Heading3"/>
      </w:pPr>
      <w:bookmarkStart w:id="114" w:name="_Toc199941020"/>
      <w:r>
        <w:t>Survey questions and responses</w:t>
      </w:r>
      <w:bookmarkEnd w:id="114"/>
    </w:p>
    <w:p w14:paraId="3F014EB3" w14:textId="77777777" w:rsidR="00142206" w:rsidRDefault="00142206" w:rsidP="00510206">
      <w:pPr>
        <w:pStyle w:val="Heading4"/>
      </w:pPr>
      <w:r w:rsidRPr="00A126B1">
        <w:t>Question 1: How long have you been providing mediation services on behalf of the ASBFEO?</w:t>
      </w:r>
    </w:p>
    <w:p w14:paraId="06A44574" w14:textId="6A092604" w:rsidR="000A0838" w:rsidRPr="00A126B1" w:rsidRDefault="00134CC4" w:rsidP="00510206">
      <w:pPr>
        <w:pStyle w:val="ChartGraphic"/>
      </w:pPr>
      <w:r>
        <w:rPr>
          <w:noProof/>
        </w:rPr>
        <w:drawing>
          <wp:inline distT="0" distB="0" distL="0" distR="0" wp14:anchorId="7C04525F" wp14:editId="6B8F8AD9">
            <wp:extent cx="4606925" cy="2609850"/>
            <wp:effectExtent l="0" t="0" r="3175" b="0"/>
            <wp:docPr id="1810456345" name="Chart 1" descr="The chart shows response to the question 'How long have you been providing mediation services on behalf of the ASBFEO?' Response concentration is heavily skewed towards the 5-10 years category, with 73 per cent respondents (11 responses) selecting this option.  The 2-5 years category received 27 per cent response (4 responses) with the remaining three categories  receiving no responses at all.">
              <a:extLst xmlns:a="http://schemas.openxmlformats.org/drawingml/2006/main">
                <a:ext uri="{FF2B5EF4-FFF2-40B4-BE49-F238E27FC236}">
                  <a16:creationId xmlns:a16="http://schemas.microsoft.com/office/drawing/2014/main" id="{12E95364-6DD9-160F-4FF7-5A8B417BA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44085C0" w14:textId="77777777" w:rsidR="00503F0D" w:rsidRDefault="00503F0D" w:rsidP="00510206">
      <w:pPr>
        <w:pStyle w:val="Heading4"/>
      </w:pPr>
      <w:r w:rsidRPr="00A126B1">
        <w:t>Question 2: How long have you been an accredited mediator?</w:t>
      </w:r>
    </w:p>
    <w:p w14:paraId="0F9FF60A" w14:textId="2D5C6DAA" w:rsidR="00475E19" w:rsidRPr="00A126B1" w:rsidRDefault="00475E19" w:rsidP="00510206">
      <w:pPr>
        <w:pStyle w:val="ChartGraphic"/>
      </w:pPr>
      <w:r>
        <w:rPr>
          <w:noProof/>
        </w:rPr>
        <w:drawing>
          <wp:inline distT="0" distB="0" distL="0" distR="0" wp14:anchorId="4DE7E75A" wp14:editId="772D7A5E">
            <wp:extent cx="4572000" cy="2609850"/>
            <wp:effectExtent l="0" t="0" r="0" b="0"/>
            <wp:docPr id="784745024" name="Chart 1" descr="This chart shows response to the question 'How long have you been an accredited mediator?' 87 per cent (13 responses) reported 10+ years of experience, while only 13 per cent (2 responses) reported 5-10 years' experience.  All other four categories 0-1 years, 1-2 years, 2-5 years and prefer not to answer received no responses.">
              <a:extLst xmlns:a="http://schemas.openxmlformats.org/drawingml/2006/main">
                <a:ext uri="{FF2B5EF4-FFF2-40B4-BE49-F238E27FC236}">
                  <a16:creationId xmlns:a16="http://schemas.microsoft.com/office/drawing/2014/main" id="{EABCCCD4-CE76-46A8-F7D1-A2B4F6DA82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831B661" w14:textId="77777777" w:rsidR="00510206" w:rsidRDefault="00510206">
      <w:pPr>
        <w:spacing w:before="0" w:after="160" w:line="259" w:lineRule="auto"/>
        <w:rPr>
          <w:rFonts w:ascii="Calibri Light" w:hAnsi="Calibri Light" w:cs="Arial"/>
          <w:b/>
          <w:kern w:val="32"/>
          <w:sz w:val="28"/>
          <w:szCs w:val="26"/>
        </w:rPr>
      </w:pPr>
      <w:r>
        <w:br w:type="page"/>
      </w:r>
    </w:p>
    <w:p w14:paraId="0E7B13F6" w14:textId="037204E0" w:rsidR="00634A12" w:rsidRDefault="00634A12" w:rsidP="00510206">
      <w:pPr>
        <w:pStyle w:val="Heading4"/>
      </w:pPr>
      <w:r w:rsidRPr="00A126B1">
        <w:lastRenderedPageBreak/>
        <w:t>Question 3: How would you describe your gender?</w:t>
      </w:r>
    </w:p>
    <w:p w14:paraId="65B96247" w14:textId="718E3802" w:rsidR="002A6692" w:rsidRPr="00A126B1" w:rsidRDefault="002A6692" w:rsidP="00510206">
      <w:pPr>
        <w:pStyle w:val="ChartGraphic"/>
      </w:pPr>
      <w:r>
        <w:rPr>
          <w:noProof/>
        </w:rPr>
        <w:drawing>
          <wp:inline distT="0" distB="0" distL="0" distR="0" wp14:anchorId="78078C93" wp14:editId="3026E4F1">
            <wp:extent cx="4572000" cy="2947988"/>
            <wp:effectExtent l="0" t="0" r="0" b="5080"/>
            <wp:docPr id="373707463" name="Chart 1" descr="This chart shows response to the question 'How would you describe your gender?' 80 per cent (12 responses) selected Male as a response with a substantially lower number of female responses at 20 per cent  (3 responses). The remaining two categories Prefer not to answer and Other received no response.  ">
              <a:extLst xmlns:a="http://schemas.openxmlformats.org/drawingml/2006/main">
                <a:ext uri="{FF2B5EF4-FFF2-40B4-BE49-F238E27FC236}">
                  <a16:creationId xmlns:a16="http://schemas.microsoft.com/office/drawing/2014/main" id="{3F3ED80F-F6A1-22B0-AED0-91073D431ECF}"/>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17F82DD" w14:textId="77777777" w:rsidR="00F473A3" w:rsidRDefault="00F473A3" w:rsidP="00510206">
      <w:pPr>
        <w:pStyle w:val="Heading4"/>
      </w:pPr>
      <w:r w:rsidRPr="00A126B1">
        <w:t>Question 4: Do you speak a language other than English?</w:t>
      </w:r>
    </w:p>
    <w:p w14:paraId="2AD4ECFA" w14:textId="38387AD2" w:rsidR="00464854" w:rsidRPr="00A126B1" w:rsidRDefault="00464854" w:rsidP="00510206">
      <w:pPr>
        <w:pStyle w:val="ChartGraphic"/>
      </w:pPr>
      <w:r>
        <w:rPr>
          <w:noProof/>
        </w:rPr>
        <w:drawing>
          <wp:inline distT="0" distB="0" distL="0" distR="0" wp14:anchorId="69CC9105" wp14:editId="38242833">
            <wp:extent cx="4572000" cy="2600325"/>
            <wp:effectExtent l="0" t="0" r="0" b="0"/>
            <wp:docPr id="1178147398" name="Chart 1" descr="This chart shows response to the question 'Do you speak a language other than English?' Responses were heavily skewed towards &quot;No&quot; with a response rate of 67 per cent (10 responses) than &quot;Yes&quot; with response rate of 33 responses (5 responses). There were no &quot;Prefer not to answer&quot; responses.">
              <a:extLst xmlns:a="http://schemas.openxmlformats.org/drawingml/2006/main">
                <a:ext uri="{FF2B5EF4-FFF2-40B4-BE49-F238E27FC236}">
                  <a16:creationId xmlns:a16="http://schemas.microsoft.com/office/drawing/2014/main" id="{C180B80D-5F13-FB2E-99E9-466BDA6C1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B268944" w14:textId="77777777" w:rsidR="00EC51DB" w:rsidRDefault="00EC51DB">
      <w:pPr>
        <w:spacing w:before="0" w:after="160" w:line="259" w:lineRule="auto"/>
        <w:rPr>
          <w:rFonts w:ascii="Calibri Light" w:hAnsi="Calibri Light" w:cs="Arial"/>
          <w:b/>
          <w:kern w:val="32"/>
          <w:sz w:val="28"/>
          <w:szCs w:val="26"/>
        </w:rPr>
      </w:pPr>
      <w:r>
        <w:br w:type="page"/>
      </w:r>
    </w:p>
    <w:p w14:paraId="3C971CD1" w14:textId="1E2A630C" w:rsidR="001749E3" w:rsidRDefault="001749E3" w:rsidP="00510206">
      <w:pPr>
        <w:pStyle w:val="Heading4"/>
      </w:pPr>
      <w:r w:rsidRPr="00A126B1">
        <w:lastRenderedPageBreak/>
        <w:t>Question 5: Do you identify as Aboriginal or Torres Strait Islander?</w:t>
      </w:r>
    </w:p>
    <w:p w14:paraId="6C85794C" w14:textId="4E058F63" w:rsidR="00583B8C" w:rsidRPr="00A126B1" w:rsidRDefault="007B02EF" w:rsidP="00510206">
      <w:pPr>
        <w:pStyle w:val="ChartGraphic"/>
      </w:pPr>
      <w:r>
        <w:rPr>
          <w:noProof/>
        </w:rPr>
        <w:drawing>
          <wp:inline distT="0" distB="0" distL="0" distR="0" wp14:anchorId="465AB83C" wp14:editId="2FE98AAA">
            <wp:extent cx="4572000" cy="2600325"/>
            <wp:effectExtent l="0" t="0" r="0" b="0"/>
            <wp:docPr id="214360083" name="Chart 1" descr="This chart shows response to the question 'Do you identify as Aboriginal or Torres Strait Islander?' 93 per cent of respondents answered &quot;No&quot; (14 responses), while 7 per cent selected &quot;Prefer not to answer&quot; (1 response).  No respondents selected &quot;Yes- Aboriginal&quot; and &quot;Yes-Torres Strait Islander.   ">
              <a:extLst xmlns:a="http://schemas.openxmlformats.org/drawingml/2006/main">
                <a:ext uri="{FF2B5EF4-FFF2-40B4-BE49-F238E27FC236}">
                  <a16:creationId xmlns:a16="http://schemas.microsoft.com/office/drawing/2014/main" id="{AC9C0FE8-A48A-BAD7-CA56-0EAB35DFA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1A66FC7" w14:textId="77777777" w:rsidR="00D03794" w:rsidRDefault="00D03794" w:rsidP="00510206">
      <w:pPr>
        <w:pStyle w:val="Heading4"/>
      </w:pPr>
      <w:r w:rsidRPr="00A126B1">
        <w:t>Question 6: Where is the location of your business?</w:t>
      </w:r>
    </w:p>
    <w:p w14:paraId="38203E51" w14:textId="0D11F84B" w:rsidR="00CD03E2" w:rsidRDefault="00CD03E2" w:rsidP="00510206">
      <w:pPr>
        <w:pStyle w:val="ChartGraphic"/>
      </w:pPr>
      <w:r>
        <w:rPr>
          <w:noProof/>
        </w:rPr>
        <w:drawing>
          <wp:inline distT="0" distB="0" distL="0" distR="0" wp14:anchorId="056F01E8" wp14:editId="75801DE4">
            <wp:extent cx="4572000" cy="2609850"/>
            <wp:effectExtent l="0" t="0" r="0" b="0"/>
            <wp:docPr id="450176464" name="Chart 1" descr="This chart shows response to the question 'Where is the location of your business?' New South Wales with 40 per cent response rate had the highest number of responses (6 responses), followed by Victoria 27 per cent (4 responses) and South Australia 13 per cent (2 responses).  The remaining states and territories, along with the &quot;Prefer not to answer&quot; and &quot;Other&quot; categories, received no responses.">
              <a:extLst xmlns:a="http://schemas.openxmlformats.org/drawingml/2006/main">
                <a:ext uri="{FF2B5EF4-FFF2-40B4-BE49-F238E27FC236}">
                  <a16:creationId xmlns:a16="http://schemas.microsoft.com/office/drawing/2014/main" id="{C46D4D89-6C49-0032-97FA-916D5D524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1131F17" w14:textId="77777777" w:rsidR="00510206" w:rsidRDefault="00510206">
      <w:pPr>
        <w:spacing w:before="0" w:after="160" w:line="259" w:lineRule="auto"/>
        <w:rPr>
          <w:rFonts w:ascii="Calibri Light" w:hAnsi="Calibri Light" w:cs="Arial"/>
          <w:b/>
          <w:kern w:val="32"/>
          <w:sz w:val="28"/>
          <w:szCs w:val="26"/>
        </w:rPr>
      </w:pPr>
      <w:r>
        <w:br w:type="page"/>
      </w:r>
    </w:p>
    <w:p w14:paraId="2F19C35E" w14:textId="75F848F0" w:rsidR="00112850" w:rsidRDefault="00112850" w:rsidP="00510206">
      <w:pPr>
        <w:pStyle w:val="Heading4"/>
      </w:pPr>
      <w:r w:rsidRPr="00A126B1">
        <w:lastRenderedPageBreak/>
        <w:t>Question 7: What types of mediations have you mediated?</w:t>
      </w:r>
    </w:p>
    <w:p w14:paraId="13FA2898" w14:textId="13B5D227" w:rsidR="0081604A" w:rsidRDefault="0081604A" w:rsidP="00510206">
      <w:pPr>
        <w:pStyle w:val="ChartGraphic"/>
      </w:pPr>
      <w:r>
        <w:rPr>
          <w:noProof/>
        </w:rPr>
        <w:drawing>
          <wp:inline distT="0" distB="0" distL="0" distR="0" wp14:anchorId="414BEA53" wp14:editId="3DE84E91">
            <wp:extent cx="4572000" cy="2609850"/>
            <wp:effectExtent l="0" t="0" r="0" b="0"/>
            <wp:docPr id="206268261" name="Chart 1" descr="This chart shows response to the question 'What types of mediations have you mediated?' &quot;Franchising&quot; was the most frequently selected response, with 35 per cent respondents (12 responses) choosing this option. &quot;Business-to-business - payment&quot; 21 per cent (7 responses) and &quot;business to business -other&quot; 18 per cent (6 responses) comprised a significant portion of responses (13 total). The remaining categories received considerably fewer responses, &quot;Horticultural, dairy or oil code&quot; 6 per cent (2 responses), &quot;All of the above&quot; 9 per cent (3 responses) and &quot;Other&quot;12 per cent (4 responses).">
              <a:extLst xmlns:a="http://schemas.openxmlformats.org/drawingml/2006/main">
                <a:ext uri="{FF2B5EF4-FFF2-40B4-BE49-F238E27FC236}">
                  <a16:creationId xmlns:a16="http://schemas.microsoft.com/office/drawing/2014/main" id="{987D6A6A-4356-7F1A-A6D1-0EAFDD30A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CEEA63C" w14:textId="77777777" w:rsidR="00230EC8" w:rsidRDefault="00230EC8" w:rsidP="00510206">
      <w:pPr>
        <w:pStyle w:val="Heading4"/>
      </w:pPr>
      <w:r w:rsidRPr="00A126B1">
        <w:t>Question 8: How often do you mediate for ASBFEO?</w:t>
      </w:r>
    </w:p>
    <w:p w14:paraId="5351CA1F" w14:textId="5DF26FF3" w:rsidR="003C1B6A" w:rsidRDefault="00FE4FA1" w:rsidP="00510206">
      <w:pPr>
        <w:pStyle w:val="ChartGraphic"/>
      </w:pPr>
      <w:r>
        <w:rPr>
          <w:noProof/>
        </w:rPr>
        <w:drawing>
          <wp:inline distT="0" distB="0" distL="0" distR="0" wp14:anchorId="38BDA1E8" wp14:editId="0AFF6FD2">
            <wp:extent cx="4572000" cy="2600325"/>
            <wp:effectExtent l="0" t="0" r="0" b="0"/>
            <wp:docPr id="1668004478" name="Chart 1" descr="This chart shows response to the question 'How often do you mediate for ASBFEO?' 100 per cent respondents (15 responses) reported mediating between 1 and 5 times yearly.  No responses indicated mediating either &quot;Never&quot;, &quot;5-10 times yearly&quot;, or &quot;Over 10 mediations&quot;.">
              <a:extLst xmlns:a="http://schemas.openxmlformats.org/drawingml/2006/main">
                <a:ext uri="{FF2B5EF4-FFF2-40B4-BE49-F238E27FC236}">
                  <a16:creationId xmlns:a16="http://schemas.microsoft.com/office/drawing/2014/main" id="{F8B1D9F3-4FD5-9245-F35D-835E6ED4E0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FB5379F" w14:textId="77777777" w:rsidR="00510206" w:rsidRDefault="00510206">
      <w:pPr>
        <w:spacing w:before="0" w:after="160" w:line="259" w:lineRule="auto"/>
        <w:rPr>
          <w:rFonts w:ascii="Calibri Light" w:hAnsi="Calibri Light" w:cs="Arial"/>
          <w:b/>
          <w:kern w:val="32"/>
          <w:sz w:val="28"/>
          <w:szCs w:val="26"/>
        </w:rPr>
      </w:pPr>
      <w:r>
        <w:br w:type="page"/>
      </w:r>
    </w:p>
    <w:p w14:paraId="57FCE8BD" w14:textId="779FD4E3" w:rsidR="00F80EFB" w:rsidRDefault="00F80EFB" w:rsidP="00510206">
      <w:pPr>
        <w:pStyle w:val="Heading4"/>
      </w:pPr>
      <w:r w:rsidRPr="00A126B1">
        <w:lastRenderedPageBreak/>
        <w:t>Question 9: What is your level of satisfaction with the following aspects of the ASBFEO</w:t>
      </w:r>
      <w:r w:rsidR="00916FA5">
        <w:t>’</w:t>
      </w:r>
      <w:r w:rsidRPr="00A126B1">
        <w:t>s pre and post mediation processes?</w:t>
      </w:r>
    </w:p>
    <w:p w14:paraId="74CDC286" w14:textId="6767C1DE" w:rsidR="004E0714" w:rsidRDefault="004E0714" w:rsidP="00510206">
      <w:pPr>
        <w:pStyle w:val="ChartGraphic"/>
      </w:pPr>
      <w:r>
        <w:rPr>
          <w:noProof/>
        </w:rPr>
        <w:drawing>
          <wp:inline distT="0" distB="0" distL="0" distR="0" wp14:anchorId="12854D06" wp14:editId="30A23848">
            <wp:extent cx="5661964" cy="3028493"/>
            <wp:effectExtent l="0" t="0" r="0" b="635"/>
            <wp:docPr id="710985699" name="Chart 1" descr="This chart shows response to the question 'What is your level of satisfaction with the following aspects of the ASBFEO’s pre and post mediation processes?' Responses show high satisfaction with &quot;The cases provided are aligned with my skills and knowledge&quot; 60 per cent (9 responses). Satisfaction rating with higher response was selected for  &quot;Communication with ASBFEO staff and yourself&quot; 60 per cent (9 responses) and &quot;The process for reporting mediation outcome&quot; 60 per cent (9 responses). while satisfaction with other aspects, such as scheduling and reporting, is more varied. &quot;Screening out aggressive disputants&quot; received 47 per cent (7 responses) under neither satisfied nor dissatisfied. &quot;Pre-mediation briefing provided by ASBFEO staff regarding the dispute and the disputants&quot; received 13 per cent (2 responses) selecting dissatisfied option and 7 per cent (1 respondent) very dissatisfied. However 40 per cent (6 respondents) were satisfied with pre-mediation briefings provided by ASBFEO. &quot;The process for scheduling a mediation&quot; had mainly satisfied and neither satisfied nor dissatisfied both at 40 per cent (6 responses) respectively. ">
              <a:extLst xmlns:a="http://schemas.openxmlformats.org/drawingml/2006/main">
                <a:ext uri="{FF2B5EF4-FFF2-40B4-BE49-F238E27FC236}">
                  <a16:creationId xmlns:a16="http://schemas.microsoft.com/office/drawing/2014/main" id="{549D7D6F-2BB6-BF48-50B0-03EB6B82AE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CA97DFD" w14:textId="77777777" w:rsidR="008722A9" w:rsidRDefault="008722A9" w:rsidP="00510206">
      <w:pPr>
        <w:pStyle w:val="Heading4"/>
      </w:pPr>
      <w:r w:rsidRPr="00A126B1">
        <w:t>Question 10: In your experience mediating on behalf of ASBFEO, how well prepared for mediation have you found most disputants?</w:t>
      </w:r>
    </w:p>
    <w:p w14:paraId="47A725B6" w14:textId="58C9FAC9" w:rsidR="00E84527" w:rsidRDefault="00E84527" w:rsidP="00510206">
      <w:pPr>
        <w:pStyle w:val="ChartGraphic"/>
      </w:pPr>
      <w:r>
        <w:rPr>
          <w:noProof/>
        </w:rPr>
        <w:drawing>
          <wp:inline distT="0" distB="0" distL="0" distR="0" wp14:anchorId="57A6C8D6" wp14:editId="0743DAB6">
            <wp:extent cx="5742432" cy="2670048"/>
            <wp:effectExtent l="0" t="0" r="0" b="0"/>
            <wp:docPr id="975532704" name="Chart 1" descr="This chart shows response to the question 'In your experience mediating on behalf of ASBFEO, how well prepared for mediation have you found most disputants?' 73 per cent of respondents reported being moderately prepared (11 responses), while 27 per cent felt somewhat prepared (4 responses).  No respondents reported feeling extremely prepared, unprepared, or disordered.">
              <a:extLst xmlns:a="http://schemas.openxmlformats.org/drawingml/2006/main">
                <a:ext uri="{FF2B5EF4-FFF2-40B4-BE49-F238E27FC236}">
                  <a16:creationId xmlns:a16="http://schemas.microsoft.com/office/drawing/2014/main" id="{80811B51-4FE1-BEA6-2A28-7246C9561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5F7ACA7" w14:textId="77777777" w:rsidR="00DC5EDC" w:rsidRDefault="00DC5EDC" w:rsidP="00510206">
      <w:pPr>
        <w:pStyle w:val="Heading4"/>
      </w:pPr>
      <w:r w:rsidRPr="00A126B1">
        <w:t>Question 11: If you would like to provide more information regarding your answer, please elaborate in the space below.</w:t>
      </w:r>
    </w:p>
    <w:tbl>
      <w:tblPr>
        <w:tblStyle w:val="BoxStyle"/>
        <w:tblW w:w="5000" w:type="pct"/>
        <w:shd w:val="clear" w:color="auto" w:fill="F4F0EC"/>
        <w:tblLook w:val="0620" w:firstRow="1" w:lastRow="0" w:firstColumn="0" w:lastColumn="0" w:noHBand="1" w:noVBand="1"/>
      </w:tblPr>
      <w:tblGrid>
        <w:gridCol w:w="9070"/>
      </w:tblGrid>
      <w:tr w:rsidR="008448D5" w14:paraId="31BBCF83" w14:textId="77777777" w:rsidTr="004C4118">
        <w:tc>
          <w:tcPr>
            <w:tcW w:w="5000" w:type="pct"/>
            <w:shd w:val="clear" w:color="auto" w:fill="F4F0EC"/>
            <w:hideMark/>
          </w:tcPr>
          <w:p w14:paraId="240A145C" w14:textId="5A3CCD71" w:rsidR="008448D5" w:rsidRPr="00D2675F" w:rsidRDefault="008448D5">
            <w:pPr>
              <w:pStyle w:val="BoxText"/>
              <w:rPr>
                <w:rStyle w:val="Emphasis"/>
              </w:rPr>
            </w:pPr>
            <w:r w:rsidRPr="008448D5">
              <w:rPr>
                <w:rStyle w:val="Emphasis"/>
              </w:rPr>
              <w:t>This was a free text field. 9 respondents provided a response to the question.</w:t>
            </w:r>
          </w:p>
        </w:tc>
      </w:tr>
    </w:tbl>
    <w:p w14:paraId="00906CB3" w14:textId="77777777" w:rsidR="00AF5BFA" w:rsidRDefault="00AF5BFA" w:rsidP="00510206">
      <w:pPr>
        <w:pStyle w:val="Heading4"/>
      </w:pPr>
      <w:r w:rsidRPr="00A126B1">
        <w:lastRenderedPageBreak/>
        <w:t>Question 12: Do you have experience providing mediation services on behalf of other government funded services or in state jurisdictions?</w:t>
      </w:r>
    </w:p>
    <w:p w14:paraId="72DAB411" w14:textId="444944F0" w:rsidR="006B7310" w:rsidRPr="00A126B1" w:rsidRDefault="006721CB" w:rsidP="004D5099">
      <w:pPr>
        <w:pStyle w:val="ChartGraphic"/>
      </w:pPr>
      <w:r>
        <w:rPr>
          <w:noProof/>
        </w:rPr>
        <w:drawing>
          <wp:inline distT="0" distB="0" distL="0" distR="0" wp14:anchorId="49E67823" wp14:editId="2C44015C">
            <wp:extent cx="4572000" cy="2609850"/>
            <wp:effectExtent l="0" t="0" r="0" b="0"/>
            <wp:docPr id="588506593" name="Chart 1" descr="This chart shows response to the question 'Do you have experience providing mediation services on behalf of other government funded services or in state jurisdictions?' 80 per cent (12 responses) responded &quot;Yes&quot;, while 20 per cent (3 responses) responded &quot;No&quot;.  The affirmative response was four times greater than the negative.">
              <a:extLst xmlns:a="http://schemas.openxmlformats.org/drawingml/2006/main">
                <a:ext uri="{FF2B5EF4-FFF2-40B4-BE49-F238E27FC236}">
                  <a16:creationId xmlns:a16="http://schemas.microsoft.com/office/drawing/2014/main" id="{987BA25C-A619-D19C-BABF-DECAFF5AF6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F10B920" w14:textId="77777777" w:rsidR="00FE693C" w:rsidRDefault="00FE693C" w:rsidP="00510206">
      <w:pPr>
        <w:pStyle w:val="Heading4"/>
      </w:pPr>
      <w:r w:rsidRPr="00A126B1">
        <w:t>Question 13: From your experience, how would you compare the ASBFEO with other government funded dispute resolution services?</w:t>
      </w:r>
    </w:p>
    <w:p w14:paraId="5C36978C" w14:textId="77777777" w:rsidR="00804DEF" w:rsidRDefault="00804DEF" w:rsidP="004D5099">
      <w:pPr>
        <w:pStyle w:val="ChartGraphic"/>
      </w:pPr>
      <w:r>
        <w:rPr>
          <w:noProof/>
        </w:rPr>
        <w:drawing>
          <wp:inline distT="0" distB="0" distL="0" distR="0" wp14:anchorId="5054E318" wp14:editId="09D087E6">
            <wp:extent cx="5759450" cy="3609975"/>
            <wp:effectExtent l="0" t="0" r="0" b="0"/>
            <wp:docPr id="1985526614" name="Chart 1" descr="This chart shows response to the question 'From your experience, how would you compare the ASBFEO with other government funded dispute resolution services?' ASBFEO was rated similarly across most criteria, with 100 per cent (12 responses)  indicating similar performance in accessibility for people from different cultural backgrounds and accessibility for people living in rural or remote areas, respectively.  Pre-mediation preparation of disputants 67 per cent (8 responses) and the dispute resolution model (mediation) 83 per cent (10 responses), &quot;Independence&quot; 100 per cent (11 responses), &quot;Affordability&quot; 92 per cent (11 responses) also received a relatively high number of &quot;similar&quot; ratings.  Very few respondents rated the ASBFEO as performing better or inferior on any criteria.">
              <a:extLst xmlns:a="http://schemas.openxmlformats.org/drawingml/2006/main">
                <a:ext uri="{FF2B5EF4-FFF2-40B4-BE49-F238E27FC236}">
                  <a16:creationId xmlns:a16="http://schemas.microsoft.com/office/drawing/2014/main" id="{7D6D29C3-B606-BC84-3BFA-8788AB16F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B0BF560" w14:textId="77777777" w:rsidR="00A5497F" w:rsidRDefault="00A5497F">
      <w:pPr>
        <w:spacing w:before="0" w:after="160" w:line="259" w:lineRule="auto"/>
        <w:rPr>
          <w:rFonts w:ascii="Calibri Light" w:hAnsi="Calibri Light" w:cs="Arial"/>
          <w:b/>
          <w:kern w:val="32"/>
          <w:sz w:val="28"/>
          <w:szCs w:val="26"/>
        </w:rPr>
      </w:pPr>
      <w:r>
        <w:br w:type="page"/>
      </w:r>
    </w:p>
    <w:p w14:paraId="4104B2CE" w14:textId="383BD94B" w:rsidR="0067054F" w:rsidRDefault="0067054F" w:rsidP="00510206">
      <w:pPr>
        <w:pStyle w:val="Heading4"/>
      </w:pPr>
      <w:r>
        <w:lastRenderedPageBreak/>
        <w:t xml:space="preserve">Question 14: </w:t>
      </w:r>
      <w:r w:rsidRPr="003D06FD">
        <w:t>What is your satisfaction with the following processes and functions of the ASBFEO?</w:t>
      </w:r>
    </w:p>
    <w:p w14:paraId="490B5CF6" w14:textId="77777777" w:rsidR="00AA0615" w:rsidRDefault="00AA0615" w:rsidP="00F8734E">
      <w:pPr>
        <w:pStyle w:val="ChartGraphic"/>
      </w:pPr>
      <w:r>
        <w:rPr>
          <w:noProof/>
        </w:rPr>
        <w:drawing>
          <wp:inline distT="0" distB="0" distL="0" distR="0" wp14:anchorId="3E19FA72" wp14:editId="3D9939DB">
            <wp:extent cx="5683910" cy="2494483"/>
            <wp:effectExtent l="0" t="0" r="0" b="1270"/>
            <wp:docPr id="933486554" name="Chart 1" descr="This chart shows response to the question &quot;What is your satisfaction with the following processes and functions of the ASBFEO?&quot;. 60 per cent respondents (9 responses) were satisfied with the processes for applying to the mediation list, the process for inducting mediators 53 per cent (8 responses), and the process for declaring conflicts of interest 53 per cent (8 responses).  67 per cent (10 responses) include opportunities for collaboration with other ASBFEO mediators, the process for incident reporting 47 per cent (7 responses), the process for recommending improvements to the ASBFEO 67 per cent (10 responses) recommending improvements to the ASBFEO, and ASBFEO-led training and development  50 per cent (7 responses) where a significant portion of respondents expressed neither satisfaction nor dissatisfaction. The provision of performance feedback to mediators received a mixed response.">
              <a:extLst xmlns:a="http://schemas.openxmlformats.org/drawingml/2006/main">
                <a:ext uri="{FF2B5EF4-FFF2-40B4-BE49-F238E27FC236}">
                  <a16:creationId xmlns:a16="http://schemas.microsoft.com/office/drawing/2014/main" id="{FCCDF3EE-8370-4C6D-166A-ACCF2A904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3FA22E8" w14:textId="4CA112B1" w:rsidR="00AA0615" w:rsidRDefault="00AA0615" w:rsidP="00A5497F">
      <w:pPr>
        <w:pStyle w:val="ChartorTablenoteandsource"/>
      </w:pPr>
      <w:r>
        <w:t xml:space="preserve">Note: </w:t>
      </w:r>
      <w:r w:rsidR="00255885" w:rsidRPr="00A5497F">
        <w:tab/>
      </w:r>
      <w:r>
        <w:t>Response 1: The process for applying to join the mediation list, Response 2: The process of inducting mediators, Response 3: The process for declaring a conflict of interest, Response 4: The provision of performance feedback to mediators, Response 5: Opportunities for collaboration with other ASBFEO mediators, Response 6: The process for incident reporting, Response 7: The process for recommending improvements to the ASBFEO, Response</w:t>
      </w:r>
      <w:r w:rsidR="009372CF">
        <w:t> </w:t>
      </w:r>
      <w:r>
        <w:t>8:</w:t>
      </w:r>
      <w:r w:rsidR="009372CF">
        <w:t> </w:t>
      </w:r>
      <w:r>
        <w:t>ASBFEO</w:t>
      </w:r>
      <w:r w:rsidR="003A0D5E">
        <w:noBreakHyphen/>
      </w:r>
      <w:r>
        <w:t>led training and development.</w:t>
      </w:r>
    </w:p>
    <w:p w14:paraId="6DAC087F" w14:textId="77777777" w:rsidR="005A7224" w:rsidRDefault="005A7224" w:rsidP="00510206">
      <w:pPr>
        <w:pStyle w:val="Heading4"/>
      </w:pPr>
      <w:r w:rsidRPr="00A126B1">
        <w:t>Question 15: If you would like to provide more information regarding your answer, please elaborate in the space below.</w:t>
      </w:r>
    </w:p>
    <w:tbl>
      <w:tblPr>
        <w:tblStyle w:val="BoxStyle"/>
        <w:tblW w:w="5000" w:type="pct"/>
        <w:shd w:val="clear" w:color="auto" w:fill="F4F0EC"/>
        <w:tblLook w:val="0620" w:firstRow="1" w:lastRow="0" w:firstColumn="0" w:lastColumn="0" w:noHBand="1" w:noVBand="1"/>
      </w:tblPr>
      <w:tblGrid>
        <w:gridCol w:w="9070"/>
      </w:tblGrid>
      <w:tr w:rsidR="005574CB" w14:paraId="7D268C20" w14:textId="77777777" w:rsidTr="004C4118">
        <w:tc>
          <w:tcPr>
            <w:tcW w:w="5000" w:type="pct"/>
            <w:shd w:val="clear" w:color="auto" w:fill="F4F0EC"/>
            <w:hideMark/>
          </w:tcPr>
          <w:p w14:paraId="32FF09C5" w14:textId="14AD7E4E" w:rsidR="005574CB" w:rsidRPr="00D2675F" w:rsidRDefault="005574CB">
            <w:pPr>
              <w:pStyle w:val="BoxText"/>
              <w:rPr>
                <w:rStyle w:val="Emphasis"/>
              </w:rPr>
            </w:pPr>
            <w:r w:rsidRPr="00D2675F">
              <w:rPr>
                <w:rStyle w:val="Emphasis"/>
              </w:rPr>
              <w:t>This was a free text field.</w:t>
            </w:r>
            <w:r>
              <w:rPr>
                <w:rStyle w:val="Emphasis"/>
              </w:rPr>
              <w:t xml:space="preserve"> 3</w:t>
            </w:r>
            <w:r w:rsidRPr="00D2675F">
              <w:rPr>
                <w:rStyle w:val="Emphasis"/>
              </w:rPr>
              <w:t xml:space="preserve"> respondents provided a response to the question.</w:t>
            </w:r>
          </w:p>
        </w:tc>
      </w:tr>
    </w:tbl>
    <w:p w14:paraId="601D2A06" w14:textId="77777777" w:rsidR="00A30FAF" w:rsidRDefault="00A30FAF" w:rsidP="00510206">
      <w:pPr>
        <w:pStyle w:val="Heading4"/>
      </w:pPr>
      <w:r w:rsidRPr="00A126B1">
        <w:lastRenderedPageBreak/>
        <w:t>Question 16: Thinking about your approach when undertaking mediation duties on behalf of the ASBFEO, how routine are the following practises?</w:t>
      </w:r>
    </w:p>
    <w:p w14:paraId="4AA57D41" w14:textId="77777777" w:rsidR="009F56C5" w:rsidRDefault="009F56C5" w:rsidP="009F56C5">
      <w:r>
        <w:rPr>
          <w:noProof/>
        </w:rPr>
        <w:drawing>
          <wp:inline distT="0" distB="0" distL="0" distR="0" wp14:anchorId="582BFCDD" wp14:editId="228B2A43">
            <wp:extent cx="5413248" cy="2896819"/>
            <wp:effectExtent l="0" t="0" r="0" b="0"/>
            <wp:docPr id="868189063" name="Chart 1" descr="This chart shows response to the question &quot;Thinking about your approach when undertaking mediation duties on behalf of the ASBFEO, how routine are the following practises?&quot;. The most frequently selected response across all categories was &quot;During every mediation,&quot; indicating a high level of consistency in practice for most listed mediation techniques. Approaching mediation with attention to power imbalances and understanding both parties' needs were consistently applied. The lowest reported frequencies were observed for &quot;Seldom&quot; across all techniques, was selected for two sections. 7 per cent (1 response) selected &quot;Outlining possible solutions to dispute&quot; and 13 per cent (2 responses) selected &quot;Drafting of agreements that reflects disputant’s own words&quot;.">
              <a:extLst xmlns:a="http://schemas.openxmlformats.org/drawingml/2006/main">
                <a:ext uri="{FF2B5EF4-FFF2-40B4-BE49-F238E27FC236}">
                  <a16:creationId xmlns:a16="http://schemas.microsoft.com/office/drawing/2014/main" id="{29243276-0265-3CA3-902E-45449DEDE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9C2FB35" w14:textId="1698BA8B" w:rsidR="009F56C5" w:rsidRDefault="009F56C5" w:rsidP="00A5497F">
      <w:pPr>
        <w:pStyle w:val="ChartorTablenoteandsource"/>
      </w:pPr>
      <w:r>
        <w:t xml:space="preserve">Note: </w:t>
      </w:r>
      <w:r w:rsidR="009B04F6" w:rsidRPr="00A5497F">
        <w:tab/>
      </w:r>
      <w:r>
        <w:t>Response 1: Explaining the mediation process to disputants at the beginning of the mediation, Response</w:t>
      </w:r>
      <w:r w:rsidR="009372CF">
        <w:t> </w:t>
      </w:r>
      <w:r>
        <w:t>2:</w:t>
      </w:r>
      <w:r w:rsidR="009372CF">
        <w:t> </w:t>
      </w:r>
      <w:r>
        <w:t>Approaching the mediation in a way that is attentive to power imbalances, Response 3: Seeking to understand the needs of both parties, Response 4: Encouraging the parties to speak directly to each other, Response 5: Outlining possible solutions to dispute, Response 6: Testing with each other the parties that they can uphold proposed terms of agreement, Response 7: Drafting of agreements that reflects disputant’s own words.</w:t>
      </w:r>
    </w:p>
    <w:p w14:paraId="2F1C2972" w14:textId="77777777" w:rsidR="002548D1" w:rsidRDefault="002548D1" w:rsidP="00510206">
      <w:pPr>
        <w:pStyle w:val="Heading4"/>
      </w:pPr>
      <w:r>
        <w:t xml:space="preserve">Question 17: </w:t>
      </w:r>
      <w:r w:rsidRPr="00207897">
        <w:t>If you would like to provide more information regarding your answer, please elaborate in the space below.</w:t>
      </w:r>
    </w:p>
    <w:tbl>
      <w:tblPr>
        <w:tblStyle w:val="BoxStyle"/>
        <w:tblW w:w="5000" w:type="pct"/>
        <w:shd w:val="clear" w:color="auto" w:fill="F4F0EC"/>
        <w:tblLook w:val="0620" w:firstRow="1" w:lastRow="0" w:firstColumn="0" w:lastColumn="0" w:noHBand="1" w:noVBand="1"/>
      </w:tblPr>
      <w:tblGrid>
        <w:gridCol w:w="9070"/>
      </w:tblGrid>
      <w:tr w:rsidR="005E153F" w14:paraId="349256F5" w14:textId="77777777" w:rsidTr="004C4118">
        <w:tc>
          <w:tcPr>
            <w:tcW w:w="5000" w:type="pct"/>
            <w:shd w:val="clear" w:color="auto" w:fill="F4F0EC"/>
            <w:hideMark/>
          </w:tcPr>
          <w:p w14:paraId="7E343997" w14:textId="47AC9F44" w:rsidR="005E153F" w:rsidRPr="005E153F" w:rsidRDefault="005E153F" w:rsidP="005E153F">
            <w:pPr>
              <w:pStyle w:val="BoxText"/>
              <w:rPr>
                <w:rStyle w:val="Emphasis"/>
              </w:rPr>
            </w:pPr>
            <w:r w:rsidRPr="00D2675F">
              <w:rPr>
                <w:rStyle w:val="Emphasis"/>
              </w:rPr>
              <w:t>This was a free text field. 2 respondents provided a response to the question.</w:t>
            </w:r>
          </w:p>
        </w:tc>
      </w:tr>
    </w:tbl>
    <w:p w14:paraId="0141687B" w14:textId="77777777" w:rsidR="000675C4" w:rsidRDefault="000675C4" w:rsidP="000675C4">
      <w:pPr>
        <w:pStyle w:val="Heading4"/>
      </w:pPr>
      <w:r>
        <w:lastRenderedPageBreak/>
        <w:t xml:space="preserve">Question 18: </w:t>
      </w:r>
      <w:r w:rsidRPr="001659EC">
        <w:t>To what extent do you agree that disputants from culturally and linguistically diverse backgrounds are supported to effectively participate in the ASBFEO mediation?</w:t>
      </w:r>
    </w:p>
    <w:p w14:paraId="76B5BC7D" w14:textId="25D46B66" w:rsidR="000675C4" w:rsidRPr="003074FE" w:rsidRDefault="000675C4" w:rsidP="004A5879">
      <w:pPr>
        <w:pStyle w:val="ChartGraphic"/>
      </w:pPr>
      <w:r>
        <w:rPr>
          <w:noProof/>
        </w:rPr>
        <w:drawing>
          <wp:inline distT="0" distB="0" distL="0" distR="0" wp14:anchorId="6128FE98" wp14:editId="1887D821">
            <wp:extent cx="5683910" cy="2600325"/>
            <wp:effectExtent l="0" t="0" r="0" b="0"/>
            <wp:docPr id="614221724" name="Chart 1" descr="This chart shows response to the question 'To what extent do you agree that disputants from culturally and linguistically diverse backgrounds are supported to effectively participate in the ASBFEO mediation?' The &quot;Agree&quot; response option received 36 per cent (5 responses), while &quot;Neither agree nor disagree&quot; received 50 per cent (7 responses). The remaining options received considerably fewer responses, strongly agree and disagree option received 7 per cent (1 response), respectively. Strongly disagree did not receive any responses. ">
              <a:extLst xmlns:a="http://schemas.openxmlformats.org/drawingml/2006/main">
                <a:ext uri="{FF2B5EF4-FFF2-40B4-BE49-F238E27FC236}">
                  <a16:creationId xmlns:a16="http://schemas.microsoft.com/office/drawing/2014/main" id="{BF363E96-0D71-DCBD-6113-7ECB0C40B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361B1E8" w14:textId="6B6D752E" w:rsidR="0067054F" w:rsidRPr="0067054F" w:rsidRDefault="0067054F" w:rsidP="00856C13"/>
    <w:p w14:paraId="67C77147" w14:textId="77777777" w:rsidR="00CB1F8E" w:rsidRDefault="00CB1F8E" w:rsidP="00510206">
      <w:pPr>
        <w:pStyle w:val="Heading4"/>
      </w:pPr>
      <w:r w:rsidRPr="00A126B1">
        <w:lastRenderedPageBreak/>
        <w:t>Question 19: To what extent do you agree that ASBFEO mediators are adequately equipped to attend to the needs of disputants from culturally and linguistically diverse background?</w:t>
      </w:r>
    </w:p>
    <w:p w14:paraId="4E20B7DB" w14:textId="7EEBCE9A" w:rsidR="005D22C7" w:rsidRPr="00A126B1" w:rsidRDefault="005D22C7" w:rsidP="00510206">
      <w:pPr>
        <w:pStyle w:val="ChartGraphic"/>
      </w:pPr>
      <w:r w:rsidRPr="004A5879">
        <w:rPr>
          <w:noProof/>
        </w:rPr>
        <w:drawing>
          <wp:inline distT="0" distB="0" distL="0" distR="0" wp14:anchorId="3761EEA5" wp14:editId="0A10C8F7">
            <wp:extent cx="5683910" cy="2695575"/>
            <wp:effectExtent l="0" t="0" r="0" b="0"/>
            <wp:docPr id="1037195446" name="Chart 1" descr="This chart shows response to the question 'To what extent do you agree that ASBFEO mediators are adequately equipped to attend to the needs of disputants from culturally and linguistically diverse background?' Agreement was most common, with 43 per cent (6 responses agreeing and 50 per cent (7 responses) neither agreeing nor disagreeing. Strong agreement was less prevalent, with only 7 per cent (1 response), while no one strongly disagreed.">
              <a:extLst xmlns:a="http://schemas.openxmlformats.org/drawingml/2006/main">
                <a:ext uri="{FF2B5EF4-FFF2-40B4-BE49-F238E27FC236}">
                  <a16:creationId xmlns:a16="http://schemas.microsoft.com/office/drawing/2014/main" id="{0B04DF14-CCCA-0028-7B7A-816CB8C2D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98089D7" w14:textId="77777777" w:rsidR="0006567F" w:rsidRDefault="0006567F" w:rsidP="00510206">
      <w:pPr>
        <w:pStyle w:val="Heading4"/>
      </w:pPr>
      <w:r w:rsidRPr="00A126B1">
        <w:t>Question 20: Is there anything you would like the ASBFEO to change in relation to working with diverse cultural and linguistic backgrounds?</w:t>
      </w:r>
    </w:p>
    <w:tbl>
      <w:tblPr>
        <w:tblStyle w:val="BoxStyle"/>
        <w:tblW w:w="5000" w:type="pct"/>
        <w:shd w:val="clear" w:color="auto" w:fill="F4F0EC"/>
        <w:tblLook w:val="0620" w:firstRow="1" w:lastRow="0" w:firstColumn="0" w:lastColumn="0" w:noHBand="1" w:noVBand="1"/>
      </w:tblPr>
      <w:tblGrid>
        <w:gridCol w:w="9070"/>
      </w:tblGrid>
      <w:tr w:rsidR="005574CB" w14:paraId="64F50EB2" w14:textId="77777777" w:rsidTr="004C4118">
        <w:tc>
          <w:tcPr>
            <w:tcW w:w="5000" w:type="pct"/>
            <w:shd w:val="clear" w:color="auto" w:fill="F4F0EC"/>
            <w:hideMark/>
          </w:tcPr>
          <w:p w14:paraId="39DCC16C" w14:textId="77777777" w:rsidR="005574CB" w:rsidRPr="00D2675F" w:rsidRDefault="005574CB">
            <w:pPr>
              <w:pStyle w:val="BoxText"/>
              <w:rPr>
                <w:rStyle w:val="Emphasis"/>
              </w:rPr>
            </w:pPr>
            <w:r w:rsidRPr="00D2675F">
              <w:rPr>
                <w:rStyle w:val="Emphasis"/>
              </w:rPr>
              <w:t>This was a free text field. 2 respondents provided a response to the question.</w:t>
            </w:r>
          </w:p>
        </w:tc>
      </w:tr>
    </w:tbl>
    <w:p w14:paraId="1BFBC497" w14:textId="4388F068" w:rsidR="00951300" w:rsidRDefault="00951300" w:rsidP="00510206">
      <w:pPr>
        <w:pStyle w:val="Heading4"/>
      </w:pPr>
      <w:r w:rsidRPr="00A126B1">
        <w:lastRenderedPageBreak/>
        <w:t>Question 21: To what extent do you agree that the mediation services offered by the ASBFEO are accessible to people living in rural or remote regions?</w:t>
      </w:r>
    </w:p>
    <w:p w14:paraId="1B3A66AA" w14:textId="6615138E" w:rsidR="00C15DA5" w:rsidRDefault="00A27FDB" w:rsidP="00510206">
      <w:pPr>
        <w:pStyle w:val="ChartGraphic"/>
      </w:pPr>
      <w:r>
        <w:rPr>
          <w:noProof/>
        </w:rPr>
        <w:drawing>
          <wp:inline distT="0" distB="0" distL="0" distR="0" wp14:anchorId="519C2D97" wp14:editId="545C6A4D">
            <wp:extent cx="5786323" cy="2871140"/>
            <wp:effectExtent l="0" t="0" r="5080" b="5715"/>
            <wp:docPr id="143896309" name="Chart 1" descr="This chart shows response to the question 'To what extent do you agree that the mediation services offered by the ASBFEO are accessible to people living in rural or remote regions?' A majority of respondents either agreed or strongly agreed.  47 per cent (7 responses) agree and 27 per cent (4 responses) strongly agree. 27 per cent (4 responses) neither agree nor disagree and no responses selected disagree or strongly disagree options.">
              <a:extLst xmlns:a="http://schemas.openxmlformats.org/drawingml/2006/main">
                <a:ext uri="{FF2B5EF4-FFF2-40B4-BE49-F238E27FC236}">
                  <a16:creationId xmlns:a16="http://schemas.microsoft.com/office/drawing/2014/main" id="{14205B1B-673B-77FD-26D6-18BD261B2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228B79A" w14:textId="77777777" w:rsidR="00EB11DA" w:rsidRDefault="00EB11DA" w:rsidP="00510206">
      <w:pPr>
        <w:pStyle w:val="Heading4"/>
      </w:pPr>
      <w:r>
        <w:t xml:space="preserve">Question 22: </w:t>
      </w:r>
      <w:r w:rsidRPr="00207897">
        <w:t>If you would like to provide more information regarding your answer, please elaborate in the space below.</w:t>
      </w:r>
    </w:p>
    <w:tbl>
      <w:tblPr>
        <w:tblStyle w:val="BoxStyle"/>
        <w:tblW w:w="5000" w:type="pct"/>
        <w:shd w:val="clear" w:color="auto" w:fill="F4F0EC"/>
        <w:tblLook w:val="0620" w:firstRow="1" w:lastRow="0" w:firstColumn="0" w:lastColumn="0" w:noHBand="1" w:noVBand="1"/>
      </w:tblPr>
      <w:tblGrid>
        <w:gridCol w:w="9070"/>
      </w:tblGrid>
      <w:tr w:rsidR="005574CB" w14:paraId="0DA2EDD7" w14:textId="77777777" w:rsidTr="004C4118">
        <w:tc>
          <w:tcPr>
            <w:tcW w:w="5000" w:type="pct"/>
            <w:shd w:val="clear" w:color="auto" w:fill="F4F0EC"/>
            <w:hideMark/>
          </w:tcPr>
          <w:p w14:paraId="1508CCBB" w14:textId="777B1D6C" w:rsidR="005574CB" w:rsidRPr="00D2675F" w:rsidRDefault="005574CB">
            <w:pPr>
              <w:pStyle w:val="BoxText"/>
              <w:rPr>
                <w:rStyle w:val="Emphasis"/>
              </w:rPr>
            </w:pPr>
            <w:r w:rsidRPr="00D2675F">
              <w:rPr>
                <w:rStyle w:val="Emphasis"/>
              </w:rPr>
              <w:t xml:space="preserve">This was a free text field. </w:t>
            </w:r>
            <w:r>
              <w:rPr>
                <w:rStyle w:val="Emphasis"/>
              </w:rPr>
              <w:t>3</w:t>
            </w:r>
            <w:r w:rsidRPr="00D2675F">
              <w:rPr>
                <w:rStyle w:val="Emphasis"/>
              </w:rPr>
              <w:t xml:space="preserve"> respondents provided a response to the question.</w:t>
            </w:r>
          </w:p>
        </w:tc>
      </w:tr>
    </w:tbl>
    <w:p w14:paraId="7D9FA6D7" w14:textId="77777777" w:rsidR="0001063C" w:rsidRDefault="0001063C" w:rsidP="00510206">
      <w:pPr>
        <w:pStyle w:val="Heading4"/>
      </w:pPr>
      <w:r>
        <w:t xml:space="preserve">Question 23: </w:t>
      </w:r>
      <w:r w:rsidRPr="00207897">
        <w:t>If you would like to provide more information regarding your answer, please elaborate in the space below.</w:t>
      </w:r>
    </w:p>
    <w:tbl>
      <w:tblPr>
        <w:tblStyle w:val="BoxStyle"/>
        <w:tblW w:w="5000" w:type="pct"/>
        <w:shd w:val="clear" w:color="auto" w:fill="F4F0EC"/>
        <w:tblLook w:val="0620" w:firstRow="1" w:lastRow="0" w:firstColumn="0" w:lastColumn="0" w:noHBand="1" w:noVBand="1"/>
      </w:tblPr>
      <w:tblGrid>
        <w:gridCol w:w="9070"/>
      </w:tblGrid>
      <w:tr w:rsidR="00484313" w14:paraId="7C9AEC56" w14:textId="77777777" w:rsidTr="004C4118">
        <w:tc>
          <w:tcPr>
            <w:tcW w:w="5000" w:type="pct"/>
            <w:shd w:val="clear" w:color="auto" w:fill="F4F0EC"/>
            <w:hideMark/>
          </w:tcPr>
          <w:p w14:paraId="68B1807B" w14:textId="5292B4B5" w:rsidR="00484313" w:rsidRPr="00D2675F" w:rsidRDefault="00484313">
            <w:pPr>
              <w:pStyle w:val="BoxText"/>
              <w:rPr>
                <w:rStyle w:val="Emphasis"/>
              </w:rPr>
            </w:pPr>
            <w:r w:rsidRPr="00D2675F">
              <w:rPr>
                <w:rStyle w:val="Emphasis"/>
              </w:rPr>
              <w:t xml:space="preserve">This was a free text field. </w:t>
            </w:r>
            <w:r>
              <w:rPr>
                <w:rStyle w:val="Emphasis"/>
              </w:rPr>
              <w:t>1</w:t>
            </w:r>
            <w:r w:rsidRPr="00D2675F">
              <w:rPr>
                <w:rStyle w:val="Emphasis"/>
              </w:rPr>
              <w:t xml:space="preserve"> respondent provided a response to the question.</w:t>
            </w:r>
          </w:p>
        </w:tc>
      </w:tr>
    </w:tbl>
    <w:p w14:paraId="06ADDF1F" w14:textId="77777777" w:rsidR="00861D15" w:rsidRDefault="00861D15" w:rsidP="00510206">
      <w:pPr>
        <w:pStyle w:val="Heading4"/>
      </w:pPr>
      <w:r w:rsidRPr="008625CE">
        <w:lastRenderedPageBreak/>
        <w:t>Question 24: In your experience mediating on behalf of ASBFEO, if the disputant has had legal advice prior to the mediation, in what ways do the following impact on their behaviour?</w:t>
      </w:r>
    </w:p>
    <w:p w14:paraId="34918024" w14:textId="77777777" w:rsidR="00BD77F0" w:rsidRDefault="00110DBA" w:rsidP="004A5879">
      <w:pPr>
        <w:pStyle w:val="ChartGraphic"/>
      </w:pPr>
      <w:r>
        <w:rPr>
          <w:noProof/>
        </w:rPr>
        <w:drawing>
          <wp:inline distT="0" distB="0" distL="0" distR="0" wp14:anchorId="1BF271AE" wp14:editId="3C767B03">
            <wp:extent cx="5759450" cy="2844177"/>
            <wp:effectExtent l="0" t="0" r="0" b="0"/>
            <wp:docPr id="516912404" name="Chart 1" descr="This chart shows responses to the question &quot;In your experience mediating on behalf of ASBFEO, if the disputant has had legal advice prior to the mediation, in what ways do the following impact on their behaviour?&quot;. The strongest agreement is with &quot;It improves their ability to represent their own views&quot; 33 per cent (5 responses)and &quot;It improves the mediation overall&quot; 27 per cent (4 responses). Conversely, &quot;It makes them less willing to engage freely in the mediation&quot; 47 per cent (7 responses) and &quot;It exacerbates power imbalances&quot; 27 per cent (4 responses) receive considerably more disagreement and neither agree nor disagree responses.  ">
              <a:extLst xmlns:a="http://schemas.openxmlformats.org/drawingml/2006/main">
                <a:ext uri="{FF2B5EF4-FFF2-40B4-BE49-F238E27FC236}">
                  <a16:creationId xmlns:a16="http://schemas.microsoft.com/office/drawing/2014/main" id="{E9C79BE5-91BE-91D2-63A9-7289CF09C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B5C30CD" w14:textId="025C9374" w:rsidR="00BA5F2F" w:rsidRDefault="00BA5F2F" w:rsidP="00510206">
      <w:pPr>
        <w:pStyle w:val="Heading4"/>
      </w:pPr>
      <w:r w:rsidRPr="009D5E51">
        <w:t>Question 25:</w:t>
      </w:r>
      <w:r>
        <w:t xml:space="preserve"> </w:t>
      </w:r>
      <w:r w:rsidRPr="009D5E51">
        <w:t>When comparing face to face mediation with video conferencing, how much do you agree or disagree with the following comments.</w:t>
      </w:r>
    </w:p>
    <w:p w14:paraId="687CD0AA" w14:textId="77777777" w:rsidR="00F372BD" w:rsidRDefault="00F372BD" w:rsidP="00F372BD">
      <w:r>
        <w:rPr>
          <w:noProof/>
        </w:rPr>
        <w:drawing>
          <wp:inline distT="0" distB="0" distL="0" distR="0" wp14:anchorId="097B048A" wp14:editId="2C71D936">
            <wp:extent cx="5779008" cy="3088157"/>
            <wp:effectExtent l="0" t="0" r="0" b="0"/>
            <wp:docPr id="471003172" name="Chart 1" descr="This chart shows response to the question &quot;When comparing face to face mediation with video conferencing, how much do you agree or disagree with the following comments.&quot;. Response distribution across all questions is uneven, with a significant skew towards &quot;Disagree&quot; and &quot;Agree&quot; options for most statements.  &quot;Video conferencing is more efficient&quot; shows the most positive responses, while &quot;Video conferencing is more difficult for mediators&quot; and &quot;Overall, video conferencing is a better way to deliver mediation services compared to in-person mediation&quot; 40 per cent (6 responses) received the most disagree responses. The &quot;Neither agree nor disagree&quot; option received a relatively consistent number of responses across all statements.">
              <a:extLst xmlns:a="http://schemas.openxmlformats.org/drawingml/2006/main">
                <a:ext uri="{FF2B5EF4-FFF2-40B4-BE49-F238E27FC236}">
                  <a16:creationId xmlns:a16="http://schemas.microsoft.com/office/drawing/2014/main" id="{6445339D-5215-9093-F063-74DC3FCA5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75DEDDD" w14:textId="7BCE8F26" w:rsidR="00F372BD" w:rsidRDefault="00F372BD" w:rsidP="004A434B">
      <w:pPr>
        <w:pStyle w:val="ChartorTablenoteandsource"/>
      </w:pPr>
      <w:r>
        <w:t xml:space="preserve">Note: </w:t>
      </w:r>
      <w:r w:rsidR="004A434B">
        <w:tab/>
      </w:r>
      <w:r>
        <w:t xml:space="preserve">Response 1: Video conferencing creates more fatigue for mediators, Response 2: Video conferencing format reduces my activeness as a mediator, Response 3: Video conferencing is more efficient, Response 4: Video conferencing </w:t>
      </w:r>
      <w:r w:rsidR="001C3604">
        <w:t xml:space="preserve">is </w:t>
      </w:r>
      <w:r>
        <w:t>more accessible, Response 5: Video conferencing is more difficult for mediators, Response 6: Video conferencing is a less confronting format for disputants, Response 7: Video conferencing makes it easier to manage power dynamics between parties, Response 8: Overall, video conferencing is a better way to deliver mediation services compared to in</w:t>
      </w:r>
      <w:r w:rsidR="003A0D5E">
        <w:noBreakHyphen/>
      </w:r>
      <w:r>
        <w:t>person mediation.</w:t>
      </w:r>
    </w:p>
    <w:p w14:paraId="1E0D9F79" w14:textId="77777777" w:rsidR="00A22B99" w:rsidRDefault="00A22B99" w:rsidP="00510206">
      <w:pPr>
        <w:pStyle w:val="Heading4"/>
      </w:pPr>
      <w:r>
        <w:lastRenderedPageBreak/>
        <w:t xml:space="preserve">Question 26: </w:t>
      </w:r>
      <w:r w:rsidRPr="00207897">
        <w:t>If you would like to provide more information regarding your answer, please elaborate in the space below.</w:t>
      </w:r>
    </w:p>
    <w:tbl>
      <w:tblPr>
        <w:tblStyle w:val="BoxStyle"/>
        <w:tblW w:w="5000" w:type="pct"/>
        <w:shd w:val="clear" w:color="auto" w:fill="F4F0EC"/>
        <w:tblLook w:val="0620" w:firstRow="1" w:lastRow="0" w:firstColumn="0" w:lastColumn="0" w:noHBand="1" w:noVBand="1"/>
      </w:tblPr>
      <w:tblGrid>
        <w:gridCol w:w="9070"/>
      </w:tblGrid>
      <w:tr w:rsidR="00743FB7" w14:paraId="5537EA14" w14:textId="77777777" w:rsidTr="00343C31">
        <w:tc>
          <w:tcPr>
            <w:tcW w:w="5000" w:type="pct"/>
            <w:shd w:val="clear" w:color="auto" w:fill="F4F0EC"/>
            <w:hideMark/>
          </w:tcPr>
          <w:p w14:paraId="2DB35E5D" w14:textId="42D64F12" w:rsidR="00743FB7" w:rsidRPr="00D2675F" w:rsidRDefault="00743FB7" w:rsidP="008F2A90">
            <w:pPr>
              <w:pStyle w:val="BoxText"/>
              <w:rPr>
                <w:rStyle w:val="Emphasis"/>
              </w:rPr>
            </w:pPr>
            <w:r w:rsidRPr="00D2675F">
              <w:rPr>
                <w:rStyle w:val="Emphasis"/>
              </w:rPr>
              <w:t xml:space="preserve">This was a free text field. </w:t>
            </w:r>
            <w:r w:rsidR="00471162">
              <w:rPr>
                <w:rStyle w:val="Emphasis"/>
              </w:rPr>
              <w:t>4</w:t>
            </w:r>
            <w:r w:rsidRPr="00D2675F">
              <w:rPr>
                <w:rStyle w:val="Emphasis"/>
              </w:rPr>
              <w:t xml:space="preserve"> respondent</w:t>
            </w:r>
            <w:r w:rsidR="00471162">
              <w:rPr>
                <w:rStyle w:val="Emphasis"/>
              </w:rPr>
              <w:t>s</w:t>
            </w:r>
            <w:r w:rsidRPr="00D2675F">
              <w:rPr>
                <w:rStyle w:val="Emphasis"/>
              </w:rPr>
              <w:t xml:space="preserve"> provided a response to the question.</w:t>
            </w:r>
          </w:p>
        </w:tc>
      </w:tr>
    </w:tbl>
    <w:p w14:paraId="150DE0BF" w14:textId="77777777" w:rsidR="00FC4E90" w:rsidRDefault="00FC4E90" w:rsidP="00510206">
      <w:pPr>
        <w:pStyle w:val="Heading4"/>
      </w:pPr>
      <w:r w:rsidRPr="000A36A7">
        <w:t>Question 27:</w:t>
      </w:r>
      <w:r>
        <w:t xml:space="preserve"> </w:t>
      </w:r>
      <w:r w:rsidRPr="000A36A7">
        <w:t>If you were to deliver business mediation services, what would you expect to charge?</w:t>
      </w:r>
    </w:p>
    <w:tbl>
      <w:tblPr>
        <w:tblStyle w:val="BoxStyle"/>
        <w:tblW w:w="5000" w:type="pct"/>
        <w:shd w:val="clear" w:color="auto" w:fill="F4F0EC"/>
        <w:tblLook w:val="0620" w:firstRow="1" w:lastRow="0" w:firstColumn="0" w:lastColumn="0" w:noHBand="1" w:noVBand="1"/>
      </w:tblPr>
      <w:tblGrid>
        <w:gridCol w:w="9070"/>
      </w:tblGrid>
      <w:tr w:rsidR="00E513FD" w14:paraId="2B2FCC49" w14:textId="77777777" w:rsidTr="00343C31">
        <w:tc>
          <w:tcPr>
            <w:tcW w:w="5000" w:type="pct"/>
            <w:shd w:val="clear" w:color="auto" w:fill="F4F0EC"/>
            <w:hideMark/>
          </w:tcPr>
          <w:p w14:paraId="340E7F20" w14:textId="39BEBA2F" w:rsidR="00E513FD" w:rsidRDefault="00E513FD" w:rsidP="00E513FD">
            <w:pPr>
              <w:pStyle w:val="BoxText"/>
            </w:pPr>
            <w:r w:rsidRPr="00C423A6">
              <w:rPr>
                <w:rFonts w:eastAsia="Calibri"/>
                <w:lang w:val="en-US"/>
              </w:rPr>
              <w:t xml:space="preserve">This was a </w:t>
            </w:r>
            <w:r w:rsidRPr="00E513FD">
              <w:rPr>
                <w:rStyle w:val="Emphasis"/>
                <w:rFonts w:eastAsia="Calibri"/>
              </w:rPr>
              <w:t>field</w:t>
            </w:r>
            <w:r w:rsidRPr="00C423A6">
              <w:rPr>
                <w:rFonts w:eastAsia="Calibri"/>
                <w:lang w:val="en-US"/>
              </w:rPr>
              <w:t xml:space="preserve"> to enter dollar amounts. The responses to the question have been presented as an overall estimate between all responses.</w:t>
            </w:r>
          </w:p>
        </w:tc>
      </w:tr>
    </w:tbl>
    <w:p w14:paraId="7F0296BB" w14:textId="77777777" w:rsidR="00633944" w:rsidRPr="00510206" w:rsidRDefault="00633944" w:rsidP="00D303BE">
      <w:pPr>
        <w:pStyle w:val="SingleParagraph"/>
      </w:pPr>
    </w:p>
    <w:tbl>
      <w:tblPr>
        <w:tblStyle w:val="TableGrid"/>
        <w:tblW w:w="5000" w:type="pct"/>
        <w:tblLook w:val="04A0" w:firstRow="1" w:lastRow="0" w:firstColumn="1" w:lastColumn="0" w:noHBand="0" w:noVBand="1"/>
      </w:tblPr>
      <w:tblGrid>
        <w:gridCol w:w="4779"/>
        <w:gridCol w:w="4291"/>
      </w:tblGrid>
      <w:tr w:rsidR="00F9412E" w:rsidRPr="00A63617" w14:paraId="60189429" w14:textId="77777777" w:rsidTr="00D303BE">
        <w:trPr>
          <w:cnfStyle w:val="100000000000" w:firstRow="1" w:lastRow="0" w:firstColumn="0" w:lastColumn="0" w:oddVBand="0" w:evenVBand="0" w:oddHBand="0" w:evenHBand="0" w:firstRowFirstColumn="0" w:firstRowLastColumn="0" w:lastRowFirstColumn="0" w:lastRowLastColumn="0"/>
          <w:trHeight w:val="290"/>
        </w:trPr>
        <w:tc>
          <w:tcPr>
            <w:tcW w:w="2835" w:type="dxa"/>
            <w:hideMark/>
          </w:tcPr>
          <w:p w14:paraId="2780F0A8" w14:textId="77777777" w:rsidR="00F9412E" w:rsidRPr="00D303BE" w:rsidRDefault="00F9412E" w:rsidP="00D303BE">
            <w:pPr>
              <w:pStyle w:val="TableColumnHeadingLeft"/>
            </w:pPr>
            <w:r w:rsidRPr="00D303BE">
              <w:t>Type </w:t>
            </w:r>
          </w:p>
        </w:tc>
        <w:tc>
          <w:tcPr>
            <w:tcW w:w="2545" w:type="dxa"/>
            <w:hideMark/>
          </w:tcPr>
          <w:p w14:paraId="189D281D" w14:textId="77777777" w:rsidR="00F9412E" w:rsidRPr="00D303BE" w:rsidRDefault="00F9412E" w:rsidP="00E43A43">
            <w:pPr>
              <w:pStyle w:val="TableColumnHeadingLeft"/>
              <w:jc w:val="right"/>
            </w:pPr>
            <w:r w:rsidRPr="00D303BE">
              <w:t>Cost </w:t>
            </w:r>
          </w:p>
        </w:tc>
      </w:tr>
      <w:tr w:rsidR="00F9412E" w:rsidRPr="00A63617" w14:paraId="135C1811" w14:textId="77777777" w:rsidTr="00D303BE">
        <w:trPr>
          <w:cnfStyle w:val="000000100000" w:firstRow="0" w:lastRow="0" w:firstColumn="0" w:lastColumn="0" w:oddVBand="0" w:evenVBand="0" w:oddHBand="1" w:evenHBand="0" w:firstRowFirstColumn="0" w:firstRowLastColumn="0" w:lastRowFirstColumn="0" w:lastRowLastColumn="0"/>
          <w:trHeight w:val="290"/>
        </w:trPr>
        <w:tc>
          <w:tcPr>
            <w:tcW w:w="2835" w:type="dxa"/>
            <w:hideMark/>
          </w:tcPr>
          <w:p w14:paraId="29F8C881" w14:textId="77777777" w:rsidR="00F9412E" w:rsidRPr="00D303BE" w:rsidRDefault="00F9412E" w:rsidP="00D303BE">
            <w:pPr>
              <w:pStyle w:val="TableTextLeft"/>
            </w:pPr>
            <w:r w:rsidRPr="00D303BE">
              <w:t>Full day mediation </w:t>
            </w:r>
          </w:p>
        </w:tc>
        <w:tc>
          <w:tcPr>
            <w:tcW w:w="2545" w:type="dxa"/>
            <w:hideMark/>
          </w:tcPr>
          <w:p w14:paraId="4830CE03" w14:textId="19547C1E" w:rsidR="00F9412E" w:rsidRPr="00D303BE" w:rsidRDefault="00F9412E" w:rsidP="00E43A43">
            <w:pPr>
              <w:pStyle w:val="TableTextLeft"/>
              <w:jc w:val="right"/>
            </w:pPr>
            <w:r w:rsidRPr="00D303BE">
              <w:t>$1500</w:t>
            </w:r>
            <w:r w:rsidR="00916FA5" w:rsidRPr="00D303BE">
              <w:t xml:space="preserve"> – </w:t>
            </w:r>
            <w:r w:rsidRPr="00D303BE">
              <w:t>$6000 </w:t>
            </w:r>
          </w:p>
        </w:tc>
      </w:tr>
      <w:tr w:rsidR="00F9412E" w:rsidRPr="00A63617" w14:paraId="46346CD9" w14:textId="77777777" w:rsidTr="00D303BE">
        <w:trPr>
          <w:cnfStyle w:val="000000010000" w:firstRow="0" w:lastRow="0" w:firstColumn="0" w:lastColumn="0" w:oddVBand="0" w:evenVBand="0" w:oddHBand="0" w:evenHBand="1" w:firstRowFirstColumn="0" w:firstRowLastColumn="0" w:lastRowFirstColumn="0" w:lastRowLastColumn="0"/>
          <w:trHeight w:val="290"/>
        </w:trPr>
        <w:tc>
          <w:tcPr>
            <w:tcW w:w="2835" w:type="dxa"/>
            <w:hideMark/>
          </w:tcPr>
          <w:p w14:paraId="4F1408E2" w14:textId="77777777" w:rsidR="00F9412E" w:rsidRPr="00D303BE" w:rsidRDefault="00F9412E" w:rsidP="00D303BE">
            <w:pPr>
              <w:pStyle w:val="TableTextLeft"/>
            </w:pPr>
            <w:r w:rsidRPr="00D303BE">
              <w:t>Travel to mediation </w:t>
            </w:r>
          </w:p>
        </w:tc>
        <w:tc>
          <w:tcPr>
            <w:tcW w:w="2545" w:type="dxa"/>
            <w:hideMark/>
          </w:tcPr>
          <w:p w14:paraId="4EA5B598" w14:textId="439C6693" w:rsidR="00F9412E" w:rsidRPr="00D303BE" w:rsidRDefault="00F9412E" w:rsidP="00E43A43">
            <w:pPr>
              <w:pStyle w:val="TableTextLeft"/>
              <w:jc w:val="right"/>
            </w:pPr>
            <w:r w:rsidRPr="00D303BE">
              <w:t>$50</w:t>
            </w:r>
            <w:r w:rsidR="00916FA5" w:rsidRPr="00D303BE">
              <w:t xml:space="preserve"> – </w:t>
            </w:r>
            <w:r w:rsidRPr="00D303BE">
              <w:t>$500 </w:t>
            </w:r>
          </w:p>
        </w:tc>
      </w:tr>
      <w:tr w:rsidR="00F9412E" w:rsidRPr="00A63617" w14:paraId="0318FB18" w14:textId="77777777" w:rsidTr="00D303BE">
        <w:trPr>
          <w:cnfStyle w:val="000000100000" w:firstRow="0" w:lastRow="0" w:firstColumn="0" w:lastColumn="0" w:oddVBand="0" w:evenVBand="0" w:oddHBand="1" w:evenHBand="0" w:firstRowFirstColumn="0" w:firstRowLastColumn="0" w:lastRowFirstColumn="0" w:lastRowLastColumn="0"/>
          <w:trHeight w:val="290"/>
        </w:trPr>
        <w:tc>
          <w:tcPr>
            <w:tcW w:w="2835" w:type="dxa"/>
            <w:hideMark/>
          </w:tcPr>
          <w:p w14:paraId="6440987F" w14:textId="77777777" w:rsidR="00F9412E" w:rsidRPr="00D303BE" w:rsidRDefault="00F9412E" w:rsidP="00D303BE">
            <w:pPr>
              <w:pStyle w:val="TableTextLeft"/>
            </w:pPr>
            <w:r w:rsidRPr="00D303BE">
              <w:t>Half day mediation conference </w:t>
            </w:r>
          </w:p>
        </w:tc>
        <w:tc>
          <w:tcPr>
            <w:tcW w:w="2545" w:type="dxa"/>
            <w:hideMark/>
          </w:tcPr>
          <w:p w14:paraId="1D272DE9" w14:textId="4B22509E" w:rsidR="00F9412E" w:rsidRPr="00D303BE" w:rsidRDefault="00F9412E" w:rsidP="00E43A43">
            <w:pPr>
              <w:pStyle w:val="TableTextLeft"/>
              <w:jc w:val="right"/>
            </w:pPr>
            <w:r w:rsidRPr="00D303BE">
              <w:t>800</w:t>
            </w:r>
            <w:r w:rsidR="00916FA5" w:rsidRPr="00D303BE">
              <w:t xml:space="preserve"> – </w:t>
            </w:r>
            <w:r w:rsidRPr="00D303BE">
              <w:t>$3000  </w:t>
            </w:r>
          </w:p>
        </w:tc>
      </w:tr>
      <w:tr w:rsidR="00F9412E" w:rsidRPr="00A63617" w14:paraId="3813F908" w14:textId="77777777" w:rsidTr="00D303BE">
        <w:trPr>
          <w:cnfStyle w:val="000000010000" w:firstRow="0" w:lastRow="0" w:firstColumn="0" w:lastColumn="0" w:oddVBand="0" w:evenVBand="0" w:oddHBand="0" w:evenHBand="1" w:firstRowFirstColumn="0" w:firstRowLastColumn="0" w:lastRowFirstColumn="0" w:lastRowLastColumn="0"/>
          <w:trHeight w:val="290"/>
        </w:trPr>
        <w:tc>
          <w:tcPr>
            <w:tcW w:w="2835" w:type="dxa"/>
            <w:hideMark/>
          </w:tcPr>
          <w:p w14:paraId="70658B14" w14:textId="77777777" w:rsidR="00F9412E" w:rsidRPr="00D303BE" w:rsidRDefault="00F9412E" w:rsidP="00D303BE">
            <w:pPr>
              <w:pStyle w:val="TableTextLeft"/>
            </w:pPr>
            <w:r w:rsidRPr="00D303BE">
              <w:t>Interpreting services </w:t>
            </w:r>
          </w:p>
        </w:tc>
        <w:tc>
          <w:tcPr>
            <w:tcW w:w="2545" w:type="dxa"/>
            <w:hideMark/>
          </w:tcPr>
          <w:p w14:paraId="0295636D" w14:textId="675FE594" w:rsidR="00F9412E" w:rsidRPr="00D303BE" w:rsidRDefault="00F9412E" w:rsidP="00E43A43">
            <w:pPr>
              <w:pStyle w:val="TableTextLeft"/>
              <w:jc w:val="right"/>
            </w:pPr>
            <w:r w:rsidRPr="00D303BE">
              <w:t>$100</w:t>
            </w:r>
            <w:r w:rsidR="00916FA5" w:rsidRPr="00D303BE">
              <w:t xml:space="preserve"> – </w:t>
            </w:r>
            <w:r w:rsidRPr="00D303BE">
              <w:t>$300 </w:t>
            </w:r>
          </w:p>
        </w:tc>
      </w:tr>
      <w:tr w:rsidR="00F9412E" w:rsidRPr="00A63617" w14:paraId="4FB6195B" w14:textId="77777777" w:rsidTr="00D303BE">
        <w:trPr>
          <w:cnfStyle w:val="000000100000" w:firstRow="0" w:lastRow="0" w:firstColumn="0" w:lastColumn="0" w:oddVBand="0" w:evenVBand="0" w:oddHBand="1" w:evenHBand="0" w:firstRowFirstColumn="0" w:firstRowLastColumn="0" w:lastRowFirstColumn="0" w:lastRowLastColumn="0"/>
          <w:trHeight w:val="290"/>
        </w:trPr>
        <w:tc>
          <w:tcPr>
            <w:tcW w:w="2835" w:type="dxa"/>
            <w:hideMark/>
          </w:tcPr>
          <w:p w14:paraId="714576BB" w14:textId="1CCB9210" w:rsidR="00F9412E" w:rsidRPr="00D303BE" w:rsidRDefault="00F9412E" w:rsidP="00D303BE">
            <w:pPr>
              <w:pStyle w:val="TableTextLeft"/>
            </w:pPr>
            <w:r w:rsidRPr="00D303BE">
              <w:t>Pre</w:t>
            </w:r>
            <w:r w:rsidR="003A0D5E">
              <w:noBreakHyphen/>
            </w:r>
            <w:r w:rsidRPr="00D303BE">
              <w:t>mediation preparation </w:t>
            </w:r>
          </w:p>
        </w:tc>
        <w:tc>
          <w:tcPr>
            <w:tcW w:w="2545" w:type="dxa"/>
            <w:hideMark/>
          </w:tcPr>
          <w:p w14:paraId="10E8D813" w14:textId="1F5AD19E" w:rsidR="00F9412E" w:rsidRPr="00D303BE" w:rsidRDefault="00F9412E" w:rsidP="00E43A43">
            <w:pPr>
              <w:pStyle w:val="TableTextLeft"/>
              <w:jc w:val="right"/>
            </w:pPr>
            <w:r w:rsidRPr="00D303BE">
              <w:t>$300</w:t>
            </w:r>
            <w:r w:rsidR="00916FA5" w:rsidRPr="00D303BE">
              <w:t xml:space="preserve"> – </w:t>
            </w:r>
            <w:r w:rsidRPr="00D303BE">
              <w:t>$2000 </w:t>
            </w:r>
          </w:p>
        </w:tc>
      </w:tr>
    </w:tbl>
    <w:p w14:paraId="5C741C98" w14:textId="2879FCE0" w:rsidR="00C15DA5" w:rsidRPr="00AE1568" w:rsidRDefault="00C15DA5" w:rsidP="007F6EBD">
      <w:pPr>
        <w:pStyle w:val="Heading3"/>
      </w:pPr>
      <w:bookmarkStart w:id="115" w:name="_Toc199941021"/>
      <w:r>
        <w:t>Mediator</w:t>
      </w:r>
      <w:r w:rsidRPr="00AE1568">
        <w:t xml:space="preserve"> </w:t>
      </w:r>
      <w:r w:rsidR="005E3CE7">
        <w:t>s</w:t>
      </w:r>
      <w:r w:rsidRPr="00AE1568">
        <w:t xml:space="preserve">urvey </w:t>
      </w:r>
      <w:r w:rsidR="005E3CE7">
        <w:t>a</w:t>
      </w:r>
      <w:r w:rsidRPr="00AE1568">
        <w:t>nalysis</w:t>
      </w:r>
      <w:bookmarkEnd w:id="115"/>
    </w:p>
    <w:p w14:paraId="571EA48A" w14:textId="1FDCFB9D" w:rsidR="00256CFA" w:rsidRPr="006958AD" w:rsidRDefault="00256CFA" w:rsidP="00256CFA">
      <w:r w:rsidRPr="006958AD">
        <w:t>The mediator survey gathered insights from mediators on the ASBFEO</w:t>
      </w:r>
      <w:r w:rsidR="00916FA5">
        <w:t>’</w:t>
      </w:r>
      <w:r w:rsidRPr="006958AD">
        <w:t>s ADR practitioners list. The goal was to understand their experiences, challenges, and perspectives on the mediation process for cases referred to by ASBFEO. The survey received a response rate of 31</w:t>
      </w:r>
      <w:r w:rsidR="00E513FD">
        <w:t> </w:t>
      </w:r>
      <w:r>
        <w:t>per cent</w:t>
      </w:r>
      <w:r w:rsidRPr="006958AD">
        <w:t xml:space="preserve"> with 15</w:t>
      </w:r>
      <w:r w:rsidR="00E513FD">
        <w:t> </w:t>
      </w:r>
      <w:r w:rsidRPr="006958AD">
        <w:t>responses and covered aspects of the mediation process, including preparation, challenges, cultural diversity and mediation fees.</w:t>
      </w:r>
    </w:p>
    <w:p w14:paraId="4D9B148E" w14:textId="24D29244" w:rsidR="00256CFA" w:rsidRPr="006958AD" w:rsidRDefault="00256CFA" w:rsidP="00256CFA">
      <w:r w:rsidRPr="006958AD">
        <w:t>Responses showed mediators on the ADR practitioners list carry extensive experience in mediation</w:t>
      </w:r>
      <w:r w:rsidR="004F0E98">
        <w:t>.</w:t>
      </w:r>
      <w:r w:rsidRPr="006958AD">
        <w:t xml:space="preserve"> </w:t>
      </w:r>
      <w:r w:rsidR="006326ED">
        <w:t>T</w:t>
      </w:r>
      <w:r w:rsidRPr="006958AD">
        <w:t xml:space="preserve">he majority </w:t>
      </w:r>
      <w:r w:rsidR="006326ED">
        <w:t>have</w:t>
      </w:r>
      <w:r w:rsidR="00CB370B">
        <w:t xml:space="preserve"> exper</w:t>
      </w:r>
      <w:r w:rsidR="004A3CD8">
        <w:t>ience</w:t>
      </w:r>
      <w:r w:rsidR="007A026D">
        <w:t xml:space="preserve"> </w:t>
      </w:r>
      <w:r w:rsidRPr="006958AD">
        <w:t>of 10</w:t>
      </w:r>
      <w:r w:rsidR="00916FA5">
        <w:noBreakHyphen/>
      </w:r>
      <w:r w:rsidRPr="006958AD">
        <w:t>plus years</w:t>
      </w:r>
      <w:r w:rsidR="00077D51">
        <w:t xml:space="preserve"> in </w:t>
      </w:r>
      <w:r w:rsidR="001814CE">
        <w:t>mediation</w:t>
      </w:r>
      <w:r w:rsidRPr="006958AD">
        <w:t xml:space="preserve">, with focus areas being </w:t>
      </w:r>
      <w:r w:rsidR="00BF12D9">
        <w:t>f</w:t>
      </w:r>
      <w:r w:rsidRPr="006958AD">
        <w:t>ranchising (35.3</w:t>
      </w:r>
      <w:r w:rsidR="00E513FD">
        <w:t> </w:t>
      </w:r>
      <w:r>
        <w:t>per</w:t>
      </w:r>
      <w:r w:rsidR="00E513FD">
        <w:t> </w:t>
      </w:r>
      <w:r>
        <w:t>cent</w:t>
      </w:r>
      <w:r w:rsidRPr="006958AD">
        <w:t>) and business</w:t>
      </w:r>
      <w:r w:rsidR="00916FA5">
        <w:noBreakHyphen/>
      </w:r>
      <w:r w:rsidRPr="006958AD">
        <w:t>to</w:t>
      </w:r>
      <w:r w:rsidR="00916FA5">
        <w:noBreakHyphen/>
      </w:r>
      <w:r w:rsidRPr="006958AD">
        <w:t>business – payments (20.6</w:t>
      </w:r>
      <w:r w:rsidR="00E513FD">
        <w:t> </w:t>
      </w:r>
      <w:r>
        <w:t>per cent</w:t>
      </w:r>
      <w:r w:rsidRPr="006958AD">
        <w:t>). None of the mediators identified as Indigenous</w:t>
      </w:r>
      <w:r w:rsidR="008F74A2">
        <w:t xml:space="preserve"> and </w:t>
      </w:r>
      <w:r w:rsidRPr="006958AD">
        <w:t>43 per cent spoke language</w:t>
      </w:r>
      <w:r w:rsidR="00132B61">
        <w:t>s</w:t>
      </w:r>
      <w:r w:rsidRPr="006958AD">
        <w:t xml:space="preserve"> other than English. </w:t>
      </w:r>
    </w:p>
    <w:p w14:paraId="51705DEE" w14:textId="5ADC8FB2" w:rsidR="00256CFA" w:rsidRPr="006958AD" w:rsidRDefault="00256CFA" w:rsidP="00256CFA">
      <w:r w:rsidRPr="006958AD">
        <w:t>The survey identified that ASBFEO</w:t>
      </w:r>
      <w:r w:rsidR="00916FA5">
        <w:t>’</w:t>
      </w:r>
      <w:r w:rsidRPr="006958AD">
        <w:t>s pre</w:t>
      </w:r>
      <w:r w:rsidR="003A0D5E">
        <w:noBreakHyphen/>
      </w:r>
      <w:r w:rsidRPr="006958AD">
        <w:t>and post</w:t>
      </w:r>
      <w:r w:rsidR="00916FA5">
        <w:noBreakHyphen/>
      </w:r>
      <w:r w:rsidRPr="006958AD">
        <w:t>mediation communication with</w:t>
      </w:r>
      <w:r w:rsidR="00AB20DD">
        <w:t xml:space="preserve"> </w:t>
      </w:r>
      <w:r w:rsidR="00815042">
        <w:t>disputants</w:t>
      </w:r>
      <w:r w:rsidRPr="006958AD">
        <w:t xml:space="preserve"> could be improved, with 26</w:t>
      </w:r>
      <w:r w:rsidR="00863BD6">
        <w:t> </w:t>
      </w:r>
      <w:r w:rsidRPr="006958AD">
        <w:t xml:space="preserve">per cent </w:t>
      </w:r>
      <w:r w:rsidR="00CE4A39">
        <w:t xml:space="preserve">of mediators </w:t>
      </w:r>
      <w:r w:rsidRPr="006958AD">
        <w:t xml:space="preserve">indicating they were neither satisfied nor dissatisfied with the process. None of the </w:t>
      </w:r>
      <w:proofErr w:type="gramStart"/>
      <w:r w:rsidRPr="006958AD">
        <w:t>mediators</w:t>
      </w:r>
      <w:proofErr w:type="gramEnd"/>
      <w:r w:rsidRPr="006958AD">
        <w:t xml:space="preserve"> believed disputants were highly prepared for mediation, with 27</w:t>
      </w:r>
      <w:r w:rsidR="004022A0">
        <w:t> </w:t>
      </w:r>
      <w:r w:rsidRPr="006958AD">
        <w:t xml:space="preserve">per cent only somewhat prepared. Comments include, </w:t>
      </w:r>
      <w:r w:rsidR="00E513FD" w:rsidRPr="00E513FD">
        <w:rPr>
          <w:rStyle w:val="Emphasis"/>
        </w:rPr>
        <w:t>‘</w:t>
      </w:r>
      <w:r w:rsidRPr="00E513FD">
        <w:rPr>
          <w:rStyle w:val="Emphasis"/>
        </w:rPr>
        <w:t>In the few mediations that have been referred to me, it has not been clear if the participants have had any direct conversations with ASBFEO staff.</w:t>
      </w:r>
      <w:r w:rsidR="00E513FD" w:rsidRPr="00E513FD">
        <w:rPr>
          <w:rStyle w:val="Emphasis"/>
        </w:rPr>
        <w:t>’</w:t>
      </w:r>
      <w:r w:rsidRPr="006958AD">
        <w:t xml:space="preserve"> </w:t>
      </w:r>
      <w:r w:rsidR="00C774D3">
        <w:t>A</w:t>
      </w:r>
      <w:r w:rsidRPr="006958AD">
        <w:t xml:space="preserve">nd </w:t>
      </w:r>
      <w:r w:rsidR="00E513FD" w:rsidRPr="00E513FD">
        <w:rPr>
          <w:rStyle w:val="Emphasis"/>
        </w:rPr>
        <w:t>‘</w:t>
      </w:r>
      <w:r w:rsidRPr="00E513FD">
        <w:rPr>
          <w:rStyle w:val="Emphasis"/>
        </w:rPr>
        <w:t>Often the participants seek far more information about the process, so perhaps more information up front will assist them</w:t>
      </w:r>
      <w:r w:rsidRPr="006958AD">
        <w:t>.</w:t>
      </w:r>
      <w:r w:rsidR="00C774D3">
        <w:t>’</w:t>
      </w:r>
    </w:p>
    <w:p w14:paraId="5ED06533" w14:textId="17DC0D43" w:rsidR="00256CFA" w:rsidRPr="006958AD" w:rsidRDefault="00256CFA" w:rsidP="00256CFA">
      <w:r>
        <w:t>66</w:t>
      </w:r>
      <w:r w:rsidR="00E513FD">
        <w:t> </w:t>
      </w:r>
      <w:r w:rsidRPr="006958AD">
        <w:t>per cent of mediators would like to see improvements in performance feedback to mediators, and 40</w:t>
      </w:r>
      <w:r w:rsidR="00E513FD">
        <w:t> </w:t>
      </w:r>
      <w:r w:rsidRPr="006958AD">
        <w:t xml:space="preserve">per cent of mediators thought the process of inducting a mediator could be improved. Comments </w:t>
      </w:r>
      <w:r w:rsidRPr="006958AD">
        <w:lastRenderedPageBreak/>
        <w:t xml:space="preserve">included, </w:t>
      </w:r>
      <w:r w:rsidR="00E513FD" w:rsidRPr="00E513FD">
        <w:rPr>
          <w:rStyle w:val="Emphasis"/>
        </w:rPr>
        <w:t>‘</w:t>
      </w:r>
      <w:r w:rsidRPr="00E513FD">
        <w:rPr>
          <w:rStyle w:val="Emphasis"/>
        </w:rPr>
        <w:t>I have had no induction, training, or information regarding collaboration with colleagues. There was no feedback on the mediation done or why so little work has been allocated to me as a mediator.</w:t>
      </w:r>
      <w:r w:rsidR="00E513FD" w:rsidRPr="00E513FD">
        <w:rPr>
          <w:rStyle w:val="Emphasis"/>
        </w:rPr>
        <w:t>’</w:t>
      </w:r>
    </w:p>
    <w:p w14:paraId="7BC74B63" w14:textId="371B3EC1" w:rsidR="00256CFA" w:rsidRPr="006958AD" w:rsidRDefault="00256CFA" w:rsidP="00256CFA">
      <w:r w:rsidRPr="006958AD">
        <w:t>Additionally, only 43</w:t>
      </w:r>
      <w:r w:rsidR="00E513FD">
        <w:t> </w:t>
      </w:r>
      <w:r w:rsidRPr="006958AD">
        <w:t>per cent of mediators thought that ASBFEO adequately supported the CALD community in participating effectively in mediation. Mediators recommended providing adequate notice to engage cultural advis</w:t>
      </w:r>
      <w:r w:rsidR="00550D70">
        <w:t>e</w:t>
      </w:r>
      <w:r w:rsidRPr="006958AD">
        <w:t>rs or interpreters in a timely manner and suggested implementing a standard list of questions to understand participants</w:t>
      </w:r>
      <w:r w:rsidR="00916FA5">
        <w:t>’</w:t>
      </w:r>
      <w:r w:rsidRPr="006958AD">
        <w:t xml:space="preserve"> expectations better.</w:t>
      </w:r>
    </w:p>
    <w:p w14:paraId="27A40A74" w14:textId="77777777" w:rsidR="00256CFA" w:rsidRPr="006958AD" w:rsidRDefault="00256CFA" w:rsidP="00256CFA">
      <w:r w:rsidRPr="006958AD">
        <w:t>Most respondents either agreed or strongly agreed that if the disputant had legal advice prior to the mediation, it would improve their ability to represent views and enhance the mediation overall.</w:t>
      </w:r>
    </w:p>
    <w:p w14:paraId="0011BB80" w14:textId="5FE87814" w:rsidR="00E513FD" w:rsidRDefault="00E513FD">
      <w:pPr>
        <w:spacing w:before="0" w:after="160" w:line="259" w:lineRule="auto"/>
        <w:rPr>
          <w:lang w:val="en-GB"/>
        </w:rPr>
      </w:pPr>
      <w:r>
        <w:rPr>
          <w:lang w:val="en-GB"/>
        </w:rPr>
        <w:br w:type="page"/>
      </w:r>
    </w:p>
    <w:p w14:paraId="260BE083" w14:textId="24EBE8D2" w:rsidR="003D0C06" w:rsidRDefault="00A93C7E" w:rsidP="003D0C06">
      <w:pPr>
        <w:pStyle w:val="Heading2"/>
      </w:pPr>
      <w:bookmarkStart w:id="116" w:name="_Toc199941022"/>
      <w:r>
        <w:lastRenderedPageBreak/>
        <w:t xml:space="preserve">Appendix E: </w:t>
      </w:r>
      <w:r w:rsidR="003D0C06" w:rsidRPr="00AA0977">
        <w:t xml:space="preserve">ASBFEO </w:t>
      </w:r>
      <w:r w:rsidR="00CE4028">
        <w:t>f</w:t>
      </w:r>
      <w:r w:rsidR="003D0C06" w:rsidRPr="00AA0977">
        <w:t>orums</w:t>
      </w:r>
      <w:bookmarkEnd w:id="116"/>
    </w:p>
    <w:p w14:paraId="6BB83A91" w14:textId="01E981F5" w:rsidR="00A4193B" w:rsidRPr="0045456C" w:rsidRDefault="00A4193B" w:rsidP="00C32345">
      <w:pPr>
        <w:pStyle w:val="TableMainHeading"/>
      </w:pPr>
      <w:r w:rsidRPr="0045456C">
        <w:t xml:space="preserve">Small Business Stewardship Group </w:t>
      </w:r>
      <w:r w:rsidR="00CE4028">
        <w:t>a</w:t>
      </w:r>
      <w:r w:rsidRPr="0045456C">
        <w:t>ttendees</w:t>
      </w:r>
    </w:p>
    <w:tbl>
      <w:tblPr>
        <w:tblStyle w:val="TableGrid"/>
        <w:tblW w:w="0" w:type="auto"/>
        <w:tblLook w:val="04A0" w:firstRow="1" w:lastRow="0" w:firstColumn="1" w:lastColumn="0" w:noHBand="0" w:noVBand="1"/>
      </w:tblPr>
      <w:tblGrid>
        <w:gridCol w:w="9070"/>
      </w:tblGrid>
      <w:tr w:rsidR="00A4193B" w:rsidRPr="002E624F" w14:paraId="7AB1A78D" w14:textId="77777777" w:rsidTr="00E513FD">
        <w:trPr>
          <w:cnfStyle w:val="100000000000" w:firstRow="1" w:lastRow="0" w:firstColumn="0" w:lastColumn="0" w:oddVBand="0" w:evenVBand="0" w:oddHBand="0" w:evenHBand="0" w:firstRowFirstColumn="0" w:firstRowLastColumn="0" w:lastRowFirstColumn="0" w:lastRowLastColumn="0"/>
        </w:trPr>
        <w:tc>
          <w:tcPr>
            <w:tcW w:w="9350" w:type="dxa"/>
          </w:tcPr>
          <w:p w14:paraId="15ABCBAF" w14:textId="77777777" w:rsidR="00A4193B" w:rsidRPr="00C773F4" w:rsidRDefault="00A4193B" w:rsidP="00E513FD">
            <w:pPr>
              <w:pStyle w:val="TableColumnHeadingLeft"/>
              <w:rPr>
                <w:rFonts w:eastAsia="Calibri"/>
              </w:rPr>
            </w:pPr>
            <w:r>
              <w:rPr>
                <w:rFonts w:eastAsia="Calibri"/>
              </w:rPr>
              <w:t>Attendees</w:t>
            </w:r>
          </w:p>
        </w:tc>
      </w:tr>
      <w:tr w:rsidR="00A4193B" w:rsidRPr="002E624F" w14:paraId="1D8C6ACB" w14:textId="77777777" w:rsidTr="00E513FD">
        <w:trPr>
          <w:cnfStyle w:val="000000100000" w:firstRow="0" w:lastRow="0" w:firstColumn="0" w:lastColumn="0" w:oddVBand="0" w:evenVBand="0" w:oddHBand="1" w:evenHBand="0" w:firstRowFirstColumn="0" w:firstRowLastColumn="0" w:lastRowFirstColumn="0" w:lastRowLastColumn="0"/>
        </w:trPr>
        <w:tc>
          <w:tcPr>
            <w:tcW w:w="9350" w:type="dxa"/>
          </w:tcPr>
          <w:p w14:paraId="0C75C828" w14:textId="2EE6C224" w:rsidR="00A4193B" w:rsidRPr="00E513FD" w:rsidRDefault="0009285A" w:rsidP="00E513FD">
            <w:pPr>
              <w:pStyle w:val="TableTextLeft"/>
              <w:rPr>
                <w:rFonts w:eastAsia="Calibri"/>
              </w:rPr>
            </w:pPr>
            <w:r>
              <w:rPr>
                <w:rFonts w:eastAsia="Calibri"/>
              </w:rPr>
              <w:t>Australian Taxation Office</w:t>
            </w:r>
          </w:p>
        </w:tc>
      </w:tr>
      <w:tr w:rsidR="00A4193B" w:rsidRPr="002E624F" w14:paraId="569559F4" w14:textId="77777777" w:rsidTr="00E513FD">
        <w:trPr>
          <w:cnfStyle w:val="000000010000" w:firstRow="0" w:lastRow="0" w:firstColumn="0" w:lastColumn="0" w:oddVBand="0" w:evenVBand="0" w:oddHBand="0" w:evenHBand="1" w:firstRowFirstColumn="0" w:firstRowLastColumn="0" w:lastRowFirstColumn="0" w:lastRowLastColumn="0"/>
        </w:trPr>
        <w:tc>
          <w:tcPr>
            <w:tcW w:w="9350" w:type="dxa"/>
          </w:tcPr>
          <w:p w14:paraId="2EE9B36E" w14:textId="77777777" w:rsidR="00A4193B" w:rsidRPr="00E513FD" w:rsidRDefault="00A4193B" w:rsidP="00E513FD">
            <w:pPr>
              <w:pStyle w:val="TableTextLeft"/>
              <w:rPr>
                <w:rFonts w:eastAsia="Calibri"/>
              </w:rPr>
            </w:pPr>
            <w:r w:rsidRPr="00E513FD">
              <w:rPr>
                <w:rFonts w:eastAsia="Calibri"/>
              </w:rPr>
              <w:t xml:space="preserve">Australian Automotive Aftermarket Association </w:t>
            </w:r>
          </w:p>
        </w:tc>
      </w:tr>
      <w:tr w:rsidR="00A4193B" w:rsidRPr="002E624F" w14:paraId="761D0AFC" w14:textId="77777777" w:rsidTr="00E513FD">
        <w:trPr>
          <w:cnfStyle w:val="000000100000" w:firstRow="0" w:lastRow="0" w:firstColumn="0" w:lastColumn="0" w:oddVBand="0" w:evenVBand="0" w:oddHBand="1" w:evenHBand="0" w:firstRowFirstColumn="0" w:firstRowLastColumn="0" w:lastRowFirstColumn="0" w:lastRowLastColumn="0"/>
        </w:trPr>
        <w:tc>
          <w:tcPr>
            <w:tcW w:w="9350" w:type="dxa"/>
          </w:tcPr>
          <w:p w14:paraId="3AA8BB0F" w14:textId="77777777" w:rsidR="00A4193B" w:rsidRPr="00E513FD" w:rsidRDefault="00A4193B" w:rsidP="00E513FD">
            <w:pPr>
              <w:pStyle w:val="TableTextLeft"/>
              <w:rPr>
                <w:rFonts w:eastAsia="Calibri"/>
              </w:rPr>
            </w:pPr>
            <w:r w:rsidRPr="00E513FD">
              <w:rPr>
                <w:rFonts w:eastAsia="Calibri"/>
              </w:rPr>
              <w:t xml:space="preserve">Australian Chamber of Commerce and Industry </w:t>
            </w:r>
          </w:p>
        </w:tc>
      </w:tr>
      <w:tr w:rsidR="00A4193B" w:rsidRPr="002E624F" w14:paraId="24DB9531" w14:textId="77777777" w:rsidTr="00E513FD">
        <w:trPr>
          <w:cnfStyle w:val="000000010000" w:firstRow="0" w:lastRow="0" w:firstColumn="0" w:lastColumn="0" w:oddVBand="0" w:evenVBand="0" w:oddHBand="0" w:evenHBand="1" w:firstRowFirstColumn="0" w:firstRowLastColumn="0" w:lastRowFirstColumn="0" w:lastRowLastColumn="0"/>
        </w:trPr>
        <w:tc>
          <w:tcPr>
            <w:tcW w:w="9350" w:type="dxa"/>
          </w:tcPr>
          <w:p w14:paraId="533B4BE6" w14:textId="77777777" w:rsidR="00A4193B" w:rsidRPr="00E513FD" w:rsidRDefault="00A4193B" w:rsidP="00E513FD">
            <w:pPr>
              <w:pStyle w:val="TableTextLeft"/>
              <w:rPr>
                <w:rFonts w:eastAsia="Calibri"/>
              </w:rPr>
            </w:pPr>
            <w:r w:rsidRPr="00E513FD">
              <w:rPr>
                <w:rFonts w:eastAsia="Calibri"/>
              </w:rPr>
              <w:t xml:space="preserve">Australian Retailers Association </w:t>
            </w:r>
          </w:p>
        </w:tc>
      </w:tr>
      <w:tr w:rsidR="00A4193B" w:rsidRPr="002E624F" w14:paraId="25C8F62E" w14:textId="77777777" w:rsidTr="00E513FD">
        <w:trPr>
          <w:cnfStyle w:val="000000100000" w:firstRow="0" w:lastRow="0" w:firstColumn="0" w:lastColumn="0" w:oddVBand="0" w:evenVBand="0" w:oddHBand="1" w:evenHBand="0" w:firstRowFirstColumn="0" w:firstRowLastColumn="0" w:lastRowFirstColumn="0" w:lastRowLastColumn="0"/>
        </w:trPr>
        <w:tc>
          <w:tcPr>
            <w:tcW w:w="9350" w:type="dxa"/>
          </w:tcPr>
          <w:p w14:paraId="16F73C17" w14:textId="77777777" w:rsidR="00A4193B" w:rsidRPr="00E513FD" w:rsidRDefault="00A4193B" w:rsidP="00E513FD">
            <w:pPr>
              <w:pStyle w:val="TableTextLeft"/>
              <w:rPr>
                <w:rFonts w:eastAsia="Calibri"/>
              </w:rPr>
            </w:pPr>
            <w:r w:rsidRPr="00E513FD">
              <w:rPr>
                <w:rFonts w:eastAsia="Calibri"/>
              </w:rPr>
              <w:t xml:space="preserve">Australian Small Business and Family Enterprise Ombudsman </w:t>
            </w:r>
          </w:p>
        </w:tc>
      </w:tr>
      <w:tr w:rsidR="00A4193B" w:rsidRPr="002E624F" w14:paraId="6E03ABC5" w14:textId="77777777" w:rsidTr="00E513FD">
        <w:trPr>
          <w:cnfStyle w:val="000000010000" w:firstRow="0" w:lastRow="0" w:firstColumn="0" w:lastColumn="0" w:oddVBand="0" w:evenVBand="0" w:oddHBand="0" w:evenHBand="1" w:firstRowFirstColumn="0" w:firstRowLastColumn="0" w:lastRowFirstColumn="0" w:lastRowLastColumn="0"/>
        </w:trPr>
        <w:tc>
          <w:tcPr>
            <w:tcW w:w="9350" w:type="dxa"/>
          </w:tcPr>
          <w:p w14:paraId="2999028D" w14:textId="77777777" w:rsidR="00A4193B" w:rsidRPr="00E513FD" w:rsidRDefault="00A4193B" w:rsidP="00E513FD">
            <w:pPr>
              <w:pStyle w:val="TableTextLeft"/>
              <w:rPr>
                <w:rFonts w:eastAsia="Calibri"/>
              </w:rPr>
            </w:pPr>
            <w:r w:rsidRPr="00E513FD">
              <w:rPr>
                <w:rFonts w:eastAsia="Calibri"/>
              </w:rPr>
              <w:t xml:space="preserve">Australian Veterinary Association </w:t>
            </w:r>
          </w:p>
        </w:tc>
      </w:tr>
      <w:tr w:rsidR="00A4193B" w:rsidRPr="002E624F" w14:paraId="703F3C24" w14:textId="77777777" w:rsidTr="00E513FD">
        <w:trPr>
          <w:cnfStyle w:val="000000100000" w:firstRow="0" w:lastRow="0" w:firstColumn="0" w:lastColumn="0" w:oddVBand="0" w:evenVBand="0" w:oddHBand="1" w:evenHBand="0" w:firstRowFirstColumn="0" w:firstRowLastColumn="0" w:lastRowFirstColumn="0" w:lastRowLastColumn="0"/>
        </w:trPr>
        <w:tc>
          <w:tcPr>
            <w:tcW w:w="9350" w:type="dxa"/>
          </w:tcPr>
          <w:p w14:paraId="1DE18886" w14:textId="77777777" w:rsidR="00A4193B" w:rsidRPr="00E513FD" w:rsidRDefault="00A4193B" w:rsidP="00E513FD">
            <w:pPr>
              <w:pStyle w:val="TableTextLeft"/>
              <w:rPr>
                <w:rFonts w:eastAsia="Calibri"/>
              </w:rPr>
            </w:pPr>
            <w:r w:rsidRPr="00E513FD">
              <w:rPr>
                <w:rFonts w:eastAsia="Calibri"/>
              </w:rPr>
              <w:t xml:space="preserve">Chartered Accountants Australia and New Zealand </w:t>
            </w:r>
          </w:p>
        </w:tc>
      </w:tr>
      <w:tr w:rsidR="00A4193B" w:rsidRPr="002E624F" w14:paraId="3FD912F0" w14:textId="77777777" w:rsidTr="00E513FD">
        <w:trPr>
          <w:cnfStyle w:val="000000010000" w:firstRow="0" w:lastRow="0" w:firstColumn="0" w:lastColumn="0" w:oddVBand="0" w:evenVBand="0" w:oddHBand="0" w:evenHBand="1" w:firstRowFirstColumn="0" w:firstRowLastColumn="0" w:lastRowFirstColumn="0" w:lastRowLastColumn="0"/>
        </w:trPr>
        <w:tc>
          <w:tcPr>
            <w:tcW w:w="9350" w:type="dxa"/>
          </w:tcPr>
          <w:p w14:paraId="44F32B83" w14:textId="77777777" w:rsidR="00A4193B" w:rsidRPr="00E513FD" w:rsidRDefault="00A4193B" w:rsidP="00E513FD">
            <w:pPr>
              <w:pStyle w:val="TableTextLeft"/>
              <w:rPr>
                <w:rFonts w:eastAsia="Calibri"/>
              </w:rPr>
            </w:pPr>
            <w:r w:rsidRPr="00E513FD">
              <w:rPr>
                <w:rFonts w:eastAsia="Calibri"/>
              </w:rPr>
              <w:t xml:space="preserve">Council of Small Business Organisations Australia </w:t>
            </w:r>
          </w:p>
        </w:tc>
      </w:tr>
      <w:tr w:rsidR="00A4193B" w:rsidRPr="002E624F" w14:paraId="0A5E262E" w14:textId="77777777" w:rsidTr="00E513FD">
        <w:trPr>
          <w:cnfStyle w:val="000000100000" w:firstRow="0" w:lastRow="0" w:firstColumn="0" w:lastColumn="0" w:oddVBand="0" w:evenVBand="0" w:oddHBand="1" w:evenHBand="0" w:firstRowFirstColumn="0" w:firstRowLastColumn="0" w:lastRowFirstColumn="0" w:lastRowLastColumn="0"/>
        </w:trPr>
        <w:tc>
          <w:tcPr>
            <w:tcW w:w="9350" w:type="dxa"/>
          </w:tcPr>
          <w:p w14:paraId="05B84C92" w14:textId="77777777" w:rsidR="00A4193B" w:rsidRPr="00E513FD" w:rsidRDefault="00A4193B" w:rsidP="00E513FD">
            <w:pPr>
              <w:pStyle w:val="TableTextLeft"/>
              <w:rPr>
                <w:rFonts w:eastAsia="Calibri"/>
              </w:rPr>
            </w:pPr>
            <w:r w:rsidRPr="00E513FD">
              <w:rPr>
                <w:rFonts w:eastAsia="Calibri"/>
              </w:rPr>
              <w:t xml:space="preserve">Direct Selling Association of Australia </w:t>
            </w:r>
          </w:p>
        </w:tc>
      </w:tr>
      <w:tr w:rsidR="00A4193B" w:rsidRPr="002E624F" w14:paraId="5821039A" w14:textId="77777777" w:rsidTr="00E513FD">
        <w:trPr>
          <w:cnfStyle w:val="000000010000" w:firstRow="0" w:lastRow="0" w:firstColumn="0" w:lastColumn="0" w:oddVBand="0" w:evenVBand="0" w:oddHBand="0" w:evenHBand="1" w:firstRowFirstColumn="0" w:firstRowLastColumn="0" w:lastRowFirstColumn="0" w:lastRowLastColumn="0"/>
        </w:trPr>
        <w:tc>
          <w:tcPr>
            <w:tcW w:w="9350" w:type="dxa"/>
          </w:tcPr>
          <w:p w14:paraId="58EB5B79" w14:textId="77777777" w:rsidR="00A4193B" w:rsidRPr="00E513FD" w:rsidRDefault="00A4193B" w:rsidP="00E513FD">
            <w:pPr>
              <w:pStyle w:val="TableTextLeft"/>
              <w:rPr>
                <w:rFonts w:eastAsia="Calibri"/>
              </w:rPr>
            </w:pPr>
            <w:r w:rsidRPr="00E513FD">
              <w:rPr>
                <w:rFonts w:eastAsia="Calibri"/>
              </w:rPr>
              <w:t xml:space="preserve">Indigenous Business Australia </w:t>
            </w:r>
          </w:p>
        </w:tc>
      </w:tr>
      <w:tr w:rsidR="00A4193B" w:rsidRPr="002E624F" w14:paraId="1C8AED8B" w14:textId="77777777" w:rsidTr="00E513FD">
        <w:trPr>
          <w:cnfStyle w:val="000000100000" w:firstRow="0" w:lastRow="0" w:firstColumn="0" w:lastColumn="0" w:oddVBand="0" w:evenVBand="0" w:oddHBand="1" w:evenHBand="0" w:firstRowFirstColumn="0" w:firstRowLastColumn="0" w:lastRowFirstColumn="0" w:lastRowLastColumn="0"/>
        </w:trPr>
        <w:tc>
          <w:tcPr>
            <w:tcW w:w="9350" w:type="dxa"/>
          </w:tcPr>
          <w:p w14:paraId="05941233" w14:textId="77777777" w:rsidR="00A4193B" w:rsidRPr="00E513FD" w:rsidRDefault="00A4193B" w:rsidP="00E513FD">
            <w:pPr>
              <w:pStyle w:val="TableTextLeft"/>
              <w:rPr>
                <w:rFonts w:eastAsia="Calibri"/>
              </w:rPr>
            </w:pPr>
            <w:r w:rsidRPr="00E513FD">
              <w:rPr>
                <w:rFonts w:eastAsia="Calibri"/>
              </w:rPr>
              <w:t xml:space="preserve">Institute of Certified Bookkeepers </w:t>
            </w:r>
          </w:p>
        </w:tc>
      </w:tr>
      <w:tr w:rsidR="00A4193B" w:rsidRPr="002E624F" w14:paraId="41D56FD2" w14:textId="77777777" w:rsidTr="00E513FD">
        <w:trPr>
          <w:cnfStyle w:val="000000010000" w:firstRow="0" w:lastRow="0" w:firstColumn="0" w:lastColumn="0" w:oddVBand="0" w:evenVBand="0" w:oddHBand="0" w:evenHBand="1" w:firstRowFirstColumn="0" w:firstRowLastColumn="0" w:lastRowFirstColumn="0" w:lastRowLastColumn="0"/>
        </w:trPr>
        <w:tc>
          <w:tcPr>
            <w:tcW w:w="9350" w:type="dxa"/>
          </w:tcPr>
          <w:p w14:paraId="18C7BE1F" w14:textId="77777777" w:rsidR="00A4193B" w:rsidRPr="00E513FD" w:rsidRDefault="00A4193B" w:rsidP="00E513FD">
            <w:pPr>
              <w:pStyle w:val="TableTextLeft"/>
              <w:rPr>
                <w:rFonts w:eastAsia="Calibri"/>
              </w:rPr>
            </w:pPr>
            <w:r w:rsidRPr="00E513FD">
              <w:rPr>
                <w:rFonts w:eastAsia="Calibri"/>
              </w:rPr>
              <w:t xml:space="preserve">Institute of Public Accountants </w:t>
            </w:r>
          </w:p>
        </w:tc>
      </w:tr>
      <w:tr w:rsidR="00A4193B" w:rsidRPr="002E624F" w14:paraId="2406C757" w14:textId="77777777" w:rsidTr="00E513FD">
        <w:trPr>
          <w:cnfStyle w:val="000000100000" w:firstRow="0" w:lastRow="0" w:firstColumn="0" w:lastColumn="0" w:oddVBand="0" w:evenVBand="0" w:oddHBand="1" w:evenHBand="0" w:firstRowFirstColumn="0" w:firstRowLastColumn="0" w:lastRowFirstColumn="0" w:lastRowLastColumn="0"/>
        </w:trPr>
        <w:tc>
          <w:tcPr>
            <w:tcW w:w="9350" w:type="dxa"/>
          </w:tcPr>
          <w:p w14:paraId="342FACD9" w14:textId="77777777" w:rsidR="00A4193B" w:rsidRPr="00E513FD" w:rsidRDefault="00A4193B" w:rsidP="00E513FD">
            <w:pPr>
              <w:pStyle w:val="TableTextLeft"/>
              <w:rPr>
                <w:rFonts w:eastAsia="Calibri"/>
              </w:rPr>
            </w:pPr>
            <w:r w:rsidRPr="00E513FD">
              <w:rPr>
                <w:rFonts w:eastAsia="Calibri"/>
              </w:rPr>
              <w:t xml:space="preserve">Real Estate Institute of Australia </w:t>
            </w:r>
          </w:p>
        </w:tc>
      </w:tr>
      <w:tr w:rsidR="00A4193B" w:rsidRPr="002E624F" w14:paraId="0E048222" w14:textId="77777777" w:rsidTr="00E513FD">
        <w:trPr>
          <w:cnfStyle w:val="000000010000" w:firstRow="0" w:lastRow="0" w:firstColumn="0" w:lastColumn="0" w:oddVBand="0" w:evenVBand="0" w:oddHBand="0" w:evenHBand="1" w:firstRowFirstColumn="0" w:firstRowLastColumn="0" w:lastRowFirstColumn="0" w:lastRowLastColumn="0"/>
        </w:trPr>
        <w:tc>
          <w:tcPr>
            <w:tcW w:w="9350" w:type="dxa"/>
          </w:tcPr>
          <w:p w14:paraId="331A2B86" w14:textId="77777777" w:rsidR="00A4193B" w:rsidRPr="00E513FD" w:rsidRDefault="00A4193B" w:rsidP="00E513FD">
            <w:pPr>
              <w:pStyle w:val="TableTextLeft"/>
              <w:rPr>
                <w:rFonts w:eastAsia="Calibri"/>
              </w:rPr>
            </w:pPr>
            <w:r w:rsidRPr="00E513FD">
              <w:rPr>
                <w:rFonts w:eastAsia="Calibri"/>
              </w:rPr>
              <w:t xml:space="preserve">Restaurant and Catering Industry Association </w:t>
            </w:r>
          </w:p>
        </w:tc>
      </w:tr>
      <w:tr w:rsidR="00A4193B" w:rsidRPr="002E624F" w14:paraId="694EFBEB" w14:textId="77777777" w:rsidTr="00E513FD">
        <w:trPr>
          <w:cnfStyle w:val="000000100000" w:firstRow="0" w:lastRow="0" w:firstColumn="0" w:lastColumn="0" w:oddVBand="0" w:evenVBand="0" w:oddHBand="1" w:evenHBand="0" w:firstRowFirstColumn="0" w:firstRowLastColumn="0" w:lastRowFirstColumn="0" w:lastRowLastColumn="0"/>
        </w:trPr>
        <w:tc>
          <w:tcPr>
            <w:tcW w:w="9350" w:type="dxa"/>
          </w:tcPr>
          <w:p w14:paraId="5E010CA5" w14:textId="77777777" w:rsidR="00A4193B" w:rsidRPr="00E513FD" w:rsidRDefault="00A4193B" w:rsidP="00E513FD">
            <w:pPr>
              <w:pStyle w:val="TableTextLeft"/>
              <w:rPr>
                <w:rFonts w:eastAsia="Calibri"/>
              </w:rPr>
            </w:pPr>
            <w:r w:rsidRPr="00E513FD">
              <w:rPr>
                <w:rFonts w:eastAsia="Calibri"/>
              </w:rPr>
              <w:t xml:space="preserve">Rural Doctors Network </w:t>
            </w:r>
          </w:p>
        </w:tc>
      </w:tr>
      <w:tr w:rsidR="00A4193B" w:rsidRPr="002E624F" w14:paraId="629C7B31" w14:textId="77777777" w:rsidTr="00E513FD">
        <w:trPr>
          <w:cnfStyle w:val="000000010000" w:firstRow="0" w:lastRow="0" w:firstColumn="0" w:lastColumn="0" w:oddVBand="0" w:evenVBand="0" w:oddHBand="0" w:evenHBand="1" w:firstRowFirstColumn="0" w:firstRowLastColumn="0" w:lastRowFirstColumn="0" w:lastRowLastColumn="0"/>
        </w:trPr>
        <w:tc>
          <w:tcPr>
            <w:tcW w:w="9350" w:type="dxa"/>
          </w:tcPr>
          <w:p w14:paraId="16234861" w14:textId="77777777" w:rsidR="00A4193B" w:rsidRPr="00E513FD" w:rsidRDefault="00A4193B" w:rsidP="00E513FD">
            <w:pPr>
              <w:pStyle w:val="TableTextLeft"/>
              <w:rPr>
                <w:rFonts w:eastAsia="Calibri"/>
              </w:rPr>
            </w:pPr>
            <w:r w:rsidRPr="00E513FD">
              <w:rPr>
                <w:rFonts w:eastAsia="Calibri"/>
              </w:rPr>
              <w:t xml:space="preserve">Small Business Debt Helpline </w:t>
            </w:r>
          </w:p>
        </w:tc>
      </w:tr>
      <w:tr w:rsidR="00A4193B" w:rsidRPr="002E624F" w14:paraId="2B07D2C2" w14:textId="77777777" w:rsidTr="00E513FD">
        <w:trPr>
          <w:cnfStyle w:val="000000100000" w:firstRow="0" w:lastRow="0" w:firstColumn="0" w:lastColumn="0" w:oddVBand="0" w:evenVBand="0" w:oddHBand="1" w:evenHBand="0" w:firstRowFirstColumn="0" w:firstRowLastColumn="0" w:lastRowFirstColumn="0" w:lastRowLastColumn="0"/>
        </w:trPr>
        <w:tc>
          <w:tcPr>
            <w:tcW w:w="9350" w:type="dxa"/>
          </w:tcPr>
          <w:p w14:paraId="282EEB5B" w14:textId="77777777" w:rsidR="00A4193B" w:rsidRPr="00E513FD" w:rsidRDefault="00A4193B" w:rsidP="00E513FD">
            <w:pPr>
              <w:pStyle w:val="TableTextLeft"/>
              <w:rPr>
                <w:rFonts w:eastAsia="Calibri"/>
              </w:rPr>
            </w:pPr>
            <w:r w:rsidRPr="00E513FD">
              <w:rPr>
                <w:rFonts w:eastAsia="Calibri"/>
              </w:rPr>
              <w:t>Small Business Operator x6</w:t>
            </w:r>
          </w:p>
        </w:tc>
      </w:tr>
      <w:tr w:rsidR="00A4193B" w:rsidRPr="002E624F" w14:paraId="6D648BCC" w14:textId="77777777" w:rsidTr="00E513FD">
        <w:trPr>
          <w:cnfStyle w:val="000000010000" w:firstRow="0" w:lastRow="0" w:firstColumn="0" w:lastColumn="0" w:oddVBand="0" w:evenVBand="0" w:oddHBand="0" w:evenHBand="1" w:firstRowFirstColumn="0" w:firstRowLastColumn="0" w:lastRowFirstColumn="0" w:lastRowLastColumn="0"/>
        </w:trPr>
        <w:tc>
          <w:tcPr>
            <w:tcW w:w="9350" w:type="dxa"/>
          </w:tcPr>
          <w:p w14:paraId="662D2801" w14:textId="77777777" w:rsidR="00A4193B" w:rsidRPr="00E513FD" w:rsidRDefault="00A4193B" w:rsidP="00E513FD">
            <w:pPr>
              <w:pStyle w:val="TableTextLeft"/>
              <w:rPr>
                <w:rFonts w:eastAsia="Calibri"/>
              </w:rPr>
            </w:pPr>
            <w:r w:rsidRPr="00E513FD">
              <w:rPr>
                <w:rFonts w:eastAsia="Calibri"/>
              </w:rPr>
              <w:t xml:space="preserve">Supply Nation </w:t>
            </w:r>
          </w:p>
        </w:tc>
      </w:tr>
      <w:tr w:rsidR="00A4193B" w:rsidRPr="002E624F" w14:paraId="4251BC9B" w14:textId="77777777" w:rsidTr="00E513FD">
        <w:trPr>
          <w:cnfStyle w:val="000000100000" w:firstRow="0" w:lastRow="0" w:firstColumn="0" w:lastColumn="0" w:oddVBand="0" w:evenVBand="0" w:oddHBand="1" w:evenHBand="0" w:firstRowFirstColumn="0" w:firstRowLastColumn="0" w:lastRowFirstColumn="0" w:lastRowLastColumn="0"/>
        </w:trPr>
        <w:tc>
          <w:tcPr>
            <w:tcW w:w="9350" w:type="dxa"/>
          </w:tcPr>
          <w:p w14:paraId="4553FE5B" w14:textId="77777777" w:rsidR="00A4193B" w:rsidRPr="00E513FD" w:rsidRDefault="00A4193B" w:rsidP="00E513FD">
            <w:pPr>
              <w:pStyle w:val="TableTextLeft"/>
              <w:rPr>
                <w:rFonts w:eastAsia="Calibri"/>
              </w:rPr>
            </w:pPr>
            <w:r w:rsidRPr="00E513FD">
              <w:rPr>
                <w:rFonts w:eastAsia="Calibri"/>
              </w:rPr>
              <w:t xml:space="preserve">Treasury </w:t>
            </w:r>
          </w:p>
        </w:tc>
      </w:tr>
      <w:tr w:rsidR="00A4193B" w:rsidRPr="002E624F" w14:paraId="7D69A2A4" w14:textId="77777777" w:rsidTr="00E513FD">
        <w:trPr>
          <w:cnfStyle w:val="000000010000" w:firstRow="0" w:lastRow="0" w:firstColumn="0" w:lastColumn="0" w:oddVBand="0" w:evenVBand="0" w:oddHBand="0" w:evenHBand="1" w:firstRowFirstColumn="0" w:firstRowLastColumn="0" w:lastRowFirstColumn="0" w:lastRowLastColumn="0"/>
        </w:trPr>
        <w:tc>
          <w:tcPr>
            <w:tcW w:w="9350" w:type="dxa"/>
          </w:tcPr>
          <w:p w14:paraId="54BD4E17" w14:textId="65B2B206" w:rsidR="00A4193B" w:rsidRPr="00E513FD" w:rsidRDefault="00A4193B" w:rsidP="00E513FD">
            <w:pPr>
              <w:pStyle w:val="TableTextLeft"/>
              <w:rPr>
                <w:rFonts w:eastAsia="Calibri"/>
              </w:rPr>
            </w:pPr>
            <w:r w:rsidRPr="00E513FD">
              <w:rPr>
                <w:rFonts w:eastAsia="Calibri"/>
              </w:rPr>
              <w:t>UNSW</w:t>
            </w:r>
            <w:r w:rsidR="00FC20E9">
              <w:rPr>
                <w:rFonts w:eastAsia="Calibri"/>
              </w:rPr>
              <w:t xml:space="preserve"> </w:t>
            </w:r>
            <w:r w:rsidRPr="00E513FD">
              <w:rPr>
                <w:rFonts w:eastAsia="Calibri"/>
              </w:rPr>
              <w:t>Tax &amp; Business Advisory Clinic</w:t>
            </w:r>
          </w:p>
        </w:tc>
      </w:tr>
    </w:tbl>
    <w:p w14:paraId="02B29093" w14:textId="77777777" w:rsidR="00C71C9D" w:rsidRDefault="00C71C9D" w:rsidP="00D05414"/>
    <w:p w14:paraId="7F028165" w14:textId="77777777" w:rsidR="00C71C9D" w:rsidRDefault="00C71C9D">
      <w:pPr>
        <w:spacing w:before="0" w:after="160" w:line="259" w:lineRule="auto"/>
        <w:rPr>
          <w:rFonts w:asciiTheme="majorHAnsi" w:hAnsiTheme="majorHAnsi" w:cs="Arial"/>
          <w:b/>
          <w:color w:val="auto"/>
          <w:kern w:val="32"/>
          <w:sz w:val="26"/>
          <w:szCs w:val="26"/>
        </w:rPr>
      </w:pPr>
      <w:r>
        <w:br w:type="page"/>
      </w:r>
    </w:p>
    <w:p w14:paraId="5D784B79" w14:textId="762B339F" w:rsidR="00A4193B" w:rsidRPr="00862952" w:rsidRDefault="00A4193B" w:rsidP="00C32345">
      <w:pPr>
        <w:pStyle w:val="TableMainHeading"/>
      </w:pPr>
      <w:r w:rsidRPr="0045456C">
        <w:lastRenderedPageBreak/>
        <w:t xml:space="preserve">FRAG </w:t>
      </w:r>
      <w:r w:rsidR="007D7649">
        <w:t>a</w:t>
      </w:r>
      <w:r w:rsidRPr="0045456C">
        <w:t>ttendees</w:t>
      </w:r>
    </w:p>
    <w:tbl>
      <w:tblPr>
        <w:tblStyle w:val="TableGrid"/>
        <w:tblW w:w="0" w:type="auto"/>
        <w:tblLook w:val="04A0" w:firstRow="1" w:lastRow="0" w:firstColumn="1" w:lastColumn="0" w:noHBand="0" w:noVBand="1"/>
      </w:tblPr>
      <w:tblGrid>
        <w:gridCol w:w="9070"/>
      </w:tblGrid>
      <w:tr w:rsidR="00A4193B" w:rsidRPr="003D050F" w14:paraId="3AD8E3BC" w14:textId="77777777" w:rsidTr="004C749D">
        <w:trPr>
          <w:cnfStyle w:val="100000000000" w:firstRow="1" w:lastRow="0" w:firstColumn="0" w:lastColumn="0" w:oddVBand="0" w:evenVBand="0" w:oddHBand="0" w:evenHBand="0" w:firstRowFirstColumn="0" w:firstRowLastColumn="0" w:lastRowFirstColumn="0" w:lastRowLastColumn="0"/>
        </w:trPr>
        <w:tc>
          <w:tcPr>
            <w:tcW w:w="9070" w:type="dxa"/>
          </w:tcPr>
          <w:p w14:paraId="6AF457CA" w14:textId="77777777" w:rsidR="00A4193B" w:rsidRPr="003D050F" w:rsidRDefault="00A4193B" w:rsidP="00E513FD">
            <w:pPr>
              <w:pStyle w:val="TableColumnHeadingLeft"/>
              <w:rPr>
                <w:rFonts w:eastAsia="Calibri"/>
              </w:rPr>
            </w:pPr>
            <w:r>
              <w:rPr>
                <w:rFonts w:eastAsia="Calibri"/>
              </w:rPr>
              <w:t>Attendees</w:t>
            </w:r>
          </w:p>
        </w:tc>
      </w:tr>
      <w:tr w:rsidR="00A4193B" w:rsidRPr="003D050F" w14:paraId="3D65DFED" w14:textId="77777777" w:rsidTr="009A470F">
        <w:trPr>
          <w:cnfStyle w:val="000000100000" w:firstRow="0" w:lastRow="0" w:firstColumn="0" w:lastColumn="0" w:oddVBand="0" w:evenVBand="0" w:oddHBand="1" w:evenHBand="0" w:firstRowFirstColumn="0" w:firstRowLastColumn="0" w:lastRowFirstColumn="0" w:lastRowLastColumn="0"/>
        </w:trPr>
        <w:tc>
          <w:tcPr>
            <w:tcW w:w="9070" w:type="dxa"/>
            <w:vAlign w:val="center"/>
          </w:tcPr>
          <w:p w14:paraId="2DA566CF" w14:textId="77777777" w:rsidR="00A4193B" w:rsidRPr="00E513FD" w:rsidRDefault="00A4193B" w:rsidP="00E513FD">
            <w:pPr>
              <w:pStyle w:val="TableTextLeft"/>
              <w:rPr>
                <w:rFonts w:eastAsia="Calibri"/>
              </w:rPr>
            </w:pPr>
            <w:r w:rsidRPr="00E513FD">
              <w:rPr>
                <w:rFonts w:eastAsia="Calibri"/>
              </w:rPr>
              <w:t>Chair: Australian Small Business and Family Enterprise Ombudsman (ASBFEO)</w:t>
            </w:r>
          </w:p>
        </w:tc>
      </w:tr>
      <w:tr w:rsidR="00A4193B" w:rsidRPr="003D050F" w14:paraId="752FA8DB" w14:textId="77777777" w:rsidTr="009A470F">
        <w:trPr>
          <w:cnfStyle w:val="000000010000" w:firstRow="0" w:lastRow="0" w:firstColumn="0" w:lastColumn="0" w:oddVBand="0" w:evenVBand="0" w:oddHBand="0" w:evenHBand="1" w:firstRowFirstColumn="0" w:firstRowLastColumn="0" w:lastRowFirstColumn="0" w:lastRowLastColumn="0"/>
        </w:trPr>
        <w:tc>
          <w:tcPr>
            <w:tcW w:w="9070" w:type="dxa"/>
            <w:vAlign w:val="center"/>
          </w:tcPr>
          <w:p w14:paraId="084C60F1" w14:textId="77777777" w:rsidR="00A4193B" w:rsidRPr="00E513FD" w:rsidRDefault="00A4193B" w:rsidP="00E513FD">
            <w:pPr>
              <w:pStyle w:val="TableTextLeft"/>
              <w:rPr>
                <w:rFonts w:eastAsia="Calibri"/>
              </w:rPr>
            </w:pPr>
            <w:r w:rsidRPr="00E513FD">
              <w:rPr>
                <w:rFonts w:eastAsia="Calibri"/>
              </w:rPr>
              <w:t>Executive Director, General Counsel (ASBFEO)</w:t>
            </w:r>
          </w:p>
        </w:tc>
      </w:tr>
      <w:tr w:rsidR="00A4193B" w:rsidRPr="003D050F" w14:paraId="5136A05D" w14:textId="77777777" w:rsidTr="009A470F">
        <w:trPr>
          <w:cnfStyle w:val="000000100000" w:firstRow="0" w:lastRow="0" w:firstColumn="0" w:lastColumn="0" w:oddVBand="0" w:evenVBand="0" w:oddHBand="1" w:evenHBand="0" w:firstRowFirstColumn="0" w:firstRowLastColumn="0" w:lastRowFirstColumn="0" w:lastRowLastColumn="0"/>
        </w:trPr>
        <w:tc>
          <w:tcPr>
            <w:tcW w:w="9070" w:type="dxa"/>
            <w:vAlign w:val="center"/>
          </w:tcPr>
          <w:p w14:paraId="406DD950" w14:textId="77777777" w:rsidR="00A4193B" w:rsidRPr="00E513FD" w:rsidRDefault="00A4193B" w:rsidP="00E513FD">
            <w:pPr>
              <w:pStyle w:val="TableTextLeft"/>
              <w:rPr>
                <w:rFonts w:eastAsia="Calibri"/>
              </w:rPr>
            </w:pPr>
            <w:r w:rsidRPr="00E513FD">
              <w:rPr>
                <w:rFonts w:eastAsia="Calibri"/>
              </w:rPr>
              <w:t>Executive Director, Policy &amp; Advocacy (ASBFEO)</w:t>
            </w:r>
          </w:p>
        </w:tc>
      </w:tr>
      <w:tr w:rsidR="00A4193B" w:rsidRPr="003D050F" w14:paraId="64A85D15" w14:textId="77777777" w:rsidTr="009A470F">
        <w:trPr>
          <w:cnfStyle w:val="000000010000" w:firstRow="0" w:lastRow="0" w:firstColumn="0" w:lastColumn="0" w:oddVBand="0" w:evenVBand="0" w:oddHBand="0" w:evenHBand="1" w:firstRowFirstColumn="0" w:firstRowLastColumn="0" w:lastRowFirstColumn="0" w:lastRowLastColumn="0"/>
        </w:trPr>
        <w:tc>
          <w:tcPr>
            <w:tcW w:w="9070" w:type="dxa"/>
            <w:vAlign w:val="center"/>
          </w:tcPr>
          <w:p w14:paraId="37B2E282" w14:textId="77777777" w:rsidR="00A4193B" w:rsidRPr="00E513FD" w:rsidRDefault="00A4193B" w:rsidP="00E513FD">
            <w:pPr>
              <w:pStyle w:val="TableTextLeft"/>
              <w:rPr>
                <w:rFonts w:eastAsia="Calibri"/>
              </w:rPr>
            </w:pPr>
            <w:r w:rsidRPr="00E513FD">
              <w:rPr>
                <w:rFonts w:eastAsia="Calibri"/>
              </w:rPr>
              <w:t>Small Business Deputy Chair, Australian Competition and Consumer Commission (ACCC)</w:t>
            </w:r>
          </w:p>
        </w:tc>
      </w:tr>
      <w:tr w:rsidR="00A4193B" w:rsidRPr="003D050F" w14:paraId="08BF0877" w14:textId="77777777" w:rsidTr="009A470F">
        <w:trPr>
          <w:cnfStyle w:val="000000100000" w:firstRow="0" w:lastRow="0" w:firstColumn="0" w:lastColumn="0" w:oddVBand="0" w:evenVBand="0" w:oddHBand="1" w:evenHBand="0" w:firstRowFirstColumn="0" w:firstRowLastColumn="0" w:lastRowFirstColumn="0" w:lastRowLastColumn="0"/>
        </w:trPr>
        <w:tc>
          <w:tcPr>
            <w:tcW w:w="9070" w:type="dxa"/>
            <w:vAlign w:val="center"/>
          </w:tcPr>
          <w:p w14:paraId="2A07CFE3" w14:textId="77777777" w:rsidR="00A4193B" w:rsidRPr="00E513FD" w:rsidRDefault="00A4193B" w:rsidP="00E513FD">
            <w:pPr>
              <w:pStyle w:val="TableTextLeft"/>
              <w:rPr>
                <w:rFonts w:eastAsia="Calibri"/>
              </w:rPr>
            </w:pPr>
            <w:r w:rsidRPr="00E513FD">
              <w:rPr>
                <w:rFonts w:eastAsia="Calibri"/>
              </w:rPr>
              <w:t>General Manager Consumer &amp; Small Business Strategies Branch (ACCC)</w:t>
            </w:r>
          </w:p>
        </w:tc>
      </w:tr>
      <w:tr w:rsidR="00A4193B" w:rsidRPr="003D050F" w14:paraId="5E5CEA04" w14:textId="77777777" w:rsidTr="009A470F">
        <w:trPr>
          <w:cnfStyle w:val="000000010000" w:firstRow="0" w:lastRow="0" w:firstColumn="0" w:lastColumn="0" w:oddVBand="0" w:evenVBand="0" w:oddHBand="0" w:evenHBand="1" w:firstRowFirstColumn="0" w:firstRowLastColumn="0" w:lastRowFirstColumn="0" w:lastRowLastColumn="0"/>
        </w:trPr>
        <w:tc>
          <w:tcPr>
            <w:tcW w:w="9070" w:type="dxa"/>
            <w:vAlign w:val="center"/>
          </w:tcPr>
          <w:p w14:paraId="23B47E45" w14:textId="34BC51C3" w:rsidR="00A4193B" w:rsidRPr="00E513FD" w:rsidRDefault="00A4193B" w:rsidP="00E513FD">
            <w:pPr>
              <w:pStyle w:val="TableTextLeft"/>
              <w:rPr>
                <w:rFonts w:eastAsia="Calibri"/>
              </w:rPr>
            </w:pPr>
            <w:r w:rsidRPr="00E513FD">
              <w:rPr>
                <w:rFonts w:eastAsia="Calibri"/>
              </w:rPr>
              <w:t>Executive General Manager, Consumer &amp; Fair</w:t>
            </w:r>
            <w:r w:rsidR="00916FA5" w:rsidRPr="00E513FD">
              <w:rPr>
                <w:rFonts w:eastAsia="Calibri"/>
              </w:rPr>
              <w:noBreakHyphen/>
            </w:r>
            <w:r w:rsidRPr="00E513FD">
              <w:rPr>
                <w:rFonts w:eastAsia="Calibri"/>
              </w:rPr>
              <w:t>Trading Division (ACCC)</w:t>
            </w:r>
          </w:p>
        </w:tc>
      </w:tr>
      <w:tr w:rsidR="00A4193B" w:rsidRPr="003D050F" w14:paraId="36E48BD6" w14:textId="77777777" w:rsidTr="009A470F">
        <w:trPr>
          <w:cnfStyle w:val="000000100000" w:firstRow="0" w:lastRow="0" w:firstColumn="0" w:lastColumn="0" w:oddVBand="0" w:evenVBand="0" w:oddHBand="1" w:evenHBand="0" w:firstRowFirstColumn="0" w:firstRowLastColumn="0" w:lastRowFirstColumn="0" w:lastRowLastColumn="0"/>
        </w:trPr>
        <w:tc>
          <w:tcPr>
            <w:tcW w:w="9070" w:type="dxa"/>
            <w:vAlign w:val="center"/>
          </w:tcPr>
          <w:p w14:paraId="2D8A8A33" w14:textId="77777777" w:rsidR="00A4193B" w:rsidRPr="00E513FD" w:rsidRDefault="00A4193B" w:rsidP="00E513FD">
            <w:pPr>
              <w:pStyle w:val="TableTextLeft"/>
              <w:rPr>
                <w:rFonts w:eastAsia="Calibri"/>
              </w:rPr>
            </w:pPr>
            <w:r w:rsidRPr="00E513FD">
              <w:rPr>
                <w:rFonts w:eastAsia="Calibri"/>
              </w:rPr>
              <w:t>Deputy Chair, Australian Securities and Investments Commission (ASIC)</w:t>
            </w:r>
          </w:p>
        </w:tc>
      </w:tr>
      <w:tr w:rsidR="00A4193B" w:rsidRPr="003D050F" w14:paraId="2E8086A3" w14:textId="77777777" w:rsidTr="009A470F">
        <w:trPr>
          <w:cnfStyle w:val="000000010000" w:firstRow="0" w:lastRow="0" w:firstColumn="0" w:lastColumn="0" w:oddVBand="0" w:evenVBand="0" w:oddHBand="0" w:evenHBand="1" w:firstRowFirstColumn="0" w:firstRowLastColumn="0" w:lastRowFirstColumn="0" w:lastRowLastColumn="0"/>
          <w:trHeight w:val="29"/>
        </w:trPr>
        <w:tc>
          <w:tcPr>
            <w:tcW w:w="9070" w:type="dxa"/>
            <w:vAlign w:val="center"/>
          </w:tcPr>
          <w:p w14:paraId="78D56B41" w14:textId="77777777" w:rsidR="00A4193B" w:rsidRPr="00E513FD" w:rsidRDefault="00A4193B" w:rsidP="00E513FD">
            <w:pPr>
              <w:pStyle w:val="TableTextLeft"/>
              <w:rPr>
                <w:rFonts w:eastAsia="Calibri"/>
              </w:rPr>
            </w:pPr>
            <w:r w:rsidRPr="00E513FD">
              <w:rPr>
                <w:rFonts w:eastAsia="Calibri"/>
              </w:rPr>
              <w:t>Senior Executive Leader, Small Business Engagement and Compliance (ASIC)</w:t>
            </w:r>
          </w:p>
        </w:tc>
      </w:tr>
      <w:tr w:rsidR="00A4193B" w:rsidRPr="003D050F" w14:paraId="601D6A34" w14:textId="77777777" w:rsidTr="009A470F">
        <w:trPr>
          <w:cnfStyle w:val="000000100000" w:firstRow="0" w:lastRow="0" w:firstColumn="0" w:lastColumn="0" w:oddVBand="0" w:evenVBand="0" w:oddHBand="1" w:evenHBand="0" w:firstRowFirstColumn="0" w:firstRowLastColumn="0" w:lastRowFirstColumn="0" w:lastRowLastColumn="0"/>
        </w:trPr>
        <w:tc>
          <w:tcPr>
            <w:tcW w:w="9070" w:type="dxa"/>
            <w:vAlign w:val="center"/>
          </w:tcPr>
          <w:p w14:paraId="13B9F5F5" w14:textId="77777777" w:rsidR="00A4193B" w:rsidRPr="00E513FD" w:rsidRDefault="00A4193B" w:rsidP="00E513FD">
            <w:pPr>
              <w:pStyle w:val="TableTextLeft"/>
              <w:rPr>
                <w:rFonts w:eastAsia="Calibri"/>
              </w:rPr>
            </w:pPr>
            <w:r w:rsidRPr="00E513FD">
              <w:rPr>
                <w:rFonts w:eastAsia="Calibri"/>
              </w:rPr>
              <w:t>Senior Executive Leader, Registered Liquidators (ASIC)</w:t>
            </w:r>
          </w:p>
        </w:tc>
      </w:tr>
      <w:tr w:rsidR="00A4193B" w:rsidRPr="003D050F" w14:paraId="4A5FB74E" w14:textId="77777777" w:rsidTr="009A470F">
        <w:trPr>
          <w:cnfStyle w:val="000000010000" w:firstRow="0" w:lastRow="0" w:firstColumn="0" w:lastColumn="0" w:oddVBand="0" w:evenVBand="0" w:oddHBand="0" w:evenHBand="1" w:firstRowFirstColumn="0" w:firstRowLastColumn="0" w:lastRowFirstColumn="0" w:lastRowLastColumn="0"/>
        </w:trPr>
        <w:tc>
          <w:tcPr>
            <w:tcW w:w="9070" w:type="dxa"/>
            <w:vAlign w:val="center"/>
          </w:tcPr>
          <w:p w14:paraId="6380418D" w14:textId="77777777" w:rsidR="00A4193B" w:rsidRPr="003D050F" w:rsidRDefault="00A4193B" w:rsidP="00C32345">
            <w:pPr>
              <w:pStyle w:val="TableTextLeft"/>
              <w:rPr>
                <w:rFonts w:eastAsia="Calibri"/>
              </w:rPr>
            </w:pPr>
            <w:r w:rsidRPr="003D050F">
              <w:rPr>
                <w:rFonts w:eastAsia="Calibri"/>
              </w:rPr>
              <w:t>Deputy Commissioner Small Business, Australian Tax Office (ATO)</w:t>
            </w:r>
          </w:p>
        </w:tc>
      </w:tr>
      <w:tr w:rsidR="00A4193B" w:rsidRPr="003D050F" w14:paraId="32C93DD8" w14:textId="77777777" w:rsidTr="009A470F">
        <w:trPr>
          <w:cnfStyle w:val="000000100000" w:firstRow="0" w:lastRow="0" w:firstColumn="0" w:lastColumn="0" w:oddVBand="0" w:evenVBand="0" w:oddHBand="1" w:evenHBand="0" w:firstRowFirstColumn="0" w:firstRowLastColumn="0" w:lastRowFirstColumn="0" w:lastRowLastColumn="0"/>
        </w:trPr>
        <w:tc>
          <w:tcPr>
            <w:tcW w:w="9070" w:type="dxa"/>
            <w:vAlign w:val="center"/>
          </w:tcPr>
          <w:p w14:paraId="5508198E" w14:textId="77777777" w:rsidR="00A4193B" w:rsidRPr="003D050F" w:rsidRDefault="00A4193B" w:rsidP="00C32345">
            <w:pPr>
              <w:pStyle w:val="TableTextLeft"/>
              <w:rPr>
                <w:rFonts w:eastAsia="Calibri"/>
              </w:rPr>
            </w:pPr>
            <w:r w:rsidRPr="003D050F">
              <w:rPr>
                <w:rFonts w:eastAsia="Calibri"/>
              </w:rPr>
              <w:t>Assistant Commissioner Small Business Experience (ATO)</w:t>
            </w:r>
          </w:p>
        </w:tc>
      </w:tr>
      <w:tr w:rsidR="00A4193B" w:rsidRPr="003D050F" w14:paraId="248CB4A2" w14:textId="77777777" w:rsidTr="009A470F">
        <w:trPr>
          <w:cnfStyle w:val="000000010000" w:firstRow="0" w:lastRow="0" w:firstColumn="0" w:lastColumn="0" w:oddVBand="0" w:evenVBand="0" w:oddHBand="0" w:evenHBand="1" w:firstRowFirstColumn="0" w:firstRowLastColumn="0" w:lastRowFirstColumn="0" w:lastRowLastColumn="0"/>
        </w:trPr>
        <w:tc>
          <w:tcPr>
            <w:tcW w:w="9070" w:type="dxa"/>
            <w:vAlign w:val="center"/>
          </w:tcPr>
          <w:p w14:paraId="6D565877" w14:textId="77777777" w:rsidR="00A4193B" w:rsidRPr="003D050F" w:rsidRDefault="00A4193B" w:rsidP="00C32345">
            <w:pPr>
              <w:pStyle w:val="TableTextLeft"/>
              <w:rPr>
                <w:rFonts w:eastAsia="Calibri"/>
              </w:rPr>
            </w:pPr>
            <w:r w:rsidRPr="003D050F">
              <w:rPr>
                <w:rFonts w:eastAsia="Calibri"/>
              </w:rPr>
              <w:t>Executive Director, Engagement, Fair Work Ombudsman (FWO)</w:t>
            </w:r>
          </w:p>
        </w:tc>
      </w:tr>
      <w:tr w:rsidR="00A4193B" w:rsidRPr="003D050F" w14:paraId="57D2E237" w14:textId="77777777" w:rsidTr="009A470F">
        <w:trPr>
          <w:cnfStyle w:val="000000100000" w:firstRow="0" w:lastRow="0" w:firstColumn="0" w:lastColumn="0" w:oddVBand="0" w:evenVBand="0" w:oddHBand="1" w:evenHBand="0" w:firstRowFirstColumn="0" w:firstRowLastColumn="0" w:lastRowFirstColumn="0" w:lastRowLastColumn="0"/>
          <w:trHeight w:val="343"/>
        </w:trPr>
        <w:tc>
          <w:tcPr>
            <w:tcW w:w="0" w:type="dxa"/>
            <w:vAlign w:val="center"/>
          </w:tcPr>
          <w:p w14:paraId="44FA77CE" w14:textId="2509804D" w:rsidR="00A4193B" w:rsidRPr="003D050F" w:rsidRDefault="00A4193B" w:rsidP="00C32345">
            <w:pPr>
              <w:pStyle w:val="TableTextLeft"/>
              <w:rPr>
                <w:rFonts w:eastAsia="Calibri"/>
              </w:rPr>
            </w:pPr>
            <w:r w:rsidRPr="003D050F">
              <w:rPr>
                <w:rFonts w:eastAsia="Calibri"/>
              </w:rPr>
              <w:t>Chief Executive Officer and Chief Ombudsman, Australian Financial Complaints Authority</w:t>
            </w:r>
            <w:r w:rsidR="0069740B">
              <w:rPr>
                <w:rFonts w:eastAsia="Calibri"/>
              </w:rPr>
              <w:t xml:space="preserve"> </w:t>
            </w:r>
            <w:r w:rsidR="0069740B" w:rsidRPr="003D050F">
              <w:rPr>
                <w:rFonts w:eastAsia="Calibri"/>
              </w:rPr>
              <w:t>(AFCA)</w:t>
            </w:r>
            <w:r w:rsidR="0069740B">
              <w:rPr>
                <w:rFonts w:eastAsia="Calibri"/>
              </w:rPr>
              <w:t xml:space="preserve"> </w:t>
            </w:r>
          </w:p>
        </w:tc>
      </w:tr>
      <w:tr w:rsidR="00A4193B" w:rsidRPr="003D050F" w14:paraId="2F53D4F6" w14:textId="77777777" w:rsidTr="009A470F">
        <w:trPr>
          <w:cnfStyle w:val="000000010000" w:firstRow="0" w:lastRow="0" w:firstColumn="0" w:lastColumn="0" w:oddVBand="0" w:evenVBand="0" w:oddHBand="0" w:evenHBand="1" w:firstRowFirstColumn="0" w:firstRowLastColumn="0" w:lastRowFirstColumn="0" w:lastRowLastColumn="0"/>
        </w:trPr>
        <w:tc>
          <w:tcPr>
            <w:tcW w:w="9070" w:type="dxa"/>
            <w:vAlign w:val="center"/>
          </w:tcPr>
          <w:p w14:paraId="5959382E" w14:textId="77777777" w:rsidR="00A4193B" w:rsidRDefault="00A4193B" w:rsidP="00C32345">
            <w:pPr>
              <w:pStyle w:val="TableTextLeft"/>
              <w:rPr>
                <w:rFonts w:eastAsia="Calibri"/>
              </w:rPr>
            </w:pPr>
            <w:r w:rsidRPr="003D050F">
              <w:rPr>
                <w:rFonts w:eastAsia="Calibri"/>
              </w:rPr>
              <w:t>Lead Ombudsman (AFCA)</w:t>
            </w:r>
          </w:p>
          <w:p w14:paraId="4ECD26BC" w14:textId="15513892" w:rsidR="00A4193B" w:rsidRPr="003D050F" w:rsidRDefault="00A4193B" w:rsidP="00C32345">
            <w:pPr>
              <w:pStyle w:val="TableTextLeft"/>
              <w:rPr>
                <w:rFonts w:eastAsia="Calibri"/>
              </w:rPr>
            </w:pPr>
            <w:r w:rsidRPr="002C4A2D">
              <w:rPr>
                <w:rFonts w:eastAsia="Calibri"/>
              </w:rPr>
              <w:t>Chief Executive, Inspector</w:t>
            </w:r>
            <w:r w:rsidR="00916FA5">
              <w:rPr>
                <w:rFonts w:eastAsia="Calibri"/>
              </w:rPr>
              <w:noBreakHyphen/>
            </w:r>
            <w:r w:rsidRPr="002C4A2D">
              <w:rPr>
                <w:rFonts w:eastAsia="Calibri"/>
              </w:rPr>
              <w:t>General in Bankruptcy and Registrar of Personal Property</w:t>
            </w:r>
          </w:p>
        </w:tc>
      </w:tr>
      <w:tr w:rsidR="00A4193B" w:rsidRPr="003D050F" w14:paraId="61AC2A83" w14:textId="77777777" w:rsidTr="009A470F">
        <w:trPr>
          <w:cnfStyle w:val="000000100000" w:firstRow="0" w:lastRow="0" w:firstColumn="0" w:lastColumn="0" w:oddVBand="0" w:evenVBand="0" w:oddHBand="1" w:evenHBand="0" w:firstRowFirstColumn="0" w:firstRowLastColumn="0" w:lastRowFirstColumn="0" w:lastRowLastColumn="0"/>
        </w:trPr>
        <w:tc>
          <w:tcPr>
            <w:tcW w:w="9070" w:type="dxa"/>
            <w:vAlign w:val="center"/>
          </w:tcPr>
          <w:p w14:paraId="3E1DB2F7" w14:textId="77777777" w:rsidR="00A4193B" w:rsidRDefault="00A4193B" w:rsidP="00C32345">
            <w:pPr>
              <w:pStyle w:val="TableTextLeft"/>
              <w:rPr>
                <w:rFonts w:eastAsia="Calibri"/>
              </w:rPr>
            </w:pPr>
            <w:r w:rsidRPr="003D050F">
              <w:rPr>
                <w:rFonts w:eastAsia="Calibri"/>
              </w:rPr>
              <w:t>Securities, Australian Financial Services Authority (AFSA)</w:t>
            </w:r>
          </w:p>
          <w:p w14:paraId="14678028" w14:textId="77777777" w:rsidR="00A4193B" w:rsidRPr="003D050F" w:rsidRDefault="00A4193B" w:rsidP="00C32345">
            <w:pPr>
              <w:pStyle w:val="TableTextLeft"/>
              <w:rPr>
                <w:rFonts w:eastAsia="Calibri"/>
              </w:rPr>
            </w:pPr>
            <w:r w:rsidRPr="003D050F">
              <w:rPr>
                <w:rFonts w:eastAsia="Calibri"/>
              </w:rPr>
              <w:t>National Manager, Enforcement and Practitioner Supervision, Australian Financial Services</w:t>
            </w:r>
          </w:p>
        </w:tc>
      </w:tr>
      <w:tr w:rsidR="00A4193B" w:rsidRPr="003D050F" w14:paraId="6CEFED60" w14:textId="77777777" w:rsidTr="009A470F">
        <w:trPr>
          <w:cnfStyle w:val="000000010000" w:firstRow="0" w:lastRow="0" w:firstColumn="0" w:lastColumn="0" w:oddVBand="0" w:evenVBand="0" w:oddHBand="0" w:evenHBand="1" w:firstRowFirstColumn="0" w:firstRowLastColumn="0" w:lastRowFirstColumn="0" w:lastRowLastColumn="0"/>
        </w:trPr>
        <w:tc>
          <w:tcPr>
            <w:tcW w:w="9070" w:type="dxa"/>
            <w:vAlign w:val="center"/>
          </w:tcPr>
          <w:p w14:paraId="24E7D555" w14:textId="77777777" w:rsidR="00A4193B" w:rsidRPr="003D050F" w:rsidRDefault="00A4193B" w:rsidP="00C32345">
            <w:pPr>
              <w:pStyle w:val="TableTextLeft"/>
              <w:rPr>
                <w:rFonts w:eastAsia="Calibri"/>
              </w:rPr>
            </w:pPr>
            <w:r w:rsidRPr="003D050F">
              <w:rPr>
                <w:rFonts w:eastAsia="Calibri"/>
              </w:rPr>
              <w:t>Authority (AFSA)</w:t>
            </w:r>
          </w:p>
        </w:tc>
      </w:tr>
      <w:tr w:rsidR="00A4193B" w:rsidRPr="003D050F" w14:paraId="0073CF6F" w14:textId="77777777" w:rsidTr="009A470F">
        <w:trPr>
          <w:cnfStyle w:val="000000100000" w:firstRow="0" w:lastRow="0" w:firstColumn="0" w:lastColumn="0" w:oddVBand="0" w:evenVBand="0" w:oddHBand="1" w:evenHBand="0" w:firstRowFirstColumn="0" w:firstRowLastColumn="0" w:lastRowFirstColumn="0" w:lastRowLastColumn="0"/>
        </w:trPr>
        <w:tc>
          <w:tcPr>
            <w:tcW w:w="9070" w:type="dxa"/>
            <w:vAlign w:val="center"/>
          </w:tcPr>
          <w:p w14:paraId="4B72715D" w14:textId="77777777" w:rsidR="00A4193B" w:rsidRPr="003D050F" w:rsidRDefault="00A4193B" w:rsidP="00C32345">
            <w:pPr>
              <w:pStyle w:val="TableTextLeft"/>
              <w:rPr>
                <w:rFonts w:eastAsia="Calibri"/>
              </w:rPr>
            </w:pPr>
            <w:r w:rsidRPr="003D050F">
              <w:rPr>
                <w:rFonts w:eastAsia="Calibri"/>
              </w:rPr>
              <w:t>National Manager, Government Business, Australian Financial Services Authority (AFSA)</w:t>
            </w:r>
          </w:p>
        </w:tc>
      </w:tr>
      <w:tr w:rsidR="00C05EB5" w:rsidRPr="003D050F" w14:paraId="011BEBA0" w14:textId="77777777" w:rsidTr="009A470F">
        <w:trPr>
          <w:cnfStyle w:val="000000010000" w:firstRow="0" w:lastRow="0" w:firstColumn="0" w:lastColumn="0" w:oddVBand="0" w:evenVBand="0" w:oddHBand="0" w:evenHBand="1" w:firstRowFirstColumn="0" w:firstRowLastColumn="0" w:lastRowFirstColumn="0" w:lastRowLastColumn="0"/>
        </w:trPr>
        <w:tc>
          <w:tcPr>
            <w:tcW w:w="9070" w:type="dxa"/>
            <w:vAlign w:val="center"/>
          </w:tcPr>
          <w:p w14:paraId="57194FEC" w14:textId="3B1C1C28" w:rsidR="00C05EB5" w:rsidRPr="003D050F" w:rsidRDefault="00C05EB5" w:rsidP="00C05EB5">
            <w:pPr>
              <w:pStyle w:val="TableTextLeft"/>
              <w:rPr>
                <w:rFonts w:eastAsia="Calibri"/>
              </w:rPr>
            </w:pPr>
            <w:r w:rsidRPr="00C05EB5">
              <w:rPr>
                <w:rFonts w:eastAsia="Calibri"/>
              </w:rPr>
              <w:t>Deputy Secretary, Small Business, Corporate and Law Group (Treasury)</w:t>
            </w:r>
          </w:p>
        </w:tc>
      </w:tr>
      <w:tr w:rsidR="00C05EB5" w:rsidRPr="003D050F" w14:paraId="698EC62F" w14:textId="77777777" w:rsidTr="009A470F">
        <w:trPr>
          <w:cnfStyle w:val="000000100000" w:firstRow="0" w:lastRow="0" w:firstColumn="0" w:lastColumn="0" w:oddVBand="0" w:evenVBand="0" w:oddHBand="1" w:evenHBand="0" w:firstRowFirstColumn="0" w:firstRowLastColumn="0" w:lastRowFirstColumn="0" w:lastRowLastColumn="0"/>
        </w:trPr>
        <w:tc>
          <w:tcPr>
            <w:tcW w:w="9070" w:type="dxa"/>
            <w:vAlign w:val="center"/>
          </w:tcPr>
          <w:p w14:paraId="4A2E3407" w14:textId="39856303" w:rsidR="00C05EB5" w:rsidRPr="003D050F" w:rsidRDefault="00C05EB5" w:rsidP="00C32345">
            <w:pPr>
              <w:pStyle w:val="TableTextLeft"/>
              <w:rPr>
                <w:rFonts w:eastAsia="Calibri"/>
              </w:rPr>
            </w:pPr>
            <w:r w:rsidRPr="00C05EB5">
              <w:rPr>
                <w:rFonts w:eastAsia="Calibri"/>
              </w:rPr>
              <w:t>First Assistant Secretary, Small and Family Business Division (Treasury)</w:t>
            </w:r>
          </w:p>
        </w:tc>
      </w:tr>
      <w:tr w:rsidR="00C05EB5" w:rsidRPr="003D050F" w14:paraId="316DE844" w14:textId="77777777" w:rsidTr="009A470F">
        <w:trPr>
          <w:cnfStyle w:val="000000010000" w:firstRow="0" w:lastRow="0" w:firstColumn="0" w:lastColumn="0" w:oddVBand="0" w:evenVBand="0" w:oddHBand="0" w:evenHBand="1" w:firstRowFirstColumn="0" w:firstRowLastColumn="0" w:lastRowFirstColumn="0" w:lastRowLastColumn="0"/>
        </w:trPr>
        <w:tc>
          <w:tcPr>
            <w:tcW w:w="9070" w:type="dxa"/>
            <w:vAlign w:val="center"/>
          </w:tcPr>
          <w:p w14:paraId="56846D9C" w14:textId="1B7E11B2" w:rsidR="00C05EB5" w:rsidRPr="003D050F" w:rsidRDefault="00C05EB5" w:rsidP="00C32345">
            <w:pPr>
              <w:pStyle w:val="TableTextLeft"/>
              <w:rPr>
                <w:rFonts w:eastAsia="Calibri"/>
              </w:rPr>
            </w:pPr>
            <w:r w:rsidRPr="00C05EB5">
              <w:rPr>
                <w:rFonts w:eastAsia="Calibri"/>
              </w:rPr>
              <w:t>Payment Time Reporting Regulator (Treasury)</w:t>
            </w:r>
          </w:p>
        </w:tc>
      </w:tr>
    </w:tbl>
    <w:p w14:paraId="1D347B00" w14:textId="77777777" w:rsidR="00A4193B" w:rsidRPr="0045456C" w:rsidRDefault="00A4193B" w:rsidP="00C32345">
      <w:pPr>
        <w:pStyle w:val="TableMainHeading"/>
      </w:pPr>
      <w:r w:rsidRPr="0045456C">
        <w:t>State based Small Business Commissioners attendees</w:t>
      </w:r>
    </w:p>
    <w:tbl>
      <w:tblPr>
        <w:tblStyle w:val="TableGrid"/>
        <w:tblW w:w="0" w:type="auto"/>
        <w:tblLook w:val="04A0" w:firstRow="1" w:lastRow="0" w:firstColumn="1" w:lastColumn="0" w:noHBand="0" w:noVBand="1"/>
      </w:tblPr>
      <w:tblGrid>
        <w:gridCol w:w="9070"/>
      </w:tblGrid>
      <w:tr w:rsidR="00A4193B" w:rsidRPr="003D050F" w14:paraId="43ADAFDB" w14:textId="77777777" w:rsidTr="00335C74">
        <w:trPr>
          <w:cnfStyle w:val="100000000000" w:firstRow="1" w:lastRow="0" w:firstColumn="0" w:lastColumn="0" w:oddVBand="0" w:evenVBand="0" w:oddHBand="0" w:evenHBand="0" w:firstRowFirstColumn="0" w:firstRowLastColumn="0" w:lastRowFirstColumn="0" w:lastRowLastColumn="0"/>
        </w:trPr>
        <w:tc>
          <w:tcPr>
            <w:tcW w:w="9350" w:type="dxa"/>
          </w:tcPr>
          <w:p w14:paraId="015F64E1" w14:textId="77777777" w:rsidR="00A4193B" w:rsidRPr="00335C74" w:rsidRDefault="00A4193B" w:rsidP="00335C74">
            <w:pPr>
              <w:pStyle w:val="TableColumnHeadingLeft"/>
              <w:rPr>
                <w:rFonts w:eastAsia="Calibri"/>
              </w:rPr>
            </w:pPr>
            <w:r>
              <w:rPr>
                <w:rFonts w:eastAsia="Calibri"/>
              </w:rPr>
              <w:t>Attendees</w:t>
            </w:r>
          </w:p>
        </w:tc>
      </w:tr>
      <w:tr w:rsidR="00A4193B" w:rsidRPr="003D050F" w14:paraId="2E1189F0" w14:textId="77777777" w:rsidTr="00335C74">
        <w:trPr>
          <w:cnfStyle w:val="000000100000" w:firstRow="0" w:lastRow="0" w:firstColumn="0" w:lastColumn="0" w:oddVBand="0" w:evenVBand="0" w:oddHBand="1" w:evenHBand="0" w:firstRowFirstColumn="0" w:firstRowLastColumn="0" w:lastRowFirstColumn="0" w:lastRowLastColumn="0"/>
        </w:trPr>
        <w:tc>
          <w:tcPr>
            <w:tcW w:w="9350" w:type="dxa"/>
          </w:tcPr>
          <w:p w14:paraId="79402D29" w14:textId="77777777" w:rsidR="00A4193B" w:rsidRPr="003D050F" w:rsidRDefault="00A4193B" w:rsidP="00C32345">
            <w:pPr>
              <w:pStyle w:val="TableTextLeft"/>
              <w:rPr>
                <w:rFonts w:eastAsia="Calibri"/>
              </w:rPr>
            </w:pPr>
            <w:r w:rsidRPr="48EBE17D">
              <w:rPr>
                <w:rFonts w:eastAsiaTheme="minorEastAsia"/>
              </w:rPr>
              <w:t>Australian Small Business and Family Enterprise Ombudsman</w:t>
            </w:r>
          </w:p>
        </w:tc>
      </w:tr>
      <w:tr w:rsidR="00A4193B" w:rsidRPr="003D050F" w14:paraId="0CC83E1A" w14:textId="77777777" w:rsidTr="00335C74">
        <w:trPr>
          <w:cnfStyle w:val="000000010000" w:firstRow="0" w:lastRow="0" w:firstColumn="0" w:lastColumn="0" w:oddVBand="0" w:evenVBand="0" w:oddHBand="0" w:evenHBand="1" w:firstRowFirstColumn="0" w:firstRowLastColumn="0" w:lastRowFirstColumn="0" w:lastRowLastColumn="0"/>
        </w:trPr>
        <w:tc>
          <w:tcPr>
            <w:tcW w:w="9350" w:type="dxa"/>
          </w:tcPr>
          <w:p w14:paraId="71E58265" w14:textId="77777777" w:rsidR="00A4193B" w:rsidRPr="003D050F" w:rsidRDefault="00A4193B" w:rsidP="00C32345">
            <w:pPr>
              <w:pStyle w:val="TableTextLeft"/>
              <w:rPr>
                <w:rFonts w:eastAsia="Calibri"/>
              </w:rPr>
            </w:pPr>
            <w:r w:rsidRPr="48EBE17D">
              <w:rPr>
                <w:rFonts w:eastAsiaTheme="minorEastAsia"/>
              </w:rPr>
              <w:t>Victorian Small Business Commission</w:t>
            </w:r>
          </w:p>
        </w:tc>
      </w:tr>
      <w:tr w:rsidR="00A4193B" w:rsidRPr="003D050F" w14:paraId="08898C9E" w14:textId="77777777" w:rsidTr="00335C74">
        <w:trPr>
          <w:cnfStyle w:val="000000100000" w:firstRow="0" w:lastRow="0" w:firstColumn="0" w:lastColumn="0" w:oddVBand="0" w:evenVBand="0" w:oddHBand="1" w:evenHBand="0" w:firstRowFirstColumn="0" w:firstRowLastColumn="0" w:lastRowFirstColumn="0" w:lastRowLastColumn="0"/>
        </w:trPr>
        <w:tc>
          <w:tcPr>
            <w:tcW w:w="9350" w:type="dxa"/>
          </w:tcPr>
          <w:p w14:paraId="79032403" w14:textId="77777777" w:rsidR="00A4193B" w:rsidRPr="003D050F" w:rsidRDefault="00A4193B" w:rsidP="00C32345">
            <w:pPr>
              <w:pStyle w:val="TableTextLeft"/>
              <w:rPr>
                <w:rFonts w:eastAsia="Calibri"/>
              </w:rPr>
            </w:pPr>
            <w:r w:rsidRPr="48EBE17D">
              <w:rPr>
                <w:rFonts w:eastAsiaTheme="minorEastAsia"/>
              </w:rPr>
              <w:t>Western Australian Small Business Development Corporation</w:t>
            </w:r>
          </w:p>
        </w:tc>
      </w:tr>
      <w:tr w:rsidR="00A4193B" w:rsidRPr="003D050F" w14:paraId="103443BE" w14:textId="77777777" w:rsidTr="00335C74">
        <w:trPr>
          <w:cnfStyle w:val="000000010000" w:firstRow="0" w:lastRow="0" w:firstColumn="0" w:lastColumn="0" w:oddVBand="0" w:evenVBand="0" w:oddHBand="0" w:evenHBand="1" w:firstRowFirstColumn="0" w:firstRowLastColumn="0" w:lastRowFirstColumn="0" w:lastRowLastColumn="0"/>
        </w:trPr>
        <w:tc>
          <w:tcPr>
            <w:tcW w:w="9350" w:type="dxa"/>
          </w:tcPr>
          <w:p w14:paraId="1FE430E3" w14:textId="77777777" w:rsidR="00A4193B" w:rsidRPr="003D050F" w:rsidRDefault="00A4193B" w:rsidP="00C32345">
            <w:pPr>
              <w:pStyle w:val="TableTextLeft"/>
              <w:rPr>
                <w:rFonts w:eastAsia="Calibri"/>
              </w:rPr>
            </w:pPr>
            <w:r w:rsidRPr="48EBE17D">
              <w:rPr>
                <w:rFonts w:eastAsiaTheme="minorEastAsia"/>
              </w:rPr>
              <w:t>South Australian Small Business Commissioner</w:t>
            </w:r>
          </w:p>
        </w:tc>
      </w:tr>
      <w:tr w:rsidR="00A4193B" w:rsidRPr="003D050F" w14:paraId="621F4B88" w14:textId="77777777" w:rsidTr="00335C74">
        <w:trPr>
          <w:cnfStyle w:val="000000100000" w:firstRow="0" w:lastRow="0" w:firstColumn="0" w:lastColumn="0" w:oddVBand="0" w:evenVBand="0" w:oddHBand="1" w:evenHBand="0" w:firstRowFirstColumn="0" w:firstRowLastColumn="0" w:lastRowFirstColumn="0" w:lastRowLastColumn="0"/>
        </w:trPr>
        <w:tc>
          <w:tcPr>
            <w:tcW w:w="9350" w:type="dxa"/>
          </w:tcPr>
          <w:p w14:paraId="40178A3E" w14:textId="77777777" w:rsidR="00A4193B" w:rsidRPr="003D050F" w:rsidRDefault="00A4193B" w:rsidP="00C32345">
            <w:pPr>
              <w:pStyle w:val="TableTextLeft"/>
              <w:rPr>
                <w:rFonts w:eastAsia="Calibri"/>
              </w:rPr>
            </w:pPr>
            <w:r w:rsidRPr="48EBE17D">
              <w:rPr>
                <w:rFonts w:eastAsiaTheme="minorEastAsia"/>
              </w:rPr>
              <w:t>Queensland Small Business Commissioner</w:t>
            </w:r>
          </w:p>
        </w:tc>
      </w:tr>
    </w:tbl>
    <w:p w14:paraId="73F51901" w14:textId="77777777" w:rsidR="00C71C9D" w:rsidRDefault="00C71C9D">
      <w:pPr>
        <w:spacing w:before="0" w:after="160" w:line="259" w:lineRule="auto"/>
        <w:rPr>
          <w:rFonts w:asciiTheme="majorHAnsi" w:hAnsiTheme="majorHAnsi" w:cs="Arial"/>
          <w:b/>
          <w:color w:val="auto"/>
          <w:kern w:val="32"/>
          <w:sz w:val="26"/>
          <w:szCs w:val="26"/>
        </w:rPr>
      </w:pPr>
      <w:r>
        <w:br w:type="page"/>
      </w:r>
    </w:p>
    <w:p w14:paraId="00B2FF5A" w14:textId="1A4112A4" w:rsidR="00A4193B" w:rsidRPr="0045456C" w:rsidRDefault="00A4193B" w:rsidP="005C69EA">
      <w:pPr>
        <w:pStyle w:val="TableMainHeading"/>
      </w:pPr>
      <w:r w:rsidRPr="0045456C">
        <w:lastRenderedPageBreak/>
        <w:t xml:space="preserve">ASBFEO Policy Forum </w:t>
      </w:r>
      <w:r w:rsidR="005C1ED0">
        <w:t>a</w:t>
      </w:r>
      <w:r w:rsidRPr="0045456C">
        <w:t>ttendees</w:t>
      </w:r>
    </w:p>
    <w:tbl>
      <w:tblPr>
        <w:tblStyle w:val="TableGrid"/>
        <w:tblW w:w="0" w:type="auto"/>
        <w:tblLook w:val="04A0" w:firstRow="1" w:lastRow="0" w:firstColumn="1" w:lastColumn="0" w:noHBand="0" w:noVBand="1"/>
      </w:tblPr>
      <w:tblGrid>
        <w:gridCol w:w="9070"/>
      </w:tblGrid>
      <w:tr w:rsidR="00A4193B" w:rsidRPr="0011789A" w14:paraId="4CA63816" w14:textId="77777777" w:rsidTr="00335C74">
        <w:trPr>
          <w:cnfStyle w:val="100000000000" w:firstRow="1" w:lastRow="0" w:firstColumn="0" w:lastColumn="0" w:oddVBand="0" w:evenVBand="0" w:oddHBand="0" w:evenHBand="0" w:firstRowFirstColumn="0" w:firstRowLastColumn="0" w:lastRowFirstColumn="0" w:lastRowLastColumn="0"/>
        </w:trPr>
        <w:tc>
          <w:tcPr>
            <w:tcW w:w="9070" w:type="dxa"/>
          </w:tcPr>
          <w:p w14:paraId="6DFAE168" w14:textId="77777777" w:rsidR="00A4193B" w:rsidRPr="0011789A" w:rsidRDefault="00A4193B" w:rsidP="00335C74">
            <w:pPr>
              <w:pStyle w:val="TableColumnHeadingLeft"/>
            </w:pPr>
            <w:r>
              <w:rPr>
                <w:rFonts w:eastAsia="Calibri"/>
              </w:rPr>
              <w:t>Attendees</w:t>
            </w:r>
          </w:p>
        </w:tc>
      </w:tr>
      <w:tr w:rsidR="00A4193B" w:rsidRPr="0011789A" w14:paraId="02AFEE13" w14:textId="77777777" w:rsidTr="00145FC9">
        <w:trPr>
          <w:cnfStyle w:val="000000100000" w:firstRow="0" w:lastRow="0" w:firstColumn="0" w:lastColumn="0" w:oddVBand="0" w:evenVBand="0" w:oddHBand="1" w:evenHBand="0" w:firstRowFirstColumn="0" w:firstRowLastColumn="0" w:lastRowFirstColumn="0" w:lastRowLastColumn="0"/>
          <w:trHeight w:val="299"/>
        </w:trPr>
        <w:tc>
          <w:tcPr>
            <w:tcW w:w="9070" w:type="dxa"/>
          </w:tcPr>
          <w:p w14:paraId="1FC27930" w14:textId="77777777" w:rsidR="00A4193B" w:rsidRPr="00737872" w:rsidRDefault="00A4193B" w:rsidP="005C69EA">
            <w:pPr>
              <w:pStyle w:val="TableTextLeft"/>
              <w:rPr>
                <w:rFonts w:eastAsiaTheme="minorEastAsia"/>
              </w:rPr>
            </w:pPr>
            <w:r w:rsidRPr="00737872">
              <w:rPr>
                <w:rFonts w:eastAsiaTheme="minorEastAsia"/>
              </w:rPr>
              <w:t>Chair: Australian Small Business and Family Enterprise Ombudsman</w:t>
            </w:r>
          </w:p>
        </w:tc>
      </w:tr>
      <w:tr w:rsidR="00A4193B" w:rsidRPr="0011789A" w14:paraId="4D5BAC31"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324CF4E4" w14:textId="77777777" w:rsidR="00A4193B" w:rsidRPr="00737872" w:rsidRDefault="00A4193B" w:rsidP="005C69EA">
            <w:pPr>
              <w:pStyle w:val="TableTextLeft"/>
              <w:rPr>
                <w:rFonts w:eastAsiaTheme="minorEastAsia"/>
              </w:rPr>
            </w:pPr>
            <w:r w:rsidRPr="00737872">
              <w:rPr>
                <w:rFonts w:eastAsiaTheme="minorEastAsia"/>
              </w:rPr>
              <w:t xml:space="preserve">Australasian Association of Convenience Stores </w:t>
            </w:r>
          </w:p>
        </w:tc>
      </w:tr>
      <w:tr w:rsidR="00A4193B" w:rsidRPr="0011789A" w14:paraId="2F47234C"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50E9AAB8" w14:textId="77777777" w:rsidR="00A4193B" w:rsidRPr="00737872" w:rsidRDefault="00A4193B" w:rsidP="005C69EA">
            <w:pPr>
              <w:pStyle w:val="TableTextLeft"/>
              <w:rPr>
                <w:rFonts w:eastAsiaTheme="minorEastAsia"/>
              </w:rPr>
            </w:pPr>
            <w:r w:rsidRPr="00737872">
              <w:rPr>
                <w:rFonts w:eastAsiaTheme="minorEastAsia"/>
              </w:rPr>
              <w:t>Australasian Convenience and Petroleum Marketers Association</w:t>
            </w:r>
          </w:p>
        </w:tc>
      </w:tr>
      <w:tr w:rsidR="00A4193B" w:rsidRPr="0011789A" w14:paraId="47F187E5"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5721D4E7" w14:textId="77777777" w:rsidR="00A4193B" w:rsidRPr="00737872" w:rsidRDefault="00A4193B" w:rsidP="005C69EA">
            <w:pPr>
              <w:pStyle w:val="TableTextLeft"/>
              <w:rPr>
                <w:rFonts w:eastAsiaTheme="minorEastAsia"/>
              </w:rPr>
            </w:pPr>
            <w:r w:rsidRPr="00737872">
              <w:rPr>
                <w:rFonts w:eastAsiaTheme="minorEastAsia"/>
              </w:rPr>
              <w:t>Australian Dental Industry Association</w:t>
            </w:r>
          </w:p>
        </w:tc>
      </w:tr>
      <w:tr w:rsidR="00A4193B" w:rsidRPr="0011789A" w14:paraId="0319F47C"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17F73E33" w14:textId="77777777" w:rsidR="00A4193B" w:rsidRPr="00737872" w:rsidRDefault="00A4193B" w:rsidP="005C69EA">
            <w:pPr>
              <w:pStyle w:val="TableTextLeft"/>
              <w:rPr>
                <w:rFonts w:eastAsiaTheme="minorEastAsia"/>
              </w:rPr>
            </w:pPr>
            <w:r w:rsidRPr="00737872">
              <w:rPr>
                <w:rFonts w:eastAsiaTheme="minorEastAsia"/>
              </w:rPr>
              <w:t>Australia Foodservice Advocacy Body</w:t>
            </w:r>
          </w:p>
        </w:tc>
      </w:tr>
      <w:tr w:rsidR="00A4193B" w:rsidRPr="0011789A" w14:paraId="404DAFDC"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15C4F73E" w14:textId="77777777" w:rsidR="00A4193B" w:rsidRPr="00737872" w:rsidRDefault="00A4193B" w:rsidP="005C69EA">
            <w:pPr>
              <w:pStyle w:val="TableTextLeft"/>
              <w:rPr>
                <w:rFonts w:eastAsiaTheme="minorEastAsia"/>
              </w:rPr>
            </w:pPr>
            <w:r w:rsidRPr="00737872">
              <w:rPr>
                <w:rFonts w:eastAsiaTheme="minorEastAsia"/>
              </w:rPr>
              <w:t>Australian Hairdressing Council</w:t>
            </w:r>
          </w:p>
        </w:tc>
      </w:tr>
      <w:tr w:rsidR="00A4193B" w:rsidRPr="0011789A" w14:paraId="3153CF83"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7F606D73" w14:textId="77777777" w:rsidR="00A4193B" w:rsidRPr="00737872" w:rsidRDefault="00A4193B" w:rsidP="005C69EA">
            <w:pPr>
              <w:pStyle w:val="TableTextLeft"/>
              <w:rPr>
                <w:rFonts w:eastAsiaTheme="minorEastAsia"/>
              </w:rPr>
            </w:pPr>
            <w:r w:rsidRPr="00737872">
              <w:rPr>
                <w:rFonts w:eastAsiaTheme="minorEastAsia"/>
              </w:rPr>
              <w:t>Australian Hotels Association</w:t>
            </w:r>
          </w:p>
        </w:tc>
      </w:tr>
      <w:tr w:rsidR="00A4193B" w:rsidRPr="0011789A" w14:paraId="511AA2AC"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774C9C71" w14:textId="77777777" w:rsidR="00A4193B" w:rsidRPr="00737872" w:rsidRDefault="00A4193B" w:rsidP="005C69EA">
            <w:pPr>
              <w:pStyle w:val="TableTextLeft"/>
              <w:rPr>
                <w:rFonts w:eastAsiaTheme="minorEastAsia"/>
              </w:rPr>
            </w:pPr>
            <w:r w:rsidRPr="00737872">
              <w:rPr>
                <w:rFonts w:eastAsiaTheme="minorEastAsia"/>
              </w:rPr>
              <w:t>Australian Industry Group</w:t>
            </w:r>
          </w:p>
        </w:tc>
      </w:tr>
      <w:tr w:rsidR="00A4193B" w:rsidRPr="0011789A" w14:paraId="681722D3"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05DF71A3" w14:textId="77777777" w:rsidR="00A4193B" w:rsidRPr="00737872" w:rsidRDefault="00A4193B" w:rsidP="005C69EA">
            <w:pPr>
              <w:pStyle w:val="TableTextLeft"/>
              <w:rPr>
                <w:rFonts w:eastAsiaTheme="minorEastAsia"/>
              </w:rPr>
            </w:pPr>
            <w:r w:rsidRPr="00737872">
              <w:rPr>
                <w:rFonts w:eastAsiaTheme="minorEastAsia"/>
              </w:rPr>
              <w:t>Australian Retailers Association</w:t>
            </w:r>
          </w:p>
        </w:tc>
      </w:tr>
      <w:tr w:rsidR="00A4193B" w:rsidRPr="0011789A" w14:paraId="42F01FB3"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5A9FE3B9" w14:textId="77777777" w:rsidR="00A4193B" w:rsidRPr="00737872" w:rsidRDefault="00A4193B" w:rsidP="005C69EA">
            <w:pPr>
              <w:pStyle w:val="TableTextLeft"/>
              <w:rPr>
                <w:rFonts w:eastAsiaTheme="minorEastAsia"/>
              </w:rPr>
            </w:pPr>
            <w:r w:rsidRPr="00737872">
              <w:rPr>
                <w:rFonts w:eastAsiaTheme="minorEastAsia"/>
              </w:rPr>
              <w:t>Chartered Accountants ANZ</w:t>
            </w:r>
          </w:p>
        </w:tc>
      </w:tr>
      <w:tr w:rsidR="00A4193B" w:rsidRPr="0011789A" w14:paraId="5428D6B2"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10FCFAA9" w14:textId="77777777" w:rsidR="00A4193B" w:rsidRPr="00737872" w:rsidRDefault="00A4193B" w:rsidP="005C69EA">
            <w:pPr>
              <w:pStyle w:val="TableTextLeft"/>
              <w:rPr>
                <w:rFonts w:eastAsiaTheme="minorEastAsia"/>
              </w:rPr>
            </w:pPr>
            <w:r w:rsidRPr="00737872">
              <w:rPr>
                <w:rFonts w:eastAsiaTheme="minorEastAsia"/>
              </w:rPr>
              <w:t>Commercial &amp; Asset Finance Brokers Association</w:t>
            </w:r>
          </w:p>
        </w:tc>
      </w:tr>
      <w:tr w:rsidR="00A4193B" w:rsidRPr="0011789A" w14:paraId="3D6A7823"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3DC1586F" w14:textId="77777777" w:rsidR="00A4193B" w:rsidRPr="00737872" w:rsidRDefault="00A4193B" w:rsidP="005C69EA">
            <w:pPr>
              <w:pStyle w:val="TableTextLeft"/>
              <w:rPr>
                <w:rFonts w:eastAsiaTheme="minorEastAsia"/>
              </w:rPr>
            </w:pPr>
            <w:r w:rsidRPr="00737872">
              <w:rPr>
                <w:rFonts w:eastAsiaTheme="minorEastAsia"/>
              </w:rPr>
              <w:t>Council of Small Business Organisations Australia</w:t>
            </w:r>
          </w:p>
        </w:tc>
      </w:tr>
      <w:tr w:rsidR="00A4193B" w:rsidRPr="0011789A" w14:paraId="7816B00D"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388F9A13" w14:textId="77777777" w:rsidR="00A4193B" w:rsidRPr="00737872" w:rsidRDefault="00A4193B" w:rsidP="005C69EA">
            <w:pPr>
              <w:pStyle w:val="TableTextLeft"/>
              <w:rPr>
                <w:rFonts w:eastAsiaTheme="minorEastAsia"/>
              </w:rPr>
            </w:pPr>
            <w:r w:rsidRPr="00737872">
              <w:rPr>
                <w:rFonts w:eastAsiaTheme="minorEastAsia"/>
              </w:rPr>
              <w:t>CPA Australia</w:t>
            </w:r>
          </w:p>
        </w:tc>
      </w:tr>
      <w:tr w:rsidR="00A4193B" w:rsidRPr="0011789A" w14:paraId="0286A19F"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196CEB2B" w14:textId="77777777" w:rsidR="00A4193B" w:rsidRPr="00737872" w:rsidRDefault="00A4193B" w:rsidP="005C69EA">
            <w:pPr>
              <w:pStyle w:val="TableTextLeft"/>
              <w:rPr>
                <w:rFonts w:eastAsiaTheme="minorEastAsia"/>
              </w:rPr>
            </w:pPr>
            <w:r w:rsidRPr="00737872">
              <w:rPr>
                <w:rFonts w:eastAsiaTheme="minorEastAsia"/>
              </w:rPr>
              <w:t>Energy Consumers Australia</w:t>
            </w:r>
          </w:p>
        </w:tc>
      </w:tr>
      <w:tr w:rsidR="00A4193B" w:rsidRPr="0011789A" w14:paraId="64FEB26D"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01F311CE" w14:textId="77777777" w:rsidR="00A4193B" w:rsidRPr="00737872" w:rsidRDefault="00A4193B" w:rsidP="005C69EA">
            <w:pPr>
              <w:pStyle w:val="TableTextLeft"/>
              <w:rPr>
                <w:rFonts w:eastAsiaTheme="minorEastAsia"/>
              </w:rPr>
            </w:pPr>
            <w:r w:rsidRPr="00737872">
              <w:rPr>
                <w:rFonts w:eastAsiaTheme="minorEastAsia"/>
              </w:rPr>
              <w:t xml:space="preserve">Family Business Association </w:t>
            </w:r>
          </w:p>
        </w:tc>
      </w:tr>
      <w:tr w:rsidR="00A4193B" w:rsidRPr="0011789A" w14:paraId="6DE9F7C8"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1A0FDEFB" w14:textId="77777777" w:rsidR="00A4193B" w:rsidRPr="00737872" w:rsidRDefault="00A4193B" w:rsidP="005C69EA">
            <w:pPr>
              <w:pStyle w:val="TableTextLeft"/>
              <w:rPr>
                <w:rFonts w:eastAsiaTheme="minorEastAsia"/>
              </w:rPr>
            </w:pPr>
            <w:r w:rsidRPr="00737872">
              <w:rPr>
                <w:rFonts w:eastAsiaTheme="minorEastAsia"/>
              </w:rPr>
              <w:t>Finance Brokers Association of Australia</w:t>
            </w:r>
            <w:r w:rsidRPr="00737872">
              <w:rPr>
                <w:rFonts w:eastAsiaTheme="minorEastAsia"/>
              </w:rPr>
              <w:br/>
              <w:t>Franchise Council of Australia</w:t>
            </w:r>
          </w:p>
        </w:tc>
      </w:tr>
      <w:tr w:rsidR="00A4193B" w:rsidRPr="0011789A" w14:paraId="28D93100"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43D3A120" w14:textId="77777777" w:rsidR="00A4193B" w:rsidRPr="00737872" w:rsidRDefault="00A4193B" w:rsidP="005C69EA">
            <w:pPr>
              <w:pStyle w:val="TableTextLeft"/>
              <w:rPr>
                <w:rFonts w:eastAsiaTheme="minorEastAsia"/>
              </w:rPr>
            </w:pPr>
            <w:r w:rsidRPr="00737872">
              <w:rPr>
                <w:rFonts w:eastAsiaTheme="minorEastAsia"/>
              </w:rPr>
              <w:t>Housing Industry Association</w:t>
            </w:r>
          </w:p>
        </w:tc>
      </w:tr>
      <w:tr w:rsidR="00A4193B" w:rsidRPr="0011789A" w14:paraId="51E7B618"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2F39A7D0" w14:textId="77777777" w:rsidR="00A4193B" w:rsidRPr="00737872" w:rsidRDefault="00A4193B" w:rsidP="005C69EA">
            <w:pPr>
              <w:pStyle w:val="TableTextLeft"/>
              <w:rPr>
                <w:rFonts w:eastAsiaTheme="minorEastAsia"/>
              </w:rPr>
            </w:pPr>
            <w:r w:rsidRPr="00737872">
              <w:rPr>
                <w:rFonts w:eastAsiaTheme="minorEastAsia"/>
              </w:rPr>
              <w:t>Institute of Certified Bookkeepers</w:t>
            </w:r>
          </w:p>
        </w:tc>
      </w:tr>
      <w:tr w:rsidR="00A4193B" w:rsidRPr="0011789A" w14:paraId="0EBA8870"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4141A743" w14:textId="77777777" w:rsidR="00A4193B" w:rsidRPr="00737872" w:rsidRDefault="00A4193B" w:rsidP="005C69EA">
            <w:pPr>
              <w:pStyle w:val="TableTextLeft"/>
              <w:rPr>
                <w:rFonts w:eastAsiaTheme="minorEastAsia"/>
              </w:rPr>
            </w:pPr>
            <w:r w:rsidRPr="00737872">
              <w:rPr>
                <w:rFonts w:eastAsiaTheme="minorEastAsia"/>
              </w:rPr>
              <w:t>Institute of Public Accountants</w:t>
            </w:r>
          </w:p>
        </w:tc>
      </w:tr>
      <w:tr w:rsidR="00A4193B" w:rsidRPr="0011789A" w14:paraId="1694B3D6"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2510F506" w14:textId="77777777" w:rsidR="00A4193B" w:rsidRPr="00737872" w:rsidRDefault="00A4193B" w:rsidP="005C69EA">
            <w:pPr>
              <w:pStyle w:val="TableTextLeft"/>
              <w:rPr>
                <w:rFonts w:eastAsiaTheme="minorEastAsia"/>
              </w:rPr>
            </w:pPr>
            <w:r w:rsidRPr="00737872">
              <w:rPr>
                <w:rFonts w:eastAsiaTheme="minorEastAsia"/>
              </w:rPr>
              <w:t>Lift Brands</w:t>
            </w:r>
          </w:p>
        </w:tc>
      </w:tr>
      <w:tr w:rsidR="00A4193B" w:rsidRPr="0011789A" w14:paraId="2E72FE0B"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61C3C53F" w14:textId="4D74CBCF" w:rsidR="00A4193B" w:rsidRPr="00737872" w:rsidRDefault="00A4193B" w:rsidP="005C69EA">
            <w:pPr>
              <w:pStyle w:val="TableTextLeft"/>
              <w:rPr>
                <w:rFonts w:eastAsiaTheme="minorEastAsia"/>
              </w:rPr>
            </w:pPr>
            <w:r w:rsidRPr="00737872">
              <w:rPr>
                <w:rFonts w:eastAsiaTheme="minorEastAsia"/>
              </w:rPr>
              <w:t xml:space="preserve">Mortgage </w:t>
            </w:r>
            <w:r w:rsidR="00426DB0">
              <w:rPr>
                <w:rFonts w:eastAsiaTheme="minorEastAsia"/>
              </w:rPr>
              <w:t>and</w:t>
            </w:r>
            <w:r w:rsidRPr="00737872">
              <w:rPr>
                <w:rFonts w:eastAsiaTheme="minorEastAsia"/>
              </w:rPr>
              <w:t xml:space="preserve"> Finance Association of Australia</w:t>
            </w:r>
          </w:p>
        </w:tc>
      </w:tr>
      <w:tr w:rsidR="00A4193B" w:rsidRPr="0011789A" w14:paraId="75FAD5D5"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0C88C504" w14:textId="77777777" w:rsidR="00A4193B" w:rsidRPr="00737872" w:rsidRDefault="00A4193B" w:rsidP="005C69EA">
            <w:pPr>
              <w:pStyle w:val="TableTextLeft"/>
              <w:rPr>
                <w:rFonts w:eastAsiaTheme="minorEastAsia"/>
              </w:rPr>
            </w:pPr>
            <w:r w:rsidRPr="00737872">
              <w:rPr>
                <w:rFonts w:eastAsiaTheme="minorEastAsia"/>
              </w:rPr>
              <w:t>Small Business Association of Australia</w:t>
            </w:r>
          </w:p>
        </w:tc>
      </w:tr>
      <w:tr w:rsidR="00A4193B" w:rsidRPr="0011789A" w14:paraId="6282D6B3"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32EA531A" w14:textId="77777777" w:rsidR="00A4193B" w:rsidRPr="00737872" w:rsidRDefault="00A4193B" w:rsidP="005C69EA">
            <w:pPr>
              <w:pStyle w:val="TableTextLeft"/>
              <w:rPr>
                <w:rFonts w:eastAsiaTheme="minorEastAsia"/>
              </w:rPr>
            </w:pPr>
            <w:r w:rsidRPr="00737872">
              <w:rPr>
                <w:rFonts w:eastAsiaTheme="minorEastAsia"/>
              </w:rPr>
              <w:t>National Electrical and Communications Associations</w:t>
            </w:r>
          </w:p>
        </w:tc>
      </w:tr>
      <w:tr w:rsidR="00A4193B" w:rsidRPr="0011789A" w14:paraId="76E037EE"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50736B17" w14:textId="77777777" w:rsidR="00A4193B" w:rsidRPr="00737872" w:rsidRDefault="00A4193B" w:rsidP="005C69EA">
            <w:pPr>
              <w:pStyle w:val="TableTextLeft"/>
              <w:rPr>
                <w:rFonts w:eastAsiaTheme="minorEastAsia"/>
              </w:rPr>
            </w:pPr>
            <w:r w:rsidRPr="00737872">
              <w:rPr>
                <w:rFonts w:eastAsiaTheme="minorEastAsia"/>
              </w:rPr>
              <w:t>National Road and Transport Association (</w:t>
            </w:r>
            <w:proofErr w:type="spellStart"/>
            <w:r w:rsidRPr="00737872">
              <w:rPr>
                <w:rFonts w:eastAsiaTheme="minorEastAsia"/>
              </w:rPr>
              <w:t>NatRoad</w:t>
            </w:r>
            <w:proofErr w:type="spellEnd"/>
            <w:r w:rsidRPr="00737872">
              <w:rPr>
                <w:rFonts w:eastAsiaTheme="minorEastAsia"/>
              </w:rPr>
              <w:t>)</w:t>
            </w:r>
          </w:p>
        </w:tc>
      </w:tr>
      <w:tr w:rsidR="00A4193B" w:rsidRPr="0011789A" w14:paraId="1ACAB28C"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12CE98DB" w14:textId="77777777" w:rsidR="00A4193B" w:rsidRPr="00737872" w:rsidRDefault="00A4193B" w:rsidP="005C69EA">
            <w:pPr>
              <w:pStyle w:val="TableTextLeft"/>
              <w:rPr>
                <w:rFonts w:eastAsiaTheme="minorEastAsia"/>
              </w:rPr>
            </w:pPr>
            <w:r w:rsidRPr="00737872">
              <w:rPr>
                <w:rFonts w:eastAsiaTheme="minorEastAsia"/>
              </w:rPr>
              <w:t>Real Estate Institute of Australia</w:t>
            </w:r>
          </w:p>
        </w:tc>
      </w:tr>
      <w:tr w:rsidR="00A4193B" w:rsidRPr="0011789A" w14:paraId="74C7B53F"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6D30660B" w14:textId="77777777" w:rsidR="00A4193B" w:rsidRPr="00737872" w:rsidRDefault="00A4193B" w:rsidP="005C69EA">
            <w:pPr>
              <w:pStyle w:val="TableTextLeft"/>
              <w:rPr>
                <w:rFonts w:eastAsiaTheme="minorEastAsia"/>
              </w:rPr>
            </w:pPr>
            <w:r w:rsidRPr="00737872">
              <w:rPr>
                <w:rFonts w:eastAsiaTheme="minorEastAsia"/>
              </w:rPr>
              <w:t>Restaurant &amp; Catering Australia</w:t>
            </w:r>
          </w:p>
        </w:tc>
      </w:tr>
      <w:tr w:rsidR="00A4193B" w:rsidRPr="0011789A" w14:paraId="6F945A54"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2C811877" w14:textId="77777777" w:rsidR="00A4193B" w:rsidRPr="00737872" w:rsidRDefault="00A4193B" w:rsidP="005C69EA">
            <w:pPr>
              <w:pStyle w:val="TableTextLeft"/>
              <w:rPr>
                <w:rFonts w:eastAsiaTheme="minorEastAsia"/>
              </w:rPr>
            </w:pPr>
            <w:r w:rsidRPr="00737872">
              <w:rPr>
                <w:rFonts w:eastAsiaTheme="minorEastAsia"/>
              </w:rPr>
              <w:t>Retail Drinks Australia</w:t>
            </w:r>
          </w:p>
        </w:tc>
      </w:tr>
      <w:tr w:rsidR="00A4193B" w:rsidRPr="0011789A" w14:paraId="071D7299"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295A4533" w14:textId="77777777" w:rsidR="00A4193B" w:rsidRPr="00737872" w:rsidRDefault="00A4193B" w:rsidP="005C69EA">
            <w:pPr>
              <w:pStyle w:val="TableTextLeft"/>
              <w:rPr>
                <w:rFonts w:eastAsiaTheme="minorEastAsia"/>
              </w:rPr>
            </w:pPr>
            <w:r w:rsidRPr="00737872">
              <w:rPr>
                <w:rFonts w:eastAsiaTheme="minorEastAsia"/>
              </w:rPr>
              <w:t>Small Business Institute</w:t>
            </w:r>
          </w:p>
        </w:tc>
      </w:tr>
      <w:tr w:rsidR="00A4193B" w:rsidRPr="0011789A" w14:paraId="2265ADAA"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0FC20C7C" w14:textId="77777777" w:rsidR="00A4193B" w:rsidRPr="00737872" w:rsidRDefault="00A4193B" w:rsidP="005C69EA">
            <w:pPr>
              <w:pStyle w:val="TableTextLeft"/>
              <w:rPr>
                <w:rFonts w:eastAsiaTheme="minorEastAsia"/>
              </w:rPr>
            </w:pPr>
            <w:r w:rsidRPr="00737872">
              <w:rPr>
                <w:rFonts w:eastAsiaTheme="minorEastAsia"/>
              </w:rPr>
              <w:t>Small Enterprise Association Australia &amp; New Zealand Ltd</w:t>
            </w:r>
          </w:p>
        </w:tc>
      </w:tr>
      <w:tr w:rsidR="00A4193B" w:rsidRPr="0011789A" w14:paraId="4DA21EBF"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31C42A93" w14:textId="77777777" w:rsidR="00A4193B" w:rsidRPr="00737872" w:rsidRDefault="00A4193B" w:rsidP="005C69EA">
            <w:pPr>
              <w:pStyle w:val="TableTextLeft"/>
              <w:rPr>
                <w:rFonts w:eastAsiaTheme="minorEastAsia"/>
              </w:rPr>
            </w:pPr>
            <w:r w:rsidRPr="00737872">
              <w:rPr>
                <w:rFonts w:eastAsiaTheme="minorEastAsia"/>
              </w:rPr>
              <w:t>Airconditioning and Mechanical Contractors Association</w:t>
            </w:r>
          </w:p>
        </w:tc>
      </w:tr>
      <w:tr w:rsidR="00A4193B" w:rsidRPr="0011789A" w14:paraId="26E82D1E"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5F825AF4" w14:textId="77777777" w:rsidR="00A4193B" w:rsidRPr="00737872" w:rsidRDefault="00A4193B" w:rsidP="005C69EA">
            <w:pPr>
              <w:pStyle w:val="TableTextLeft"/>
              <w:rPr>
                <w:rFonts w:eastAsiaTheme="minorEastAsia"/>
              </w:rPr>
            </w:pPr>
            <w:r w:rsidRPr="00737872">
              <w:rPr>
                <w:rFonts w:eastAsiaTheme="minorEastAsia"/>
              </w:rPr>
              <w:t>Australian Chamber of Commerce and Industry</w:t>
            </w:r>
          </w:p>
        </w:tc>
      </w:tr>
      <w:tr w:rsidR="00A4193B" w:rsidRPr="0011789A" w14:paraId="06EE8C2E"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34178FA5" w14:textId="77777777" w:rsidR="00A4193B" w:rsidRPr="00737872" w:rsidRDefault="00A4193B" w:rsidP="005C69EA">
            <w:pPr>
              <w:pStyle w:val="TableTextLeft"/>
              <w:rPr>
                <w:rFonts w:eastAsiaTheme="minorEastAsia"/>
              </w:rPr>
            </w:pPr>
            <w:r w:rsidRPr="00737872">
              <w:rPr>
                <w:rFonts w:eastAsiaTheme="minorEastAsia"/>
              </w:rPr>
              <w:t>Australia Chamber of Fruit &amp; Veggie Industries</w:t>
            </w:r>
          </w:p>
        </w:tc>
      </w:tr>
      <w:tr w:rsidR="00A4193B" w:rsidRPr="0011789A" w14:paraId="5BA3D008"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08846F05" w14:textId="77777777" w:rsidR="00A4193B" w:rsidRPr="00737872" w:rsidRDefault="00A4193B" w:rsidP="005C69EA">
            <w:pPr>
              <w:pStyle w:val="TableTextLeft"/>
              <w:rPr>
                <w:rFonts w:eastAsiaTheme="minorEastAsia"/>
              </w:rPr>
            </w:pPr>
            <w:r w:rsidRPr="00737872">
              <w:rPr>
                <w:rFonts w:eastAsiaTheme="minorEastAsia"/>
              </w:rPr>
              <w:t>Australian Computer Society</w:t>
            </w:r>
          </w:p>
        </w:tc>
      </w:tr>
      <w:tr w:rsidR="00A4193B" w:rsidRPr="0011789A" w14:paraId="1B87628D"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3670AC1B" w14:textId="77777777" w:rsidR="00A4193B" w:rsidRPr="00737872" w:rsidRDefault="00A4193B" w:rsidP="005C69EA">
            <w:pPr>
              <w:pStyle w:val="TableTextLeft"/>
              <w:rPr>
                <w:rFonts w:eastAsiaTheme="minorEastAsia"/>
              </w:rPr>
            </w:pPr>
            <w:r w:rsidRPr="00737872">
              <w:rPr>
                <w:rFonts w:eastAsiaTheme="minorEastAsia"/>
              </w:rPr>
              <w:t>Australian Institute of Business Brokers</w:t>
            </w:r>
          </w:p>
        </w:tc>
      </w:tr>
    </w:tbl>
    <w:p w14:paraId="28D7BF6F" w14:textId="77777777" w:rsidR="00A4193B" w:rsidRPr="004A573A" w:rsidRDefault="00A4193B" w:rsidP="00145FC9">
      <w:pPr>
        <w:pStyle w:val="SingleParagraph"/>
      </w:pPr>
    </w:p>
    <w:tbl>
      <w:tblPr>
        <w:tblStyle w:val="TableGrid"/>
        <w:tblW w:w="0" w:type="auto"/>
        <w:tblLook w:val="04A0" w:firstRow="1" w:lastRow="0" w:firstColumn="1" w:lastColumn="0" w:noHBand="0" w:noVBand="1"/>
      </w:tblPr>
      <w:tblGrid>
        <w:gridCol w:w="9070"/>
      </w:tblGrid>
      <w:tr w:rsidR="00335C74" w:rsidRPr="0011789A" w14:paraId="1EB5DD6A" w14:textId="77777777" w:rsidTr="00335C74">
        <w:trPr>
          <w:cnfStyle w:val="100000000000" w:firstRow="1" w:lastRow="0" w:firstColumn="0" w:lastColumn="0" w:oddVBand="0" w:evenVBand="0" w:oddHBand="0" w:evenHBand="0" w:firstRowFirstColumn="0" w:firstRowLastColumn="0" w:lastRowFirstColumn="0" w:lastRowLastColumn="0"/>
        </w:trPr>
        <w:tc>
          <w:tcPr>
            <w:tcW w:w="9070" w:type="dxa"/>
          </w:tcPr>
          <w:p w14:paraId="1BBC37D0" w14:textId="77777777" w:rsidR="00335C74" w:rsidRPr="0011789A" w:rsidRDefault="00335C74" w:rsidP="00B97A3C">
            <w:pPr>
              <w:pStyle w:val="TableColumnHeadingLeft"/>
            </w:pPr>
            <w:r>
              <w:rPr>
                <w:rFonts w:eastAsia="Calibri"/>
              </w:rPr>
              <w:lastRenderedPageBreak/>
              <w:t>Attendees</w:t>
            </w:r>
          </w:p>
        </w:tc>
      </w:tr>
      <w:tr w:rsidR="00B97A3C" w:rsidRPr="00737872" w14:paraId="79B51560"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5D8CB2D2" w14:textId="5B038C58" w:rsidR="00B97A3C" w:rsidRPr="00737872" w:rsidRDefault="00B97A3C" w:rsidP="00C35D81">
            <w:pPr>
              <w:pStyle w:val="TableTextLeft"/>
              <w:rPr>
                <w:rFonts w:eastAsiaTheme="minorEastAsia"/>
              </w:rPr>
            </w:pPr>
            <w:r w:rsidRPr="00737872">
              <w:rPr>
                <w:rFonts w:eastAsiaTheme="minorEastAsia"/>
              </w:rPr>
              <w:t>Australian Trucking Association</w:t>
            </w:r>
          </w:p>
        </w:tc>
      </w:tr>
      <w:tr w:rsidR="00C35D81" w:rsidRPr="00737872" w14:paraId="766CBDCD"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41FBDD7C" w14:textId="059D2C13" w:rsidR="00C35D81" w:rsidRPr="00737872" w:rsidRDefault="00C35D81" w:rsidP="00C35D81">
            <w:pPr>
              <w:pStyle w:val="TableTextLeft"/>
              <w:rPr>
                <w:rFonts w:eastAsiaTheme="minorEastAsia"/>
              </w:rPr>
            </w:pPr>
            <w:r w:rsidRPr="00737872">
              <w:rPr>
                <w:rFonts w:eastAsiaTheme="minorEastAsia"/>
              </w:rPr>
              <w:t>Independent Contractors Australia</w:t>
            </w:r>
          </w:p>
        </w:tc>
      </w:tr>
      <w:tr w:rsidR="00C35D81" w:rsidRPr="00737872" w14:paraId="685BB29A"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767101B7" w14:textId="79B08FB8" w:rsidR="00C35D81" w:rsidRPr="00737872" w:rsidRDefault="00C35D81" w:rsidP="00C35D81">
            <w:pPr>
              <w:pStyle w:val="TableTextLeft"/>
              <w:rPr>
                <w:rFonts w:eastAsiaTheme="minorEastAsia"/>
              </w:rPr>
            </w:pPr>
            <w:r w:rsidRPr="00737872">
              <w:rPr>
                <w:rFonts w:eastAsiaTheme="minorEastAsia"/>
              </w:rPr>
              <w:t>Independent Food Distributors of Australia</w:t>
            </w:r>
          </w:p>
        </w:tc>
      </w:tr>
      <w:tr w:rsidR="00C35D81" w:rsidRPr="00737872" w14:paraId="3E0B328B"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44BA66EC" w14:textId="0586763D" w:rsidR="00C35D81" w:rsidRPr="00737872" w:rsidRDefault="00C35D81" w:rsidP="00C35D81">
            <w:pPr>
              <w:pStyle w:val="TableTextLeft"/>
              <w:rPr>
                <w:rFonts w:eastAsiaTheme="minorEastAsia"/>
              </w:rPr>
            </w:pPr>
            <w:r w:rsidRPr="00737872">
              <w:rPr>
                <w:rFonts w:eastAsiaTheme="minorEastAsia"/>
              </w:rPr>
              <w:t>Law Council of Australia</w:t>
            </w:r>
          </w:p>
        </w:tc>
      </w:tr>
      <w:tr w:rsidR="00C35D81" w:rsidRPr="00737872" w14:paraId="3CDBA410"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4E9ECAEC" w14:textId="1272C752" w:rsidR="00C35D81" w:rsidRPr="00737872" w:rsidRDefault="00C35D81" w:rsidP="00C35D81">
            <w:pPr>
              <w:pStyle w:val="TableTextLeft"/>
              <w:rPr>
                <w:rFonts w:eastAsiaTheme="minorEastAsia"/>
              </w:rPr>
            </w:pPr>
            <w:r w:rsidRPr="00737872">
              <w:rPr>
                <w:rFonts w:eastAsiaTheme="minorEastAsia"/>
              </w:rPr>
              <w:t>Master Builders Australia</w:t>
            </w:r>
          </w:p>
        </w:tc>
      </w:tr>
      <w:tr w:rsidR="00C35D81" w:rsidRPr="00737872" w14:paraId="00D090FD"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5131DBF8" w14:textId="5855615D" w:rsidR="00C35D81" w:rsidRPr="00737872" w:rsidRDefault="00C35D81" w:rsidP="00C35D81">
            <w:pPr>
              <w:pStyle w:val="TableTextLeft"/>
              <w:rPr>
                <w:rFonts w:eastAsiaTheme="minorEastAsia"/>
              </w:rPr>
            </w:pPr>
            <w:r w:rsidRPr="00737872">
              <w:rPr>
                <w:rFonts w:eastAsiaTheme="minorEastAsia"/>
              </w:rPr>
              <w:t>Master Grocers Australia</w:t>
            </w:r>
          </w:p>
        </w:tc>
      </w:tr>
      <w:tr w:rsidR="00C35D81" w:rsidRPr="00737872" w14:paraId="0E3C9C60"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5C56EFDB" w14:textId="5E851F0D" w:rsidR="00C35D81" w:rsidRPr="00737872" w:rsidRDefault="00C35D81" w:rsidP="00C35D81">
            <w:pPr>
              <w:pStyle w:val="TableTextLeft"/>
              <w:rPr>
                <w:rFonts w:eastAsiaTheme="minorEastAsia"/>
              </w:rPr>
            </w:pPr>
            <w:r w:rsidRPr="00737872">
              <w:rPr>
                <w:rFonts w:eastAsiaTheme="minorEastAsia"/>
              </w:rPr>
              <w:t xml:space="preserve">Independent Retailers </w:t>
            </w:r>
          </w:p>
        </w:tc>
      </w:tr>
      <w:tr w:rsidR="00C35D81" w:rsidRPr="00737872" w14:paraId="487C5970"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4647B876" w14:textId="34050FA3" w:rsidR="00C35D81" w:rsidRPr="00737872" w:rsidRDefault="00C35D81" w:rsidP="00C35D81">
            <w:pPr>
              <w:pStyle w:val="TableTextLeft"/>
              <w:rPr>
                <w:rFonts w:eastAsiaTheme="minorEastAsia"/>
              </w:rPr>
            </w:pPr>
            <w:r w:rsidRPr="00737872">
              <w:rPr>
                <w:rFonts w:eastAsiaTheme="minorEastAsia"/>
              </w:rPr>
              <w:t xml:space="preserve">Master Plumbers &amp; Mechanical Contractors Association </w:t>
            </w:r>
          </w:p>
        </w:tc>
      </w:tr>
      <w:tr w:rsidR="00C35D81" w:rsidRPr="00737872" w14:paraId="2CB92EB7"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7BB01240" w14:textId="1F93B765" w:rsidR="00C35D81" w:rsidRPr="00737872" w:rsidRDefault="00C35D81" w:rsidP="00C35D81">
            <w:pPr>
              <w:pStyle w:val="TableTextLeft"/>
              <w:rPr>
                <w:rFonts w:eastAsiaTheme="minorEastAsia"/>
              </w:rPr>
            </w:pPr>
            <w:r w:rsidRPr="00737872">
              <w:rPr>
                <w:rFonts w:eastAsiaTheme="minorEastAsia"/>
              </w:rPr>
              <w:t>National Farmers Federation</w:t>
            </w:r>
          </w:p>
        </w:tc>
      </w:tr>
      <w:tr w:rsidR="00C35D81" w:rsidRPr="00737872" w14:paraId="4E2B7677"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71AE7E2D" w14:textId="00EF6C25" w:rsidR="00C35D81" w:rsidRPr="00737872" w:rsidRDefault="00C35D81" w:rsidP="00C35D81">
            <w:pPr>
              <w:pStyle w:val="TableTextLeft"/>
              <w:rPr>
                <w:rFonts w:eastAsiaTheme="minorEastAsia"/>
              </w:rPr>
            </w:pPr>
            <w:r w:rsidRPr="00737872">
              <w:rPr>
                <w:rFonts w:eastAsiaTheme="minorEastAsia"/>
              </w:rPr>
              <w:t>National Retailers Association</w:t>
            </w:r>
          </w:p>
        </w:tc>
      </w:tr>
      <w:tr w:rsidR="00C35D81" w:rsidRPr="00737872" w14:paraId="3D1F2603"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5B96A404" w14:textId="7C1481BB" w:rsidR="00C35D81" w:rsidRPr="00737872" w:rsidRDefault="00C35D81" w:rsidP="00C35D81">
            <w:pPr>
              <w:pStyle w:val="TableTextLeft"/>
              <w:rPr>
                <w:rFonts w:eastAsiaTheme="minorEastAsia"/>
              </w:rPr>
            </w:pPr>
            <w:r w:rsidRPr="00737872">
              <w:rPr>
                <w:rFonts w:eastAsiaTheme="minorEastAsia"/>
              </w:rPr>
              <w:t>Small Business Association of Australia</w:t>
            </w:r>
          </w:p>
        </w:tc>
      </w:tr>
      <w:tr w:rsidR="00C35D81" w:rsidRPr="00737872" w14:paraId="1E785AF9"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37143D17" w14:textId="39C1EF47" w:rsidR="00C35D81" w:rsidRPr="00737872" w:rsidRDefault="00C35D81" w:rsidP="00C35D81">
            <w:pPr>
              <w:pStyle w:val="TableTextLeft"/>
              <w:rPr>
                <w:rFonts w:eastAsiaTheme="minorEastAsia"/>
              </w:rPr>
            </w:pPr>
            <w:r w:rsidRPr="00737872">
              <w:rPr>
                <w:rFonts w:eastAsiaTheme="minorEastAsia"/>
              </w:rPr>
              <w:t xml:space="preserve">Supply Nation </w:t>
            </w:r>
          </w:p>
        </w:tc>
      </w:tr>
      <w:tr w:rsidR="00C35D81" w:rsidRPr="00737872" w14:paraId="3B43DAB7" w14:textId="77777777" w:rsidTr="00335C74">
        <w:trPr>
          <w:cnfStyle w:val="000000100000" w:firstRow="0" w:lastRow="0" w:firstColumn="0" w:lastColumn="0" w:oddVBand="0" w:evenVBand="0" w:oddHBand="1" w:evenHBand="0" w:firstRowFirstColumn="0" w:firstRowLastColumn="0" w:lastRowFirstColumn="0" w:lastRowLastColumn="0"/>
        </w:trPr>
        <w:tc>
          <w:tcPr>
            <w:tcW w:w="9070" w:type="dxa"/>
          </w:tcPr>
          <w:p w14:paraId="69569FF8" w14:textId="60053E0C" w:rsidR="00C35D81" w:rsidRPr="00737872" w:rsidRDefault="00C35D81" w:rsidP="00C35D81">
            <w:pPr>
              <w:pStyle w:val="TableTextLeft"/>
              <w:rPr>
                <w:rFonts w:eastAsiaTheme="minorEastAsia"/>
              </w:rPr>
            </w:pPr>
            <w:r w:rsidRPr="00737872">
              <w:rPr>
                <w:rFonts w:eastAsiaTheme="minorEastAsia"/>
              </w:rPr>
              <w:t>Australian Owned Contractors</w:t>
            </w:r>
          </w:p>
        </w:tc>
      </w:tr>
      <w:tr w:rsidR="00C35D81" w:rsidRPr="00737872" w14:paraId="1019A392" w14:textId="77777777" w:rsidTr="00335C74">
        <w:trPr>
          <w:cnfStyle w:val="000000010000" w:firstRow="0" w:lastRow="0" w:firstColumn="0" w:lastColumn="0" w:oddVBand="0" w:evenVBand="0" w:oddHBand="0" w:evenHBand="1" w:firstRowFirstColumn="0" w:firstRowLastColumn="0" w:lastRowFirstColumn="0" w:lastRowLastColumn="0"/>
        </w:trPr>
        <w:tc>
          <w:tcPr>
            <w:tcW w:w="9070" w:type="dxa"/>
          </w:tcPr>
          <w:p w14:paraId="5AF1FA3C" w14:textId="442A4899" w:rsidR="00C35D81" w:rsidRPr="00737872" w:rsidRDefault="00C35D81" w:rsidP="00C35D81">
            <w:pPr>
              <w:pStyle w:val="TableTextLeft"/>
              <w:rPr>
                <w:rFonts w:eastAsiaTheme="minorEastAsia"/>
              </w:rPr>
            </w:pPr>
            <w:r w:rsidRPr="00737872">
              <w:rPr>
                <w:rFonts w:eastAsiaTheme="minorEastAsia"/>
              </w:rPr>
              <w:t>Pharmacy Guild</w:t>
            </w:r>
          </w:p>
        </w:tc>
      </w:tr>
    </w:tbl>
    <w:p w14:paraId="2DA0B8C6" w14:textId="77777777" w:rsidR="00145FC9" w:rsidRDefault="00145FC9">
      <w:pPr>
        <w:spacing w:before="0" w:after="160" w:line="259" w:lineRule="auto"/>
      </w:pPr>
      <w:r>
        <w:rPr>
          <w:iCs/>
        </w:rPr>
        <w:br w:type="page"/>
      </w:r>
    </w:p>
    <w:p w14:paraId="265C0590" w14:textId="63C937B2" w:rsidR="00A4193B" w:rsidRDefault="00A4193B" w:rsidP="00A4193B">
      <w:pPr>
        <w:pStyle w:val="Heading2"/>
      </w:pPr>
      <w:bookmarkStart w:id="117" w:name="_Toc199941023"/>
      <w:r>
        <w:lastRenderedPageBreak/>
        <w:t xml:space="preserve">Appendix F: </w:t>
      </w:r>
      <w:r w:rsidRPr="00AA0977">
        <w:t xml:space="preserve">Table – </w:t>
      </w:r>
      <w:r w:rsidR="003036B5">
        <w:t>Franchising</w:t>
      </w:r>
      <w:r w:rsidRPr="00AA0977">
        <w:t xml:space="preserve"> Review</w:t>
      </w:r>
      <w:bookmarkEnd w:id="117"/>
    </w:p>
    <w:p w14:paraId="334E1B90" w14:textId="77777777" w:rsidR="00A4193B" w:rsidRPr="00A144F8" w:rsidRDefault="00A4193B" w:rsidP="00F412AB">
      <w:pPr>
        <w:pStyle w:val="TableMainHeading"/>
      </w:pPr>
      <w:r w:rsidRPr="00A144F8">
        <w:t>Chapter 5 Franchising review recommendations relating to ASBFEO and Government Response and Implementation</w:t>
      </w:r>
    </w:p>
    <w:tbl>
      <w:tblPr>
        <w:tblStyle w:val="TableGrid"/>
        <w:tblW w:w="0" w:type="auto"/>
        <w:tblLook w:val="04A0" w:firstRow="1" w:lastRow="0" w:firstColumn="1" w:lastColumn="0" w:noHBand="0" w:noVBand="1"/>
      </w:tblPr>
      <w:tblGrid>
        <w:gridCol w:w="2236"/>
        <w:gridCol w:w="3288"/>
        <w:gridCol w:w="3118"/>
      </w:tblGrid>
      <w:tr w:rsidR="00A4193B" w:rsidRPr="00A144F8" w14:paraId="50F0EB8D" w14:textId="77777777" w:rsidTr="00757CD2">
        <w:trPr>
          <w:cnfStyle w:val="100000000000" w:firstRow="1" w:lastRow="0" w:firstColumn="0" w:lastColumn="0" w:oddVBand="0" w:evenVBand="0" w:oddHBand="0" w:evenHBand="0" w:firstRowFirstColumn="0" w:firstRowLastColumn="0" w:lastRowFirstColumn="0" w:lastRowLastColumn="0"/>
        </w:trPr>
        <w:tc>
          <w:tcPr>
            <w:tcW w:w="2236" w:type="dxa"/>
          </w:tcPr>
          <w:p w14:paraId="2756736F" w14:textId="645A3EE5" w:rsidR="00A4193B" w:rsidRPr="00A144F8" w:rsidRDefault="00A83FF4" w:rsidP="00757CD2">
            <w:pPr>
              <w:pStyle w:val="TableColumnHeadingLeft"/>
              <w:rPr>
                <w:rFonts w:eastAsia="Calibri Light"/>
              </w:rPr>
            </w:pPr>
            <w:r>
              <w:t>Franchising</w:t>
            </w:r>
            <w:r w:rsidR="00A4193B" w:rsidRPr="00A144F8">
              <w:t xml:space="preserve"> Review recommendation</w:t>
            </w:r>
          </w:p>
        </w:tc>
        <w:tc>
          <w:tcPr>
            <w:tcW w:w="3288" w:type="dxa"/>
          </w:tcPr>
          <w:p w14:paraId="3A971F0C" w14:textId="77777777" w:rsidR="00A4193B" w:rsidRPr="00A144F8" w:rsidRDefault="00A4193B" w:rsidP="00757CD2">
            <w:pPr>
              <w:pStyle w:val="TableColumnHeadingLeft"/>
              <w:rPr>
                <w:rFonts w:eastAsia="Calibri Light"/>
              </w:rPr>
            </w:pPr>
            <w:r w:rsidRPr="00A144F8">
              <w:rPr>
                <w:rFonts w:eastAsia="Calibri Light"/>
              </w:rPr>
              <w:t>Government Response</w:t>
            </w:r>
          </w:p>
        </w:tc>
        <w:tc>
          <w:tcPr>
            <w:tcW w:w="3118" w:type="dxa"/>
          </w:tcPr>
          <w:p w14:paraId="528EF244" w14:textId="77777777" w:rsidR="00A4193B" w:rsidRPr="00A144F8" w:rsidRDefault="00A4193B" w:rsidP="00757CD2">
            <w:pPr>
              <w:pStyle w:val="TableColumnHeadingLeft"/>
              <w:rPr>
                <w:rFonts w:eastAsia="Calibri Light"/>
              </w:rPr>
            </w:pPr>
            <w:r w:rsidRPr="00A144F8">
              <w:rPr>
                <w:rFonts w:eastAsia="Calibri Light"/>
              </w:rPr>
              <w:t>Implementation</w:t>
            </w:r>
          </w:p>
        </w:tc>
      </w:tr>
      <w:tr w:rsidR="00A4193B" w:rsidRPr="00A144F8" w14:paraId="60DC52C7" w14:textId="77777777" w:rsidTr="00757CD2">
        <w:trPr>
          <w:cnfStyle w:val="000000100000" w:firstRow="0" w:lastRow="0" w:firstColumn="0" w:lastColumn="0" w:oddVBand="0" w:evenVBand="0" w:oddHBand="1" w:evenHBand="0" w:firstRowFirstColumn="0" w:firstRowLastColumn="0" w:lastRowFirstColumn="0" w:lastRowLastColumn="0"/>
        </w:trPr>
        <w:tc>
          <w:tcPr>
            <w:tcW w:w="2236" w:type="dxa"/>
          </w:tcPr>
          <w:p w14:paraId="458959B0" w14:textId="77777777" w:rsidR="00A4193B" w:rsidRPr="00A144F8" w:rsidRDefault="00A4193B" w:rsidP="00F412AB">
            <w:pPr>
              <w:pStyle w:val="TableTextLeft"/>
              <w:rPr>
                <w:rFonts w:eastAsia="Calibri Light"/>
                <w:szCs w:val="18"/>
              </w:rPr>
            </w:pPr>
            <w:r w:rsidRPr="00D05414">
              <w:rPr>
                <w:rStyle w:val="Strong"/>
              </w:rPr>
              <w:t>Recommendation 1:</w:t>
            </w:r>
            <w:r w:rsidRPr="00A144F8">
              <w:rPr>
                <w:szCs w:val="18"/>
              </w:rPr>
              <w:t xml:space="preserve"> The Australian Government should ensure the provision of more comprehensive, robust statistics about the franchising sector.</w:t>
            </w:r>
          </w:p>
        </w:tc>
        <w:tc>
          <w:tcPr>
            <w:tcW w:w="3288" w:type="dxa"/>
          </w:tcPr>
          <w:p w14:paraId="41428A22" w14:textId="77777777" w:rsidR="00A4193B" w:rsidRPr="00992081" w:rsidRDefault="00A4193B" w:rsidP="00F412AB">
            <w:pPr>
              <w:pStyle w:val="TableTextLeft"/>
              <w:rPr>
                <w:rStyle w:val="Strong"/>
              </w:rPr>
            </w:pPr>
            <w:r w:rsidRPr="00992081">
              <w:rPr>
                <w:rStyle w:val="Strong"/>
              </w:rPr>
              <w:t>Agree</w:t>
            </w:r>
          </w:p>
          <w:p w14:paraId="30BA01FC" w14:textId="77777777" w:rsidR="00A4193B" w:rsidRPr="00A144F8" w:rsidRDefault="00A4193B" w:rsidP="00F412AB">
            <w:pPr>
              <w:pStyle w:val="TableTextLeft"/>
              <w:rPr>
                <w:szCs w:val="18"/>
              </w:rPr>
            </w:pPr>
            <w:r w:rsidRPr="00A144F8">
              <w:rPr>
                <w:szCs w:val="18"/>
              </w:rPr>
              <w:t xml:space="preserve">The Government notes the limitations of existing data collected by public and private bodies about the franchising sector. </w:t>
            </w:r>
          </w:p>
          <w:p w14:paraId="6AEAECE6" w14:textId="4D9DBA24" w:rsidR="00A4193B" w:rsidRPr="00A144F8" w:rsidRDefault="00A4193B" w:rsidP="00F412AB">
            <w:pPr>
              <w:pStyle w:val="TableTextLeft"/>
              <w:rPr>
                <w:szCs w:val="18"/>
              </w:rPr>
            </w:pPr>
            <w:r w:rsidRPr="00A144F8">
              <w:rPr>
                <w:szCs w:val="18"/>
              </w:rPr>
              <w:t>The Government agrees that improved data on the franchising sector will support policymakers and the franchising community to better understand the sector, including the true level of disputation within it and assess the sector</w:t>
            </w:r>
            <w:r w:rsidR="00916FA5">
              <w:rPr>
                <w:szCs w:val="18"/>
              </w:rPr>
              <w:t>’</w:t>
            </w:r>
            <w:r w:rsidRPr="00A144F8">
              <w:rPr>
                <w:szCs w:val="18"/>
              </w:rPr>
              <w:t xml:space="preserve">s health and the effectiveness of regulation. In the first instance, the Government will require the ASBFEO to lead on improving comparability and publication of existing data sets held by the ASBFEO, the ACCC, the state small business commissioners and the Treasury. </w:t>
            </w:r>
          </w:p>
          <w:p w14:paraId="518F10EA" w14:textId="77777777" w:rsidR="00A4193B" w:rsidRPr="00A144F8" w:rsidRDefault="00A4193B" w:rsidP="00F412AB">
            <w:pPr>
              <w:pStyle w:val="TableTextLeft"/>
              <w:rPr>
                <w:rFonts w:eastAsia="Calibri Light"/>
                <w:szCs w:val="18"/>
              </w:rPr>
            </w:pPr>
            <w:r w:rsidRPr="00A144F8">
              <w:rPr>
                <w:szCs w:val="18"/>
              </w:rPr>
              <w:t>Once a decision on licensing occurs, the Government will revisit enhancements to data collection.</w:t>
            </w:r>
          </w:p>
        </w:tc>
        <w:tc>
          <w:tcPr>
            <w:tcW w:w="3118" w:type="dxa"/>
          </w:tcPr>
          <w:p w14:paraId="3257D2C7" w14:textId="50DE37C5" w:rsidR="00A4193B" w:rsidRPr="00992081" w:rsidRDefault="00A4193B" w:rsidP="00F412AB">
            <w:pPr>
              <w:pStyle w:val="TableTextLeft"/>
              <w:rPr>
                <w:b/>
              </w:rPr>
            </w:pPr>
            <w:r w:rsidRPr="00992081">
              <w:rPr>
                <w:rStyle w:val="Strong"/>
              </w:rPr>
              <w:t>In progress</w:t>
            </w:r>
          </w:p>
          <w:p w14:paraId="6E3DF408" w14:textId="42329A2C" w:rsidR="00A4193B" w:rsidRPr="00A144F8" w:rsidRDefault="00A4193B" w:rsidP="00F412AB">
            <w:pPr>
              <w:pStyle w:val="TableTextLeft"/>
              <w:rPr>
                <w:szCs w:val="18"/>
              </w:rPr>
            </w:pPr>
            <w:r w:rsidRPr="00A144F8">
              <w:rPr>
                <w:szCs w:val="18"/>
              </w:rPr>
              <w:t>The ASBFEO is leading this work, in consultation with other agencies (</w:t>
            </w:r>
            <w:r w:rsidR="00854E14">
              <w:rPr>
                <w:szCs w:val="18"/>
              </w:rPr>
              <w:t>for example,</w:t>
            </w:r>
            <w:r w:rsidRPr="00A144F8">
              <w:rPr>
                <w:szCs w:val="18"/>
              </w:rPr>
              <w:t xml:space="preserve"> ACCC, </w:t>
            </w:r>
            <w:r w:rsidR="005071FC">
              <w:rPr>
                <w:szCs w:val="18"/>
              </w:rPr>
              <w:t>SBCs</w:t>
            </w:r>
            <w:r w:rsidRPr="00A144F8">
              <w:rPr>
                <w:szCs w:val="18"/>
              </w:rPr>
              <w:t>, the ABS, and other relevant agencies), over the period up to 30 June 26.</w:t>
            </w:r>
          </w:p>
          <w:p w14:paraId="59C7CBA5" w14:textId="77777777" w:rsidR="00A4193B" w:rsidRPr="00A144F8" w:rsidRDefault="00A4193B" w:rsidP="00F412AB">
            <w:pPr>
              <w:pStyle w:val="TableTextLeft"/>
              <w:rPr>
                <w:szCs w:val="18"/>
              </w:rPr>
            </w:pPr>
          </w:p>
        </w:tc>
      </w:tr>
      <w:tr w:rsidR="00A4193B" w:rsidRPr="00A144F8" w14:paraId="2364C3CB" w14:textId="77777777" w:rsidTr="00757CD2">
        <w:trPr>
          <w:cnfStyle w:val="000000010000" w:firstRow="0" w:lastRow="0" w:firstColumn="0" w:lastColumn="0" w:oddVBand="0" w:evenVBand="0" w:oddHBand="0" w:evenHBand="1" w:firstRowFirstColumn="0" w:firstRowLastColumn="0" w:lastRowFirstColumn="0" w:lastRowLastColumn="0"/>
        </w:trPr>
        <w:tc>
          <w:tcPr>
            <w:tcW w:w="2236" w:type="dxa"/>
          </w:tcPr>
          <w:p w14:paraId="7F609453" w14:textId="77777777" w:rsidR="00A4193B" w:rsidRPr="00A144F8" w:rsidRDefault="00A4193B" w:rsidP="00F412AB">
            <w:pPr>
              <w:pStyle w:val="TableTextLeft"/>
              <w:rPr>
                <w:rFonts w:eastAsia="Calibri Light"/>
                <w:szCs w:val="18"/>
              </w:rPr>
            </w:pPr>
            <w:r w:rsidRPr="00D05414">
              <w:rPr>
                <w:rStyle w:val="Strong"/>
              </w:rPr>
              <w:t>Recommendation 10:</w:t>
            </w:r>
            <w:r w:rsidRPr="00A144F8">
              <w:rPr>
                <w:szCs w:val="18"/>
              </w:rPr>
              <w:t xml:space="preserve"> Enhance the public visibility and usage of the Franchise Disclosure Register.</w:t>
            </w:r>
          </w:p>
        </w:tc>
        <w:tc>
          <w:tcPr>
            <w:tcW w:w="3288" w:type="dxa"/>
          </w:tcPr>
          <w:p w14:paraId="372733E8" w14:textId="77777777" w:rsidR="00A4193B" w:rsidRPr="00992081" w:rsidRDefault="00A4193B" w:rsidP="00F412AB">
            <w:pPr>
              <w:pStyle w:val="TableTextLeft"/>
              <w:rPr>
                <w:rStyle w:val="Strong"/>
              </w:rPr>
            </w:pPr>
            <w:r w:rsidRPr="00992081">
              <w:rPr>
                <w:rStyle w:val="Strong"/>
              </w:rPr>
              <w:t>Agree</w:t>
            </w:r>
          </w:p>
          <w:p w14:paraId="75FF1994" w14:textId="52B4306F" w:rsidR="00A4193B" w:rsidRPr="00A144F8" w:rsidRDefault="00A4193B" w:rsidP="00F412AB">
            <w:pPr>
              <w:pStyle w:val="TableTextLeft"/>
              <w:rPr>
                <w:szCs w:val="18"/>
              </w:rPr>
            </w:pPr>
            <w:r w:rsidRPr="00A144F8">
              <w:rPr>
                <w:szCs w:val="18"/>
              </w:rPr>
              <w:t>The Government notes widespread support for the Franchise Disclosure Register to remain a part of the regulatory environment. The Government</w:t>
            </w:r>
            <w:r w:rsidR="00916FA5">
              <w:rPr>
                <w:szCs w:val="18"/>
              </w:rPr>
              <w:t>’</w:t>
            </w:r>
            <w:r w:rsidRPr="00A144F8">
              <w:rPr>
                <w:szCs w:val="18"/>
              </w:rPr>
              <w:t xml:space="preserve">s immediate priority is to leverage existing mechanisms to promote the public visibility and use of the Franchise Disclosure Register. </w:t>
            </w:r>
          </w:p>
          <w:p w14:paraId="56853BD9" w14:textId="77777777" w:rsidR="00A4193B" w:rsidRPr="00A144F8" w:rsidRDefault="00A4193B" w:rsidP="00F412AB">
            <w:pPr>
              <w:pStyle w:val="TableTextLeft"/>
              <w:rPr>
                <w:rFonts w:eastAsia="Calibri Light"/>
                <w:szCs w:val="18"/>
              </w:rPr>
            </w:pPr>
            <w:r w:rsidRPr="00A144F8">
              <w:rPr>
                <w:szCs w:val="18"/>
              </w:rPr>
              <w:t>Once a decision on licensing occurs, the Government will consider if there are other initiatives that could enhance visibility and usage, such as mandating the disclosure of franchise agreements.</w:t>
            </w:r>
          </w:p>
        </w:tc>
        <w:tc>
          <w:tcPr>
            <w:tcW w:w="3118" w:type="dxa"/>
          </w:tcPr>
          <w:p w14:paraId="5055E20D" w14:textId="77777777" w:rsidR="00A4193B" w:rsidRPr="00992081" w:rsidRDefault="00A4193B" w:rsidP="00F412AB">
            <w:pPr>
              <w:pStyle w:val="TableTextLeft"/>
              <w:rPr>
                <w:rStyle w:val="Strong"/>
              </w:rPr>
            </w:pPr>
            <w:r w:rsidRPr="00992081">
              <w:rPr>
                <w:rStyle w:val="Strong"/>
              </w:rPr>
              <w:t>In progress</w:t>
            </w:r>
          </w:p>
          <w:p w14:paraId="09CDEDFC" w14:textId="77777777" w:rsidR="00A4193B" w:rsidRPr="00A144F8" w:rsidRDefault="00A4193B" w:rsidP="00F412AB">
            <w:pPr>
              <w:pStyle w:val="TableTextLeft"/>
              <w:rPr>
                <w:szCs w:val="18"/>
              </w:rPr>
            </w:pPr>
            <w:r w:rsidRPr="00A144F8">
              <w:rPr>
                <w:szCs w:val="18"/>
              </w:rPr>
              <w:t>Treasury promotes the use of the Register at conventions, expos and other events. The ASBFEO also promotes the Register through its communication channels. </w:t>
            </w:r>
          </w:p>
          <w:p w14:paraId="7286407C" w14:textId="5CC3223C" w:rsidR="00A4193B" w:rsidRPr="00A144F8" w:rsidRDefault="00A4193B" w:rsidP="00F412AB">
            <w:pPr>
              <w:pStyle w:val="TableTextLeft"/>
              <w:rPr>
                <w:szCs w:val="18"/>
              </w:rPr>
            </w:pPr>
            <w:r w:rsidRPr="00A144F8">
              <w:rPr>
                <w:szCs w:val="18"/>
              </w:rPr>
              <w:t>ACCC compliance guidance directs franchisors to the Register.</w:t>
            </w:r>
          </w:p>
        </w:tc>
      </w:tr>
      <w:tr w:rsidR="00A4193B" w:rsidRPr="00A144F8" w14:paraId="289A3AD9" w14:textId="77777777" w:rsidTr="00757CD2">
        <w:trPr>
          <w:cnfStyle w:val="000000100000" w:firstRow="0" w:lastRow="0" w:firstColumn="0" w:lastColumn="0" w:oddVBand="0" w:evenVBand="0" w:oddHBand="1" w:evenHBand="0" w:firstRowFirstColumn="0" w:firstRowLastColumn="0" w:lastRowFirstColumn="0" w:lastRowLastColumn="0"/>
        </w:trPr>
        <w:tc>
          <w:tcPr>
            <w:tcW w:w="2236" w:type="dxa"/>
          </w:tcPr>
          <w:p w14:paraId="6BB80834" w14:textId="77777777" w:rsidR="00A4193B" w:rsidRPr="00A144F8" w:rsidRDefault="00A4193B" w:rsidP="00F412AB">
            <w:pPr>
              <w:pStyle w:val="TableTextLeft"/>
              <w:rPr>
                <w:rFonts w:eastAsia="Calibri Light"/>
                <w:szCs w:val="18"/>
              </w:rPr>
            </w:pPr>
            <w:r w:rsidRPr="00D05414">
              <w:rPr>
                <w:rStyle w:val="Strong"/>
              </w:rPr>
              <w:t>Recommendation 12:</w:t>
            </w:r>
            <w:r w:rsidRPr="00A144F8">
              <w:rPr>
                <w:szCs w:val="18"/>
              </w:rPr>
              <w:t xml:space="preserve"> Franchise systems should be encouraged, through education, to consult franchisees regarding any major change to the business model during the term of the franchise agreement.</w:t>
            </w:r>
          </w:p>
        </w:tc>
        <w:tc>
          <w:tcPr>
            <w:tcW w:w="3288" w:type="dxa"/>
          </w:tcPr>
          <w:p w14:paraId="0E1F9B58" w14:textId="77777777" w:rsidR="00A4193B" w:rsidRPr="00992081" w:rsidRDefault="00A4193B" w:rsidP="00F412AB">
            <w:pPr>
              <w:pStyle w:val="TableTextLeft"/>
              <w:rPr>
                <w:rStyle w:val="Strong"/>
              </w:rPr>
            </w:pPr>
            <w:r w:rsidRPr="00992081">
              <w:rPr>
                <w:rStyle w:val="Strong"/>
              </w:rPr>
              <w:t>Agree</w:t>
            </w:r>
          </w:p>
          <w:p w14:paraId="6D973A89" w14:textId="77777777" w:rsidR="00A4193B" w:rsidRPr="00A144F8" w:rsidRDefault="00A4193B" w:rsidP="00F412AB">
            <w:pPr>
              <w:pStyle w:val="TableTextLeft"/>
              <w:rPr>
                <w:szCs w:val="18"/>
              </w:rPr>
            </w:pPr>
            <w:r w:rsidRPr="00A144F8">
              <w:rPr>
                <w:szCs w:val="18"/>
              </w:rPr>
              <w:t xml:space="preserve">The Government acknowledges there is an opportunity to support improved franchise relationships through improving the nature and access to education and guidance materials for the sector. </w:t>
            </w:r>
          </w:p>
          <w:p w14:paraId="5DAD831E" w14:textId="77777777" w:rsidR="00A4193B" w:rsidRPr="00A144F8" w:rsidRDefault="00A4193B" w:rsidP="00F412AB">
            <w:pPr>
              <w:pStyle w:val="TableTextLeft"/>
              <w:rPr>
                <w:rFonts w:eastAsia="Calibri Light"/>
                <w:szCs w:val="18"/>
              </w:rPr>
            </w:pPr>
            <w:r w:rsidRPr="00A144F8">
              <w:rPr>
                <w:szCs w:val="18"/>
              </w:rPr>
              <w:t>The Government will require the ASBFEO to lead the development of best practice guidance in consultation with the sector and the ACCC.</w:t>
            </w:r>
          </w:p>
        </w:tc>
        <w:tc>
          <w:tcPr>
            <w:tcW w:w="3118" w:type="dxa"/>
          </w:tcPr>
          <w:p w14:paraId="648BFEB9" w14:textId="77777777" w:rsidR="00A4193B" w:rsidRPr="00992081" w:rsidRDefault="00A4193B" w:rsidP="00F412AB">
            <w:pPr>
              <w:pStyle w:val="TableTextLeft"/>
              <w:rPr>
                <w:rStyle w:val="Strong"/>
              </w:rPr>
            </w:pPr>
            <w:r w:rsidRPr="00992081">
              <w:rPr>
                <w:rStyle w:val="Strong"/>
              </w:rPr>
              <w:t>In progress </w:t>
            </w:r>
          </w:p>
          <w:p w14:paraId="69B7DD77" w14:textId="77777777" w:rsidR="00A4193B" w:rsidRPr="00A144F8" w:rsidRDefault="00A4193B" w:rsidP="00F412AB">
            <w:pPr>
              <w:pStyle w:val="TableTextLeft"/>
              <w:rPr>
                <w:szCs w:val="18"/>
              </w:rPr>
            </w:pPr>
            <w:r w:rsidRPr="00A144F8">
              <w:rPr>
                <w:szCs w:val="18"/>
              </w:rPr>
              <w:t>The ASBFEO is leading implementation of this work, in consultation with other agencies (such as ACCC and academics with expertise in franchising and education) with implementation over the period up to 30 June 2026. </w:t>
            </w:r>
          </w:p>
          <w:p w14:paraId="4DB80B67" w14:textId="77777777" w:rsidR="00A4193B" w:rsidRPr="00A144F8" w:rsidRDefault="00A4193B" w:rsidP="00F412AB">
            <w:pPr>
              <w:pStyle w:val="TableTextLeft"/>
              <w:rPr>
                <w:szCs w:val="18"/>
              </w:rPr>
            </w:pPr>
          </w:p>
        </w:tc>
      </w:tr>
    </w:tbl>
    <w:p w14:paraId="1402ED0F" w14:textId="77777777" w:rsidR="00757CD2" w:rsidRDefault="00757CD2">
      <w:pPr>
        <w:spacing w:before="0" w:after="160" w:line="259" w:lineRule="auto"/>
      </w:pPr>
    </w:p>
    <w:tbl>
      <w:tblPr>
        <w:tblStyle w:val="TableGrid"/>
        <w:tblW w:w="0" w:type="auto"/>
        <w:tblLook w:val="04A0" w:firstRow="1" w:lastRow="0" w:firstColumn="1" w:lastColumn="0" w:noHBand="0" w:noVBand="1"/>
      </w:tblPr>
      <w:tblGrid>
        <w:gridCol w:w="2236"/>
        <w:gridCol w:w="3288"/>
        <w:gridCol w:w="3118"/>
      </w:tblGrid>
      <w:tr w:rsidR="00757CD2" w:rsidRPr="00A144F8" w14:paraId="33E0A2C6" w14:textId="77777777" w:rsidTr="008F2A90">
        <w:trPr>
          <w:cnfStyle w:val="100000000000" w:firstRow="1" w:lastRow="0" w:firstColumn="0" w:lastColumn="0" w:oddVBand="0" w:evenVBand="0" w:oddHBand="0" w:evenHBand="0" w:firstRowFirstColumn="0" w:firstRowLastColumn="0" w:lastRowFirstColumn="0" w:lastRowLastColumn="0"/>
        </w:trPr>
        <w:tc>
          <w:tcPr>
            <w:tcW w:w="2236" w:type="dxa"/>
          </w:tcPr>
          <w:p w14:paraId="15C26310" w14:textId="1027DB40" w:rsidR="00757CD2" w:rsidRPr="00A144F8" w:rsidRDefault="00A83FF4" w:rsidP="008F2A90">
            <w:pPr>
              <w:pStyle w:val="TableColumnHeadingLeft"/>
              <w:rPr>
                <w:rFonts w:eastAsia="Calibri Light"/>
              </w:rPr>
            </w:pPr>
            <w:r>
              <w:lastRenderedPageBreak/>
              <w:t xml:space="preserve">Franchising </w:t>
            </w:r>
            <w:r w:rsidR="00757CD2" w:rsidRPr="00A144F8">
              <w:t>Review recommendation</w:t>
            </w:r>
          </w:p>
        </w:tc>
        <w:tc>
          <w:tcPr>
            <w:tcW w:w="3288" w:type="dxa"/>
          </w:tcPr>
          <w:p w14:paraId="5D5F2D36" w14:textId="77777777" w:rsidR="00757CD2" w:rsidRPr="00A144F8" w:rsidRDefault="00757CD2" w:rsidP="008F2A90">
            <w:pPr>
              <w:pStyle w:val="TableColumnHeadingLeft"/>
              <w:rPr>
                <w:rFonts w:eastAsia="Calibri Light"/>
              </w:rPr>
            </w:pPr>
            <w:r w:rsidRPr="00A144F8">
              <w:rPr>
                <w:rFonts w:eastAsia="Calibri Light"/>
              </w:rPr>
              <w:t>Government Response</w:t>
            </w:r>
          </w:p>
        </w:tc>
        <w:tc>
          <w:tcPr>
            <w:tcW w:w="3118" w:type="dxa"/>
          </w:tcPr>
          <w:p w14:paraId="275646A3" w14:textId="77777777" w:rsidR="00757CD2" w:rsidRPr="00A144F8" w:rsidRDefault="00757CD2" w:rsidP="008F2A90">
            <w:pPr>
              <w:pStyle w:val="TableColumnHeadingLeft"/>
              <w:rPr>
                <w:rFonts w:eastAsia="Calibri Light"/>
              </w:rPr>
            </w:pPr>
            <w:r w:rsidRPr="00A144F8">
              <w:rPr>
                <w:rFonts w:eastAsia="Calibri Light"/>
              </w:rPr>
              <w:t>Implementation</w:t>
            </w:r>
          </w:p>
        </w:tc>
      </w:tr>
      <w:tr w:rsidR="00757CD2" w:rsidRPr="00A144F8" w14:paraId="3EB79B70" w14:textId="77777777" w:rsidTr="008F2A90">
        <w:trPr>
          <w:cnfStyle w:val="000000100000" w:firstRow="0" w:lastRow="0" w:firstColumn="0" w:lastColumn="0" w:oddVBand="0" w:evenVBand="0" w:oddHBand="1" w:evenHBand="0" w:firstRowFirstColumn="0" w:firstRowLastColumn="0" w:lastRowFirstColumn="0" w:lastRowLastColumn="0"/>
        </w:trPr>
        <w:tc>
          <w:tcPr>
            <w:tcW w:w="2236" w:type="dxa"/>
          </w:tcPr>
          <w:p w14:paraId="047F1A08" w14:textId="12E23FD8" w:rsidR="00757CD2" w:rsidRPr="00A144F8" w:rsidRDefault="00757CD2" w:rsidP="008F2A90">
            <w:pPr>
              <w:pStyle w:val="TableTextLeft"/>
              <w:rPr>
                <w:rFonts w:eastAsia="Calibri Light"/>
                <w:szCs w:val="18"/>
              </w:rPr>
            </w:pPr>
            <w:r w:rsidRPr="00D05414">
              <w:rPr>
                <w:rStyle w:val="Strong"/>
              </w:rPr>
              <w:t>Recommendation 14:</w:t>
            </w:r>
            <w:r w:rsidRPr="00A144F8">
              <w:rPr>
                <w:szCs w:val="18"/>
              </w:rPr>
              <w:t xml:space="preserve"> Best practice guidance should be provided to franchisees and franchisors regarding </w:t>
            </w:r>
            <w:r w:rsidRPr="00A144F8" w:rsidDel="00B35C6C">
              <w:rPr>
                <w:szCs w:val="18"/>
              </w:rPr>
              <w:t>franchise</w:t>
            </w:r>
            <w:r w:rsidR="003A0D5E">
              <w:rPr>
                <w:szCs w:val="18"/>
              </w:rPr>
              <w:noBreakHyphen/>
            </w:r>
            <w:r w:rsidR="00B35C6C" w:rsidRPr="00A144F8">
              <w:rPr>
                <w:szCs w:val="18"/>
              </w:rPr>
              <w:t>initiated</w:t>
            </w:r>
            <w:r w:rsidRPr="00A144F8">
              <w:rPr>
                <w:szCs w:val="18"/>
              </w:rPr>
              <w:t xml:space="preserve"> exit, to enhance the effectiveness of clause 26B of the Code.</w:t>
            </w:r>
          </w:p>
        </w:tc>
        <w:tc>
          <w:tcPr>
            <w:tcW w:w="3288" w:type="dxa"/>
          </w:tcPr>
          <w:p w14:paraId="1B1646DA" w14:textId="77777777" w:rsidR="00757CD2" w:rsidRPr="00992081" w:rsidRDefault="00757CD2" w:rsidP="008F2A90">
            <w:pPr>
              <w:pStyle w:val="TableTextLeft"/>
              <w:rPr>
                <w:rStyle w:val="Strong"/>
              </w:rPr>
            </w:pPr>
            <w:r w:rsidRPr="00992081">
              <w:rPr>
                <w:rStyle w:val="Strong"/>
              </w:rPr>
              <w:t>Agree</w:t>
            </w:r>
          </w:p>
          <w:p w14:paraId="40A8D789" w14:textId="77777777" w:rsidR="00757CD2" w:rsidRPr="00A144F8" w:rsidRDefault="00757CD2" w:rsidP="008F2A90">
            <w:pPr>
              <w:pStyle w:val="TableTextLeft"/>
              <w:rPr>
                <w:szCs w:val="18"/>
              </w:rPr>
            </w:pPr>
            <w:r w:rsidRPr="00A144F8">
              <w:rPr>
                <w:szCs w:val="18"/>
              </w:rPr>
              <w:t xml:space="preserve">The Government acknowledges there is an opportunity to improve the nature of, and access to, education and guidance materials for the sector. </w:t>
            </w:r>
          </w:p>
          <w:p w14:paraId="3FAE3611" w14:textId="2016EB7A" w:rsidR="00757CD2" w:rsidRPr="00992081" w:rsidRDefault="00757CD2" w:rsidP="008F2A90">
            <w:pPr>
              <w:pStyle w:val="TableTextLeft"/>
              <w:rPr>
                <w:rFonts w:eastAsia="Calibri Light"/>
                <w:szCs w:val="18"/>
              </w:rPr>
            </w:pPr>
            <w:r w:rsidRPr="00A144F8">
              <w:rPr>
                <w:szCs w:val="18"/>
              </w:rPr>
              <w:t>The Government will require the ASBFEO to lead the development of best practice guidance, in consultation with the sector and the ACCC.</w:t>
            </w:r>
          </w:p>
        </w:tc>
        <w:tc>
          <w:tcPr>
            <w:tcW w:w="3118" w:type="dxa"/>
          </w:tcPr>
          <w:p w14:paraId="195D085D" w14:textId="77777777" w:rsidR="00757CD2" w:rsidRPr="00992081" w:rsidRDefault="00757CD2" w:rsidP="008F2A90">
            <w:pPr>
              <w:pStyle w:val="TableTextLeft"/>
              <w:rPr>
                <w:rStyle w:val="Strong"/>
              </w:rPr>
            </w:pPr>
            <w:r w:rsidRPr="00992081">
              <w:rPr>
                <w:rStyle w:val="Strong"/>
              </w:rPr>
              <w:t>In progress </w:t>
            </w:r>
          </w:p>
          <w:p w14:paraId="7AC3A5AB" w14:textId="66BE8220" w:rsidR="00757CD2" w:rsidRPr="00A144F8" w:rsidRDefault="00757CD2" w:rsidP="008F2A90">
            <w:pPr>
              <w:pStyle w:val="TableTextLeft"/>
              <w:rPr>
                <w:szCs w:val="18"/>
              </w:rPr>
            </w:pPr>
            <w:r w:rsidRPr="00A144F8">
              <w:rPr>
                <w:szCs w:val="18"/>
              </w:rPr>
              <w:t>The ASBFEO is leading implementation of this work, in consultation with other agencies (such as ACCC and academics with expertise in franchising and education) with implementation over the period up to 30 June 2026.</w:t>
            </w:r>
          </w:p>
        </w:tc>
      </w:tr>
      <w:tr w:rsidR="00757CD2" w:rsidRPr="00A144F8" w14:paraId="4412BA2D" w14:textId="77777777" w:rsidTr="008F2A90">
        <w:trPr>
          <w:cnfStyle w:val="000000010000" w:firstRow="0" w:lastRow="0" w:firstColumn="0" w:lastColumn="0" w:oddVBand="0" w:evenVBand="0" w:oddHBand="0" w:evenHBand="1" w:firstRowFirstColumn="0" w:firstRowLastColumn="0" w:lastRowFirstColumn="0" w:lastRowLastColumn="0"/>
        </w:trPr>
        <w:tc>
          <w:tcPr>
            <w:tcW w:w="2236" w:type="dxa"/>
          </w:tcPr>
          <w:p w14:paraId="24D2FD84" w14:textId="77777777" w:rsidR="00757CD2" w:rsidRPr="00A144F8" w:rsidRDefault="00757CD2" w:rsidP="008F2A90">
            <w:pPr>
              <w:pStyle w:val="TableTextLeft"/>
              <w:rPr>
                <w:szCs w:val="18"/>
              </w:rPr>
            </w:pPr>
            <w:r w:rsidRPr="00D05414">
              <w:rPr>
                <w:rStyle w:val="Strong"/>
              </w:rPr>
              <w:t>Recommendation 17:</w:t>
            </w:r>
            <w:r w:rsidRPr="00A144F8">
              <w:rPr>
                <w:szCs w:val="18"/>
              </w:rPr>
              <w:t xml:space="preserve"> Australian Government agencies should work with relevant sector participants to improve standards of conduct in franchising by developing best practice guidance and education.</w:t>
            </w:r>
          </w:p>
        </w:tc>
        <w:tc>
          <w:tcPr>
            <w:tcW w:w="3288" w:type="dxa"/>
          </w:tcPr>
          <w:p w14:paraId="4D548506" w14:textId="77777777" w:rsidR="00757CD2" w:rsidRPr="00992081" w:rsidRDefault="00757CD2" w:rsidP="008F2A90">
            <w:pPr>
              <w:pStyle w:val="TableTextLeft"/>
              <w:rPr>
                <w:rStyle w:val="Strong"/>
              </w:rPr>
            </w:pPr>
            <w:r w:rsidRPr="00992081">
              <w:rPr>
                <w:rStyle w:val="Strong"/>
              </w:rPr>
              <w:t>Agree</w:t>
            </w:r>
          </w:p>
          <w:p w14:paraId="3E800960" w14:textId="77777777" w:rsidR="00757CD2" w:rsidRPr="00A144F8" w:rsidRDefault="00757CD2" w:rsidP="008F2A90">
            <w:pPr>
              <w:pStyle w:val="TableTextLeft"/>
              <w:rPr>
                <w:szCs w:val="18"/>
              </w:rPr>
            </w:pPr>
            <w:r w:rsidRPr="00A144F8">
              <w:rPr>
                <w:szCs w:val="18"/>
              </w:rPr>
              <w:t xml:space="preserve">The Government agrees that small businesses need greater support to recognise and act against unfair contract terms and prospective new unfair trading practices under Australian Consumer Law. </w:t>
            </w:r>
          </w:p>
          <w:p w14:paraId="50F48BAE" w14:textId="77777777" w:rsidR="00757CD2" w:rsidRPr="00A144F8" w:rsidRDefault="00757CD2" w:rsidP="008F2A90">
            <w:pPr>
              <w:pStyle w:val="TableTextLeft"/>
              <w:rPr>
                <w:szCs w:val="18"/>
              </w:rPr>
            </w:pPr>
            <w:r w:rsidRPr="00A144F8">
              <w:rPr>
                <w:szCs w:val="18"/>
              </w:rPr>
              <w:t>The Government will require the ASBFEO to lead the development of best practice guidance in consultation with the sector and the ACCC.</w:t>
            </w:r>
          </w:p>
        </w:tc>
        <w:tc>
          <w:tcPr>
            <w:tcW w:w="3118" w:type="dxa"/>
          </w:tcPr>
          <w:p w14:paraId="509F69F4" w14:textId="77777777" w:rsidR="00757CD2" w:rsidRPr="00992081" w:rsidRDefault="00757CD2" w:rsidP="008F2A90">
            <w:pPr>
              <w:pStyle w:val="TableTextLeft"/>
              <w:rPr>
                <w:rStyle w:val="Strong"/>
              </w:rPr>
            </w:pPr>
            <w:r w:rsidRPr="00992081">
              <w:rPr>
                <w:rStyle w:val="Strong"/>
              </w:rPr>
              <w:t>In progress </w:t>
            </w:r>
          </w:p>
          <w:p w14:paraId="0EB08405" w14:textId="77777777" w:rsidR="00757CD2" w:rsidRPr="00A144F8" w:rsidRDefault="00757CD2" w:rsidP="008F2A90">
            <w:pPr>
              <w:pStyle w:val="TableTextLeft"/>
              <w:rPr>
                <w:szCs w:val="18"/>
              </w:rPr>
            </w:pPr>
            <w:r w:rsidRPr="00A144F8">
              <w:rPr>
                <w:szCs w:val="18"/>
              </w:rPr>
              <w:t>The ASBFEO is leading implementation of this work, in consultation with other agencies (such as ACCC and academics with expertise in franchising and education) with implementation over the period up to 30 June 2026. </w:t>
            </w:r>
          </w:p>
          <w:p w14:paraId="24C56725" w14:textId="77777777" w:rsidR="00757CD2" w:rsidRPr="00A144F8" w:rsidRDefault="00757CD2" w:rsidP="008F2A90">
            <w:pPr>
              <w:pStyle w:val="TableTextLeft"/>
              <w:rPr>
                <w:szCs w:val="18"/>
              </w:rPr>
            </w:pPr>
          </w:p>
        </w:tc>
      </w:tr>
      <w:tr w:rsidR="00757CD2" w:rsidRPr="00A144F8" w14:paraId="2B97B359" w14:textId="77777777" w:rsidTr="008F2A90">
        <w:trPr>
          <w:cnfStyle w:val="000000100000" w:firstRow="0" w:lastRow="0" w:firstColumn="0" w:lastColumn="0" w:oddVBand="0" w:evenVBand="0" w:oddHBand="1" w:evenHBand="0" w:firstRowFirstColumn="0" w:firstRowLastColumn="0" w:lastRowFirstColumn="0" w:lastRowLastColumn="0"/>
        </w:trPr>
        <w:tc>
          <w:tcPr>
            <w:tcW w:w="2236" w:type="dxa"/>
          </w:tcPr>
          <w:p w14:paraId="1D7D31FB" w14:textId="77777777" w:rsidR="00757CD2" w:rsidRPr="00A144F8" w:rsidRDefault="00757CD2" w:rsidP="008F2A90">
            <w:pPr>
              <w:pStyle w:val="TableTextLeft"/>
              <w:rPr>
                <w:rFonts w:eastAsia="Calibri Light"/>
                <w:szCs w:val="18"/>
              </w:rPr>
            </w:pPr>
            <w:r w:rsidRPr="00D05414">
              <w:rPr>
                <w:rStyle w:val="Strong"/>
              </w:rPr>
              <w:t>Recommendation 18:</w:t>
            </w:r>
            <w:r w:rsidRPr="00A144F8">
              <w:rPr>
                <w:szCs w:val="18"/>
              </w:rPr>
              <w:t xml:space="preserve"> ASBFEO should be given additional powers to name franchisors who have not participated meaningfully in alternative dispute resolution.</w:t>
            </w:r>
          </w:p>
        </w:tc>
        <w:tc>
          <w:tcPr>
            <w:tcW w:w="3288" w:type="dxa"/>
          </w:tcPr>
          <w:p w14:paraId="66F337A8" w14:textId="77777777" w:rsidR="00757CD2" w:rsidRPr="00992081" w:rsidRDefault="00757CD2" w:rsidP="008F2A90">
            <w:pPr>
              <w:pStyle w:val="TableTextLeft"/>
              <w:rPr>
                <w:rStyle w:val="Strong"/>
              </w:rPr>
            </w:pPr>
            <w:r w:rsidRPr="00992081">
              <w:rPr>
                <w:rStyle w:val="Strong"/>
              </w:rPr>
              <w:t>Agree</w:t>
            </w:r>
          </w:p>
          <w:p w14:paraId="1BAB2131" w14:textId="77777777" w:rsidR="00757CD2" w:rsidRPr="00A144F8" w:rsidRDefault="00757CD2" w:rsidP="008F2A90">
            <w:pPr>
              <w:pStyle w:val="TableTextLeft"/>
              <w:rPr>
                <w:szCs w:val="18"/>
              </w:rPr>
            </w:pPr>
            <w:r w:rsidRPr="00A144F8">
              <w:rPr>
                <w:szCs w:val="18"/>
              </w:rPr>
              <w:t xml:space="preserve">The Government recognises there are benefits in allowing for the naming of franchisors who have not participated meaningfully in dispute resolution, such as encouraging active participation. </w:t>
            </w:r>
          </w:p>
          <w:p w14:paraId="0F2523A1" w14:textId="3FB89F81" w:rsidR="00757CD2" w:rsidRPr="00A144F8" w:rsidRDefault="00757CD2" w:rsidP="008F2A90">
            <w:pPr>
              <w:pStyle w:val="TableTextLeft"/>
              <w:rPr>
                <w:rFonts w:eastAsia="Calibri Light"/>
                <w:szCs w:val="18"/>
              </w:rPr>
            </w:pPr>
            <w:r w:rsidRPr="00A144F8">
              <w:rPr>
                <w:szCs w:val="18"/>
              </w:rPr>
              <w:t>The Government will amend relevant legislation to provide the ASBFEO with the power to publicly name franchisors that fail to participate meaningfully in alternative dispute resolution</w:t>
            </w:r>
            <w:r w:rsidR="001C1FC6">
              <w:rPr>
                <w:szCs w:val="18"/>
              </w:rPr>
              <w:t>.</w:t>
            </w:r>
          </w:p>
        </w:tc>
        <w:tc>
          <w:tcPr>
            <w:tcW w:w="3118" w:type="dxa"/>
          </w:tcPr>
          <w:p w14:paraId="5B6271B6" w14:textId="7C769A55" w:rsidR="00757CD2" w:rsidRPr="00992081" w:rsidRDefault="00757CD2" w:rsidP="008F2A90">
            <w:pPr>
              <w:pStyle w:val="TableTextLeft"/>
              <w:rPr>
                <w:rStyle w:val="Strong"/>
              </w:rPr>
            </w:pPr>
            <w:r w:rsidRPr="00992081">
              <w:rPr>
                <w:rStyle w:val="Strong"/>
              </w:rPr>
              <w:t>Complete</w:t>
            </w:r>
          </w:p>
          <w:p w14:paraId="6AB136FF" w14:textId="0E121CAF" w:rsidR="00757CD2" w:rsidRPr="00A144F8" w:rsidRDefault="00757CD2" w:rsidP="008F2A90">
            <w:pPr>
              <w:pStyle w:val="TableTextLeft"/>
              <w:rPr>
                <w:szCs w:val="18"/>
              </w:rPr>
            </w:pPr>
            <w:r w:rsidRPr="00A144F8">
              <w:rPr>
                <w:szCs w:val="18"/>
              </w:rPr>
              <w:t xml:space="preserve">The powers commenced on 1 April 2025 as part of the </w:t>
            </w:r>
            <w:r w:rsidR="009823BF">
              <w:rPr>
                <w:szCs w:val="18"/>
              </w:rPr>
              <w:t xml:space="preserve">Franchising </w:t>
            </w:r>
            <w:r w:rsidRPr="00A144F8">
              <w:rPr>
                <w:szCs w:val="18"/>
              </w:rPr>
              <w:t xml:space="preserve">Code </w:t>
            </w:r>
            <w:r w:rsidR="009823BF">
              <w:rPr>
                <w:szCs w:val="18"/>
              </w:rPr>
              <w:t>of Conduct</w:t>
            </w:r>
            <w:r w:rsidRPr="00A144F8">
              <w:rPr>
                <w:szCs w:val="18"/>
              </w:rPr>
              <w:t xml:space="preserve"> remake.</w:t>
            </w:r>
          </w:p>
        </w:tc>
      </w:tr>
      <w:tr w:rsidR="00757CD2" w:rsidRPr="00A144F8" w14:paraId="1C7D6176" w14:textId="77777777" w:rsidTr="008F2A90">
        <w:trPr>
          <w:cnfStyle w:val="000000010000" w:firstRow="0" w:lastRow="0" w:firstColumn="0" w:lastColumn="0" w:oddVBand="0" w:evenVBand="0" w:oddHBand="0" w:evenHBand="1" w:firstRowFirstColumn="0" w:firstRowLastColumn="0" w:lastRowFirstColumn="0" w:lastRowLastColumn="0"/>
        </w:trPr>
        <w:tc>
          <w:tcPr>
            <w:tcW w:w="2236" w:type="dxa"/>
          </w:tcPr>
          <w:p w14:paraId="75C82795" w14:textId="0AF73A2A" w:rsidR="00757CD2" w:rsidRPr="00A144F8" w:rsidRDefault="00757CD2" w:rsidP="008F2A90">
            <w:pPr>
              <w:pStyle w:val="TableTextLeft"/>
              <w:rPr>
                <w:rFonts w:eastAsia="Calibri Light"/>
                <w:szCs w:val="18"/>
              </w:rPr>
            </w:pPr>
            <w:r w:rsidRPr="00D05414">
              <w:rPr>
                <w:rStyle w:val="Strong"/>
              </w:rPr>
              <w:t>Recommendation 19:</w:t>
            </w:r>
            <w:r w:rsidRPr="00A144F8">
              <w:rPr>
                <w:szCs w:val="18"/>
              </w:rPr>
              <w:t xml:space="preserve"> The Australian Government should assist franchisees to access low</w:t>
            </w:r>
            <w:r w:rsidR="003A0D5E">
              <w:rPr>
                <w:szCs w:val="18"/>
              </w:rPr>
              <w:noBreakHyphen/>
            </w:r>
            <w:r w:rsidRPr="00A144F8">
              <w:rPr>
                <w:szCs w:val="18"/>
              </w:rPr>
              <w:t>cost legal advice on prospects prior to formal ADR.</w:t>
            </w:r>
          </w:p>
        </w:tc>
        <w:tc>
          <w:tcPr>
            <w:tcW w:w="3288" w:type="dxa"/>
          </w:tcPr>
          <w:p w14:paraId="1AA37F8F" w14:textId="77777777" w:rsidR="00757CD2" w:rsidRPr="00992081" w:rsidRDefault="00757CD2" w:rsidP="008F2A90">
            <w:pPr>
              <w:pStyle w:val="TableTextLeft"/>
              <w:rPr>
                <w:rStyle w:val="Strong"/>
              </w:rPr>
            </w:pPr>
            <w:r w:rsidRPr="00992081">
              <w:rPr>
                <w:rStyle w:val="Strong"/>
              </w:rPr>
              <w:t>Agree</w:t>
            </w:r>
          </w:p>
          <w:p w14:paraId="0D615151" w14:textId="2A08359A" w:rsidR="00757CD2" w:rsidRPr="00A144F8" w:rsidRDefault="00757CD2" w:rsidP="008F2A90">
            <w:pPr>
              <w:pStyle w:val="TableTextLeft"/>
              <w:rPr>
                <w:szCs w:val="18"/>
              </w:rPr>
            </w:pPr>
            <w:r w:rsidRPr="00A144F8">
              <w:rPr>
                <w:szCs w:val="18"/>
              </w:rPr>
              <w:t>Being able to obtain low</w:t>
            </w:r>
            <w:r>
              <w:rPr>
                <w:szCs w:val="18"/>
              </w:rPr>
              <w:noBreakHyphen/>
            </w:r>
            <w:r w:rsidRPr="00A144F8">
              <w:rPr>
                <w:szCs w:val="18"/>
              </w:rPr>
              <w:t xml:space="preserve">cost assistance for resolving franchising disputes is important for supporting access to justice for franchisees. </w:t>
            </w:r>
          </w:p>
          <w:p w14:paraId="69794506" w14:textId="1D9647DC" w:rsidR="00757CD2" w:rsidRPr="00A144F8" w:rsidRDefault="00757CD2" w:rsidP="008F2A90">
            <w:pPr>
              <w:pStyle w:val="TableTextLeft"/>
              <w:rPr>
                <w:rFonts w:eastAsia="Calibri Light"/>
                <w:szCs w:val="18"/>
              </w:rPr>
            </w:pPr>
            <w:r w:rsidRPr="00A144F8">
              <w:rPr>
                <w:szCs w:val="18"/>
              </w:rPr>
              <w:t>The Government will expand the ASBFEO</w:t>
            </w:r>
            <w:r>
              <w:rPr>
                <w:szCs w:val="18"/>
              </w:rPr>
              <w:t>’</w:t>
            </w:r>
            <w:r w:rsidRPr="00A144F8">
              <w:rPr>
                <w:szCs w:val="18"/>
              </w:rPr>
              <w:t xml:space="preserve">s </w:t>
            </w:r>
            <w:r w:rsidR="00095C65">
              <w:rPr>
                <w:szCs w:val="18"/>
              </w:rPr>
              <w:t>SBTC</w:t>
            </w:r>
            <w:r w:rsidRPr="00A144F8">
              <w:rPr>
                <w:szCs w:val="18"/>
              </w:rPr>
              <w:t xml:space="preserve"> Service to support small businesses, including franchisees to access low</w:t>
            </w:r>
            <w:r>
              <w:rPr>
                <w:szCs w:val="18"/>
              </w:rPr>
              <w:noBreakHyphen/>
            </w:r>
            <w:r w:rsidRPr="00A144F8">
              <w:rPr>
                <w:szCs w:val="18"/>
              </w:rPr>
              <w:t>cost legal advice on alternative dispute resolution prospects</w:t>
            </w:r>
            <w:r w:rsidR="001C1FC6">
              <w:rPr>
                <w:szCs w:val="18"/>
              </w:rPr>
              <w:t>.</w:t>
            </w:r>
          </w:p>
        </w:tc>
        <w:tc>
          <w:tcPr>
            <w:tcW w:w="3118" w:type="dxa"/>
          </w:tcPr>
          <w:p w14:paraId="4FA59C9B" w14:textId="6BA314C9" w:rsidR="00757CD2" w:rsidRPr="00992081" w:rsidRDefault="00757CD2" w:rsidP="008F2A90">
            <w:pPr>
              <w:pStyle w:val="TableTextLeft"/>
              <w:rPr>
                <w:b/>
              </w:rPr>
            </w:pPr>
            <w:r w:rsidRPr="00992081">
              <w:rPr>
                <w:rStyle w:val="Strong"/>
              </w:rPr>
              <w:t>Complete</w:t>
            </w:r>
          </w:p>
          <w:p w14:paraId="02734DD4" w14:textId="53C674E9" w:rsidR="00757CD2" w:rsidRPr="00A144F8" w:rsidRDefault="00757CD2" w:rsidP="008F2A90">
            <w:pPr>
              <w:pStyle w:val="TableTextLeft"/>
              <w:rPr>
                <w:szCs w:val="18"/>
              </w:rPr>
            </w:pPr>
            <w:r w:rsidRPr="00A144F8">
              <w:rPr>
                <w:szCs w:val="18"/>
              </w:rPr>
              <w:t>The expanded service commenced on 3 March 2025. </w:t>
            </w:r>
          </w:p>
        </w:tc>
      </w:tr>
    </w:tbl>
    <w:p w14:paraId="778B41EC" w14:textId="06660767" w:rsidR="002D5AA0" w:rsidRDefault="00A96291" w:rsidP="00992081">
      <w:pPr>
        <w:pStyle w:val="ChartorTablenoteandsource"/>
      </w:pPr>
      <w:r>
        <w:t xml:space="preserve">Source: </w:t>
      </w:r>
      <w:r w:rsidR="00992081">
        <w:tab/>
      </w:r>
      <w:r w:rsidR="00CE7570" w:rsidRPr="47CF6FE8">
        <w:t xml:space="preserve">Dr Michael Schaper, </w:t>
      </w:r>
      <w:r w:rsidR="00CE7570" w:rsidRPr="004C749D">
        <w:t>Independent Review of the Franchising Code of Conduct</w:t>
      </w:r>
      <w:r w:rsidR="00CE7570" w:rsidRPr="47CF6FE8">
        <w:t>, December 2023</w:t>
      </w:r>
      <w:r w:rsidR="00CE7570">
        <w:t>, p6</w:t>
      </w:r>
      <w:r w:rsidR="00992081">
        <w:t xml:space="preserve"> </w:t>
      </w:r>
      <w:r w:rsidR="002D5AA0">
        <w:t>Commonwealth Government</w:t>
      </w:r>
      <w:r w:rsidR="002D5AA0" w:rsidRPr="005F7E38">
        <w:t xml:space="preserve">, </w:t>
      </w:r>
      <w:hyperlink r:id="rId101" w:history="1">
        <w:r w:rsidR="00626931" w:rsidRPr="00992081">
          <w:rPr>
            <w:rStyle w:val="Hyperlink"/>
            <w:color w:val="000000"/>
          </w:rPr>
          <w:t>Government response to the Independent Review of the Franchising Code of Conduct | Treasury.gov.au</w:t>
        </w:r>
      </w:hyperlink>
      <w:r w:rsidR="002D5AA0" w:rsidRPr="005F7E38">
        <w:t>, Commonwealth of Australia, 2</w:t>
      </w:r>
      <w:r w:rsidR="00A14323">
        <w:t>023</w:t>
      </w:r>
      <w:r w:rsidR="002D5AA0">
        <w:t>,</w:t>
      </w:r>
      <w:r w:rsidR="002D5AA0" w:rsidRPr="005F7E38">
        <w:t xml:space="preserve"> accessed </w:t>
      </w:r>
      <w:r w:rsidR="00A14323">
        <w:t xml:space="preserve">6 </w:t>
      </w:r>
      <w:r w:rsidR="002D5AA0" w:rsidRPr="005F7E38">
        <w:t>May 2025</w:t>
      </w:r>
      <w:r w:rsidR="00056959">
        <w:t>.</w:t>
      </w:r>
    </w:p>
    <w:p w14:paraId="740A3AAA" w14:textId="2451DB37" w:rsidR="00B97A3C" w:rsidRDefault="00B97A3C">
      <w:pPr>
        <w:spacing w:before="0" w:after="160" w:line="259" w:lineRule="auto"/>
      </w:pPr>
      <w:r>
        <w:br w:type="page"/>
      </w:r>
    </w:p>
    <w:p w14:paraId="17C85E7B" w14:textId="7A3FD983" w:rsidR="00A4193B" w:rsidRDefault="00A4193B" w:rsidP="00A4193B">
      <w:pPr>
        <w:pStyle w:val="Heading2"/>
      </w:pPr>
      <w:bookmarkStart w:id="118" w:name="_Toc199941024"/>
      <w:r>
        <w:lastRenderedPageBreak/>
        <w:t xml:space="preserve">Appendix G: </w:t>
      </w:r>
      <w:r w:rsidRPr="00AA0977">
        <w:t>Table</w:t>
      </w:r>
      <w:r w:rsidR="00916FA5">
        <w:t xml:space="preserve"> – </w:t>
      </w:r>
      <w:r w:rsidRPr="00AA0977">
        <w:t>Comparison of agencies in international jurisdictions</w:t>
      </w:r>
      <w:bookmarkEnd w:id="118"/>
    </w:p>
    <w:p w14:paraId="7CDD4E4D" w14:textId="77777777" w:rsidR="00A4193B" w:rsidRPr="00D16910" w:rsidRDefault="00A4193B" w:rsidP="00F33424">
      <w:pPr>
        <w:pStyle w:val="TableMainHeading"/>
      </w:pPr>
      <w:r w:rsidRPr="00D16910">
        <w:t>Comparable international agencies to ASBFEO</w:t>
      </w:r>
    </w:p>
    <w:tbl>
      <w:tblPr>
        <w:tblStyle w:val="TableGrid"/>
        <w:tblW w:w="5000" w:type="pct"/>
        <w:tblLayout w:type="fixed"/>
        <w:tblLook w:val="04A0" w:firstRow="1" w:lastRow="0" w:firstColumn="1" w:lastColumn="0" w:noHBand="0" w:noVBand="1"/>
      </w:tblPr>
      <w:tblGrid>
        <w:gridCol w:w="1512"/>
        <w:gridCol w:w="2637"/>
        <w:gridCol w:w="2528"/>
        <w:gridCol w:w="2393"/>
      </w:tblGrid>
      <w:tr w:rsidR="00A4193B" w:rsidRPr="00D16910" w14:paraId="1CD54D4B" w14:textId="77777777" w:rsidTr="00F709A1">
        <w:trPr>
          <w:cnfStyle w:val="100000000000" w:firstRow="1" w:lastRow="0" w:firstColumn="0" w:lastColumn="0" w:oddVBand="0" w:evenVBand="0" w:oddHBand="0" w:evenHBand="0" w:firstRowFirstColumn="0" w:firstRowLastColumn="0" w:lastRowFirstColumn="0" w:lastRowLastColumn="0"/>
          <w:trHeight w:val="300"/>
        </w:trPr>
        <w:tc>
          <w:tcPr>
            <w:tcW w:w="1650" w:type="dxa"/>
          </w:tcPr>
          <w:p w14:paraId="5111D3F6" w14:textId="77777777" w:rsidR="00A4193B" w:rsidRPr="00D16910" w:rsidRDefault="00A4193B" w:rsidP="009641F9">
            <w:pPr>
              <w:pStyle w:val="TableColumnHeadingLeft"/>
            </w:pPr>
            <w:r w:rsidRPr="00D16910">
              <w:t>Country</w:t>
            </w:r>
          </w:p>
        </w:tc>
        <w:tc>
          <w:tcPr>
            <w:tcW w:w="2895" w:type="dxa"/>
          </w:tcPr>
          <w:p w14:paraId="33FD651A" w14:textId="77777777" w:rsidR="00A4193B" w:rsidRPr="00D16910" w:rsidRDefault="00A4193B" w:rsidP="009641F9">
            <w:pPr>
              <w:pStyle w:val="TableColumnHeadingLeft"/>
            </w:pPr>
            <w:r w:rsidRPr="00D16910">
              <w:rPr>
                <w:bCs/>
              </w:rPr>
              <w:t>Agency</w:t>
            </w:r>
          </w:p>
        </w:tc>
        <w:tc>
          <w:tcPr>
            <w:tcW w:w="2775" w:type="dxa"/>
          </w:tcPr>
          <w:p w14:paraId="1B1C5D08" w14:textId="77777777" w:rsidR="00A4193B" w:rsidRPr="00D16910" w:rsidRDefault="00A4193B" w:rsidP="009641F9">
            <w:pPr>
              <w:pStyle w:val="TableColumnHeadingLeft"/>
            </w:pPr>
            <w:r w:rsidRPr="00D16910">
              <w:rPr>
                <w:bCs/>
              </w:rPr>
              <w:t>Assistance</w:t>
            </w:r>
          </w:p>
        </w:tc>
        <w:tc>
          <w:tcPr>
            <w:tcW w:w="2625" w:type="dxa"/>
          </w:tcPr>
          <w:p w14:paraId="2A29B36E" w14:textId="77777777" w:rsidR="00A4193B" w:rsidRPr="00D16910" w:rsidRDefault="00A4193B" w:rsidP="009641F9">
            <w:pPr>
              <w:pStyle w:val="TableColumnHeadingLeft"/>
            </w:pPr>
            <w:r w:rsidRPr="00D16910">
              <w:rPr>
                <w:bCs/>
              </w:rPr>
              <w:t>Advocacy</w:t>
            </w:r>
          </w:p>
        </w:tc>
      </w:tr>
      <w:tr w:rsidR="00A4193B" w:rsidRPr="00D16910" w14:paraId="7EF666A7" w14:textId="77777777" w:rsidTr="00F709A1">
        <w:trPr>
          <w:cnfStyle w:val="000000100000" w:firstRow="0" w:lastRow="0" w:firstColumn="0" w:lastColumn="0" w:oddVBand="0" w:evenVBand="0" w:oddHBand="1" w:evenHBand="0" w:firstRowFirstColumn="0" w:firstRowLastColumn="0" w:lastRowFirstColumn="0" w:lastRowLastColumn="0"/>
          <w:trHeight w:val="300"/>
        </w:trPr>
        <w:tc>
          <w:tcPr>
            <w:tcW w:w="1650" w:type="dxa"/>
          </w:tcPr>
          <w:p w14:paraId="5EED67AD" w14:textId="3714E9B3" w:rsidR="00A4193B" w:rsidRPr="00107644" w:rsidRDefault="009D459A" w:rsidP="00DD2C27">
            <w:pPr>
              <w:pStyle w:val="TableTextLeft"/>
              <w:rPr>
                <w:rStyle w:val="Strong"/>
              </w:rPr>
            </w:pPr>
            <w:r>
              <w:rPr>
                <w:rStyle w:val="Strong"/>
              </w:rPr>
              <w:t>UK</w:t>
            </w:r>
          </w:p>
        </w:tc>
        <w:tc>
          <w:tcPr>
            <w:tcW w:w="2895" w:type="dxa"/>
          </w:tcPr>
          <w:p w14:paraId="54AF5128" w14:textId="5C71A9DF" w:rsidR="00A4193B" w:rsidRPr="00107644" w:rsidRDefault="008B158E" w:rsidP="00F33424">
            <w:pPr>
              <w:pStyle w:val="TableTextLeft"/>
              <w:rPr>
                <w:rStyle w:val="Strong"/>
              </w:rPr>
            </w:pPr>
            <w:r>
              <w:rPr>
                <w:rStyle w:val="Strong"/>
              </w:rPr>
              <w:t>Office of the Small Business Commissioner (</w:t>
            </w:r>
            <w:r w:rsidR="00A4193B" w:rsidRPr="00107644">
              <w:rPr>
                <w:rStyle w:val="Strong"/>
              </w:rPr>
              <w:t>OSBC</w:t>
            </w:r>
            <w:r>
              <w:rPr>
                <w:rStyle w:val="Strong"/>
              </w:rPr>
              <w:t>)</w:t>
            </w:r>
          </w:p>
          <w:p w14:paraId="18E73A24" w14:textId="63571209" w:rsidR="00A4193B" w:rsidRPr="00D16910" w:rsidRDefault="00A4193B" w:rsidP="00F33424">
            <w:pPr>
              <w:pStyle w:val="TableTextLeft"/>
              <w:rPr>
                <w:szCs w:val="18"/>
              </w:rPr>
            </w:pPr>
            <w:r w:rsidRPr="00D16910">
              <w:rPr>
                <w:szCs w:val="18"/>
              </w:rPr>
              <w:t>Government reporting independent statutory body, with both advisory and dispute resolution functions to manage late payment and unfavourable payment practices in the private sector.</w:t>
            </w:r>
          </w:p>
        </w:tc>
        <w:tc>
          <w:tcPr>
            <w:tcW w:w="2775" w:type="dxa"/>
          </w:tcPr>
          <w:p w14:paraId="79AE4932" w14:textId="77777777" w:rsidR="00A4193B" w:rsidRPr="00757CD2" w:rsidRDefault="00A4193B" w:rsidP="00F33424">
            <w:pPr>
              <w:pStyle w:val="TableTextLeft"/>
              <w:rPr>
                <w:rStyle w:val="Strong"/>
              </w:rPr>
            </w:pPr>
            <w:r w:rsidRPr="00757CD2">
              <w:rPr>
                <w:rStyle w:val="Strong"/>
              </w:rPr>
              <w:t xml:space="preserve">Yes </w:t>
            </w:r>
          </w:p>
          <w:p w14:paraId="2E3B065D" w14:textId="77777777" w:rsidR="00A4193B" w:rsidRPr="00DF6648" w:rsidRDefault="00A4193B" w:rsidP="00F33424">
            <w:pPr>
              <w:pStyle w:val="TableTextLeft"/>
              <w:rPr>
                <w:szCs w:val="18"/>
              </w:rPr>
            </w:pPr>
            <w:r w:rsidRPr="00DF6648">
              <w:rPr>
                <w:szCs w:val="18"/>
              </w:rPr>
              <w:t>Does not have inhouse mediation services.</w:t>
            </w:r>
          </w:p>
          <w:p w14:paraId="296FF9B9" w14:textId="77777777" w:rsidR="00A4193B" w:rsidRPr="00DF6648" w:rsidRDefault="00A4193B" w:rsidP="00F33424">
            <w:pPr>
              <w:pStyle w:val="TableTextLeft"/>
              <w:rPr>
                <w:szCs w:val="18"/>
              </w:rPr>
            </w:pPr>
            <w:r w:rsidRPr="00DF6648">
              <w:rPr>
                <w:szCs w:val="18"/>
              </w:rPr>
              <w:t>Refer to external ADR.</w:t>
            </w:r>
          </w:p>
        </w:tc>
        <w:tc>
          <w:tcPr>
            <w:tcW w:w="2625" w:type="dxa"/>
          </w:tcPr>
          <w:p w14:paraId="47CC032D" w14:textId="77777777" w:rsidR="00A4193B" w:rsidRPr="00757CD2" w:rsidRDefault="00A4193B" w:rsidP="00F33424">
            <w:pPr>
              <w:pStyle w:val="TableTextLeft"/>
              <w:rPr>
                <w:rStyle w:val="Strong"/>
              </w:rPr>
            </w:pPr>
            <w:r w:rsidRPr="00757CD2">
              <w:rPr>
                <w:rStyle w:val="Strong"/>
              </w:rPr>
              <w:t>Yes</w:t>
            </w:r>
          </w:p>
          <w:p w14:paraId="78A2AE6F" w14:textId="77777777" w:rsidR="00A4193B" w:rsidRPr="00DF6648" w:rsidRDefault="00A4193B" w:rsidP="00F33424">
            <w:pPr>
              <w:pStyle w:val="TableTextLeft"/>
              <w:rPr>
                <w:szCs w:val="18"/>
              </w:rPr>
            </w:pPr>
            <w:r w:rsidRPr="00DF6648">
              <w:rPr>
                <w:szCs w:val="18"/>
              </w:rPr>
              <w:t>Conducts awareness campaigns.</w:t>
            </w:r>
          </w:p>
          <w:p w14:paraId="140AD768" w14:textId="77777777" w:rsidR="00A4193B" w:rsidRPr="00DF6648" w:rsidRDefault="00A4193B" w:rsidP="00F33424">
            <w:pPr>
              <w:pStyle w:val="TableTextLeft"/>
              <w:rPr>
                <w:szCs w:val="18"/>
              </w:rPr>
            </w:pPr>
            <w:r w:rsidRPr="00DF6648">
              <w:rPr>
                <w:szCs w:val="18"/>
              </w:rPr>
              <w:t xml:space="preserve">Works with Department for Business and Trade to inform policy decisions. </w:t>
            </w:r>
          </w:p>
        </w:tc>
      </w:tr>
      <w:tr w:rsidR="00A4193B" w:rsidRPr="00D16910" w14:paraId="655956A8" w14:textId="77777777" w:rsidTr="00F709A1">
        <w:trPr>
          <w:cnfStyle w:val="000000010000" w:firstRow="0" w:lastRow="0" w:firstColumn="0" w:lastColumn="0" w:oddVBand="0" w:evenVBand="0" w:oddHBand="0" w:evenHBand="1" w:firstRowFirstColumn="0" w:firstRowLastColumn="0" w:lastRowFirstColumn="0" w:lastRowLastColumn="0"/>
          <w:trHeight w:val="300"/>
        </w:trPr>
        <w:tc>
          <w:tcPr>
            <w:tcW w:w="1650" w:type="dxa"/>
          </w:tcPr>
          <w:p w14:paraId="7346871E" w14:textId="7046F3DC" w:rsidR="00A4193B" w:rsidRPr="00107644" w:rsidRDefault="009D459A" w:rsidP="00F33424">
            <w:pPr>
              <w:pStyle w:val="TableTextLeft"/>
              <w:rPr>
                <w:rStyle w:val="Strong"/>
              </w:rPr>
            </w:pPr>
            <w:r>
              <w:rPr>
                <w:rStyle w:val="Strong"/>
              </w:rPr>
              <w:t>UK</w:t>
            </w:r>
          </w:p>
        </w:tc>
        <w:tc>
          <w:tcPr>
            <w:tcW w:w="2895" w:type="dxa"/>
          </w:tcPr>
          <w:p w14:paraId="73BA762B" w14:textId="072B82B5" w:rsidR="00A4193B" w:rsidRPr="00107644" w:rsidRDefault="009F295D" w:rsidP="00F33424">
            <w:pPr>
              <w:pStyle w:val="TableTextLeft"/>
              <w:rPr>
                <w:rStyle w:val="Strong"/>
              </w:rPr>
            </w:pPr>
            <w:r w:rsidRPr="00E45F8B">
              <w:rPr>
                <w:rStyle w:val="Strong"/>
              </w:rPr>
              <w:t>Financial Ombudsman Service for Small Business (</w:t>
            </w:r>
            <w:r w:rsidR="00A4193B" w:rsidRPr="00107644">
              <w:rPr>
                <w:rStyle w:val="Strong"/>
              </w:rPr>
              <w:t>FOSSB</w:t>
            </w:r>
            <w:r>
              <w:rPr>
                <w:rStyle w:val="Strong"/>
              </w:rPr>
              <w:t>)</w:t>
            </w:r>
          </w:p>
          <w:p w14:paraId="53543B98" w14:textId="44E9B65D" w:rsidR="00A4193B" w:rsidRPr="00D16910" w:rsidRDefault="00A4193B" w:rsidP="00F33424">
            <w:pPr>
              <w:pStyle w:val="TableTextLeft"/>
              <w:rPr>
                <w:szCs w:val="18"/>
              </w:rPr>
            </w:pPr>
            <w:r w:rsidRPr="00D16910">
              <w:rPr>
                <w:szCs w:val="18"/>
              </w:rPr>
              <w:t>Ombudsman that is independent, statutory body, operating on a not</w:t>
            </w:r>
            <w:r w:rsidR="00916FA5">
              <w:rPr>
                <w:szCs w:val="18"/>
              </w:rPr>
              <w:noBreakHyphen/>
            </w:r>
            <w:r w:rsidRPr="00D16910">
              <w:rPr>
                <w:szCs w:val="18"/>
              </w:rPr>
              <w:t>for</w:t>
            </w:r>
            <w:r w:rsidR="00916FA5">
              <w:rPr>
                <w:szCs w:val="18"/>
              </w:rPr>
              <w:noBreakHyphen/>
            </w:r>
            <w:r w:rsidRPr="00D16910">
              <w:rPr>
                <w:szCs w:val="18"/>
              </w:rPr>
              <w:t>profit basis within the regulatory framework. Set up as an informal and free alternative to the courts, resolves things over the phone and in writing.</w:t>
            </w:r>
          </w:p>
        </w:tc>
        <w:tc>
          <w:tcPr>
            <w:tcW w:w="2775" w:type="dxa"/>
          </w:tcPr>
          <w:p w14:paraId="612231EF" w14:textId="55237474" w:rsidR="00A4193B" w:rsidRPr="00B177F4" w:rsidRDefault="00A4193B" w:rsidP="00F33424">
            <w:pPr>
              <w:pStyle w:val="TableTextLeft"/>
              <w:rPr>
                <w:b/>
              </w:rPr>
            </w:pPr>
            <w:r w:rsidRPr="00107644">
              <w:rPr>
                <w:rStyle w:val="Strong"/>
              </w:rPr>
              <w:t xml:space="preserve">Yes </w:t>
            </w:r>
          </w:p>
          <w:p w14:paraId="77E275DD" w14:textId="77777777" w:rsidR="00A4193B" w:rsidRPr="00D16910" w:rsidRDefault="00A4193B" w:rsidP="00F33424">
            <w:pPr>
              <w:pStyle w:val="TableTextLeft"/>
              <w:rPr>
                <w:szCs w:val="18"/>
              </w:rPr>
            </w:pPr>
            <w:r w:rsidRPr="00D16910">
              <w:rPr>
                <w:szCs w:val="18"/>
              </w:rPr>
              <w:t>Conducts independent</w:t>
            </w:r>
            <w:r w:rsidRPr="00DF6648">
              <w:rPr>
                <w:szCs w:val="18"/>
              </w:rPr>
              <w:t xml:space="preserve"> </w:t>
            </w:r>
            <w:r w:rsidRPr="00D16910">
              <w:rPr>
                <w:szCs w:val="18"/>
              </w:rPr>
              <w:t>investigation rather than</w:t>
            </w:r>
            <w:r w:rsidRPr="00DF6648">
              <w:rPr>
                <w:szCs w:val="18"/>
              </w:rPr>
              <w:t xml:space="preserve"> </w:t>
            </w:r>
            <w:r w:rsidRPr="00D16910">
              <w:rPr>
                <w:szCs w:val="18"/>
              </w:rPr>
              <w:t>mediation.</w:t>
            </w:r>
          </w:p>
        </w:tc>
        <w:tc>
          <w:tcPr>
            <w:tcW w:w="2625" w:type="dxa"/>
          </w:tcPr>
          <w:p w14:paraId="6C39161F" w14:textId="6E280E8A" w:rsidR="00A4193B" w:rsidRPr="00B177F4" w:rsidRDefault="00A4193B" w:rsidP="00F33424">
            <w:pPr>
              <w:pStyle w:val="TableTextLeft"/>
              <w:rPr>
                <w:b/>
              </w:rPr>
            </w:pPr>
            <w:r w:rsidRPr="00757CD2">
              <w:rPr>
                <w:rStyle w:val="Strong"/>
              </w:rPr>
              <w:t>Yes</w:t>
            </w:r>
          </w:p>
          <w:p w14:paraId="65129CCB" w14:textId="77777777" w:rsidR="00A4193B" w:rsidRPr="00D16910" w:rsidRDefault="00A4193B" w:rsidP="00F33424">
            <w:pPr>
              <w:pStyle w:val="TableTextLeft"/>
              <w:rPr>
                <w:szCs w:val="18"/>
              </w:rPr>
            </w:pPr>
            <w:r w:rsidRPr="00D16910">
              <w:rPr>
                <w:szCs w:val="18"/>
              </w:rPr>
              <w:t>Guidance to financial</w:t>
            </w:r>
            <w:r w:rsidRPr="00DF6648">
              <w:rPr>
                <w:szCs w:val="18"/>
              </w:rPr>
              <w:t xml:space="preserve"> </w:t>
            </w:r>
            <w:r w:rsidRPr="00D16910">
              <w:rPr>
                <w:szCs w:val="18"/>
              </w:rPr>
              <w:t>firms</w:t>
            </w:r>
            <w:r w:rsidRPr="00DF6648">
              <w:rPr>
                <w:szCs w:val="18"/>
              </w:rPr>
              <w:t>.</w:t>
            </w:r>
          </w:p>
          <w:p w14:paraId="16160991" w14:textId="77777777" w:rsidR="00A4193B" w:rsidRPr="00D16910" w:rsidRDefault="00A4193B" w:rsidP="00F33424">
            <w:pPr>
              <w:pStyle w:val="TableTextLeft"/>
              <w:rPr>
                <w:szCs w:val="18"/>
              </w:rPr>
            </w:pPr>
            <w:r w:rsidRPr="00D16910">
              <w:rPr>
                <w:szCs w:val="18"/>
              </w:rPr>
              <w:t>Publishes reports and</w:t>
            </w:r>
            <w:r w:rsidRPr="00DF6648">
              <w:rPr>
                <w:szCs w:val="18"/>
              </w:rPr>
              <w:t xml:space="preserve"> </w:t>
            </w:r>
            <w:r w:rsidRPr="00D16910">
              <w:rPr>
                <w:szCs w:val="18"/>
              </w:rPr>
              <w:t>statistics on complaints</w:t>
            </w:r>
            <w:r w:rsidRPr="00DF6648">
              <w:rPr>
                <w:szCs w:val="18"/>
              </w:rPr>
              <w:t>.</w:t>
            </w:r>
          </w:p>
          <w:p w14:paraId="6679AFC7" w14:textId="77777777" w:rsidR="00A4193B" w:rsidRPr="00D16910" w:rsidRDefault="00A4193B" w:rsidP="00F33424">
            <w:pPr>
              <w:pStyle w:val="TableTextLeft"/>
              <w:rPr>
                <w:szCs w:val="18"/>
              </w:rPr>
            </w:pPr>
            <w:r w:rsidRPr="00D16910">
              <w:rPr>
                <w:szCs w:val="18"/>
              </w:rPr>
              <w:t>Policy engagement is</w:t>
            </w:r>
            <w:r w:rsidRPr="00DF6648">
              <w:rPr>
                <w:szCs w:val="18"/>
              </w:rPr>
              <w:t xml:space="preserve"> </w:t>
            </w:r>
            <w:r w:rsidRPr="00D16910">
              <w:rPr>
                <w:szCs w:val="18"/>
              </w:rPr>
              <w:t>through discussions with</w:t>
            </w:r>
            <w:r w:rsidRPr="00DF6648">
              <w:rPr>
                <w:szCs w:val="18"/>
              </w:rPr>
              <w:t xml:space="preserve"> </w:t>
            </w:r>
            <w:r w:rsidRPr="00D16910">
              <w:rPr>
                <w:szCs w:val="18"/>
              </w:rPr>
              <w:t>regulatory bodies and</w:t>
            </w:r>
            <w:r w:rsidRPr="00DF6648">
              <w:rPr>
                <w:szCs w:val="18"/>
              </w:rPr>
              <w:t xml:space="preserve"> </w:t>
            </w:r>
            <w:r w:rsidRPr="00D16910">
              <w:rPr>
                <w:szCs w:val="18"/>
              </w:rPr>
              <w:t>industry to highlight issues</w:t>
            </w:r>
            <w:r w:rsidRPr="00DF6648">
              <w:rPr>
                <w:szCs w:val="18"/>
              </w:rPr>
              <w:t xml:space="preserve"> </w:t>
            </w:r>
            <w:r w:rsidRPr="00D16910">
              <w:rPr>
                <w:szCs w:val="18"/>
              </w:rPr>
              <w:t>affecting small businesses.</w:t>
            </w:r>
          </w:p>
        </w:tc>
      </w:tr>
      <w:tr w:rsidR="00A4193B" w:rsidRPr="00D16910" w14:paraId="5225E1AB" w14:textId="77777777" w:rsidTr="00F709A1">
        <w:trPr>
          <w:cnfStyle w:val="000000100000" w:firstRow="0" w:lastRow="0" w:firstColumn="0" w:lastColumn="0" w:oddVBand="0" w:evenVBand="0" w:oddHBand="1" w:evenHBand="0" w:firstRowFirstColumn="0" w:firstRowLastColumn="0" w:lastRowFirstColumn="0" w:lastRowLastColumn="0"/>
          <w:trHeight w:val="300"/>
        </w:trPr>
        <w:tc>
          <w:tcPr>
            <w:tcW w:w="1650" w:type="dxa"/>
          </w:tcPr>
          <w:p w14:paraId="2F5E646B" w14:textId="77777777" w:rsidR="00A4193B" w:rsidRPr="00107644" w:rsidRDefault="00A4193B" w:rsidP="00F33424">
            <w:pPr>
              <w:pStyle w:val="TableTextLeft"/>
              <w:rPr>
                <w:rStyle w:val="Strong"/>
              </w:rPr>
            </w:pPr>
            <w:r w:rsidRPr="00107644">
              <w:rPr>
                <w:rStyle w:val="Strong"/>
              </w:rPr>
              <w:t>Canada</w:t>
            </w:r>
          </w:p>
        </w:tc>
        <w:tc>
          <w:tcPr>
            <w:tcW w:w="2895" w:type="dxa"/>
          </w:tcPr>
          <w:p w14:paraId="533F1A3D" w14:textId="19C25871" w:rsidR="00A4193B" w:rsidRPr="00107644" w:rsidRDefault="009F295D" w:rsidP="00F33424">
            <w:pPr>
              <w:pStyle w:val="TableTextLeft"/>
              <w:rPr>
                <w:rStyle w:val="Strong"/>
              </w:rPr>
            </w:pPr>
            <w:r w:rsidRPr="00067E5F">
              <w:rPr>
                <w:rStyle w:val="Strong"/>
              </w:rPr>
              <w:t>Office of Procurement Ombudsman (</w:t>
            </w:r>
            <w:r w:rsidR="00A4193B" w:rsidRPr="00107644">
              <w:rPr>
                <w:rStyle w:val="Strong"/>
              </w:rPr>
              <w:t>OPO</w:t>
            </w:r>
            <w:r>
              <w:rPr>
                <w:rStyle w:val="Strong"/>
              </w:rPr>
              <w:t>)</w:t>
            </w:r>
          </w:p>
          <w:p w14:paraId="36DE66EF" w14:textId="77777777" w:rsidR="00A4193B" w:rsidRPr="00D16910" w:rsidRDefault="00A4193B" w:rsidP="00F33424">
            <w:pPr>
              <w:pStyle w:val="TableTextLeft"/>
              <w:rPr>
                <w:szCs w:val="18"/>
              </w:rPr>
            </w:pPr>
            <w:r w:rsidRPr="00D16910">
              <w:rPr>
                <w:szCs w:val="18"/>
              </w:rPr>
              <w:t>Ombudsman that is independent with dispute resolution to help resolve contracting disputes between businesses and the federal government.</w:t>
            </w:r>
          </w:p>
        </w:tc>
        <w:tc>
          <w:tcPr>
            <w:tcW w:w="2775" w:type="dxa"/>
          </w:tcPr>
          <w:p w14:paraId="13E2701B" w14:textId="3A1083A8" w:rsidR="00A4193B" w:rsidRPr="00B177F4" w:rsidRDefault="00A4193B" w:rsidP="00F33424">
            <w:pPr>
              <w:pStyle w:val="TableTextLeft"/>
              <w:rPr>
                <w:b/>
              </w:rPr>
            </w:pPr>
            <w:r w:rsidRPr="00107644">
              <w:rPr>
                <w:rStyle w:val="Strong"/>
              </w:rPr>
              <w:t xml:space="preserve">Yes </w:t>
            </w:r>
          </w:p>
          <w:p w14:paraId="70F38310" w14:textId="77777777" w:rsidR="00A4193B" w:rsidRPr="00D16910" w:rsidRDefault="00A4193B" w:rsidP="00F33424">
            <w:pPr>
              <w:pStyle w:val="TableTextLeft"/>
              <w:rPr>
                <w:szCs w:val="18"/>
              </w:rPr>
            </w:pPr>
            <w:r w:rsidRPr="00D16910">
              <w:rPr>
                <w:szCs w:val="18"/>
              </w:rPr>
              <w:t>Inhouse ADR for suppliers</w:t>
            </w:r>
            <w:r w:rsidRPr="00DF6648">
              <w:rPr>
                <w:szCs w:val="18"/>
              </w:rPr>
              <w:t xml:space="preserve"> </w:t>
            </w:r>
            <w:r w:rsidRPr="00D16910">
              <w:rPr>
                <w:szCs w:val="18"/>
              </w:rPr>
              <w:t>and federal departments.</w:t>
            </w:r>
          </w:p>
        </w:tc>
        <w:tc>
          <w:tcPr>
            <w:tcW w:w="2625" w:type="dxa"/>
          </w:tcPr>
          <w:p w14:paraId="6B340579" w14:textId="452EA877" w:rsidR="00A4193B" w:rsidRPr="00B177F4" w:rsidRDefault="00A4193B" w:rsidP="00F33424">
            <w:pPr>
              <w:pStyle w:val="TableTextLeft"/>
              <w:rPr>
                <w:b/>
              </w:rPr>
            </w:pPr>
            <w:r w:rsidRPr="00757CD2">
              <w:rPr>
                <w:rStyle w:val="Strong"/>
              </w:rPr>
              <w:t>Yes</w:t>
            </w:r>
          </w:p>
          <w:p w14:paraId="45C2E54C" w14:textId="77777777" w:rsidR="00A4193B" w:rsidRPr="00DF6648" w:rsidRDefault="00A4193B" w:rsidP="00F33424">
            <w:pPr>
              <w:pStyle w:val="TableTextLeft"/>
              <w:rPr>
                <w:szCs w:val="18"/>
              </w:rPr>
            </w:pPr>
            <w:r w:rsidRPr="00D16910">
              <w:rPr>
                <w:szCs w:val="18"/>
              </w:rPr>
              <w:t>Review of federal</w:t>
            </w:r>
            <w:r w:rsidRPr="00DF6648">
              <w:rPr>
                <w:szCs w:val="18"/>
              </w:rPr>
              <w:t xml:space="preserve"> </w:t>
            </w:r>
            <w:r w:rsidRPr="00D16910">
              <w:rPr>
                <w:szCs w:val="18"/>
              </w:rPr>
              <w:t>departments procurement</w:t>
            </w:r>
            <w:r w:rsidRPr="00DF6648">
              <w:rPr>
                <w:szCs w:val="18"/>
              </w:rPr>
              <w:t xml:space="preserve"> </w:t>
            </w:r>
            <w:r w:rsidRPr="00D16910">
              <w:rPr>
                <w:szCs w:val="18"/>
              </w:rPr>
              <w:t>practices</w:t>
            </w:r>
            <w:r w:rsidRPr="00DF6648">
              <w:rPr>
                <w:szCs w:val="18"/>
              </w:rPr>
              <w:t>.</w:t>
            </w:r>
          </w:p>
          <w:p w14:paraId="60E375A4" w14:textId="77777777" w:rsidR="00A4193B" w:rsidRPr="00D16910" w:rsidRDefault="00A4193B" w:rsidP="00F33424">
            <w:pPr>
              <w:pStyle w:val="TableTextLeft"/>
              <w:rPr>
                <w:szCs w:val="18"/>
              </w:rPr>
            </w:pPr>
            <w:r w:rsidRPr="00D16910">
              <w:rPr>
                <w:szCs w:val="18"/>
              </w:rPr>
              <w:t>Publishes reports and</w:t>
            </w:r>
            <w:r w:rsidRPr="00DF6648">
              <w:rPr>
                <w:szCs w:val="18"/>
              </w:rPr>
              <w:t xml:space="preserve"> </w:t>
            </w:r>
            <w:r w:rsidRPr="00D16910">
              <w:rPr>
                <w:szCs w:val="18"/>
              </w:rPr>
              <w:t>studies on procurement</w:t>
            </w:r>
            <w:r w:rsidRPr="00DF6648">
              <w:rPr>
                <w:szCs w:val="18"/>
              </w:rPr>
              <w:t>.</w:t>
            </w:r>
          </w:p>
          <w:p w14:paraId="1124F709" w14:textId="77777777" w:rsidR="00A4193B" w:rsidRPr="00D16910" w:rsidRDefault="00A4193B" w:rsidP="00F33424">
            <w:pPr>
              <w:pStyle w:val="TableTextLeft"/>
              <w:rPr>
                <w:szCs w:val="18"/>
              </w:rPr>
            </w:pPr>
            <w:r w:rsidRPr="00D16910">
              <w:rPr>
                <w:szCs w:val="18"/>
              </w:rPr>
              <w:t>Outreach and engagement</w:t>
            </w:r>
            <w:r w:rsidRPr="00DF6648">
              <w:rPr>
                <w:szCs w:val="18"/>
              </w:rPr>
              <w:t xml:space="preserve"> </w:t>
            </w:r>
            <w:r w:rsidRPr="00D16910">
              <w:rPr>
                <w:szCs w:val="18"/>
              </w:rPr>
              <w:t>with suppliers.</w:t>
            </w:r>
          </w:p>
        </w:tc>
      </w:tr>
      <w:tr w:rsidR="00A4193B" w:rsidRPr="00D16910" w14:paraId="62C1EFDB" w14:textId="77777777" w:rsidTr="00F709A1">
        <w:trPr>
          <w:cnfStyle w:val="000000010000" w:firstRow="0" w:lastRow="0" w:firstColumn="0" w:lastColumn="0" w:oddVBand="0" w:evenVBand="0" w:oddHBand="0" w:evenHBand="1" w:firstRowFirstColumn="0" w:firstRowLastColumn="0" w:lastRowFirstColumn="0" w:lastRowLastColumn="0"/>
          <w:trHeight w:val="300"/>
        </w:trPr>
        <w:tc>
          <w:tcPr>
            <w:tcW w:w="1650" w:type="dxa"/>
          </w:tcPr>
          <w:p w14:paraId="124F4F51" w14:textId="3B2031EA" w:rsidR="00A4193B" w:rsidRPr="00107644" w:rsidRDefault="009D459A" w:rsidP="00F33424">
            <w:pPr>
              <w:pStyle w:val="TableTextLeft"/>
              <w:rPr>
                <w:rStyle w:val="Strong"/>
              </w:rPr>
            </w:pPr>
            <w:r>
              <w:rPr>
                <w:rStyle w:val="Strong"/>
              </w:rPr>
              <w:t>US</w:t>
            </w:r>
          </w:p>
        </w:tc>
        <w:tc>
          <w:tcPr>
            <w:tcW w:w="2895" w:type="dxa"/>
          </w:tcPr>
          <w:p w14:paraId="07A28303" w14:textId="39607257" w:rsidR="00A4193B" w:rsidRPr="00107644" w:rsidRDefault="00C66658" w:rsidP="00F33424">
            <w:pPr>
              <w:pStyle w:val="TableTextLeft"/>
              <w:rPr>
                <w:rStyle w:val="Strong"/>
              </w:rPr>
            </w:pPr>
            <w:r w:rsidRPr="00067E5F">
              <w:rPr>
                <w:rStyle w:val="Strong"/>
              </w:rPr>
              <w:t>Office of the National Ombudsman</w:t>
            </w:r>
            <w:r w:rsidR="007C4AE8" w:rsidRPr="00067E5F">
              <w:rPr>
                <w:rStyle w:val="Strong"/>
              </w:rPr>
              <w:t xml:space="preserve"> (</w:t>
            </w:r>
            <w:r w:rsidR="00A4193B" w:rsidRPr="00107644">
              <w:rPr>
                <w:rStyle w:val="Strong"/>
              </w:rPr>
              <w:t>ONO</w:t>
            </w:r>
            <w:r w:rsidR="007C4AE8">
              <w:rPr>
                <w:rStyle w:val="Strong"/>
              </w:rPr>
              <w:t>)</w:t>
            </w:r>
            <w:r w:rsidR="00A4193B" w:rsidRPr="00107644">
              <w:rPr>
                <w:rStyle w:val="Strong"/>
              </w:rPr>
              <w:t xml:space="preserve"> within the </w:t>
            </w:r>
            <w:r w:rsidR="007C4AE8" w:rsidRPr="00067E5F">
              <w:rPr>
                <w:rStyle w:val="Strong"/>
              </w:rPr>
              <w:t>Small Business Administration (</w:t>
            </w:r>
            <w:r w:rsidR="00A4193B" w:rsidRPr="00107644">
              <w:rPr>
                <w:rStyle w:val="Strong"/>
              </w:rPr>
              <w:t>SBA</w:t>
            </w:r>
            <w:r w:rsidR="007C4AE8">
              <w:rPr>
                <w:rStyle w:val="Strong"/>
              </w:rPr>
              <w:t>)</w:t>
            </w:r>
          </w:p>
          <w:p w14:paraId="0088C07E" w14:textId="77777777" w:rsidR="00A4193B" w:rsidRPr="00D16910" w:rsidRDefault="00A4193B" w:rsidP="00F33424">
            <w:pPr>
              <w:pStyle w:val="TableTextLeft"/>
              <w:rPr>
                <w:szCs w:val="18"/>
              </w:rPr>
            </w:pPr>
            <w:r w:rsidRPr="00D16910">
              <w:rPr>
                <w:szCs w:val="18"/>
              </w:rPr>
              <w:t xml:space="preserve">Federal advocacy and case management agency with focus on regulation. </w:t>
            </w:r>
          </w:p>
          <w:p w14:paraId="194D504E" w14:textId="6D24032F" w:rsidR="00A4193B" w:rsidRPr="00D16910" w:rsidRDefault="00A4193B" w:rsidP="00F33424">
            <w:pPr>
              <w:pStyle w:val="TableTextLeft"/>
              <w:rPr>
                <w:szCs w:val="18"/>
              </w:rPr>
            </w:pPr>
            <w:r w:rsidRPr="00D16910">
              <w:rPr>
                <w:szCs w:val="18"/>
              </w:rPr>
              <w:t>SBA</w:t>
            </w:r>
            <w:r w:rsidR="00916FA5">
              <w:rPr>
                <w:szCs w:val="18"/>
              </w:rPr>
              <w:t>’</w:t>
            </w:r>
            <w:r w:rsidRPr="00D16910">
              <w:rPr>
                <w:szCs w:val="18"/>
              </w:rPr>
              <w:t xml:space="preserve">s </w:t>
            </w:r>
            <w:r>
              <w:rPr>
                <w:szCs w:val="18"/>
              </w:rPr>
              <w:t xml:space="preserve">Office of Advocacy </w:t>
            </w:r>
            <w:r w:rsidRPr="00D16910">
              <w:rPr>
                <w:szCs w:val="18"/>
              </w:rPr>
              <w:t>include</w:t>
            </w:r>
            <w:r>
              <w:rPr>
                <w:szCs w:val="18"/>
              </w:rPr>
              <w:t>s</w:t>
            </w:r>
            <w:r w:rsidRPr="00D16910">
              <w:rPr>
                <w:szCs w:val="18"/>
              </w:rPr>
              <w:t xml:space="preserve"> advocacy (amplify the voice of small business owners in the regulatory space) and </w:t>
            </w:r>
            <w:r w:rsidRPr="00606391">
              <w:rPr>
                <w:szCs w:val="18"/>
              </w:rPr>
              <w:t>Office of the</w:t>
            </w:r>
            <w:r>
              <w:rPr>
                <w:szCs w:val="18"/>
              </w:rPr>
              <w:t xml:space="preserve"> </w:t>
            </w:r>
            <w:r w:rsidRPr="00606391">
              <w:rPr>
                <w:szCs w:val="18"/>
              </w:rPr>
              <w:t>National Ombudsman</w:t>
            </w:r>
            <w:r w:rsidRPr="00D16910">
              <w:rPr>
                <w:szCs w:val="18"/>
              </w:rPr>
              <w:t xml:space="preserve"> (help small businesses when they experience excessive or unfair federal regulatory</w:t>
            </w:r>
            <w:r>
              <w:rPr>
                <w:szCs w:val="18"/>
              </w:rPr>
              <w:t xml:space="preserve"> </w:t>
            </w:r>
            <w:r w:rsidRPr="00D16910">
              <w:rPr>
                <w:szCs w:val="18"/>
              </w:rPr>
              <w:t>enforcement actions).</w:t>
            </w:r>
          </w:p>
        </w:tc>
        <w:tc>
          <w:tcPr>
            <w:tcW w:w="2775" w:type="dxa"/>
          </w:tcPr>
          <w:p w14:paraId="0D16ED81" w14:textId="02F4B475" w:rsidR="00A4193B" w:rsidRPr="00D16910" w:rsidRDefault="00A4193B" w:rsidP="00F33424">
            <w:pPr>
              <w:pStyle w:val="TableTextLeft"/>
              <w:rPr>
                <w:szCs w:val="18"/>
              </w:rPr>
            </w:pPr>
            <w:r w:rsidRPr="00107644">
              <w:rPr>
                <w:rStyle w:val="Strong"/>
              </w:rPr>
              <w:t>Yes</w:t>
            </w:r>
            <w:r w:rsidRPr="00D16910">
              <w:rPr>
                <w:szCs w:val="18"/>
              </w:rPr>
              <w:t xml:space="preserve"> – independently through </w:t>
            </w:r>
            <w:r w:rsidR="00F33287">
              <w:rPr>
                <w:szCs w:val="18"/>
              </w:rPr>
              <w:t>ONO</w:t>
            </w:r>
            <w:r w:rsidR="00F3075F">
              <w:rPr>
                <w:szCs w:val="18"/>
              </w:rPr>
              <w:t>.</w:t>
            </w:r>
          </w:p>
          <w:p w14:paraId="43A21C8B" w14:textId="77777777" w:rsidR="00A4193B" w:rsidRPr="00D16910" w:rsidRDefault="00A4193B" w:rsidP="00F33424">
            <w:pPr>
              <w:pStyle w:val="TableTextLeft"/>
              <w:rPr>
                <w:szCs w:val="18"/>
              </w:rPr>
            </w:pPr>
            <w:r w:rsidRPr="00D16910">
              <w:rPr>
                <w:szCs w:val="18"/>
              </w:rPr>
              <w:t>Resolving regulatory issues.</w:t>
            </w:r>
          </w:p>
        </w:tc>
        <w:tc>
          <w:tcPr>
            <w:tcW w:w="2625" w:type="dxa"/>
          </w:tcPr>
          <w:p w14:paraId="6945B01B" w14:textId="0AD04E67" w:rsidR="00A4193B" w:rsidRPr="00D16910" w:rsidRDefault="00A4193B" w:rsidP="00F33424">
            <w:pPr>
              <w:pStyle w:val="TableTextLeft"/>
              <w:rPr>
                <w:szCs w:val="18"/>
              </w:rPr>
            </w:pPr>
            <w:r w:rsidRPr="00833D5F">
              <w:rPr>
                <w:szCs w:val="18"/>
              </w:rPr>
              <w:t>Yes</w:t>
            </w:r>
            <w:r w:rsidRPr="00D16910">
              <w:rPr>
                <w:bCs/>
                <w:szCs w:val="18"/>
              </w:rPr>
              <w:t xml:space="preserve"> </w:t>
            </w:r>
            <w:r w:rsidRPr="00D16910">
              <w:rPr>
                <w:szCs w:val="18"/>
              </w:rPr>
              <w:t>– independently</w:t>
            </w:r>
            <w:r w:rsidR="00B177F4">
              <w:rPr>
                <w:szCs w:val="18"/>
              </w:rPr>
              <w:t xml:space="preserve"> </w:t>
            </w:r>
            <w:r w:rsidRPr="00D16910">
              <w:rPr>
                <w:szCs w:val="18"/>
              </w:rPr>
              <w:t>through Office of</w:t>
            </w:r>
            <w:r w:rsidR="00B177F4">
              <w:rPr>
                <w:szCs w:val="18"/>
              </w:rPr>
              <w:t xml:space="preserve"> </w:t>
            </w:r>
            <w:r w:rsidRPr="00D16910">
              <w:rPr>
                <w:szCs w:val="18"/>
              </w:rPr>
              <w:t>Advocacy.</w:t>
            </w:r>
          </w:p>
          <w:p w14:paraId="3181FC89" w14:textId="77777777" w:rsidR="00A4193B" w:rsidRPr="00D16910" w:rsidRDefault="00A4193B" w:rsidP="00F33424">
            <w:pPr>
              <w:pStyle w:val="TableTextLeft"/>
              <w:rPr>
                <w:szCs w:val="18"/>
              </w:rPr>
            </w:pPr>
            <w:r w:rsidRPr="00D16910">
              <w:rPr>
                <w:szCs w:val="18"/>
              </w:rPr>
              <w:t>Influencing policy and</w:t>
            </w:r>
            <w:r w:rsidRPr="00DF6648">
              <w:rPr>
                <w:szCs w:val="18"/>
              </w:rPr>
              <w:t xml:space="preserve"> </w:t>
            </w:r>
            <w:r w:rsidRPr="00D16910">
              <w:rPr>
                <w:szCs w:val="18"/>
              </w:rPr>
              <w:t>regulatory environment.</w:t>
            </w:r>
          </w:p>
        </w:tc>
      </w:tr>
    </w:tbl>
    <w:p w14:paraId="33AA127F" w14:textId="77777777" w:rsidR="00107644" w:rsidRDefault="00107644">
      <w:pPr>
        <w:spacing w:before="0" w:after="160" w:line="259" w:lineRule="auto"/>
      </w:pPr>
      <w:r>
        <w:br w:type="page"/>
      </w:r>
    </w:p>
    <w:tbl>
      <w:tblPr>
        <w:tblStyle w:val="TableGrid"/>
        <w:tblW w:w="5000" w:type="pct"/>
        <w:tblLayout w:type="fixed"/>
        <w:tblLook w:val="04A0" w:firstRow="1" w:lastRow="0" w:firstColumn="1" w:lastColumn="0" w:noHBand="0" w:noVBand="1"/>
      </w:tblPr>
      <w:tblGrid>
        <w:gridCol w:w="1512"/>
        <w:gridCol w:w="2637"/>
        <w:gridCol w:w="2528"/>
        <w:gridCol w:w="2393"/>
      </w:tblGrid>
      <w:tr w:rsidR="00107644" w:rsidRPr="00D16910" w14:paraId="44B95F46" w14:textId="77777777" w:rsidTr="00F709A1">
        <w:trPr>
          <w:cnfStyle w:val="100000000000" w:firstRow="1" w:lastRow="0" w:firstColumn="0" w:lastColumn="0" w:oddVBand="0" w:evenVBand="0" w:oddHBand="0" w:evenHBand="0" w:firstRowFirstColumn="0" w:firstRowLastColumn="0" w:lastRowFirstColumn="0" w:lastRowLastColumn="0"/>
          <w:trHeight w:val="300"/>
        </w:trPr>
        <w:tc>
          <w:tcPr>
            <w:tcW w:w="1650" w:type="dxa"/>
          </w:tcPr>
          <w:p w14:paraId="38CBDB25" w14:textId="77777777" w:rsidR="00107644" w:rsidRPr="00D16910" w:rsidRDefault="00107644" w:rsidP="008F2A90">
            <w:pPr>
              <w:pStyle w:val="TableColumnHeadingLeft"/>
            </w:pPr>
            <w:r w:rsidRPr="00D16910">
              <w:lastRenderedPageBreak/>
              <w:t>Country</w:t>
            </w:r>
          </w:p>
        </w:tc>
        <w:tc>
          <w:tcPr>
            <w:tcW w:w="2895" w:type="dxa"/>
          </w:tcPr>
          <w:p w14:paraId="7FA2F999" w14:textId="77777777" w:rsidR="00107644" w:rsidRPr="00D16910" w:rsidRDefault="00107644" w:rsidP="008F2A90">
            <w:pPr>
              <w:pStyle w:val="TableColumnHeadingLeft"/>
            </w:pPr>
            <w:r w:rsidRPr="00D16910">
              <w:rPr>
                <w:bCs/>
              </w:rPr>
              <w:t>Agency</w:t>
            </w:r>
          </w:p>
        </w:tc>
        <w:tc>
          <w:tcPr>
            <w:tcW w:w="2775" w:type="dxa"/>
          </w:tcPr>
          <w:p w14:paraId="2A4E56A6" w14:textId="77777777" w:rsidR="00107644" w:rsidRPr="00D16910" w:rsidRDefault="00107644" w:rsidP="008F2A90">
            <w:pPr>
              <w:pStyle w:val="TableColumnHeadingLeft"/>
            </w:pPr>
            <w:r w:rsidRPr="00D16910">
              <w:rPr>
                <w:bCs/>
              </w:rPr>
              <w:t>Assistance</w:t>
            </w:r>
          </w:p>
        </w:tc>
        <w:tc>
          <w:tcPr>
            <w:tcW w:w="2625" w:type="dxa"/>
          </w:tcPr>
          <w:p w14:paraId="1A5EDFB8" w14:textId="77777777" w:rsidR="00107644" w:rsidRPr="00D16910" w:rsidRDefault="00107644" w:rsidP="008F2A90">
            <w:pPr>
              <w:pStyle w:val="TableColumnHeadingLeft"/>
            </w:pPr>
            <w:r w:rsidRPr="00D16910">
              <w:rPr>
                <w:bCs/>
              </w:rPr>
              <w:t>Advocacy</w:t>
            </w:r>
          </w:p>
        </w:tc>
      </w:tr>
      <w:tr w:rsidR="00C46847" w:rsidRPr="00D16910" w14:paraId="4503AC43" w14:textId="77777777" w:rsidTr="00F709A1">
        <w:trPr>
          <w:cnfStyle w:val="000000100000" w:firstRow="0" w:lastRow="0" w:firstColumn="0" w:lastColumn="0" w:oddVBand="0" w:evenVBand="0" w:oddHBand="1" w:evenHBand="0" w:firstRowFirstColumn="0" w:firstRowLastColumn="0" w:lastRowFirstColumn="0" w:lastRowLastColumn="0"/>
          <w:trHeight w:val="300"/>
        </w:trPr>
        <w:tc>
          <w:tcPr>
            <w:tcW w:w="1650" w:type="dxa"/>
          </w:tcPr>
          <w:p w14:paraId="208F376E" w14:textId="4A314F2D" w:rsidR="00C46847" w:rsidRPr="00757CD2" w:rsidRDefault="00FA1FFD" w:rsidP="00C46847">
            <w:pPr>
              <w:pStyle w:val="TableTextLeft"/>
              <w:rPr>
                <w:rStyle w:val="Strong"/>
              </w:rPr>
            </w:pPr>
            <w:r>
              <w:rPr>
                <w:rStyle w:val="Strong"/>
              </w:rPr>
              <w:t>US</w:t>
            </w:r>
          </w:p>
        </w:tc>
        <w:tc>
          <w:tcPr>
            <w:tcW w:w="2895" w:type="dxa"/>
          </w:tcPr>
          <w:p w14:paraId="314E4603" w14:textId="77777777" w:rsidR="00C46847" w:rsidRPr="00757CD2" w:rsidRDefault="00C46847" w:rsidP="00C46847">
            <w:pPr>
              <w:pStyle w:val="TableTextLeft"/>
              <w:rPr>
                <w:rStyle w:val="Strong"/>
              </w:rPr>
            </w:pPr>
            <w:r w:rsidRPr="00466AB7">
              <w:rPr>
                <w:rStyle w:val="Strong"/>
              </w:rPr>
              <w:t>The Asbestos and Small Business Ombudsman (ASBO)</w:t>
            </w:r>
            <w:r w:rsidRPr="00757CD2">
              <w:rPr>
                <w:rStyle w:val="Strong"/>
              </w:rPr>
              <w:t> </w:t>
            </w:r>
          </w:p>
          <w:p w14:paraId="22E0ACC5" w14:textId="77777777" w:rsidR="00C46847" w:rsidRDefault="00C46847" w:rsidP="00C46847">
            <w:pPr>
              <w:pStyle w:val="TableTextLeft"/>
              <w:rPr>
                <w:rFonts w:cs="Calibri"/>
                <w:sz w:val="16"/>
                <w:szCs w:val="16"/>
                <w:lang w:val="en-US"/>
              </w:rPr>
            </w:pPr>
            <w:r w:rsidRPr="00CC0625">
              <w:rPr>
                <w:szCs w:val="18"/>
              </w:rPr>
              <w:t xml:space="preserve">Program within the </w:t>
            </w:r>
            <w:r w:rsidRPr="00CC0625">
              <w:rPr>
                <w:szCs w:val="18"/>
                <w:lang w:val="en-US"/>
              </w:rPr>
              <w:t>the U.S. Environmental Protection Agency (</w:t>
            </w:r>
            <w:r w:rsidRPr="004C749D">
              <w:rPr>
                <w:b/>
                <w:szCs w:val="18"/>
                <w:lang w:val="en-US"/>
              </w:rPr>
              <w:t>EPA</w:t>
            </w:r>
            <w:r w:rsidRPr="00CC0625">
              <w:rPr>
                <w:szCs w:val="18"/>
                <w:lang w:val="en-US"/>
              </w:rPr>
              <w:t>) that has two distinct roles, Asbestos Ombudsman and Small Business Ombudsman.</w:t>
            </w:r>
            <w:r w:rsidRPr="00CC0625">
              <w:rPr>
                <w:rFonts w:cs="Calibri"/>
                <w:sz w:val="16"/>
                <w:szCs w:val="16"/>
                <w:lang w:val="en-US"/>
              </w:rPr>
              <w:t xml:space="preserve"> </w:t>
            </w:r>
          </w:p>
          <w:p w14:paraId="2050C694" w14:textId="6085006C" w:rsidR="00C46847" w:rsidRPr="002C43BF" w:rsidRDefault="00C46847" w:rsidP="00C46847">
            <w:pPr>
              <w:pStyle w:val="TableTextLeft"/>
              <w:rPr>
                <w:rFonts w:cs="Calibri"/>
                <w:szCs w:val="18"/>
              </w:rPr>
            </w:pPr>
            <w:r w:rsidRPr="002C43BF">
              <w:rPr>
                <w:rFonts w:cs="Calibri"/>
                <w:szCs w:val="18"/>
                <w:lang w:val="en-US"/>
              </w:rPr>
              <w:t>The ASBO helps make technical resources on environmental regulations, asbestos, and compliance assistance information more accessible. The ASBO also fosters partnership opportunities for collaboration to assist small businesses in achieving their environmental performance goals and to address asbestos</w:t>
            </w:r>
            <w:r>
              <w:rPr>
                <w:rFonts w:cs="Calibri"/>
                <w:szCs w:val="18"/>
                <w:lang w:val="en-US"/>
              </w:rPr>
              <w:noBreakHyphen/>
            </w:r>
            <w:r w:rsidRPr="002C43BF">
              <w:rPr>
                <w:rFonts w:cs="Calibri"/>
                <w:szCs w:val="18"/>
                <w:lang w:val="en-US"/>
              </w:rPr>
              <w:t>related questions.</w:t>
            </w:r>
          </w:p>
        </w:tc>
        <w:tc>
          <w:tcPr>
            <w:tcW w:w="2775" w:type="dxa"/>
          </w:tcPr>
          <w:p w14:paraId="6D620DA4" w14:textId="77777777" w:rsidR="00C46847" w:rsidRDefault="00C46847" w:rsidP="00C46847">
            <w:pPr>
              <w:pStyle w:val="TableTextLeft"/>
              <w:rPr>
                <w:rFonts w:cs="Calibri"/>
                <w:b/>
                <w:szCs w:val="18"/>
              </w:rPr>
            </w:pPr>
            <w:r w:rsidRPr="00F33424">
              <w:rPr>
                <w:rFonts w:cs="Calibri"/>
                <w:b/>
                <w:szCs w:val="18"/>
              </w:rPr>
              <w:t>Yes</w:t>
            </w:r>
          </w:p>
          <w:p w14:paraId="65B23FF7" w14:textId="77777777" w:rsidR="00C46847" w:rsidRPr="00987099" w:rsidRDefault="00C46847" w:rsidP="00C46847">
            <w:pPr>
              <w:pStyle w:val="TableTextLeft"/>
              <w:rPr>
                <w:rFonts w:cs="Calibri Light"/>
                <w:b/>
                <w:szCs w:val="18"/>
              </w:rPr>
            </w:pPr>
            <w:r w:rsidRPr="00987099">
              <w:rPr>
                <w:rFonts w:cs="Calibri Light"/>
                <w:bCs/>
                <w:szCs w:val="18"/>
              </w:rPr>
              <w:t>Liaison and offer information guidance.</w:t>
            </w:r>
          </w:p>
          <w:p w14:paraId="024CDC72" w14:textId="77777777" w:rsidR="00C46847" w:rsidRDefault="00C46847" w:rsidP="00C46847">
            <w:pPr>
              <w:pStyle w:val="TableTextLeft"/>
              <w:rPr>
                <w:rFonts w:cs="Calibri"/>
                <w:b/>
                <w:szCs w:val="18"/>
              </w:rPr>
            </w:pPr>
            <w:r>
              <w:rPr>
                <w:rFonts w:cs="Calibri"/>
                <w:b/>
                <w:szCs w:val="18"/>
              </w:rPr>
              <w:t>No</w:t>
            </w:r>
          </w:p>
          <w:p w14:paraId="55DEDA68" w14:textId="59B1C29A" w:rsidR="00C46847" w:rsidRPr="00757CD2" w:rsidRDefault="00C46847" w:rsidP="00C46847">
            <w:pPr>
              <w:pStyle w:val="TableTextLeft"/>
              <w:rPr>
                <w:rStyle w:val="Strong"/>
              </w:rPr>
            </w:pPr>
            <w:r w:rsidRPr="00987099">
              <w:rPr>
                <w:rFonts w:cs="Calibri Light"/>
                <w:bCs/>
                <w:szCs w:val="18"/>
              </w:rPr>
              <w:t>Inhouse mediation, they do not mediate disputes.</w:t>
            </w:r>
          </w:p>
        </w:tc>
        <w:tc>
          <w:tcPr>
            <w:tcW w:w="2625" w:type="dxa"/>
          </w:tcPr>
          <w:p w14:paraId="12E3B176" w14:textId="77777777" w:rsidR="00C46847" w:rsidRDefault="00C46847" w:rsidP="00C46847">
            <w:pPr>
              <w:pStyle w:val="TableTextLeft"/>
              <w:rPr>
                <w:rFonts w:cs="Calibri"/>
                <w:b/>
                <w:szCs w:val="18"/>
              </w:rPr>
            </w:pPr>
            <w:r w:rsidRPr="00F33424">
              <w:rPr>
                <w:rFonts w:cs="Calibri"/>
                <w:b/>
                <w:szCs w:val="18"/>
              </w:rPr>
              <w:t>Yes</w:t>
            </w:r>
          </w:p>
          <w:p w14:paraId="616D9BED" w14:textId="6CB5EF9C" w:rsidR="00C46847" w:rsidRPr="00757CD2" w:rsidRDefault="00C46847" w:rsidP="00C46847">
            <w:pPr>
              <w:pStyle w:val="TableTextLeft"/>
              <w:rPr>
                <w:rStyle w:val="Strong"/>
              </w:rPr>
            </w:pPr>
            <w:r w:rsidRPr="00987099">
              <w:rPr>
                <w:rFonts w:cs="Calibri Light"/>
                <w:bCs/>
                <w:szCs w:val="18"/>
              </w:rPr>
              <w:t>Advocates for small business interest during the EPA’s rulemaking process.</w:t>
            </w:r>
          </w:p>
        </w:tc>
      </w:tr>
      <w:tr w:rsidR="00107644" w:rsidRPr="00D16910" w14:paraId="1F1F862F" w14:textId="77777777" w:rsidTr="00F709A1">
        <w:trPr>
          <w:cnfStyle w:val="000000010000" w:firstRow="0" w:lastRow="0" w:firstColumn="0" w:lastColumn="0" w:oddVBand="0" w:evenVBand="0" w:oddHBand="0" w:evenHBand="1" w:firstRowFirstColumn="0" w:firstRowLastColumn="0" w:lastRowFirstColumn="0" w:lastRowLastColumn="0"/>
          <w:trHeight w:val="300"/>
        </w:trPr>
        <w:tc>
          <w:tcPr>
            <w:tcW w:w="1650" w:type="dxa"/>
          </w:tcPr>
          <w:p w14:paraId="38F46606" w14:textId="77777777" w:rsidR="00107644" w:rsidRPr="00757CD2" w:rsidRDefault="00107644" w:rsidP="008F2A90">
            <w:pPr>
              <w:pStyle w:val="TableTextLeft"/>
              <w:rPr>
                <w:rStyle w:val="Strong"/>
              </w:rPr>
            </w:pPr>
            <w:r w:rsidRPr="00757CD2">
              <w:rPr>
                <w:rStyle w:val="Strong"/>
              </w:rPr>
              <w:t>New Zealand</w:t>
            </w:r>
          </w:p>
        </w:tc>
        <w:tc>
          <w:tcPr>
            <w:tcW w:w="2895" w:type="dxa"/>
          </w:tcPr>
          <w:p w14:paraId="12FACC4C" w14:textId="77777777" w:rsidR="00107644" w:rsidRPr="00F33424" w:rsidRDefault="00107644" w:rsidP="008F2A90">
            <w:pPr>
              <w:pStyle w:val="TableTextLeft"/>
              <w:rPr>
                <w:b/>
                <w:szCs w:val="18"/>
              </w:rPr>
            </w:pPr>
            <w:r w:rsidRPr="00757CD2">
              <w:rPr>
                <w:rStyle w:val="Strong"/>
              </w:rPr>
              <w:t>The Ministry of Business, Innovation and Employment (MBIE</w:t>
            </w:r>
            <w:r w:rsidRPr="00F33424">
              <w:rPr>
                <w:b/>
                <w:szCs w:val="18"/>
              </w:rPr>
              <w:t>)</w:t>
            </w:r>
          </w:p>
          <w:p w14:paraId="3A7C4A77" w14:textId="77777777" w:rsidR="00107644" w:rsidRPr="00D16910" w:rsidRDefault="00107644" w:rsidP="008F2A90">
            <w:pPr>
              <w:pStyle w:val="TableTextLeft"/>
              <w:rPr>
                <w:szCs w:val="18"/>
              </w:rPr>
            </w:pPr>
            <w:r w:rsidRPr="00D16910">
              <w:rPr>
                <w:szCs w:val="18"/>
              </w:rPr>
              <w:t>Government agency with support and referral role, mainly providing informative services.</w:t>
            </w:r>
          </w:p>
        </w:tc>
        <w:tc>
          <w:tcPr>
            <w:tcW w:w="2775" w:type="dxa"/>
          </w:tcPr>
          <w:p w14:paraId="644AF508" w14:textId="67770900" w:rsidR="00107644" w:rsidRPr="00E45F8B" w:rsidRDefault="00107644" w:rsidP="008F2A90">
            <w:pPr>
              <w:pStyle w:val="TableTextLeft"/>
              <w:rPr>
                <w:b/>
              </w:rPr>
            </w:pPr>
            <w:r w:rsidRPr="00757CD2">
              <w:rPr>
                <w:rStyle w:val="Strong"/>
              </w:rPr>
              <w:t xml:space="preserve">Yes </w:t>
            </w:r>
          </w:p>
          <w:p w14:paraId="2AA72A4B" w14:textId="77777777" w:rsidR="00107644" w:rsidRPr="00D16910" w:rsidRDefault="00107644" w:rsidP="008F2A90">
            <w:pPr>
              <w:pStyle w:val="TableTextLeft"/>
              <w:rPr>
                <w:szCs w:val="18"/>
              </w:rPr>
            </w:pPr>
            <w:r w:rsidRPr="00D16910">
              <w:rPr>
                <w:szCs w:val="18"/>
              </w:rPr>
              <w:t>Inhouse mediation for</w:t>
            </w:r>
            <w:r w:rsidRPr="00DF6648">
              <w:rPr>
                <w:szCs w:val="18"/>
              </w:rPr>
              <w:t xml:space="preserve"> </w:t>
            </w:r>
            <w:r w:rsidRPr="00D16910">
              <w:rPr>
                <w:szCs w:val="18"/>
              </w:rPr>
              <w:t>employment related issues.</w:t>
            </w:r>
          </w:p>
        </w:tc>
        <w:tc>
          <w:tcPr>
            <w:tcW w:w="2625" w:type="dxa"/>
          </w:tcPr>
          <w:p w14:paraId="4370F32E" w14:textId="204F09B1" w:rsidR="00107644" w:rsidRPr="00E45F8B" w:rsidRDefault="00107644" w:rsidP="008F2A90">
            <w:pPr>
              <w:pStyle w:val="TableTextLeft"/>
              <w:rPr>
                <w:b/>
              </w:rPr>
            </w:pPr>
            <w:r w:rsidRPr="00757CD2">
              <w:rPr>
                <w:rStyle w:val="Strong"/>
              </w:rPr>
              <w:t>Yes</w:t>
            </w:r>
          </w:p>
          <w:p w14:paraId="5F2E1595" w14:textId="77777777" w:rsidR="00107644" w:rsidRPr="00D16910" w:rsidRDefault="00107644" w:rsidP="008F2A90">
            <w:pPr>
              <w:pStyle w:val="TableTextLeft"/>
              <w:rPr>
                <w:szCs w:val="18"/>
              </w:rPr>
            </w:pPr>
            <w:r w:rsidRPr="00D16910">
              <w:rPr>
                <w:szCs w:val="18"/>
              </w:rPr>
              <w:t>Collaborates with industry</w:t>
            </w:r>
            <w:r w:rsidRPr="00DF6648">
              <w:rPr>
                <w:szCs w:val="18"/>
              </w:rPr>
              <w:t xml:space="preserve"> </w:t>
            </w:r>
            <w:r w:rsidRPr="00D16910">
              <w:rPr>
                <w:szCs w:val="18"/>
              </w:rPr>
              <w:t>bodies and stakeholders.</w:t>
            </w:r>
          </w:p>
          <w:p w14:paraId="05FEE839" w14:textId="77777777" w:rsidR="00107644" w:rsidRPr="00D16910" w:rsidRDefault="00107644" w:rsidP="008F2A90">
            <w:pPr>
              <w:pStyle w:val="TableTextLeft"/>
              <w:rPr>
                <w:szCs w:val="18"/>
              </w:rPr>
            </w:pPr>
            <w:r w:rsidRPr="00D16910">
              <w:rPr>
                <w:szCs w:val="18"/>
              </w:rPr>
              <w:t>Conducts surveys and</w:t>
            </w:r>
            <w:r w:rsidRPr="00DF6648">
              <w:rPr>
                <w:szCs w:val="18"/>
              </w:rPr>
              <w:t xml:space="preserve"> </w:t>
            </w:r>
            <w:r w:rsidRPr="00D16910">
              <w:rPr>
                <w:szCs w:val="18"/>
              </w:rPr>
              <w:t>gathers data to</w:t>
            </w:r>
            <w:r w:rsidRPr="00DF6648">
              <w:rPr>
                <w:szCs w:val="18"/>
              </w:rPr>
              <w:t xml:space="preserve"> </w:t>
            </w:r>
            <w:r w:rsidRPr="00D16910">
              <w:rPr>
                <w:szCs w:val="18"/>
              </w:rPr>
              <w:t>understand the needs and</w:t>
            </w:r>
            <w:r w:rsidRPr="00DF6648">
              <w:rPr>
                <w:szCs w:val="18"/>
              </w:rPr>
              <w:t xml:space="preserve"> </w:t>
            </w:r>
            <w:r w:rsidRPr="00D16910">
              <w:rPr>
                <w:szCs w:val="18"/>
              </w:rPr>
              <w:t>challenges.</w:t>
            </w:r>
          </w:p>
        </w:tc>
      </w:tr>
    </w:tbl>
    <w:p w14:paraId="68A6C254" w14:textId="56D59072" w:rsidR="00E8252B" w:rsidRDefault="00E8252B" w:rsidP="007B39B5">
      <w:pPr>
        <w:pStyle w:val="ChartandTableFootnoteAlpha"/>
        <w:numPr>
          <w:ilvl w:val="0"/>
          <w:numId w:val="0"/>
        </w:numPr>
      </w:pPr>
      <w:r>
        <w:t>Sources:</w:t>
      </w:r>
    </w:p>
    <w:p w14:paraId="26A5543E" w14:textId="3218295A" w:rsidR="006A39E8" w:rsidRDefault="006A39E8" w:rsidP="007B39B5">
      <w:pPr>
        <w:pStyle w:val="ChartandTableFootnoteAlpha"/>
      </w:pPr>
      <w:r>
        <w:t>Small Business Commissioner</w:t>
      </w:r>
      <w:r w:rsidRPr="00F25B6E">
        <w:t>,</w:t>
      </w:r>
      <w:r w:rsidR="00380D04">
        <w:t xml:space="preserve"> </w:t>
      </w:r>
      <w:hyperlink r:id="rId102" w:history="1">
        <w:r w:rsidRPr="00380D04">
          <w:rPr>
            <w:rStyle w:val="Hyperlink"/>
          </w:rPr>
          <w:t>About us</w:t>
        </w:r>
        <w:r w:rsidR="003A0D5E" w:rsidRPr="00380D04">
          <w:rPr>
            <w:rStyle w:val="Hyperlink"/>
          </w:rPr>
          <w:noBreakHyphen/>
        </w:r>
        <w:r w:rsidRPr="00380D04">
          <w:rPr>
            <w:rStyle w:val="Hyperlink"/>
          </w:rPr>
          <w:t>Small Business Commissioner</w:t>
        </w:r>
      </w:hyperlink>
      <w:r w:rsidRPr="00F25B6E">
        <w:t xml:space="preserve">, </w:t>
      </w:r>
      <w:r>
        <w:t>Small Business Commissioner</w:t>
      </w:r>
      <w:r w:rsidRPr="00F25B6E">
        <w:t xml:space="preserve"> website,</w:t>
      </w:r>
      <w:r w:rsidR="008F60BD">
        <w:t xml:space="preserve"> </w:t>
      </w:r>
      <w:proofErr w:type="spellStart"/>
      <w:r w:rsidRPr="00F25B6E">
        <w:t>n.d</w:t>
      </w:r>
      <w:proofErr w:type="spellEnd"/>
      <w:r w:rsidRPr="00F25B6E">
        <w:t xml:space="preserve">, accessed </w:t>
      </w:r>
      <w:r>
        <w:t>9 May</w:t>
      </w:r>
      <w:r w:rsidRPr="00F25B6E">
        <w:t xml:space="preserve"> 202</w:t>
      </w:r>
      <w:r>
        <w:t>5</w:t>
      </w:r>
      <w:r w:rsidR="008F60BD">
        <w:t>.</w:t>
      </w:r>
    </w:p>
    <w:p w14:paraId="2F9D8BF7" w14:textId="277D6B93" w:rsidR="006A39E8" w:rsidRDefault="006A39E8" w:rsidP="007B39B5">
      <w:pPr>
        <w:pStyle w:val="ChartandTableFootnoteAlpha"/>
      </w:pPr>
      <w:r>
        <w:t xml:space="preserve">Financial Ombudsman Service, </w:t>
      </w:r>
      <w:hyperlink r:id="rId103" w:anchor=":~:text=Dispute%20resolution%20that%27s%20fair%20and,businesses%20and%20financial%20services%20providers." w:history="1">
        <w:r w:rsidRPr="00380D04">
          <w:rPr>
            <w:rStyle w:val="Hyperlink"/>
          </w:rPr>
          <w:t>Financial Ombudsman for Small Businesses</w:t>
        </w:r>
      </w:hyperlink>
      <w:r>
        <w:t>, Financial Ombudsman Service website,</w:t>
      </w:r>
      <w:r w:rsidR="008F60BD">
        <w:t xml:space="preserve"> </w:t>
      </w:r>
      <w:proofErr w:type="spellStart"/>
      <w:r>
        <w:t>n.d</w:t>
      </w:r>
      <w:proofErr w:type="spellEnd"/>
      <w:r>
        <w:t>, accessed 9 May 2025</w:t>
      </w:r>
      <w:r w:rsidR="008F60BD">
        <w:t>.</w:t>
      </w:r>
    </w:p>
    <w:p w14:paraId="4A0F5A79" w14:textId="50927BF2" w:rsidR="006A39E8" w:rsidRDefault="006A39E8" w:rsidP="007B39B5">
      <w:pPr>
        <w:pStyle w:val="ChartandTableFootnoteAlpha"/>
      </w:pPr>
      <w:r>
        <w:t xml:space="preserve">Government of Canada, </w:t>
      </w:r>
      <w:hyperlink r:id="rId104" w:history="1">
        <w:r w:rsidRPr="00533434">
          <w:rPr>
            <w:rStyle w:val="Hyperlink"/>
          </w:rPr>
          <w:t>The Office of the Procurement Ombud</w:t>
        </w:r>
      </w:hyperlink>
      <w:r>
        <w:t xml:space="preserve">, Canada.ca website, </w:t>
      </w:r>
      <w:proofErr w:type="spellStart"/>
      <w:r>
        <w:t>n.d</w:t>
      </w:r>
      <w:proofErr w:type="spellEnd"/>
      <w:r>
        <w:t>, accessed 9 May 2025</w:t>
      </w:r>
      <w:r w:rsidR="008F60BD">
        <w:t>.</w:t>
      </w:r>
    </w:p>
    <w:p w14:paraId="4A0EA255" w14:textId="6E01D086" w:rsidR="006A39E8" w:rsidRDefault="006A39E8" w:rsidP="007B39B5">
      <w:pPr>
        <w:pStyle w:val="ChartandTableFootnoteAlpha"/>
      </w:pPr>
      <w:r>
        <w:t xml:space="preserve">U.S Small Business Administration, </w:t>
      </w:r>
      <w:hyperlink r:id="rId105" w:history="1">
        <w:r w:rsidRPr="00E8252B">
          <w:t>Office of the National Ombudsman | U.S. Small Business Administration</w:t>
        </w:r>
      </w:hyperlink>
      <w:r>
        <w:t xml:space="preserve">, </w:t>
      </w:r>
      <w:r w:rsidRPr="000445FD">
        <w:t>U.S. Small Business Administration</w:t>
      </w:r>
      <w:r>
        <w:t xml:space="preserve"> website, </w:t>
      </w:r>
      <w:proofErr w:type="spellStart"/>
      <w:r>
        <w:t>n.d</w:t>
      </w:r>
      <w:proofErr w:type="spellEnd"/>
      <w:r>
        <w:t>, accessed 9 May 2025</w:t>
      </w:r>
      <w:r w:rsidR="008F60BD">
        <w:t>.</w:t>
      </w:r>
    </w:p>
    <w:p w14:paraId="2E767092" w14:textId="4720CC62" w:rsidR="006A39E8" w:rsidRDefault="006A39E8" w:rsidP="007B39B5">
      <w:pPr>
        <w:pStyle w:val="ChartandTableFootnoteAlpha"/>
      </w:pPr>
      <w:r>
        <w:t xml:space="preserve">United States Environmental Protection Agency, </w:t>
      </w:r>
      <w:hyperlink r:id="rId106" w:history="1">
        <w:r w:rsidRPr="0025178D">
          <w:rPr>
            <w:rStyle w:val="Hyperlink"/>
          </w:rPr>
          <w:t>Asbestos and Small Business Ombudsman | US EPA</w:t>
        </w:r>
      </w:hyperlink>
      <w:r>
        <w:t xml:space="preserve">, United States Environmental Protection Agency website, </w:t>
      </w:r>
      <w:proofErr w:type="spellStart"/>
      <w:r>
        <w:t>n.d</w:t>
      </w:r>
      <w:proofErr w:type="spellEnd"/>
      <w:r>
        <w:t>, accessed 9 May 2025</w:t>
      </w:r>
      <w:r w:rsidR="008F60BD">
        <w:t>.</w:t>
      </w:r>
    </w:p>
    <w:p w14:paraId="10C954C7" w14:textId="77777777" w:rsidR="006A39E8" w:rsidRDefault="006A39E8" w:rsidP="007B39B5">
      <w:pPr>
        <w:pStyle w:val="ChartandTableFootnoteAlpha"/>
      </w:pPr>
      <w:r>
        <w:t xml:space="preserve">Ministry of Business , Innovation and Employment, </w:t>
      </w:r>
      <w:hyperlink r:id="rId107" w:history="1">
        <w:r w:rsidRPr="0025178D">
          <w:rPr>
            <w:rStyle w:val="Hyperlink"/>
          </w:rPr>
          <w:t>Home | Ministry of Business, Innovation &amp; Employmen</w:t>
        </w:r>
        <w:r w:rsidRPr="00E8252B">
          <w:t>t</w:t>
        </w:r>
      </w:hyperlink>
      <w:r>
        <w:t xml:space="preserve">, Ministry of Business , Innovation and Employment website, </w:t>
      </w:r>
      <w:proofErr w:type="spellStart"/>
      <w:r>
        <w:t>n.d</w:t>
      </w:r>
      <w:proofErr w:type="spellEnd"/>
      <w:r>
        <w:t>, accessed 9 May 2025.</w:t>
      </w:r>
    </w:p>
    <w:p w14:paraId="16C61190" w14:textId="77777777" w:rsidR="006A39E8" w:rsidRDefault="006A39E8" w:rsidP="007B39B5">
      <w:pPr>
        <w:pStyle w:val="ChartandTableFootnoteAlpha"/>
      </w:pPr>
      <w:r>
        <w:t xml:space="preserve">Employment New Zealand, </w:t>
      </w:r>
      <w:hyperlink r:id="rId108" w:anchor=":~:text=Employment%20Mediation%20Services%20within%20the,will%20not%20be%20cross%2Dexamined." w:history="1">
        <w:r w:rsidRPr="0025178D">
          <w:rPr>
            <w:rStyle w:val="Hyperlink"/>
          </w:rPr>
          <w:t>Mediation | Employment New Zealand</w:t>
        </w:r>
      </w:hyperlink>
      <w:r w:rsidRPr="0025178D">
        <w:rPr>
          <w:rStyle w:val="Hyperlink"/>
        </w:rPr>
        <w:t xml:space="preserve">, Ministry of Business </w:t>
      </w:r>
      <w:r>
        <w:t xml:space="preserve">, Innovation and Employment website, </w:t>
      </w:r>
      <w:proofErr w:type="spellStart"/>
      <w:r>
        <w:t>n.d</w:t>
      </w:r>
      <w:proofErr w:type="spellEnd"/>
      <w:r>
        <w:t>, accessed 9 May 2025.</w:t>
      </w:r>
    </w:p>
    <w:p w14:paraId="05577A67" w14:textId="64B405A9" w:rsidR="00DD2C27" w:rsidRPr="00DD2C27" w:rsidRDefault="00DD2C27" w:rsidP="00DD2C27">
      <w:r w:rsidRPr="00DD2C27">
        <w:br w:type="page"/>
      </w:r>
    </w:p>
    <w:p w14:paraId="56ECF72D" w14:textId="7963D10B" w:rsidR="00A4193B" w:rsidRPr="00E53E80" w:rsidRDefault="00A4193B" w:rsidP="00A4193B">
      <w:pPr>
        <w:pStyle w:val="Heading2"/>
      </w:pPr>
      <w:bookmarkStart w:id="119" w:name="_Toc199941025"/>
      <w:r>
        <w:lastRenderedPageBreak/>
        <w:t>Appendix H: Calls to ASBFEO Call Centre</w:t>
      </w:r>
      <w:bookmarkEnd w:id="119"/>
    </w:p>
    <w:p w14:paraId="5BD3617F" w14:textId="77777777" w:rsidR="00A4193B" w:rsidRPr="00E53E80" w:rsidRDefault="00A4193B" w:rsidP="00F33424">
      <w:pPr>
        <w:pStyle w:val="TableMainHeading"/>
      </w:pPr>
      <w:r w:rsidRPr="00E53E80">
        <w:t>Calls to ASBFEO call centre, by dispute/reason and year</w:t>
      </w:r>
    </w:p>
    <w:tbl>
      <w:tblPr>
        <w:tblStyle w:val="TableGrid"/>
        <w:tblW w:w="5000" w:type="pct"/>
        <w:tblCellMar>
          <w:top w:w="11" w:type="dxa"/>
          <w:bottom w:w="11" w:type="dxa"/>
        </w:tblCellMar>
        <w:tblLook w:val="04E0" w:firstRow="1" w:lastRow="1" w:firstColumn="1" w:lastColumn="0" w:noHBand="0" w:noVBand="1"/>
      </w:tblPr>
      <w:tblGrid>
        <w:gridCol w:w="4468"/>
        <w:gridCol w:w="1077"/>
        <w:gridCol w:w="1077"/>
        <w:gridCol w:w="1077"/>
        <w:gridCol w:w="1371"/>
      </w:tblGrid>
      <w:tr w:rsidR="00A4193B" w:rsidRPr="00F82221" w14:paraId="3A844EAE" w14:textId="77777777" w:rsidTr="004C7361">
        <w:trPr>
          <w:cnfStyle w:val="100000000000" w:firstRow="1" w:lastRow="0" w:firstColumn="0" w:lastColumn="0" w:oddVBand="0" w:evenVBand="0" w:oddHBand="0" w:evenHBand="0" w:firstRowFirstColumn="0" w:firstRowLastColumn="0" w:lastRowFirstColumn="0" w:lastRowLastColumn="0"/>
          <w:trHeight w:val="274"/>
        </w:trPr>
        <w:tc>
          <w:tcPr>
            <w:tcW w:w="0" w:type="auto"/>
            <w:gridSpan w:val="5"/>
          </w:tcPr>
          <w:p w14:paraId="57503168" w14:textId="77777777" w:rsidR="00A4193B" w:rsidRPr="00F82221" w:rsidRDefault="00A4193B" w:rsidP="00DD2C27">
            <w:pPr>
              <w:pStyle w:val="TableColumnHeadingLeft"/>
              <w:rPr>
                <w:rFonts w:eastAsia="Calibri"/>
              </w:rPr>
            </w:pPr>
            <w:r w:rsidRPr="00F82221">
              <w:rPr>
                <w:rFonts w:eastAsia="Calibri"/>
              </w:rPr>
              <w:t>Number of calls</w:t>
            </w:r>
          </w:p>
        </w:tc>
      </w:tr>
      <w:tr w:rsidR="00A4193B" w:rsidRPr="00F82221" w14:paraId="04591748" w14:textId="77777777" w:rsidTr="004C7361">
        <w:trPr>
          <w:cnfStyle w:val="000000100000" w:firstRow="0" w:lastRow="0" w:firstColumn="0" w:lastColumn="0" w:oddVBand="0" w:evenVBand="0" w:oddHBand="1" w:evenHBand="0" w:firstRowFirstColumn="0" w:firstRowLastColumn="0" w:lastRowFirstColumn="0" w:lastRowLastColumn="0"/>
          <w:trHeight w:val="308"/>
        </w:trPr>
        <w:tc>
          <w:tcPr>
            <w:tcW w:w="0" w:type="auto"/>
          </w:tcPr>
          <w:p w14:paraId="00CB3245" w14:textId="77777777" w:rsidR="00A4193B" w:rsidRPr="00DD2C27" w:rsidRDefault="00A4193B" w:rsidP="00DD2C27">
            <w:pPr>
              <w:pStyle w:val="TableTextLeft"/>
            </w:pPr>
            <w:r w:rsidRPr="00DD2C27">
              <w:t xml:space="preserve">Type of call </w:t>
            </w:r>
          </w:p>
        </w:tc>
        <w:tc>
          <w:tcPr>
            <w:tcW w:w="0" w:type="auto"/>
          </w:tcPr>
          <w:p w14:paraId="0E54385E" w14:textId="58BE06A2" w:rsidR="00A4193B" w:rsidRPr="00D05414" w:rsidRDefault="00A4193B" w:rsidP="00E43A43">
            <w:pPr>
              <w:pStyle w:val="TableTextLeft"/>
              <w:jc w:val="right"/>
              <w:rPr>
                <w:rStyle w:val="Strong"/>
              </w:rPr>
            </w:pPr>
            <w:r w:rsidRPr="00D05414">
              <w:rPr>
                <w:rStyle w:val="Strong"/>
              </w:rPr>
              <w:t>2021</w:t>
            </w:r>
            <w:r w:rsidR="00D05414" w:rsidRPr="00D05414">
              <w:rPr>
                <w:rStyle w:val="Strong"/>
              </w:rPr>
              <w:t>–</w:t>
            </w:r>
            <w:r w:rsidRPr="00D05414">
              <w:rPr>
                <w:rStyle w:val="Strong"/>
              </w:rPr>
              <w:t xml:space="preserve">22 </w:t>
            </w:r>
          </w:p>
        </w:tc>
        <w:tc>
          <w:tcPr>
            <w:tcW w:w="0" w:type="auto"/>
          </w:tcPr>
          <w:p w14:paraId="50032393" w14:textId="6D6B2B71" w:rsidR="00A4193B" w:rsidRPr="00D05414" w:rsidRDefault="00A4193B" w:rsidP="00E43A43">
            <w:pPr>
              <w:pStyle w:val="TableTextLeft"/>
              <w:jc w:val="right"/>
              <w:rPr>
                <w:rStyle w:val="Strong"/>
              </w:rPr>
            </w:pPr>
            <w:r w:rsidRPr="00D05414">
              <w:rPr>
                <w:rStyle w:val="Strong"/>
              </w:rPr>
              <w:t>2022</w:t>
            </w:r>
            <w:r w:rsidR="00D05414" w:rsidRPr="00D05414">
              <w:rPr>
                <w:rStyle w:val="Strong"/>
              </w:rPr>
              <w:t>–</w:t>
            </w:r>
            <w:r w:rsidRPr="00D05414">
              <w:rPr>
                <w:rStyle w:val="Strong"/>
              </w:rPr>
              <w:t xml:space="preserve">23 </w:t>
            </w:r>
          </w:p>
        </w:tc>
        <w:tc>
          <w:tcPr>
            <w:tcW w:w="0" w:type="auto"/>
          </w:tcPr>
          <w:p w14:paraId="237890F0" w14:textId="573552E9" w:rsidR="00A4193B" w:rsidRPr="00D05414" w:rsidRDefault="00A4193B" w:rsidP="00E43A43">
            <w:pPr>
              <w:pStyle w:val="TableTextLeft"/>
              <w:jc w:val="right"/>
              <w:rPr>
                <w:rStyle w:val="Strong"/>
              </w:rPr>
            </w:pPr>
            <w:r w:rsidRPr="00D05414">
              <w:rPr>
                <w:rStyle w:val="Strong"/>
              </w:rPr>
              <w:t>2023</w:t>
            </w:r>
            <w:r w:rsidR="00D05414" w:rsidRPr="00D05414">
              <w:rPr>
                <w:rStyle w:val="Strong"/>
              </w:rPr>
              <w:t>–</w:t>
            </w:r>
            <w:r w:rsidRPr="00D05414">
              <w:rPr>
                <w:rStyle w:val="Strong"/>
              </w:rPr>
              <w:t xml:space="preserve">24 </w:t>
            </w:r>
          </w:p>
        </w:tc>
        <w:tc>
          <w:tcPr>
            <w:tcW w:w="0" w:type="auto"/>
          </w:tcPr>
          <w:p w14:paraId="635D10C4" w14:textId="65C81AF1" w:rsidR="00A4193B" w:rsidRPr="00D05414" w:rsidRDefault="00A4193B" w:rsidP="00E43A43">
            <w:pPr>
              <w:pStyle w:val="TableTextLeft"/>
              <w:jc w:val="right"/>
              <w:rPr>
                <w:rStyle w:val="Strong"/>
              </w:rPr>
            </w:pPr>
            <w:r w:rsidRPr="00D05414" w:rsidDel="00B35C6C">
              <w:rPr>
                <w:rStyle w:val="Strong"/>
              </w:rPr>
              <w:t>3</w:t>
            </w:r>
            <w:r w:rsidR="003A0D5E">
              <w:rPr>
                <w:rStyle w:val="Strong"/>
              </w:rPr>
              <w:noBreakHyphen/>
            </w:r>
            <w:r w:rsidR="00B35C6C" w:rsidRPr="00D05414">
              <w:rPr>
                <w:rStyle w:val="Strong"/>
              </w:rPr>
              <w:t>year</w:t>
            </w:r>
            <w:r w:rsidRPr="00D05414">
              <w:rPr>
                <w:rStyle w:val="Strong"/>
              </w:rPr>
              <w:t xml:space="preserve"> total </w:t>
            </w:r>
          </w:p>
        </w:tc>
      </w:tr>
      <w:tr w:rsidR="00A4193B" w:rsidRPr="00F82221" w14:paraId="3FFB77AB" w14:textId="77777777" w:rsidTr="004C7361">
        <w:trPr>
          <w:cnfStyle w:val="000000010000" w:firstRow="0" w:lastRow="0" w:firstColumn="0" w:lastColumn="0" w:oddVBand="0" w:evenVBand="0" w:oddHBand="0" w:evenHBand="1" w:firstRowFirstColumn="0" w:firstRowLastColumn="0" w:lastRowFirstColumn="0" w:lastRowLastColumn="0"/>
          <w:trHeight w:val="301"/>
        </w:trPr>
        <w:tc>
          <w:tcPr>
            <w:tcW w:w="0" w:type="auto"/>
          </w:tcPr>
          <w:p w14:paraId="68DEE418" w14:textId="77777777" w:rsidR="00A4193B" w:rsidRPr="00DD2C27" w:rsidRDefault="00A4193B" w:rsidP="00DD2C27">
            <w:pPr>
              <w:pStyle w:val="TableTextLeft"/>
            </w:pPr>
            <w:r w:rsidRPr="00DD2C27">
              <w:t xml:space="preserve">Payment Dispute </w:t>
            </w:r>
          </w:p>
        </w:tc>
        <w:tc>
          <w:tcPr>
            <w:tcW w:w="0" w:type="auto"/>
          </w:tcPr>
          <w:p w14:paraId="49E15CBC" w14:textId="77777777" w:rsidR="00A4193B" w:rsidRPr="00DD2C27" w:rsidRDefault="00A4193B" w:rsidP="00E43A43">
            <w:pPr>
              <w:pStyle w:val="TableTextLeft"/>
              <w:jc w:val="right"/>
            </w:pPr>
            <w:r w:rsidRPr="00DD2C27">
              <w:t xml:space="preserve">1,213 </w:t>
            </w:r>
          </w:p>
        </w:tc>
        <w:tc>
          <w:tcPr>
            <w:tcW w:w="0" w:type="auto"/>
          </w:tcPr>
          <w:p w14:paraId="65AF8757" w14:textId="77777777" w:rsidR="00A4193B" w:rsidRPr="00DD2C27" w:rsidRDefault="00A4193B" w:rsidP="00E43A43">
            <w:pPr>
              <w:pStyle w:val="TableTextLeft"/>
              <w:jc w:val="right"/>
            </w:pPr>
            <w:r w:rsidRPr="00DD2C27">
              <w:t xml:space="preserve">1,408 </w:t>
            </w:r>
          </w:p>
        </w:tc>
        <w:tc>
          <w:tcPr>
            <w:tcW w:w="0" w:type="auto"/>
          </w:tcPr>
          <w:p w14:paraId="19E7F5CA" w14:textId="77777777" w:rsidR="00A4193B" w:rsidRPr="00DD2C27" w:rsidRDefault="00A4193B" w:rsidP="00E43A43">
            <w:pPr>
              <w:pStyle w:val="TableTextLeft"/>
              <w:jc w:val="right"/>
            </w:pPr>
            <w:r w:rsidRPr="00DD2C27">
              <w:t xml:space="preserve">2,023 </w:t>
            </w:r>
          </w:p>
        </w:tc>
        <w:tc>
          <w:tcPr>
            <w:tcW w:w="0" w:type="auto"/>
          </w:tcPr>
          <w:p w14:paraId="72CD1069" w14:textId="77777777" w:rsidR="00A4193B" w:rsidRPr="00DD2C27" w:rsidRDefault="00A4193B" w:rsidP="00E43A43">
            <w:pPr>
              <w:pStyle w:val="TableTextLeft"/>
              <w:jc w:val="right"/>
            </w:pPr>
            <w:r w:rsidRPr="00DD2C27">
              <w:t xml:space="preserve">4,644 </w:t>
            </w:r>
          </w:p>
        </w:tc>
      </w:tr>
      <w:tr w:rsidR="00A4193B" w:rsidRPr="00F82221" w14:paraId="39B0254A" w14:textId="77777777" w:rsidTr="004C7361">
        <w:trPr>
          <w:cnfStyle w:val="000000100000" w:firstRow="0" w:lastRow="0" w:firstColumn="0" w:lastColumn="0" w:oddVBand="0" w:evenVBand="0" w:oddHBand="1" w:evenHBand="0" w:firstRowFirstColumn="0" w:firstRowLastColumn="0" w:lastRowFirstColumn="0" w:lastRowLastColumn="0"/>
          <w:trHeight w:val="293"/>
        </w:trPr>
        <w:tc>
          <w:tcPr>
            <w:tcW w:w="0" w:type="auto"/>
          </w:tcPr>
          <w:p w14:paraId="2D2AA7C6" w14:textId="77777777" w:rsidR="00A4193B" w:rsidRPr="00DD2C27" w:rsidRDefault="00A4193B" w:rsidP="00DD2C27">
            <w:pPr>
              <w:pStyle w:val="TableTextLeft"/>
            </w:pPr>
            <w:r w:rsidRPr="00DD2C27">
              <w:t xml:space="preserve">General Information </w:t>
            </w:r>
          </w:p>
        </w:tc>
        <w:tc>
          <w:tcPr>
            <w:tcW w:w="0" w:type="auto"/>
          </w:tcPr>
          <w:p w14:paraId="587329CD" w14:textId="77777777" w:rsidR="00A4193B" w:rsidRPr="00DD2C27" w:rsidRDefault="00A4193B" w:rsidP="00E43A43">
            <w:pPr>
              <w:pStyle w:val="TableTextLeft"/>
              <w:jc w:val="right"/>
            </w:pPr>
            <w:r w:rsidRPr="00DD2C27">
              <w:t xml:space="preserve">721 </w:t>
            </w:r>
          </w:p>
        </w:tc>
        <w:tc>
          <w:tcPr>
            <w:tcW w:w="0" w:type="auto"/>
          </w:tcPr>
          <w:p w14:paraId="55177344" w14:textId="77777777" w:rsidR="00A4193B" w:rsidRPr="00DD2C27" w:rsidRDefault="00A4193B" w:rsidP="00E43A43">
            <w:pPr>
              <w:pStyle w:val="TableTextLeft"/>
              <w:jc w:val="right"/>
            </w:pPr>
            <w:r w:rsidRPr="00DD2C27">
              <w:t xml:space="preserve">659 </w:t>
            </w:r>
          </w:p>
        </w:tc>
        <w:tc>
          <w:tcPr>
            <w:tcW w:w="0" w:type="auto"/>
          </w:tcPr>
          <w:p w14:paraId="7FADD0B7" w14:textId="77777777" w:rsidR="00A4193B" w:rsidRPr="00DD2C27" w:rsidRDefault="00A4193B" w:rsidP="00E43A43">
            <w:pPr>
              <w:pStyle w:val="TableTextLeft"/>
              <w:jc w:val="right"/>
            </w:pPr>
            <w:r w:rsidRPr="00DD2C27">
              <w:t xml:space="preserve">742 </w:t>
            </w:r>
          </w:p>
        </w:tc>
        <w:tc>
          <w:tcPr>
            <w:tcW w:w="0" w:type="auto"/>
          </w:tcPr>
          <w:p w14:paraId="4A2CF497" w14:textId="77777777" w:rsidR="00A4193B" w:rsidRPr="00DD2C27" w:rsidRDefault="00A4193B" w:rsidP="00E43A43">
            <w:pPr>
              <w:pStyle w:val="TableTextLeft"/>
              <w:jc w:val="right"/>
            </w:pPr>
            <w:r w:rsidRPr="00DD2C27">
              <w:t xml:space="preserve">2,122 </w:t>
            </w:r>
          </w:p>
        </w:tc>
      </w:tr>
      <w:tr w:rsidR="00A4193B" w:rsidRPr="00F82221" w14:paraId="0092B53A" w14:textId="77777777" w:rsidTr="004C7361">
        <w:trPr>
          <w:cnfStyle w:val="000000010000" w:firstRow="0" w:lastRow="0" w:firstColumn="0" w:lastColumn="0" w:oddVBand="0" w:evenVBand="0" w:oddHBand="0" w:evenHBand="1" w:firstRowFirstColumn="0" w:firstRowLastColumn="0" w:lastRowFirstColumn="0" w:lastRowLastColumn="0"/>
          <w:trHeight w:val="285"/>
        </w:trPr>
        <w:tc>
          <w:tcPr>
            <w:tcW w:w="0" w:type="auto"/>
          </w:tcPr>
          <w:p w14:paraId="359358F5" w14:textId="77777777" w:rsidR="00A4193B" w:rsidRPr="00DD2C27" w:rsidRDefault="00A4193B" w:rsidP="00DD2C27">
            <w:pPr>
              <w:pStyle w:val="TableTextLeft"/>
            </w:pPr>
            <w:r w:rsidRPr="00DD2C27">
              <w:t xml:space="preserve">Contract Dispute </w:t>
            </w:r>
          </w:p>
        </w:tc>
        <w:tc>
          <w:tcPr>
            <w:tcW w:w="0" w:type="auto"/>
          </w:tcPr>
          <w:p w14:paraId="70C87702" w14:textId="77777777" w:rsidR="00A4193B" w:rsidRPr="00DD2C27" w:rsidRDefault="00A4193B" w:rsidP="00E43A43">
            <w:pPr>
              <w:pStyle w:val="TableTextLeft"/>
              <w:jc w:val="right"/>
            </w:pPr>
            <w:r w:rsidRPr="00DD2C27">
              <w:t xml:space="preserve">729 </w:t>
            </w:r>
          </w:p>
        </w:tc>
        <w:tc>
          <w:tcPr>
            <w:tcW w:w="0" w:type="auto"/>
          </w:tcPr>
          <w:p w14:paraId="558A76EB" w14:textId="77777777" w:rsidR="00A4193B" w:rsidRPr="00DD2C27" w:rsidRDefault="00A4193B" w:rsidP="00E43A43">
            <w:pPr>
              <w:pStyle w:val="TableTextLeft"/>
              <w:jc w:val="right"/>
            </w:pPr>
            <w:r w:rsidRPr="00DD2C27">
              <w:t xml:space="preserve">634 </w:t>
            </w:r>
          </w:p>
        </w:tc>
        <w:tc>
          <w:tcPr>
            <w:tcW w:w="0" w:type="auto"/>
          </w:tcPr>
          <w:p w14:paraId="3C01047E" w14:textId="77777777" w:rsidR="00A4193B" w:rsidRPr="00DD2C27" w:rsidRDefault="00A4193B" w:rsidP="00E43A43">
            <w:pPr>
              <w:pStyle w:val="TableTextLeft"/>
              <w:jc w:val="right"/>
            </w:pPr>
            <w:r w:rsidRPr="00DD2C27">
              <w:t xml:space="preserve">598 </w:t>
            </w:r>
          </w:p>
        </w:tc>
        <w:tc>
          <w:tcPr>
            <w:tcW w:w="0" w:type="auto"/>
          </w:tcPr>
          <w:p w14:paraId="0E161790" w14:textId="77777777" w:rsidR="00A4193B" w:rsidRPr="00DD2C27" w:rsidRDefault="00A4193B" w:rsidP="00E43A43">
            <w:pPr>
              <w:pStyle w:val="TableTextLeft"/>
              <w:jc w:val="right"/>
            </w:pPr>
            <w:r w:rsidRPr="00DD2C27">
              <w:t xml:space="preserve">1,961 </w:t>
            </w:r>
          </w:p>
        </w:tc>
      </w:tr>
      <w:tr w:rsidR="00A4193B" w:rsidRPr="00F82221" w14:paraId="326A9626" w14:textId="77777777" w:rsidTr="004C7361">
        <w:trPr>
          <w:cnfStyle w:val="000000100000" w:firstRow="0" w:lastRow="0" w:firstColumn="0" w:lastColumn="0" w:oddVBand="0" w:evenVBand="0" w:oddHBand="1" w:evenHBand="0" w:firstRowFirstColumn="0" w:firstRowLastColumn="0" w:lastRowFirstColumn="0" w:lastRowLastColumn="0"/>
          <w:trHeight w:val="341"/>
        </w:trPr>
        <w:tc>
          <w:tcPr>
            <w:tcW w:w="0" w:type="auto"/>
          </w:tcPr>
          <w:p w14:paraId="173F113E" w14:textId="413ACDB5" w:rsidR="00A4193B" w:rsidRPr="00DD2C27" w:rsidRDefault="00A4193B" w:rsidP="00DD2C27">
            <w:pPr>
              <w:pStyle w:val="TableTextLeft"/>
            </w:pPr>
            <w:r w:rsidRPr="00DD2C27">
              <w:t xml:space="preserve">Request to speak to ASBFEO staff member </w:t>
            </w:r>
            <w:r w:rsidR="00E67892">
              <w:t>#</w:t>
            </w:r>
          </w:p>
        </w:tc>
        <w:tc>
          <w:tcPr>
            <w:tcW w:w="0" w:type="auto"/>
          </w:tcPr>
          <w:p w14:paraId="69854094" w14:textId="77777777" w:rsidR="00A4193B" w:rsidRPr="00DD2C27" w:rsidRDefault="00A4193B" w:rsidP="00E43A43">
            <w:pPr>
              <w:pStyle w:val="TableTextLeft"/>
              <w:jc w:val="right"/>
            </w:pPr>
            <w:r w:rsidRPr="00DD2C27">
              <w:t xml:space="preserve">360 </w:t>
            </w:r>
          </w:p>
        </w:tc>
        <w:tc>
          <w:tcPr>
            <w:tcW w:w="0" w:type="auto"/>
          </w:tcPr>
          <w:p w14:paraId="380B56EE" w14:textId="77777777" w:rsidR="00A4193B" w:rsidRPr="00DD2C27" w:rsidRDefault="00A4193B" w:rsidP="00E43A43">
            <w:pPr>
              <w:pStyle w:val="TableTextLeft"/>
              <w:jc w:val="right"/>
            </w:pPr>
            <w:r w:rsidRPr="00DD2C27">
              <w:t xml:space="preserve">397 </w:t>
            </w:r>
          </w:p>
        </w:tc>
        <w:tc>
          <w:tcPr>
            <w:tcW w:w="0" w:type="auto"/>
          </w:tcPr>
          <w:p w14:paraId="2612AC7F" w14:textId="77777777" w:rsidR="00A4193B" w:rsidRPr="00DD2C27" w:rsidRDefault="00A4193B" w:rsidP="00E43A43">
            <w:pPr>
              <w:pStyle w:val="TableTextLeft"/>
              <w:jc w:val="right"/>
            </w:pPr>
            <w:r w:rsidRPr="00DD2C27">
              <w:t xml:space="preserve">371 </w:t>
            </w:r>
          </w:p>
        </w:tc>
        <w:tc>
          <w:tcPr>
            <w:tcW w:w="0" w:type="auto"/>
          </w:tcPr>
          <w:p w14:paraId="35705B47" w14:textId="77777777" w:rsidR="00A4193B" w:rsidRPr="00DD2C27" w:rsidRDefault="00A4193B" w:rsidP="00E43A43">
            <w:pPr>
              <w:pStyle w:val="TableTextLeft"/>
              <w:jc w:val="right"/>
            </w:pPr>
            <w:r w:rsidRPr="00DD2C27">
              <w:t xml:space="preserve">1,128 </w:t>
            </w:r>
          </w:p>
        </w:tc>
      </w:tr>
      <w:tr w:rsidR="00A4193B" w:rsidRPr="00F82221" w14:paraId="61F3B7AE" w14:textId="77777777" w:rsidTr="004C7361">
        <w:trPr>
          <w:cnfStyle w:val="000000010000" w:firstRow="0" w:lastRow="0" w:firstColumn="0" w:lastColumn="0" w:oddVBand="0" w:evenVBand="0" w:oddHBand="0" w:evenHBand="1" w:firstRowFirstColumn="0" w:firstRowLastColumn="0" w:lastRowFirstColumn="0" w:lastRowLastColumn="0"/>
          <w:trHeight w:val="327"/>
        </w:trPr>
        <w:tc>
          <w:tcPr>
            <w:tcW w:w="0" w:type="auto"/>
          </w:tcPr>
          <w:p w14:paraId="3E0F0419" w14:textId="77777777" w:rsidR="00A4193B" w:rsidRPr="00DD2C27" w:rsidRDefault="00A4193B" w:rsidP="00DD2C27">
            <w:pPr>
              <w:pStyle w:val="TableTextLeft"/>
            </w:pPr>
            <w:r w:rsidRPr="00DD2C27">
              <w:t xml:space="preserve">Franchise Dispute </w:t>
            </w:r>
          </w:p>
        </w:tc>
        <w:tc>
          <w:tcPr>
            <w:tcW w:w="0" w:type="auto"/>
          </w:tcPr>
          <w:p w14:paraId="611D1A2F" w14:textId="77777777" w:rsidR="00A4193B" w:rsidRPr="00DD2C27" w:rsidRDefault="00A4193B" w:rsidP="00E43A43">
            <w:pPr>
              <w:pStyle w:val="TableTextLeft"/>
              <w:jc w:val="right"/>
            </w:pPr>
            <w:r w:rsidRPr="00DD2C27">
              <w:t xml:space="preserve">316 </w:t>
            </w:r>
          </w:p>
        </w:tc>
        <w:tc>
          <w:tcPr>
            <w:tcW w:w="0" w:type="auto"/>
          </w:tcPr>
          <w:p w14:paraId="34825484" w14:textId="77777777" w:rsidR="00A4193B" w:rsidRPr="00DD2C27" w:rsidRDefault="00A4193B" w:rsidP="00E43A43">
            <w:pPr>
              <w:pStyle w:val="TableTextLeft"/>
              <w:jc w:val="right"/>
            </w:pPr>
            <w:r w:rsidRPr="00DD2C27">
              <w:t xml:space="preserve">178 </w:t>
            </w:r>
          </w:p>
        </w:tc>
        <w:tc>
          <w:tcPr>
            <w:tcW w:w="0" w:type="auto"/>
          </w:tcPr>
          <w:p w14:paraId="06F124D2" w14:textId="77777777" w:rsidR="00A4193B" w:rsidRPr="00DD2C27" w:rsidRDefault="00A4193B" w:rsidP="00E43A43">
            <w:pPr>
              <w:pStyle w:val="TableTextLeft"/>
              <w:jc w:val="right"/>
            </w:pPr>
            <w:r w:rsidRPr="00DD2C27">
              <w:t xml:space="preserve">211 </w:t>
            </w:r>
          </w:p>
        </w:tc>
        <w:tc>
          <w:tcPr>
            <w:tcW w:w="0" w:type="auto"/>
          </w:tcPr>
          <w:p w14:paraId="6C1E5019" w14:textId="77777777" w:rsidR="00A4193B" w:rsidRPr="00DD2C27" w:rsidRDefault="00A4193B" w:rsidP="00E43A43">
            <w:pPr>
              <w:pStyle w:val="TableTextLeft"/>
              <w:jc w:val="right"/>
            </w:pPr>
            <w:r w:rsidRPr="00DD2C27">
              <w:t xml:space="preserve">705 </w:t>
            </w:r>
          </w:p>
        </w:tc>
      </w:tr>
      <w:tr w:rsidR="00A4193B" w:rsidRPr="00F82221" w14:paraId="3F7225CC" w14:textId="77777777" w:rsidTr="004C7361">
        <w:trPr>
          <w:cnfStyle w:val="000000100000" w:firstRow="0" w:lastRow="0" w:firstColumn="0" w:lastColumn="0" w:oddVBand="0" w:evenVBand="0" w:oddHBand="1" w:evenHBand="0" w:firstRowFirstColumn="0" w:firstRowLastColumn="0" w:lastRowFirstColumn="0" w:lastRowLastColumn="0"/>
          <w:trHeight w:val="375"/>
        </w:trPr>
        <w:tc>
          <w:tcPr>
            <w:tcW w:w="0" w:type="auto"/>
          </w:tcPr>
          <w:p w14:paraId="5DDA7DED" w14:textId="77777777" w:rsidR="00A4193B" w:rsidRPr="00DD2C27" w:rsidRDefault="00A4193B" w:rsidP="00DD2C27">
            <w:pPr>
              <w:pStyle w:val="TableTextLeft"/>
            </w:pPr>
            <w:r w:rsidRPr="00DD2C27">
              <w:t xml:space="preserve">Product/Service Issue or Quality </w:t>
            </w:r>
          </w:p>
        </w:tc>
        <w:tc>
          <w:tcPr>
            <w:tcW w:w="0" w:type="auto"/>
          </w:tcPr>
          <w:p w14:paraId="221DE6A2" w14:textId="77777777" w:rsidR="00A4193B" w:rsidRPr="00DD2C27" w:rsidRDefault="00A4193B" w:rsidP="00E43A43">
            <w:pPr>
              <w:pStyle w:val="TableTextLeft"/>
              <w:jc w:val="right"/>
            </w:pPr>
            <w:r w:rsidRPr="00DD2C27">
              <w:t xml:space="preserve">265 </w:t>
            </w:r>
          </w:p>
        </w:tc>
        <w:tc>
          <w:tcPr>
            <w:tcW w:w="0" w:type="auto"/>
          </w:tcPr>
          <w:p w14:paraId="7025A027" w14:textId="77777777" w:rsidR="00A4193B" w:rsidRPr="00DD2C27" w:rsidRDefault="00A4193B" w:rsidP="00E43A43">
            <w:pPr>
              <w:pStyle w:val="TableTextLeft"/>
              <w:jc w:val="right"/>
            </w:pPr>
            <w:r w:rsidRPr="00DD2C27">
              <w:t xml:space="preserve">307 </w:t>
            </w:r>
          </w:p>
        </w:tc>
        <w:tc>
          <w:tcPr>
            <w:tcW w:w="0" w:type="auto"/>
          </w:tcPr>
          <w:p w14:paraId="6E7DE70F" w14:textId="77777777" w:rsidR="00A4193B" w:rsidRPr="00DD2C27" w:rsidRDefault="00A4193B" w:rsidP="00E43A43">
            <w:pPr>
              <w:pStyle w:val="TableTextLeft"/>
              <w:jc w:val="right"/>
            </w:pPr>
            <w:r w:rsidRPr="00DD2C27">
              <w:t xml:space="preserve">127 </w:t>
            </w:r>
          </w:p>
        </w:tc>
        <w:tc>
          <w:tcPr>
            <w:tcW w:w="0" w:type="auto"/>
          </w:tcPr>
          <w:p w14:paraId="6F16240E" w14:textId="77777777" w:rsidR="00A4193B" w:rsidRPr="00DD2C27" w:rsidRDefault="00A4193B" w:rsidP="00E43A43">
            <w:pPr>
              <w:pStyle w:val="TableTextLeft"/>
              <w:jc w:val="right"/>
            </w:pPr>
            <w:r w:rsidRPr="00DD2C27">
              <w:t xml:space="preserve">699 </w:t>
            </w:r>
          </w:p>
        </w:tc>
      </w:tr>
      <w:tr w:rsidR="00A4193B" w:rsidRPr="00F82221" w14:paraId="5682C7EF" w14:textId="77777777" w:rsidTr="004C7361">
        <w:trPr>
          <w:cnfStyle w:val="000000010000" w:firstRow="0" w:lastRow="0" w:firstColumn="0" w:lastColumn="0" w:oddVBand="0" w:evenVBand="0" w:oddHBand="0" w:evenHBand="1" w:firstRowFirstColumn="0" w:firstRowLastColumn="0" w:lastRowFirstColumn="0" w:lastRowLastColumn="0"/>
          <w:trHeight w:val="339"/>
        </w:trPr>
        <w:tc>
          <w:tcPr>
            <w:tcW w:w="0" w:type="auto"/>
          </w:tcPr>
          <w:p w14:paraId="1920CE91" w14:textId="1A222E81" w:rsidR="00A4193B" w:rsidRPr="00DD2C27" w:rsidRDefault="00A4193B" w:rsidP="00DD2C27">
            <w:pPr>
              <w:pStyle w:val="TableTextLeft"/>
            </w:pPr>
            <w:r w:rsidRPr="00DD2C27">
              <w:t xml:space="preserve">Lease Dispute </w:t>
            </w:r>
            <w:r w:rsidR="00934623">
              <w:t>^</w:t>
            </w:r>
            <w:r w:rsidR="00CE25EF">
              <w:t xml:space="preserve"> </w:t>
            </w:r>
          </w:p>
        </w:tc>
        <w:tc>
          <w:tcPr>
            <w:tcW w:w="0" w:type="auto"/>
          </w:tcPr>
          <w:p w14:paraId="1AA140C8" w14:textId="77777777" w:rsidR="00A4193B" w:rsidRPr="00DD2C27" w:rsidRDefault="00A4193B" w:rsidP="00E43A43">
            <w:pPr>
              <w:pStyle w:val="TableTextLeft"/>
              <w:jc w:val="right"/>
            </w:pPr>
            <w:r w:rsidRPr="00DD2C27">
              <w:t xml:space="preserve">174 </w:t>
            </w:r>
          </w:p>
        </w:tc>
        <w:tc>
          <w:tcPr>
            <w:tcW w:w="0" w:type="auto"/>
          </w:tcPr>
          <w:p w14:paraId="373F03A9" w14:textId="77777777" w:rsidR="00A4193B" w:rsidRPr="00DD2C27" w:rsidRDefault="00A4193B" w:rsidP="00E43A43">
            <w:pPr>
              <w:pStyle w:val="TableTextLeft"/>
              <w:jc w:val="right"/>
            </w:pPr>
            <w:r w:rsidRPr="00DD2C27">
              <w:t xml:space="preserve">148 </w:t>
            </w:r>
          </w:p>
        </w:tc>
        <w:tc>
          <w:tcPr>
            <w:tcW w:w="0" w:type="auto"/>
          </w:tcPr>
          <w:p w14:paraId="077C3D6B" w14:textId="77777777" w:rsidR="00A4193B" w:rsidRPr="00DD2C27" w:rsidRDefault="00A4193B" w:rsidP="00E43A43">
            <w:pPr>
              <w:pStyle w:val="TableTextLeft"/>
              <w:jc w:val="right"/>
            </w:pPr>
            <w:r w:rsidRPr="00DD2C27">
              <w:t xml:space="preserve">47 </w:t>
            </w:r>
          </w:p>
        </w:tc>
        <w:tc>
          <w:tcPr>
            <w:tcW w:w="0" w:type="auto"/>
          </w:tcPr>
          <w:p w14:paraId="444CEF3D" w14:textId="77777777" w:rsidR="00A4193B" w:rsidRPr="00DD2C27" w:rsidRDefault="00A4193B" w:rsidP="00E43A43">
            <w:pPr>
              <w:pStyle w:val="TableTextLeft"/>
              <w:jc w:val="right"/>
            </w:pPr>
            <w:r w:rsidRPr="00DD2C27">
              <w:t xml:space="preserve">369 </w:t>
            </w:r>
          </w:p>
        </w:tc>
      </w:tr>
      <w:tr w:rsidR="00A4193B" w:rsidRPr="00F82221" w14:paraId="50A05E4C" w14:textId="77777777" w:rsidTr="004C7361">
        <w:trPr>
          <w:cnfStyle w:val="000000100000" w:firstRow="0" w:lastRow="0" w:firstColumn="0" w:lastColumn="0" w:oddVBand="0" w:evenVBand="0" w:oddHBand="1" w:evenHBand="0" w:firstRowFirstColumn="0" w:firstRowLastColumn="0" w:lastRowFirstColumn="0" w:lastRowLastColumn="0"/>
          <w:trHeight w:val="303"/>
        </w:trPr>
        <w:tc>
          <w:tcPr>
            <w:tcW w:w="0" w:type="auto"/>
          </w:tcPr>
          <w:p w14:paraId="723CEE51" w14:textId="77777777" w:rsidR="00A4193B" w:rsidRPr="00DD2C27" w:rsidRDefault="00A4193B" w:rsidP="00DD2C27">
            <w:pPr>
              <w:pStyle w:val="TableTextLeft"/>
            </w:pPr>
            <w:r w:rsidRPr="00DD2C27">
              <w:t xml:space="preserve">Financial Services/Insurance Provider Dispute </w:t>
            </w:r>
          </w:p>
        </w:tc>
        <w:tc>
          <w:tcPr>
            <w:tcW w:w="0" w:type="auto"/>
          </w:tcPr>
          <w:p w14:paraId="268F991B" w14:textId="77777777" w:rsidR="00A4193B" w:rsidRPr="00DD2C27" w:rsidRDefault="00A4193B" w:rsidP="00E43A43">
            <w:pPr>
              <w:pStyle w:val="TableTextLeft"/>
              <w:jc w:val="right"/>
            </w:pPr>
            <w:r w:rsidRPr="00DD2C27">
              <w:t xml:space="preserve">77 </w:t>
            </w:r>
          </w:p>
        </w:tc>
        <w:tc>
          <w:tcPr>
            <w:tcW w:w="0" w:type="auto"/>
          </w:tcPr>
          <w:p w14:paraId="6DF16810" w14:textId="77777777" w:rsidR="00A4193B" w:rsidRPr="00DD2C27" w:rsidRDefault="00A4193B" w:rsidP="00E43A43">
            <w:pPr>
              <w:pStyle w:val="TableTextLeft"/>
              <w:jc w:val="right"/>
            </w:pPr>
            <w:r w:rsidRPr="00DD2C27">
              <w:t xml:space="preserve">40 </w:t>
            </w:r>
          </w:p>
        </w:tc>
        <w:tc>
          <w:tcPr>
            <w:tcW w:w="0" w:type="auto"/>
          </w:tcPr>
          <w:p w14:paraId="6132240C" w14:textId="77777777" w:rsidR="00A4193B" w:rsidRPr="00DD2C27" w:rsidRDefault="00A4193B" w:rsidP="00E43A43">
            <w:pPr>
              <w:pStyle w:val="TableTextLeft"/>
              <w:jc w:val="right"/>
            </w:pPr>
            <w:r w:rsidRPr="00DD2C27">
              <w:t xml:space="preserve">50 </w:t>
            </w:r>
          </w:p>
        </w:tc>
        <w:tc>
          <w:tcPr>
            <w:tcW w:w="0" w:type="auto"/>
          </w:tcPr>
          <w:p w14:paraId="5B9DD279" w14:textId="77777777" w:rsidR="00A4193B" w:rsidRPr="00DD2C27" w:rsidRDefault="00A4193B" w:rsidP="00E43A43">
            <w:pPr>
              <w:pStyle w:val="TableTextLeft"/>
              <w:jc w:val="right"/>
            </w:pPr>
            <w:r w:rsidRPr="00DD2C27">
              <w:t xml:space="preserve">167 </w:t>
            </w:r>
          </w:p>
        </w:tc>
      </w:tr>
      <w:tr w:rsidR="00A4193B" w:rsidRPr="00F82221" w14:paraId="4EB2CB6A" w14:textId="77777777" w:rsidTr="004C7361">
        <w:trPr>
          <w:cnfStyle w:val="000000010000" w:firstRow="0" w:lastRow="0" w:firstColumn="0" w:lastColumn="0" w:oddVBand="0" w:evenVBand="0" w:oddHBand="0" w:evenHBand="1" w:firstRowFirstColumn="0" w:firstRowLastColumn="0" w:lastRowFirstColumn="0" w:lastRowLastColumn="0"/>
          <w:trHeight w:val="343"/>
        </w:trPr>
        <w:tc>
          <w:tcPr>
            <w:tcW w:w="0" w:type="auto"/>
          </w:tcPr>
          <w:p w14:paraId="334E6A7E" w14:textId="77777777" w:rsidR="00A4193B" w:rsidRPr="00DD2C27" w:rsidRDefault="00A4193B" w:rsidP="00DD2C27">
            <w:pPr>
              <w:pStyle w:val="TableTextLeft"/>
            </w:pPr>
            <w:r w:rsidRPr="00DD2C27">
              <w:t xml:space="preserve">Postal Industry Dispute </w:t>
            </w:r>
          </w:p>
        </w:tc>
        <w:tc>
          <w:tcPr>
            <w:tcW w:w="0" w:type="auto"/>
          </w:tcPr>
          <w:p w14:paraId="6258384A" w14:textId="77777777" w:rsidR="00A4193B" w:rsidRPr="00DD2C27" w:rsidRDefault="00A4193B" w:rsidP="00E43A43">
            <w:pPr>
              <w:pStyle w:val="TableTextLeft"/>
              <w:jc w:val="right"/>
            </w:pPr>
            <w:r w:rsidRPr="00DD2C27">
              <w:t xml:space="preserve">119 </w:t>
            </w:r>
          </w:p>
        </w:tc>
        <w:tc>
          <w:tcPr>
            <w:tcW w:w="0" w:type="auto"/>
          </w:tcPr>
          <w:p w14:paraId="6D746AE3" w14:textId="77777777" w:rsidR="00A4193B" w:rsidRPr="00DD2C27" w:rsidRDefault="00A4193B" w:rsidP="00E43A43">
            <w:pPr>
              <w:pStyle w:val="TableTextLeft"/>
              <w:jc w:val="right"/>
            </w:pPr>
            <w:r w:rsidRPr="00DD2C27">
              <w:t xml:space="preserve">13 </w:t>
            </w:r>
          </w:p>
        </w:tc>
        <w:tc>
          <w:tcPr>
            <w:tcW w:w="0" w:type="auto"/>
          </w:tcPr>
          <w:p w14:paraId="263577E8" w14:textId="77777777" w:rsidR="00A4193B" w:rsidRPr="00DD2C27" w:rsidRDefault="00A4193B" w:rsidP="00E43A43">
            <w:pPr>
              <w:pStyle w:val="TableTextLeft"/>
              <w:jc w:val="right"/>
            </w:pPr>
            <w:r w:rsidRPr="00DD2C27">
              <w:t xml:space="preserve">6 </w:t>
            </w:r>
          </w:p>
        </w:tc>
        <w:tc>
          <w:tcPr>
            <w:tcW w:w="0" w:type="auto"/>
          </w:tcPr>
          <w:p w14:paraId="6C45D96B" w14:textId="77777777" w:rsidR="00A4193B" w:rsidRPr="00DD2C27" w:rsidRDefault="00A4193B" w:rsidP="00E43A43">
            <w:pPr>
              <w:pStyle w:val="TableTextLeft"/>
              <w:jc w:val="right"/>
            </w:pPr>
            <w:r w:rsidRPr="00DD2C27">
              <w:t xml:space="preserve">138 </w:t>
            </w:r>
          </w:p>
        </w:tc>
      </w:tr>
      <w:tr w:rsidR="00A4193B" w:rsidRPr="00F82221" w14:paraId="7B7D3157" w14:textId="77777777" w:rsidTr="004C7361">
        <w:trPr>
          <w:cnfStyle w:val="000000100000" w:firstRow="0" w:lastRow="0" w:firstColumn="0" w:lastColumn="0" w:oddVBand="0" w:evenVBand="0" w:oddHBand="1" w:evenHBand="0" w:firstRowFirstColumn="0" w:firstRowLastColumn="0" w:lastRowFirstColumn="0" w:lastRowLastColumn="0"/>
          <w:trHeight w:val="353"/>
        </w:trPr>
        <w:tc>
          <w:tcPr>
            <w:tcW w:w="0" w:type="auto"/>
          </w:tcPr>
          <w:p w14:paraId="3C3290ED" w14:textId="77777777" w:rsidR="00A4193B" w:rsidRPr="00DD2C27" w:rsidRDefault="00A4193B" w:rsidP="00DD2C27">
            <w:pPr>
              <w:pStyle w:val="TableTextLeft"/>
            </w:pPr>
            <w:r w:rsidRPr="00DD2C27">
              <w:t xml:space="preserve">Commonwealth Government Dispute </w:t>
            </w:r>
          </w:p>
        </w:tc>
        <w:tc>
          <w:tcPr>
            <w:tcW w:w="0" w:type="auto"/>
          </w:tcPr>
          <w:p w14:paraId="7AEEB1C1" w14:textId="77777777" w:rsidR="00A4193B" w:rsidRPr="00DD2C27" w:rsidRDefault="00A4193B" w:rsidP="00E43A43">
            <w:pPr>
              <w:pStyle w:val="TableTextLeft"/>
              <w:jc w:val="right"/>
            </w:pPr>
            <w:r w:rsidRPr="00DD2C27">
              <w:t xml:space="preserve">60 </w:t>
            </w:r>
          </w:p>
        </w:tc>
        <w:tc>
          <w:tcPr>
            <w:tcW w:w="0" w:type="auto"/>
          </w:tcPr>
          <w:p w14:paraId="32263B44" w14:textId="77777777" w:rsidR="00A4193B" w:rsidRPr="00DD2C27" w:rsidRDefault="00A4193B" w:rsidP="00E43A43">
            <w:pPr>
              <w:pStyle w:val="TableTextLeft"/>
              <w:jc w:val="right"/>
            </w:pPr>
            <w:r w:rsidRPr="00DD2C27">
              <w:t xml:space="preserve">28 </w:t>
            </w:r>
          </w:p>
        </w:tc>
        <w:tc>
          <w:tcPr>
            <w:tcW w:w="0" w:type="auto"/>
          </w:tcPr>
          <w:p w14:paraId="7FBC66CE" w14:textId="77777777" w:rsidR="00A4193B" w:rsidRPr="00DD2C27" w:rsidRDefault="00A4193B" w:rsidP="00E43A43">
            <w:pPr>
              <w:pStyle w:val="TableTextLeft"/>
              <w:jc w:val="right"/>
            </w:pPr>
            <w:r w:rsidRPr="00DD2C27">
              <w:t xml:space="preserve">35 </w:t>
            </w:r>
          </w:p>
        </w:tc>
        <w:tc>
          <w:tcPr>
            <w:tcW w:w="0" w:type="auto"/>
          </w:tcPr>
          <w:p w14:paraId="79C0FB7F" w14:textId="77777777" w:rsidR="00A4193B" w:rsidRPr="00DD2C27" w:rsidRDefault="00A4193B" w:rsidP="00E43A43">
            <w:pPr>
              <w:pStyle w:val="TableTextLeft"/>
              <w:jc w:val="right"/>
            </w:pPr>
            <w:r w:rsidRPr="00DD2C27">
              <w:t xml:space="preserve">123 </w:t>
            </w:r>
          </w:p>
        </w:tc>
      </w:tr>
      <w:tr w:rsidR="00A4193B" w:rsidRPr="00F82221" w14:paraId="64C22DA9" w14:textId="77777777" w:rsidTr="004C7361">
        <w:trPr>
          <w:cnfStyle w:val="000000010000" w:firstRow="0" w:lastRow="0" w:firstColumn="0" w:lastColumn="0" w:oddVBand="0" w:evenVBand="0" w:oddHBand="0" w:evenHBand="1" w:firstRowFirstColumn="0" w:firstRowLastColumn="0" w:lastRowFirstColumn="0" w:lastRowLastColumn="0"/>
          <w:trHeight w:val="335"/>
        </w:trPr>
        <w:tc>
          <w:tcPr>
            <w:tcW w:w="0" w:type="auto"/>
          </w:tcPr>
          <w:p w14:paraId="0CDAE0B4" w14:textId="77777777" w:rsidR="00A4193B" w:rsidRPr="00DD2C27" w:rsidRDefault="00A4193B" w:rsidP="00DD2C27">
            <w:pPr>
              <w:pStyle w:val="TableTextLeft"/>
            </w:pPr>
            <w:r w:rsidRPr="00DD2C27">
              <w:t xml:space="preserve">Negative decision letter from ATO </w:t>
            </w:r>
          </w:p>
        </w:tc>
        <w:tc>
          <w:tcPr>
            <w:tcW w:w="0" w:type="auto"/>
          </w:tcPr>
          <w:p w14:paraId="43EB03E0" w14:textId="77777777" w:rsidR="00A4193B" w:rsidRPr="00DD2C27" w:rsidRDefault="00A4193B" w:rsidP="00E43A43">
            <w:pPr>
              <w:pStyle w:val="TableTextLeft"/>
              <w:jc w:val="right"/>
            </w:pPr>
            <w:r w:rsidRPr="00DD2C27">
              <w:t xml:space="preserve">47 </w:t>
            </w:r>
          </w:p>
        </w:tc>
        <w:tc>
          <w:tcPr>
            <w:tcW w:w="0" w:type="auto"/>
          </w:tcPr>
          <w:p w14:paraId="2A0081D7" w14:textId="77777777" w:rsidR="00A4193B" w:rsidRPr="00DD2C27" w:rsidRDefault="00A4193B" w:rsidP="00E43A43">
            <w:pPr>
              <w:pStyle w:val="TableTextLeft"/>
              <w:jc w:val="right"/>
            </w:pPr>
            <w:r w:rsidRPr="00DD2C27">
              <w:t xml:space="preserve">24 </w:t>
            </w:r>
          </w:p>
        </w:tc>
        <w:tc>
          <w:tcPr>
            <w:tcW w:w="0" w:type="auto"/>
          </w:tcPr>
          <w:p w14:paraId="7081EA4C" w14:textId="77777777" w:rsidR="00A4193B" w:rsidRPr="00DD2C27" w:rsidRDefault="00A4193B" w:rsidP="00E43A43">
            <w:pPr>
              <w:pStyle w:val="TableTextLeft"/>
              <w:jc w:val="right"/>
            </w:pPr>
            <w:r w:rsidRPr="00DD2C27">
              <w:t xml:space="preserve">35 </w:t>
            </w:r>
          </w:p>
        </w:tc>
        <w:tc>
          <w:tcPr>
            <w:tcW w:w="0" w:type="auto"/>
          </w:tcPr>
          <w:p w14:paraId="4306539B" w14:textId="77777777" w:rsidR="00A4193B" w:rsidRPr="00DD2C27" w:rsidRDefault="00A4193B" w:rsidP="00E43A43">
            <w:pPr>
              <w:pStyle w:val="TableTextLeft"/>
              <w:jc w:val="right"/>
            </w:pPr>
            <w:r w:rsidRPr="00DD2C27">
              <w:t xml:space="preserve">106 </w:t>
            </w:r>
          </w:p>
        </w:tc>
      </w:tr>
      <w:tr w:rsidR="00A4193B" w:rsidRPr="00F82221" w14:paraId="4B009327" w14:textId="77777777" w:rsidTr="004C7361">
        <w:trPr>
          <w:cnfStyle w:val="000000100000" w:firstRow="0" w:lastRow="0" w:firstColumn="0" w:lastColumn="0" w:oddVBand="0" w:evenVBand="0" w:oddHBand="1" w:evenHBand="0" w:firstRowFirstColumn="0" w:firstRowLastColumn="0" w:lastRowFirstColumn="0" w:lastRowLastColumn="0"/>
          <w:trHeight w:val="189"/>
        </w:trPr>
        <w:tc>
          <w:tcPr>
            <w:tcW w:w="0" w:type="auto"/>
          </w:tcPr>
          <w:p w14:paraId="085E89C2" w14:textId="77777777" w:rsidR="00A4193B" w:rsidRPr="00DD2C27" w:rsidRDefault="00A4193B" w:rsidP="00DD2C27">
            <w:pPr>
              <w:pStyle w:val="TableTextLeft"/>
            </w:pPr>
            <w:r w:rsidRPr="00DD2C27">
              <w:t xml:space="preserve">State/ Territory Government Dispute </w:t>
            </w:r>
          </w:p>
        </w:tc>
        <w:tc>
          <w:tcPr>
            <w:tcW w:w="0" w:type="auto"/>
          </w:tcPr>
          <w:p w14:paraId="2DD79764" w14:textId="77777777" w:rsidR="00A4193B" w:rsidRPr="00DD2C27" w:rsidRDefault="00A4193B" w:rsidP="00E43A43">
            <w:pPr>
              <w:pStyle w:val="TableTextLeft"/>
              <w:jc w:val="right"/>
            </w:pPr>
            <w:r w:rsidRPr="00DD2C27">
              <w:t xml:space="preserve">50 </w:t>
            </w:r>
          </w:p>
        </w:tc>
        <w:tc>
          <w:tcPr>
            <w:tcW w:w="0" w:type="auto"/>
          </w:tcPr>
          <w:p w14:paraId="42D7AED8" w14:textId="77777777" w:rsidR="00A4193B" w:rsidRPr="00DD2C27" w:rsidRDefault="00A4193B" w:rsidP="00E43A43">
            <w:pPr>
              <w:pStyle w:val="TableTextLeft"/>
              <w:jc w:val="right"/>
            </w:pPr>
            <w:r w:rsidRPr="00DD2C27">
              <w:t xml:space="preserve">17 </w:t>
            </w:r>
          </w:p>
        </w:tc>
        <w:tc>
          <w:tcPr>
            <w:tcW w:w="0" w:type="auto"/>
          </w:tcPr>
          <w:p w14:paraId="675B744D" w14:textId="77777777" w:rsidR="00A4193B" w:rsidRPr="00DD2C27" w:rsidRDefault="00A4193B" w:rsidP="00E43A43">
            <w:pPr>
              <w:pStyle w:val="TableTextLeft"/>
              <w:jc w:val="right"/>
            </w:pPr>
            <w:r w:rsidRPr="00DD2C27">
              <w:t xml:space="preserve">13 </w:t>
            </w:r>
          </w:p>
        </w:tc>
        <w:tc>
          <w:tcPr>
            <w:tcW w:w="0" w:type="auto"/>
          </w:tcPr>
          <w:p w14:paraId="3A899407" w14:textId="77777777" w:rsidR="00A4193B" w:rsidRPr="00DD2C27" w:rsidRDefault="00A4193B" w:rsidP="00E43A43">
            <w:pPr>
              <w:pStyle w:val="TableTextLeft"/>
              <w:jc w:val="right"/>
            </w:pPr>
            <w:r w:rsidRPr="00DD2C27">
              <w:t xml:space="preserve">80 </w:t>
            </w:r>
          </w:p>
        </w:tc>
      </w:tr>
      <w:tr w:rsidR="00A4193B" w:rsidRPr="00F82221" w14:paraId="1E68EC24" w14:textId="77777777" w:rsidTr="004C7361">
        <w:trPr>
          <w:cnfStyle w:val="000000010000" w:firstRow="0" w:lastRow="0" w:firstColumn="0" w:lastColumn="0" w:oddVBand="0" w:evenVBand="0" w:oddHBand="0" w:evenHBand="1" w:firstRowFirstColumn="0" w:firstRowLastColumn="0" w:lastRowFirstColumn="0" w:lastRowLastColumn="0"/>
          <w:trHeight w:val="373"/>
        </w:trPr>
        <w:tc>
          <w:tcPr>
            <w:tcW w:w="0" w:type="auto"/>
          </w:tcPr>
          <w:p w14:paraId="701A2B5D" w14:textId="77777777" w:rsidR="00A4193B" w:rsidRPr="00DD2C27" w:rsidRDefault="00A4193B" w:rsidP="00DD2C27">
            <w:pPr>
              <w:pStyle w:val="TableTextLeft"/>
            </w:pPr>
            <w:r w:rsidRPr="00DD2C27">
              <w:t xml:space="preserve">Attending an event or meeting </w:t>
            </w:r>
          </w:p>
        </w:tc>
        <w:tc>
          <w:tcPr>
            <w:tcW w:w="0" w:type="auto"/>
          </w:tcPr>
          <w:p w14:paraId="36FE73B7" w14:textId="77777777" w:rsidR="00A4193B" w:rsidRPr="00DD2C27" w:rsidRDefault="00A4193B" w:rsidP="00E43A43">
            <w:pPr>
              <w:pStyle w:val="TableTextLeft"/>
              <w:jc w:val="right"/>
            </w:pPr>
            <w:r w:rsidRPr="00DD2C27">
              <w:t xml:space="preserve">42 </w:t>
            </w:r>
          </w:p>
        </w:tc>
        <w:tc>
          <w:tcPr>
            <w:tcW w:w="0" w:type="auto"/>
          </w:tcPr>
          <w:p w14:paraId="5AAA00BB" w14:textId="77777777" w:rsidR="00A4193B" w:rsidRPr="00DD2C27" w:rsidRDefault="00A4193B" w:rsidP="00E43A43">
            <w:pPr>
              <w:pStyle w:val="TableTextLeft"/>
              <w:jc w:val="right"/>
            </w:pPr>
            <w:r w:rsidRPr="00DD2C27">
              <w:t xml:space="preserve">25 </w:t>
            </w:r>
          </w:p>
        </w:tc>
        <w:tc>
          <w:tcPr>
            <w:tcW w:w="0" w:type="auto"/>
          </w:tcPr>
          <w:p w14:paraId="46EAEA30" w14:textId="77777777" w:rsidR="00A4193B" w:rsidRPr="00DD2C27" w:rsidRDefault="00A4193B" w:rsidP="00E43A43">
            <w:pPr>
              <w:pStyle w:val="TableTextLeft"/>
              <w:jc w:val="right"/>
            </w:pPr>
            <w:r w:rsidRPr="00DD2C27">
              <w:t xml:space="preserve">6 </w:t>
            </w:r>
          </w:p>
        </w:tc>
        <w:tc>
          <w:tcPr>
            <w:tcW w:w="0" w:type="auto"/>
          </w:tcPr>
          <w:p w14:paraId="3D270EA0" w14:textId="77777777" w:rsidR="00A4193B" w:rsidRPr="00DD2C27" w:rsidRDefault="00A4193B" w:rsidP="00E43A43">
            <w:pPr>
              <w:pStyle w:val="TableTextLeft"/>
              <w:jc w:val="right"/>
            </w:pPr>
            <w:r w:rsidRPr="00DD2C27">
              <w:t xml:space="preserve">73 </w:t>
            </w:r>
          </w:p>
        </w:tc>
      </w:tr>
      <w:tr w:rsidR="00A4193B" w:rsidRPr="00F82221" w14:paraId="34D755D9" w14:textId="77777777" w:rsidTr="004C7361">
        <w:trPr>
          <w:cnfStyle w:val="000000100000" w:firstRow="0" w:lastRow="0" w:firstColumn="0" w:lastColumn="0" w:oddVBand="0" w:evenVBand="0" w:oddHBand="1" w:evenHBand="0" w:firstRowFirstColumn="0" w:firstRowLastColumn="0" w:lastRowFirstColumn="0" w:lastRowLastColumn="0"/>
          <w:trHeight w:val="142"/>
        </w:trPr>
        <w:tc>
          <w:tcPr>
            <w:tcW w:w="0" w:type="auto"/>
          </w:tcPr>
          <w:p w14:paraId="3A37D6A7" w14:textId="04B56E7F" w:rsidR="00A4193B" w:rsidRPr="00DD2C27" w:rsidRDefault="00A4193B" w:rsidP="00DD2C27">
            <w:pPr>
              <w:pStyle w:val="TableTextLeft"/>
            </w:pPr>
            <w:r w:rsidRPr="00DD2C27">
              <w:t xml:space="preserve">Local Government Dispute </w:t>
            </w:r>
            <w:r w:rsidR="00934623">
              <w:t>^</w:t>
            </w:r>
            <w:r w:rsidR="00CE25EF">
              <w:t xml:space="preserve"> </w:t>
            </w:r>
          </w:p>
        </w:tc>
        <w:tc>
          <w:tcPr>
            <w:tcW w:w="0" w:type="auto"/>
          </w:tcPr>
          <w:p w14:paraId="0B3299A4" w14:textId="77777777" w:rsidR="00A4193B" w:rsidRPr="00DD2C27" w:rsidRDefault="00A4193B" w:rsidP="00E43A43">
            <w:pPr>
              <w:pStyle w:val="TableTextLeft"/>
              <w:jc w:val="right"/>
            </w:pPr>
            <w:r w:rsidRPr="00DD2C27">
              <w:t xml:space="preserve">15 </w:t>
            </w:r>
          </w:p>
        </w:tc>
        <w:tc>
          <w:tcPr>
            <w:tcW w:w="0" w:type="auto"/>
          </w:tcPr>
          <w:p w14:paraId="2F3CDB4E" w14:textId="77777777" w:rsidR="00A4193B" w:rsidRPr="00DD2C27" w:rsidRDefault="00A4193B" w:rsidP="00E43A43">
            <w:pPr>
              <w:pStyle w:val="TableTextLeft"/>
              <w:jc w:val="right"/>
            </w:pPr>
            <w:r w:rsidRPr="00DD2C27">
              <w:t xml:space="preserve">6 </w:t>
            </w:r>
          </w:p>
        </w:tc>
        <w:tc>
          <w:tcPr>
            <w:tcW w:w="0" w:type="auto"/>
          </w:tcPr>
          <w:p w14:paraId="4CB6180D" w14:textId="77777777" w:rsidR="00A4193B" w:rsidRPr="00DD2C27" w:rsidRDefault="00A4193B" w:rsidP="00E43A43">
            <w:pPr>
              <w:pStyle w:val="TableTextLeft"/>
              <w:jc w:val="right"/>
            </w:pPr>
            <w:r w:rsidRPr="00DD2C27">
              <w:t xml:space="preserve">2 </w:t>
            </w:r>
          </w:p>
        </w:tc>
        <w:tc>
          <w:tcPr>
            <w:tcW w:w="0" w:type="auto"/>
          </w:tcPr>
          <w:p w14:paraId="00C586F7" w14:textId="77777777" w:rsidR="00A4193B" w:rsidRPr="00DD2C27" w:rsidRDefault="00A4193B" w:rsidP="00E43A43">
            <w:pPr>
              <w:pStyle w:val="TableTextLeft"/>
              <w:jc w:val="right"/>
            </w:pPr>
            <w:r w:rsidRPr="00DD2C27">
              <w:t xml:space="preserve">23 </w:t>
            </w:r>
          </w:p>
        </w:tc>
      </w:tr>
      <w:tr w:rsidR="00A4193B" w:rsidRPr="00F82221" w14:paraId="4FCD15CC" w14:textId="77777777" w:rsidTr="004C7361">
        <w:trPr>
          <w:cnfStyle w:val="000000010000" w:firstRow="0" w:lastRow="0" w:firstColumn="0" w:lastColumn="0" w:oddVBand="0" w:evenVBand="0" w:oddHBand="0" w:evenHBand="1" w:firstRowFirstColumn="0" w:firstRowLastColumn="0" w:lastRowFirstColumn="0" w:lastRowLastColumn="0"/>
          <w:trHeight w:val="142"/>
        </w:trPr>
        <w:tc>
          <w:tcPr>
            <w:tcW w:w="0" w:type="auto"/>
          </w:tcPr>
          <w:p w14:paraId="44052E70" w14:textId="77777777" w:rsidR="00A4193B" w:rsidRPr="00DD2C27" w:rsidRDefault="00A4193B" w:rsidP="00DD2C27">
            <w:pPr>
              <w:pStyle w:val="TableTextLeft"/>
            </w:pPr>
            <w:r w:rsidRPr="00DD2C27">
              <w:t xml:space="preserve">Oil Dispute </w:t>
            </w:r>
          </w:p>
        </w:tc>
        <w:tc>
          <w:tcPr>
            <w:tcW w:w="0" w:type="auto"/>
          </w:tcPr>
          <w:p w14:paraId="15D36468" w14:textId="77777777" w:rsidR="00A4193B" w:rsidRPr="00DD2C27" w:rsidRDefault="00A4193B" w:rsidP="00E43A43">
            <w:pPr>
              <w:pStyle w:val="TableTextLeft"/>
              <w:jc w:val="right"/>
            </w:pPr>
            <w:r w:rsidRPr="00DD2C27">
              <w:t xml:space="preserve">3 </w:t>
            </w:r>
          </w:p>
        </w:tc>
        <w:tc>
          <w:tcPr>
            <w:tcW w:w="0" w:type="auto"/>
          </w:tcPr>
          <w:p w14:paraId="69BFA02D" w14:textId="77777777" w:rsidR="00A4193B" w:rsidRPr="00DD2C27" w:rsidRDefault="00A4193B" w:rsidP="00E43A43">
            <w:pPr>
              <w:pStyle w:val="TableTextLeft"/>
              <w:jc w:val="right"/>
            </w:pPr>
            <w:r w:rsidRPr="00DD2C27">
              <w:t xml:space="preserve">4 </w:t>
            </w:r>
          </w:p>
        </w:tc>
        <w:tc>
          <w:tcPr>
            <w:tcW w:w="0" w:type="auto"/>
          </w:tcPr>
          <w:p w14:paraId="7770D99A" w14:textId="77777777" w:rsidR="00A4193B" w:rsidRPr="00DD2C27" w:rsidRDefault="00A4193B" w:rsidP="00E43A43">
            <w:pPr>
              <w:pStyle w:val="TableTextLeft"/>
              <w:jc w:val="right"/>
            </w:pPr>
            <w:r w:rsidRPr="00DD2C27">
              <w:t xml:space="preserve">3 </w:t>
            </w:r>
          </w:p>
        </w:tc>
        <w:tc>
          <w:tcPr>
            <w:tcW w:w="0" w:type="auto"/>
          </w:tcPr>
          <w:p w14:paraId="3F58E16E" w14:textId="77777777" w:rsidR="00A4193B" w:rsidRPr="00DD2C27" w:rsidRDefault="00A4193B" w:rsidP="00E43A43">
            <w:pPr>
              <w:pStyle w:val="TableTextLeft"/>
              <w:jc w:val="right"/>
            </w:pPr>
            <w:r w:rsidRPr="00DD2C27">
              <w:t xml:space="preserve">10 </w:t>
            </w:r>
          </w:p>
        </w:tc>
      </w:tr>
      <w:tr w:rsidR="00A4193B" w:rsidRPr="00F82221" w14:paraId="71DF7471" w14:textId="77777777" w:rsidTr="004C7361">
        <w:trPr>
          <w:cnfStyle w:val="000000100000" w:firstRow="0" w:lastRow="0" w:firstColumn="0" w:lastColumn="0" w:oddVBand="0" w:evenVBand="0" w:oddHBand="1" w:evenHBand="0" w:firstRowFirstColumn="0" w:firstRowLastColumn="0" w:lastRowFirstColumn="0" w:lastRowLastColumn="0"/>
          <w:trHeight w:val="267"/>
        </w:trPr>
        <w:tc>
          <w:tcPr>
            <w:tcW w:w="0" w:type="auto"/>
          </w:tcPr>
          <w:p w14:paraId="09CA0EFA" w14:textId="77777777" w:rsidR="00A4193B" w:rsidRPr="00DD2C27" w:rsidRDefault="00A4193B" w:rsidP="00DD2C27">
            <w:pPr>
              <w:pStyle w:val="TableTextLeft"/>
            </w:pPr>
            <w:r w:rsidRPr="00DD2C27">
              <w:t xml:space="preserve">Dairy Dispute </w:t>
            </w:r>
          </w:p>
        </w:tc>
        <w:tc>
          <w:tcPr>
            <w:tcW w:w="0" w:type="auto"/>
          </w:tcPr>
          <w:p w14:paraId="27AD3476" w14:textId="77777777" w:rsidR="00A4193B" w:rsidRPr="00DD2C27" w:rsidRDefault="00A4193B" w:rsidP="00E43A43">
            <w:pPr>
              <w:pStyle w:val="TableTextLeft"/>
              <w:jc w:val="right"/>
            </w:pPr>
            <w:r w:rsidRPr="00DD2C27">
              <w:t xml:space="preserve">3 </w:t>
            </w:r>
          </w:p>
        </w:tc>
        <w:tc>
          <w:tcPr>
            <w:tcW w:w="0" w:type="auto"/>
          </w:tcPr>
          <w:p w14:paraId="3AC249B7" w14:textId="77777777" w:rsidR="00A4193B" w:rsidRPr="00DD2C27" w:rsidRDefault="00A4193B" w:rsidP="00E43A43">
            <w:pPr>
              <w:pStyle w:val="TableTextLeft"/>
              <w:jc w:val="right"/>
            </w:pPr>
            <w:r w:rsidRPr="00DD2C27">
              <w:t xml:space="preserve">2 </w:t>
            </w:r>
          </w:p>
        </w:tc>
        <w:tc>
          <w:tcPr>
            <w:tcW w:w="0" w:type="auto"/>
          </w:tcPr>
          <w:p w14:paraId="4A92C9D2" w14:textId="77777777" w:rsidR="00A4193B" w:rsidRPr="00DD2C27" w:rsidRDefault="00A4193B" w:rsidP="00E43A43">
            <w:pPr>
              <w:pStyle w:val="TableTextLeft"/>
              <w:jc w:val="right"/>
            </w:pPr>
            <w:r w:rsidRPr="00DD2C27">
              <w:t xml:space="preserve">4 </w:t>
            </w:r>
          </w:p>
        </w:tc>
        <w:tc>
          <w:tcPr>
            <w:tcW w:w="0" w:type="auto"/>
          </w:tcPr>
          <w:p w14:paraId="7C555D0B" w14:textId="77777777" w:rsidR="00A4193B" w:rsidRPr="00DD2C27" w:rsidRDefault="00A4193B" w:rsidP="00E43A43">
            <w:pPr>
              <w:pStyle w:val="TableTextLeft"/>
              <w:jc w:val="right"/>
            </w:pPr>
            <w:r w:rsidRPr="00DD2C27">
              <w:t xml:space="preserve">9 </w:t>
            </w:r>
          </w:p>
        </w:tc>
      </w:tr>
      <w:tr w:rsidR="00A4193B" w:rsidRPr="00F82221" w14:paraId="3533D92F" w14:textId="77777777" w:rsidTr="004C7361">
        <w:trPr>
          <w:cnfStyle w:val="000000010000" w:firstRow="0" w:lastRow="0" w:firstColumn="0" w:lastColumn="0" w:oddVBand="0" w:evenVBand="0" w:oddHBand="0" w:evenHBand="1" w:firstRowFirstColumn="0" w:firstRowLastColumn="0" w:lastRowFirstColumn="0" w:lastRowLastColumn="0"/>
          <w:trHeight w:val="276"/>
        </w:trPr>
        <w:tc>
          <w:tcPr>
            <w:tcW w:w="0" w:type="auto"/>
          </w:tcPr>
          <w:p w14:paraId="24830039" w14:textId="77777777" w:rsidR="00A4193B" w:rsidRPr="00DD2C27" w:rsidRDefault="00A4193B" w:rsidP="00DD2C27">
            <w:pPr>
              <w:pStyle w:val="TableTextLeft"/>
            </w:pPr>
            <w:r w:rsidRPr="00DD2C27">
              <w:t xml:space="preserve">Internal Business Disputes </w:t>
            </w:r>
          </w:p>
        </w:tc>
        <w:tc>
          <w:tcPr>
            <w:tcW w:w="0" w:type="auto"/>
          </w:tcPr>
          <w:p w14:paraId="50AC5735" w14:textId="77777777" w:rsidR="00A4193B" w:rsidRPr="00DD2C27" w:rsidRDefault="00A4193B" w:rsidP="00E43A43">
            <w:pPr>
              <w:pStyle w:val="TableTextLeft"/>
              <w:jc w:val="right"/>
            </w:pPr>
            <w:r w:rsidRPr="00DD2C27">
              <w:t xml:space="preserve">4 </w:t>
            </w:r>
          </w:p>
        </w:tc>
        <w:tc>
          <w:tcPr>
            <w:tcW w:w="0" w:type="auto"/>
          </w:tcPr>
          <w:p w14:paraId="7E9A778C" w14:textId="77777777" w:rsidR="00A4193B" w:rsidRPr="00DD2C27" w:rsidRDefault="00A4193B" w:rsidP="00E43A43">
            <w:pPr>
              <w:pStyle w:val="TableTextLeft"/>
              <w:jc w:val="right"/>
            </w:pPr>
            <w:r w:rsidRPr="00DD2C27">
              <w:t xml:space="preserve">3 </w:t>
            </w:r>
          </w:p>
        </w:tc>
        <w:tc>
          <w:tcPr>
            <w:tcW w:w="0" w:type="auto"/>
          </w:tcPr>
          <w:p w14:paraId="06E93A43" w14:textId="77777777" w:rsidR="00A4193B" w:rsidRPr="00DD2C27" w:rsidRDefault="00A4193B" w:rsidP="00E43A43">
            <w:pPr>
              <w:pStyle w:val="TableTextLeft"/>
              <w:jc w:val="right"/>
            </w:pPr>
            <w:r w:rsidRPr="00DD2C27">
              <w:t xml:space="preserve">0 </w:t>
            </w:r>
          </w:p>
        </w:tc>
        <w:tc>
          <w:tcPr>
            <w:tcW w:w="0" w:type="auto"/>
          </w:tcPr>
          <w:p w14:paraId="3C6CCE51" w14:textId="77777777" w:rsidR="00A4193B" w:rsidRPr="00DD2C27" w:rsidRDefault="00A4193B" w:rsidP="00E43A43">
            <w:pPr>
              <w:pStyle w:val="TableTextLeft"/>
              <w:jc w:val="right"/>
            </w:pPr>
            <w:r w:rsidRPr="00DD2C27">
              <w:t xml:space="preserve">7 </w:t>
            </w:r>
          </w:p>
        </w:tc>
      </w:tr>
      <w:tr w:rsidR="00A4193B" w:rsidRPr="00F82221" w14:paraId="67453616" w14:textId="77777777" w:rsidTr="004C7361">
        <w:trPr>
          <w:cnfStyle w:val="000000100000" w:firstRow="0" w:lastRow="0" w:firstColumn="0" w:lastColumn="0" w:oddVBand="0" w:evenVBand="0" w:oddHBand="1" w:evenHBand="0" w:firstRowFirstColumn="0" w:firstRowLastColumn="0" w:lastRowFirstColumn="0" w:lastRowLastColumn="0"/>
          <w:trHeight w:val="271"/>
        </w:trPr>
        <w:tc>
          <w:tcPr>
            <w:tcW w:w="0" w:type="auto"/>
          </w:tcPr>
          <w:p w14:paraId="211FBF29" w14:textId="77777777" w:rsidR="00A4193B" w:rsidRPr="00DD2C27" w:rsidRDefault="00A4193B" w:rsidP="00DD2C27">
            <w:pPr>
              <w:pStyle w:val="TableTextLeft"/>
            </w:pPr>
            <w:r w:rsidRPr="00DD2C27">
              <w:t xml:space="preserve">Horticulture Dispute </w:t>
            </w:r>
          </w:p>
        </w:tc>
        <w:tc>
          <w:tcPr>
            <w:tcW w:w="0" w:type="auto"/>
          </w:tcPr>
          <w:p w14:paraId="59F54EA0" w14:textId="77777777" w:rsidR="00A4193B" w:rsidRPr="00DD2C27" w:rsidRDefault="00A4193B" w:rsidP="00E43A43">
            <w:pPr>
              <w:pStyle w:val="TableTextLeft"/>
              <w:jc w:val="right"/>
            </w:pPr>
            <w:r w:rsidRPr="00DD2C27">
              <w:t xml:space="preserve">2 </w:t>
            </w:r>
          </w:p>
        </w:tc>
        <w:tc>
          <w:tcPr>
            <w:tcW w:w="0" w:type="auto"/>
          </w:tcPr>
          <w:p w14:paraId="32D63BF3" w14:textId="77777777" w:rsidR="00A4193B" w:rsidRPr="00DD2C27" w:rsidRDefault="00A4193B" w:rsidP="00E43A43">
            <w:pPr>
              <w:pStyle w:val="TableTextLeft"/>
              <w:jc w:val="right"/>
            </w:pPr>
            <w:r w:rsidRPr="00DD2C27">
              <w:t xml:space="preserve">0 </w:t>
            </w:r>
          </w:p>
        </w:tc>
        <w:tc>
          <w:tcPr>
            <w:tcW w:w="0" w:type="auto"/>
          </w:tcPr>
          <w:p w14:paraId="5FC69B5D" w14:textId="77777777" w:rsidR="00A4193B" w:rsidRPr="00DD2C27" w:rsidRDefault="00A4193B" w:rsidP="00E43A43">
            <w:pPr>
              <w:pStyle w:val="TableTextLeft"/>
              <w:jc w:val="right"/>
            </w:pPr>
            <w:r w:rsidRPr="00DD2C27">
              <w:t xml:space="preserve">1 </w:t>
            </w:r>
          </w:p>
        </w:tc>
        <w:tc>
          <w:tcPr>
            <w:tcW w:w="0" w:type="auto"/>
          </w:tcPr>
          <w:p w14:paraId="61432091" w14:textId="77777777" w:rsidR="00A4193B" w:rsidRPr="00DD2C27" w:rsidRDefault="00A4193B" w:rsidP="00E43A43">
            <w:pPr>
              <w:pStyle w:val="TableTextLeft"/>
              <w:jc w:val="right"/>
            </w:pPr>
            <w:r w:rsidRPr="00DD2C27">
              <w:t xml:space="preserve">3 </w:t>
            </w:r>
          </w:p>
        </w:tc>
      </w:tr>
      <w:tr w:rsidR="00A4193B" w:rsidRPr="00F82221" w14:paraId="0D882C62" w14:textId="77777777" w:rsidTr="004C7361">
        <w:trPr>
          <w:cnfStyle w:val="000000010000" w:firstRow="0" w:lastRow="0" w:firstColumn="0" w:lastColumn="0" w:oddVBand="0" w:evenVBand="0" w:oddHBand="0" w:evenHBand="1" w:firstRowFirstColumn="0" w:firstRowLastColumn="0" w:lastRowFirstColumn="0" w:lastRowLastColumn="0"/>
          <w:trHeight w:val="212"/>
        </w:trPr>
        <w:tc>
          <w:tcPr>
            <w:tcW w:w="0" w:type="auto"/>
          </w:tcPr>
          <w:p w14:paraId="6538DAE8" w14:textId="77777777" w:rsidR="00A4193B" w:rsidRPr="00DD2C27" w:rsidRDefault="00A4193B" w:rsidP="00DD2C27">
            <w:pPr>
              <w:pStyle w:val="TableTextLeft"/>
            </w:pPr>
            <w:r w:rsidRPr="00DD2C27">
              <w:t xml:space="preserve">Other </w:t>
            </w:r>
          </w:p>
        </w:tc>
        <w:tc>
          <w:tcPr>
            <w:tcW w:w="0" w:type="auto"/>
          </w:tcPr>
          <w:p w14:paraId="5132EC38" w14:textId="77777777" w:rsidR="00A4193B" w:rsidRPr="00DD2C27" w:rsidRDefault="00A4193B" w:rsidP="00E43A43">
            <w:pPr>
              <w:pStyle w:val="TableTextLeft"/>
              <w:jc w:val="right"/>
            </w:pPr>
            <w:r w:rsidRPr="00DD2C27">
              <w:t xml:space="preserve">259 </w:t>
            </w:r>
          </w:p>
        </w:tc>
        <w:tc>
          <w:tcPr>
            <w:tcW w:w="0" w:type="auto"/>
          </w:tcPr>
          <w:p w14:paraId="299CF670" w14:textId="77777777" w:rsidR="00A4193B" w:rsidRPr="00DD2C27" w:rsidRDefault="00A4193B" w:rsidP="00E43A43">
            <w:pPr>
              <w:pStyle w:val="TableTextLeft"/>
              <w:jc w:val="right"/>
            </w:pPr>
            <w:r w:rsidRPr="00DD2C27">
              <w:t xml:space="preserve">368 </w:t>
            </w:r>
          </w:p>
        </w:tc>
        <w:tc>
          <w:tcPr>
            <w:tcW w:w="0" w:type="auto"/>
          </w:tcPr>
          <w:p w14:paraId="05A6F537" w14:textId="77777777" w:rsidR="00A4193B" w:rsidRPr="00DD2C27" w:rsidRDefault="00A4193B" w:rsidP="00E43A43">
            <w:pPr>
              <w:pStyle w:val="TableTextLeft"/>
              <w:jc w:val="right"/>
            </w:pPr>
            <w:r w:rsidRPr="00DD2C27">
              <w:t xml:space="preserve">584 </w:t>
            </w:r>
          </w:p>
        </w:tc>
        <w:tc>
          <w:tcPr>
            <w:tcW w:w="0" w:type="auto"/>
          </w:tcPr>
          <w:p w14:paraId="711A003E" w14:textId="77777777" w:rsidR="00A4193B" w:rsidRPr="00DD2C27" w:rsidRDefault="00A4193B" w:rsidP="00E43A43">
            <w:pPr>
              <w:pStyle w:val="TableTextLeft"/>
              <w:jc w:val="right"/>
            </w:pPr>
            <w:r w:rsidRPr="00DD2C27">
              <w:t xml:space="preserve">1,211 </w:t>
            </w:r>
          </w:p>
        </w:tc>
      </w:tr>
      <w:tr w:rsidR="00A4193B" w:rsidRPr="00F82221" w14:paraId="21E617FE" w14:textId="77777777" w:rsidTr="004C7361">
        <w:trPr>
          <w:cnfStyle w:val="000000100000" w:firstRow="0" w:lastRow="0" w:firstColumn="0" w:lastColumn="0" w:oddVBand="0" w:evenVBand="0" w:oddHBand="1" w:evenHBand="0" w:firstRowFirstColumn="0" w:firstRowLastColumn="0" w:lastRowFirstColumn="0" w:lastRowLastColumn="0"/>
          <w:trHeight w:val="121"/>
        </w:trPr>
        <w:tc>
          <w:tcPr>
            <w:tcW w:w="0" w:type="auto"/>
          </w:tcPr>
          <w:p w14:paraId="3C1B67C5" w14:textId="77777777" w:rsidR="00A4193B" w:rsidRPr="00DD2C27" w:rsidRDefault="00A4193B" w:rsidP="00DD2C27">
            <w:pPr>
              <w:pStyle w:val="TableTextLeft"/>
              <w:rPr>
                <w:rStyle w:val="Strong"/>
              </w:rPr>
            </w:pPr>
            <w:r w:rsidRPr="00DD2C27">
              <w:rPr>
                <w:rStyle w:val="Strong"/>
              </w:rPr>
              <w:t xml:space="preserve">Total* </w:t>
            </w:r>
          </w:p>
        </w:tc>
        <w:tc>
          <w:tcPr>
            <w:tcW w:w="0" w:type="auto"/>
          </w:tcPr>
          <w:p w14:paraId="0268C4F1" w14:textId="77777777" w:rsidR="00A4193B" w:rsidRPr="00DD2C27" w:rsidRDefault="00A4193B" w:rsidP="00E43A43">
            <w:pPr>
              <w:pStyle w:val="TableTextLeft"/>
              <w:jc w:val="right"/>
              <w:rPr>
                <w:rStyle w:val="Strong"/>
              </w:rPr>
            </w:pPr>
            <w:r w:rsidRPr="00DD2C27">
              <w:rPr>
                <w:rStyle w:val="Strong"/>
              </w:rPr>
              <w:t xml:space="preserve">4,459 </w:t>
            </w:r>
          </w:p>
        </w:tc>
        <w:tc>
          <w:tcPr>
            <w:tcW w:w="0" w:type="auto"/>
          </w:tcPr>
          <w:p w14:paraId="0857F2E6" w14:textId="77777777" w:rsidR="00A4193B" w:rsidRPr="00DD2C27" w:rsidRDefault="00A4193B" w:rsidP="00E43A43">
            <w:pPr>
              <w:pStyle w:val="TableTextLeft"/>
              <w:jc w:val="right"/>
              <w:rPr>
                <w:rStyle w:val="Strong"/>
              </w:rPr>
            </w:pPr>
            <w:r w:rsidRPr="00DD2C27">
              <w:rPr>
                <w:rStyle w:val="Strong"/>
              </w:rPr>
              <w:t xml:space="preserve">4,261 </w:t>
            </w:r>
          </w:p>
        </w:tc>
        <w:tc>
          <w:tcPr>
            <w:tcW w:w="0" w:type="auto"/>
          </w:tcPr>
          <w:p w14:paraId="310E0E84" w14:textId="77777777" w:rsidR="00A4193B" w:rsidRPr="00DD2C27" w:rsidRDefault="00A4193B" w:rsidP="00E43A43">
            <w:pPr>
              <w:pStyle w:val="TableTextLeft"/>
              <w:jc w:val="right"/>
              <w:rPr>
                <w:rStyle w:val="Strong"/>
              </w:rPr>
            </w:pPr>
            <w:r w:rsidRPr="00DD2C27">
              <w:rPr>
                <w:rStyle w:val="Strong"/>
              </w:rPr>
              <w:t xml:space="preserve">4,858 </w:t>
            </w:r>
          </w:p>
        </w:tc>
        <w:tc>
          <w:tcPr>
            <w:tcW w:w="0" w:type="auto"/>
          </w:tcPr>
          <w:p w14:paraId="034FA7D4" w14:textId="77777777" w:rsidR="00A4193B" w:rsidRPr="00DD2C27" w:rsidRDefault="00A4193B" w:rsidP="00E43A43">
            <w:pPr>
              <w:pStyle w:val="TableTextLeft"/>
              <w:jc w:val="right"/>
              <w:rPr>
                <w:rStyle w:val="Strong"/>
              </w:rPr>
            </w:pPr>
            <w:r w:rsidRPr="00DD2C27">
              <w:rPr>
                <w:rStyle w:val="Strong"/>
              </w:rPr>
              <w:t xml:space="preserve">13,578 </w:t>
            </w:r>
          </w:p>
        </w:tc>
      </w:tr>
    </w:tbl>
    <w:p w14:paraId="19259631" w14:textId="59DA16BD" w:rsidR="00CB3306" w:rsidRPr="00CB3306" w:rsidRDefault="0029549F" w:rsidP="004C749D">
      <w:pPr>
        <w:pStyle w:val="ChartorTablenoteandsource"/>
      </w:pPr>
      <w:r w:rsidRPr="00CB3306">
        <w:t>Notes:</w:t>
      </w:r>
      <w:r w:rsidR="00471B17">
        <w:tab/>
      </w:r>
      <w:r w:rsidR="00E67892" w:rsidRPr="00CB3306">
        <w:t>#</w:t>
      </w:r>
      <w:r w:rsidR="00E17B2F" w:rsidRPr="00CB3306">
        <w:t xml:space="preserve"> </w:t>
      </w:r>
      <w:r w:rsidRPr="00CB3306">
        <w:t xml:space="preserve">Requests to speak to an ASBFEO staff member include calls to update ASBFEO on the small </w:t>
      </w:r>
      <w:r w:rsidRPr="00DC0FF6">
        <w:t>business</w:t>
      </w:r>
      <w:r w:rsidR="003A0D5E">
        <w:t>’</w:t>
      </w:r>
      <w:r w:rsidRPr="00CB3306">
        <w:t xml:space="preserve"> experiences (with no further action) as well as requests to speak to case managers.</w:t>
      </w:r>
    </w:p>
    <w:p w14:paraId="5ED57575" w14:textId="005F601C" w:rsidR="0029549F" w:rsidRPr="00CB3306" w:rsidRDefault="00DC0FF6" w:rsidP="00DC0FF6">
      <w:pPr>
        <w:pStyle w:val="ChartorTablenoteandsource"/>
      </w:pPr>
      <w:r>
        <w:tab/>
      </w:r>
      <w:r w:rsidR="00934623" w:rsidRPr="00CB3306">
        <w:t>^</w:t>
      </w:r>
      <w:r w:rsidR="00E17B2F" w:rsidRPr="00CB3306">
        <w:t xml:space="preserve"> </w:t>
      </w:r>
      <w:r w:rsidR="0029549F" w:rsidRPr="00CB3306">
        <w:t>Lease and local/state government disputes would generally be immediately referred at the call centre level to relevant local/state government support</w:t>
      </w:r>
    </w:p>
    <w:p w14:paraId="79F8A045" w14:textId="4F7E693A" w:rsidR="009F6E2A" w:rsidRDefault="0018750A" w:rsidP="0018750A">
      <w:pPr>
        <w:pStyle w:val="ChartorTablenoteandsource"/>
      </w:pPr>
      <w:r>
        <w:tab/>
      </w:r>
      <w:r w:rsidR="00603E00" w:rsidRPr="0018750A">
        <w:t>*</w:t>
      </w:r>
      <w:r w:rsidR="00D33676" w:rsidRPr="0018750A">
        <w:t xml:space="preserve"> </w:t>
      </w:r>
      <w:r w:rsidR="00603E00" w:rsidRPr="00CB3306">
        <w:t>The annual figures for 2021</w:t>
      </w:r>
      <w:r w:rsidR="00891064" w:rsidRPr="00891064">
        <w:t>–</w:t>
      </w:r>
      <w:r w:rsidR="00603E00" w:rsidRPr="00CB3306">
        <w:t>22 and 2022</w:t>
      </w:r>
      <w:r w:rsidR="00891064" w:rsidRPr="00891064">
        <w:t>–</w:t>
      </w:r>
      <w:r w:rsidR="00603E00" w:rsidRPr="00CB3306">
        <w:t>23 do not reconcile to the quarterly figures. They were re</w:t>
      </w:r>
      <w:r w:rsidR="003A0D5E">
        <w:noBreakHyphen/>
      </w:r>
      <w:r w:rsidR="00603E00" w:rsidRPr="00CB3306">
        <w:t>compiled to produce the Year in Review section of the ASBFEO June Quarterly Report to ensure more consistent reporting rules. The 2022</w:t>
      </w:r>
      <w:r w:rsidR="00483BA3" w:rsidRPr="0018750A">
        <w:t>–</w:t>
      </w:r>
      <w:r w:rsidR="00603E00" w:rsidRPr="00CB3306">
        <w:t>23 annual figure includes a minor revision to the June 2024 Quarterly Report Year in Review section (originally published 4,204). ASBFEO undertakes periodic data quality checks, which can result in minor revisions.</w:t>
      </w:r>
    </w:p>
    <w:p w14:paraId="7909A7AC" w14:textId="2AA11365" w:rsidR="00423ACD" w:rsidRDefault="0018750A" w:rsidP="0018750A">
      <w:pPr>
        <w:pStyle w:val="ChartorTablenoteandsource"/>
      </w:pPr>
      <w:r>
        <w:tab/>
      </w:r>
      <w:r w:rsidR="00423ACD">
        <w:t>The table only include data for 3 years and not 4 as the full data set is not available for 2024</w:t>
      </w:r>
      <w:r w:rsidRPr="0018750A">
        <w:t>–</w:t>
      </w:r>
      <w:r w:rsidR="00423ACD">
        <w:t>25.</w:t>
      </w:r>
    </w:p>
    <w:p w14:paraId="47D1983C" w14:textId="1285AF17" w:rsidR="00A172DA" w:rsidRDefault="0018750A" w:rsidP="0018750A">
      <w:pPr>
        <w:pStyle w:val="ChartorTablenoteandsource"/>
      </w:pPr>
      <w:r>
        <w:tab/>
      </w:r>
      <w:r w:rsidR="00A172DA">
        <w:t>ASBFEO have advised it</w:t>
      </w:r>
      <w:r w:rsidR="00A172DA" w:rsidRPr="00A37FE8">
        <w:t xml:space="preserve"> takes great care to ensure reporting is accurate at the time of compilation</w:t>
      </w:r>
      <w:r w:rsidR="00A172DA">
        <w:t>, but c</w:t>
      </w:r>
      <w:r w:rsidR="00A172DA" w:rsidRPr="00A37FE8">
        <w:t xml:space="preserve">lassifications can change as a result of </w:t>
      </w:r>
      <w:r w:rsidR="00A172DA">
        <w:t xml:space="preserve">a range of </w:t>
      </w:r>
      <w:proofErr w:type="gramStart"/>
      <w:r w:rsidR="00A172DA">
        <w:t>factors</w:t>
      </w:r>
      <w:proofErr w:type="gramEnd"/>
      <w:r w:rsidR="00A172DA">
        <w:t xml:space="preserve"> and this may also result in </w:t>
      </w:r>
      <w:r w:rsidR="00A172DA" w:rsidRPr="00A37FE8">
        <w:t>slight discrepancies in data</w:t>
      </w:r>
      <w:r w:rsidR="00A172DA" w:rsidRPr="00EA02CA">
        <w:t xml:space="preserve"> </w:t>
      </w:r>
      <w:r w:rsidR="00A172DA">
        <w:t>published in ASBFEO’s relevant q</w:t>
      </w:r>
      <w:r w:rsidR="00A172DA" w:rsidRPr="00A37FE8">
        <w:t xml:space="preserve">uarterly and </w:t>
      </w:r>
      <w:r w:rsidR="00A172DA">
        <w:t>a</w:t>
      </w:r>
      <w:r w:rsidR="00A172DA" w:rsidRPr="00A37FE8">
        <w:t xml:space="preserve">nnual </w:t>
      </w:r>
      <w:r w:rsidR="00A172DA">
        <w:t>r</w:t>
      </w:r>
      <w:r w:rsidR="00A172DA" w:rsidRPr="00A37FE8">
        <w:t>eport</w:t>
      </w:r>
      <w:r w:rsidR="00A172DA">
        <w:t xml:space="preserve">s. </w:t>
      </w:r>
      <w:r w:rsidR="00A172DA" w:rsidRPr="00D6324C">
        <w:t>Factors which may impact classifications and comparisons with other published reports include:</w:t>
      </w:r>
    </w:p>
    <w:p w14:paraId="065CB47A" w14:textId="4CC40892" w:rsidR="00430679" w:rsidRDefault="00430679" w:rsidP="00082D4C">
      <w:pPr>
        <w:pStyle w:val="ChartorTablenoteandsource"/>
        <w:numPr>
          <w:ilvl w:val="1"/>
          <w:numId w:val="12"/>
        </w:numPr>
        <w:ind w:left="964" w:hanging="227"/>
      </w:pPr>
      <w:r>
        <w:t>N</w:t>
      </w:r>
      <w:r w:rsidRPr="00A37FE8">
        <w:t>ew web forms</w:t>
      </w:r>
      <w:r>
        <w:t xml:space="preserve"> (key data sources)</w:t>
      </w:r>
      <w:r w:rsidRPr="00A37FE8">
        <w:t xml:space="preserve"> were</w:t>
      </w:r>
      <w:r w:rsidR="00C939AB">
        <w:t xml:space="preserve"> i</w:t>
      </w:r>
      <w:r w:rsidRPr="00A37FE8">
        <w:t>mplemented in December 2021 and July 2023</w:t>
      </w:r>
      <w:r>
        <w:t>.</w:t>
      </w:r>
    </w:p>
    <w:p w14:paraId="3355CC77" w14:textId="5599AF9E" w:rsidR="00FD2411" w:rsidRDefault="00C939AB" w:rsidP="00082D4C">
      <w:pPr>
        <w:pStyle w:val="ChartorTablenoteandsource"/>
        <w:numPr>
          <w:ilvl w:val="1"/>
          <w:numId w:val="12"/>
        </w:numPr>
        <w:ind w:left="964" w:hanging="227"/>
      </w:pPr>
      <w:r>
        <w:t>Reliance on aggregate data</w:t>
      </w:r>
      <w:r w:rsidR="00FA2E48">
        <w:t xml:space="preserve">. </w:t>
      </w:r>
      <w:r w:rsidR="00793462">
        <w:t>R</w:t>
      </w:r>
      <w:r w:rsidR="0015476E" w:rsidRPr="0015476E">
        <w:t>ecords from the case management system</w:t>
      </w:r>
      <w:r w:rsidR="00793462">
        <w:t xml:space="preserve"> repl</w:t>
      </w:r>
      <w:r w:rsidR="00CB1054">
        <w:t>ac</w:t>
      </w:r>
      <w:r w:rsidR="00793462">
        <w:t xml:space="preserve">ed </w:t>
      </w:r>
      <w:r w:rsidR="00690D3A">
        <w:t xml:space="preserve">previously used </w:t>
      </w:r>
      <w:r w:rsidR="0015476E" w:rsidRPr="0015476E">
        <w:t>aggregated data</w:t>
      </w:r>
      <w:r w:rsidR="00793462">
        <w:t xml:space="preserve"> from Contact Centre</w:t>
      </w:r>
      <w:r w:rsidR="005A5F77">
        <w:t>. I</w:t>
      </w:r>
      <w:r w:rsidR="009545AF">
        <w:t>mplemented in</w:t>
      </w:r>
      <w:r w:rsidR="00CB1054">
        <w:t xml:space="preserve"> r</w:t>
      </w:r>
      <w:r w:rsidR="0015476E" w:rsidRPr="0015476E">
        <w:t xml:space="preserve">eporting since September </w:t>
      </w:r>
      <w:r w:rsidR="00D03E84">
        <w:t>q</w:t>
      </w:r>
      <w:r w:rsidR="0015476E" w:rsidRPr="0015476E">
        <w:t>uarter 2023.</w:t>
      </w:r>
      <w:r w:rsidR="00AC531A">
        <w:t xml:space="preserve"> </w:t>
      </w:r>
    </w:p>
    <w:p w14:paraId="36A944E4" w14:textId="08699C5B" w:rsidR="00E7337A" w:rsidRDefault="00654FC1" w:rsidP="00082D4C">
      <w:pPr>
        <w:pStyle w:val="ChartorTablenoteandsource"/>
        <w:numPr>
          <w:ilvl w:val="1"/>
          <w:numId w:val="12"/>
        </w:numPr>
        <w:ind w:left="964" w:hanging="227"/>
      </w:pPr>
      <w:r>
        <w:t>Treatment of t</w:t>
      </w:r>
      <w:r w:rsidR="00443025">
        <w:t>est calls</w:t>
      </w:r>
      <w:r w:rsidR="00E7337A">
        <w:t xml:space="preserve"> </w:t>
      </w:r>
      <w:r>
        <w:t xml:space="preserve">and </w:t>
      </w:r>
      <w:r w:rsidRPr="00BA6D65">
        <w:t>contacts by email</w:t>
      </w:r>
      <w:r>
        <w:t xml:space="preserve"> updated. </w:t>
      </w:r>
      <w:r w:rsidR="00AA5CA7">
        <w:t xml:space="preserve">To ensure consistency, from </w:t>
      </w:r>
      <w:r w:rsidR="00444F79" w:rsidRPr="0015476E">
        <w:t xml:space="preserve">September </w:t>
      </w:r>
      <w:r w:rsidR="00444F79">
        <w:t>q</w:t>
      </w:r>
      <w:r w:rsidR="00444F79" w:rsidRPr="0015476E">
        <w:t>uarter 2023</w:t>
      </w:r>
      <w:r w:rsidR="00444F79">
        <w:t xml:space="preserve">, </w:t>
      </w:r>
      <w:r w:rsidR="003D2C5D">
        <w:t xml:space="preserve">test calls are no longer included in reporting, but </w:t>
      </w:r>
      <w:r w:rsidR="00444F79">
        <w:t>contacts by emails ar</w:t>
      </w:r>
      <w:r w:rsidR="003D2C5D">
        <w:t>e</w:t>
      </w:r>
      <w:r w:rsidR="00AA5CA7">
        <w:t xml:space="preserve"> included.</w:t>
      </w:r>
    </w:p>
    <w:p w14:paraId="61ADD505" w14:textId="3AF09C0C" w:rsidR="000178CA" w:rsidRDefault="00060911" w:rsidP="00082D4C">
      <w:pPr>
        <w:pStyle w:val="ChartorTablenoteandsource"/>
        <w:numPr>
          <w:ilvl w:val="1"/>
          <w:numId w:val="12"/>
        </w:numPr>
        <w:ind w:left="964" w:hanging="227"/>
      </w:pPr>
      <w:r>
        <w:t xml:space="preserve">Many </w:t>
      </w:r>
      <w:r w:rsidR="001F6876">
        <w:t xml:space="preserve">disputes have multiple facets. </w:t>
      </w:r>
      <w:r w:rsidR="00E67892" w:rsidRPr="00CB3306">
        <w:t>ASBFEO call centre agents classify calls using the brief information provided by the small business during the call</w:t>
      </w:r>
      <w:r w:rsidR="001F6876">
        <w:t xml:space="preserve">, with more information the </w:t>
      </w:r>
      <w:r w:rsidR="00E17B2F" w:rsidRPr="00CB3306">
        <w:t xml:space="preserve">disputes may </w:t>
      </w:r>
      <w:r w:rsidR="00AD7395">
        <w:t>be re</w:t>
      </w:r>
      <w:r w:rsidR="003A0D5E">
        <w:noBreakHyphen/>
      </w:r>
      <w:r w:rsidR="00E17B2F" w:rsidRPr="00CB3306">
        <w:t>classified</w:t>
      </w:r>
      <w:r w:rsidR="00AD7395">
        <w:t>.</w:t>
      </w:r>
    </w:p>
    <w:p w14:paraId="28A101B1" w14:textId="26E4D032" w:rsidR="001D18F1" w:rsidRDefault="00BF2D07" w:rsidP="004C749D">
      <w:pPr>
        <w:pStyle w:val="ChartorTablenoteandsource"/>
      </w:pPr>
      <w:r>
        <w:t xml:space="preserve">Source: </w:t>
      </w:r>
      <w:r w:rsidR="000B7C17">
        <w:tab/>
      </w:r>
      <w:r w:rsidR="00420E29">
        <w:t xml:space="preserve">ASBFEO Review’s analysis of </w:t>
      </w:r>
      <w:r w:rsidR="00CE5B6B" w:rsidRPr="000B7C17">
        <w:rPr>
          <w:rStyle w:val="Emphasis"/>
        </w:rPr>
        <w:t>ASBFEO</w:t>
      </w:r>
      <w:r w:rsidRPr="000B7C17">
        <w:rPr>
          <w:rStyle w:val="Emphasis"/>
        </w:rPr>
        <w:t xml:space="preserve"> calls since 2021</w:t>
      </w:r>
      <w:r w:rsidR="008C4F1A" w:rsidRPr="000B7C17">
        <w:rPr>
          <w:rStyle w:val="Emphasis"/>
        </w:rPr>
        <w:t>–</w:t>
      </w:r>
      <w:r w:rsidRPr="000B7C17">
        <w:rPr>
          <w:rStyle w:val="Emphasis"/>
        </w:rPr>
        <w:t>22</w:t>
      </w:r>
      <w:r>
        <w:t xml:space="preserve"> [unpublished document], ASBFEO, Canberra, 2024</w:t>
      </w:r>
      <w:r w:rsidR="00056959">
        <w:t>.</w:t>
      </w:r>
    </w:p>
    <w:p w14:paraId="50DE090D" w14:textId="22A1043D" w:rsidR="00A37B92" w:rsidRPr="00E53E80" w:rsidRDefault="00A37B92" w:rsidP="00A37B92">
      <w:pPr>
        <w:pStyle w:val="Heading2"/>
      </w:pPr>
      <w:bookmarkStart w:id="120" w:name="_Toc199941026"/>
      <w:r>
        <w:lastRenderedPageBreak/>
        <w:t xml:space="preserve">Appendix I: Table </w:t>
      </w:r>
      <w:r w:rsidR="00B46DDA">
        <w:t>n</w:t>
      </w:r>
      <w:r>
        <w:t>otes</w:t>
      </w:r>
      <w:bookmarkEnd w:id="120"/>
      <w:r>
        <w:t xml:space="preserve"> </w:t>
      </w:r>
    </w:p>
    <w:p w14:paraId="710E0592" w14:textId="7EDBDCC5" w:rsidR="00A37B92" w:rsidRPr="004D1FDF" w:rsidRDefault="00A37B92" w:rsidP="00A37B92">
      <w:pPr>
        <w:pStyle w:val="TableMainHeading"/>
        <w:rPr>
          <w:lang w:val="en-US"/>
        </w:rPr>
      </w:pPr>
      <w:r w:rsidRPr="00D87570">
        <w:rPr>
          <w:lang w:val="en-US"/>
        </w:rPr>
        <w:t>Notes for Table 4.1</w:t>
      </w:r>
      <w:r w:rsidR="001E789B">
        <w:rPr>
          <w:lang w:val="en-US"/>
        </w:rPr>
        <w:t>:</w:t>
      </w:r>
      <w:r w:rsidRPr="000F6889">
        <w:rPr>
          <w:lang w:val="en-US"/>
        </w:rPr>
        <w:t xml:space="preserve"> New cases where ASBFEO provided one</w:t>
      </w:r>
      <w:r w:rsidRPr="000F6889">
        <w:rPr>
          <w:lang w:val="en-US"/>
        </w:rPr>
        <w:noBreakHyphen/>
        <w:t>to</w:t>
      </w:r>
      <w:r w:rsidRPr="000F6889">
        <w:rPr>
          <w:lang w:val="en-US"/>
        </w:rPr>
        <w:noBreakHyphen/>
        <w:t>one assistance, by type of dispute</w:t>
      </w:r>
    </w:p>
    <w:p w14:paraId="41F8A7AD" w14:textId="04D12A7B" w:rsidR="00A37B92" w:rsidRDefault="00A37B92" w:rsidP="00A37B92">
      <w:pPr>
        <w:pStyle w:val="ChartorTablenoteandsource"/>
      </w:pPr>
      <w:r>
        <w:t>Notes:</w:t>
      </w:r>
      <w:r>
        <w:tab/>
        <w:t xml:space="preserve">Data in this table is based on the number of cases received in reporting period (date received). </w:t>
      </w:r>
      <w:r w:rsidR="00C25F68">
        <w:t>The table only include data for 3 years and not 4 as the full data set is not available for 2024</w:t>
      </w:r>
      <w:r w:rsidR="003A056B" w:rsidRPr="003A056B">
        <w:t>–</w:t>
      </w:r>
      <w:r w:rsidR="00C25F68">
        <w:t>25</w:t>
      </w:r>
      <w:r w:rsidR="00676F14">
        <w:t>.</w:t>
      </w:r>
    </w:p>
    <w:p w14:paraId="7B457894" w14:textId="1A1D898D" w:rsidR="00A37B92" w:rsidRDefault="00A37B92" w:rsidP="00A37B92">
      <w:pPr>
        <w:pStyle w:val="ChartorTablenoteandsource"/>
        <w:ind w:hanging="26"/>
      </w:pPr>
      <w:r>
        <w:t xml:space="preserve">ASBFEO have advised </w:t>
      </w:r>
      <w:r w:rsidR="001A4E07">
        <w:t>it</w:t>
      </w:r>
      <w:r w:rsidRPr="00A37FE8">
        <w:t xml:space="preserve"> takes great care to ensure reporting is accurate at the time of compilation</w:t>
      </w:r>
      <w:r>
        <w:t>, but c</w:t>
      </w:r>
      <w:r w:rsidRPr="00A37FE8">
        <w:t xml:space="preserve">lassifications can change as a result of </w:t>
      </w:r>
      <w:r>
        <w:t xml:space="preserve">a range of </w:t>
      </w:r>
      <w:proofErr w:type="gramStart"/>
      <w:r>
        <w:t>factors</w:t>
      </w:r>
      <w:proofErr w:type="gramEnd"/>
      <w:r>
        <w:t xml:space="preserve"> and this may also result in </w:t>
      </w:r>
      <w:r w:rsidRPr="00A37FE8">
        <w:t>slight discrepancies in data</w:t>
      </w:r>
      <w:r w:rsidRPr="00EA02CA">
        <w:t xml:space="preserve"> </w:t>
      </w:r>
      <w:r>
        <w:t xml:space="preserve">published in ASBFEO’s relevant </w:t>
      </w:r>
      <w:r w:rsidR="00057D16">
        <w:t>q</w:t>
      </w:r>
      <w:r w:rsidRPr="00A37FE8">
        <w:t xml:space="preserve">uarterly and </w:t>
      </w:r>
      <w:r w:rsidR="00057D16">
        <w:t>a</w:t>
      </w:r>
      <w:r w:rsidRPr="00A37FE8">
        <w:t xml:space="preserve">nnual </w:t>
      </w:r>
      <w:r w:rsidR="00057D16">
        <w:t>r</w:t>
      </w:r>
      <w:r w:rsidRPr="00A37FE8">
        <w:t>eport</w:t>
      </w:r>
      <w:r>
        <w:t xml:space="preserve">s. </w:t>
      </w:r>
      <w:r w:rsidRPr="00D6324C">
        <w:t>Factors which may impact classifications and comparisons with other published reports include:</w:t>
      </w:r>
    </w:p>
    <w:p w14:paraId="332FB2B6" w14:textId="04F3FA89" w:rsidR="00A37B92" w:rsidRDefault="00A37B92" w:rsidP="00082D4C">
      <w:pPr>
        <w:pStyle w:val="ChartorTablenoteandsource"/>
        <w:numPr>
          <w:ilvl w:val="1"/>
          <w:numId w:val="12"/>
        </w:numPr>
        <w:ind w:left="1021" w:hanging="227"/>
      </w:pPr>
      <w:r>
        <w:t>C</w:t>
      </w:r>
      <w:r w:rsidRPr="00A37FE8">
        <w:t>ase managers</w:t>
      </w:r>
      <w:r w:rsidR="003A0D5E">
        <w:t>’</w:t>
      </w:r>
      <w:r w:rsidRPr="00A37FE8">
        <w:t xml:space="preserve"> investigations. For example, if a small business owner initially alleges a franchising dispute but </w:t>
      </w:r>
      <w:r>
        <w:t xml:space="preserve">it is </w:t>
      </w:r>
      <w:proofErr w:type="gramStart"/>
      <w:r>
        <w:t xml:space="preserve">actually </w:t>
      </w:r>
      <w:r w:rsidRPr="00A37FE8">
        <w:t>a</w:t>
      </w:r>
      <w:proofErr w:type="gramEnd"/>
      <w:r w:rsidRPr="00A37FE8">
        <w:t xml:space="preserve"> licensing dispute, ASBFEO reclassifies this as a business</w:t>
      </w:r>
      <w:r w:rsidR="003A0D5E">
        <w:noBreakHyphen/>
      </w:r>
      <w:r w:rsidRPr="00A37FE8">
        <w:t>to</w:t>
      </w:r>
      <w:r w:rsidR="003A0D5E">
        <w:noBreakHyphen/>
      </w:r>
      <w:r w:rsidRPr="00A37FE8">
        <w:t>business dispute.</w:t>
      </w:r>
      <w:r>
        <w:t xml:space="preserve"> This may include </w:t>
      </w:r>
      <w:r w:rsidRPr="00A37FE8">
        <w:t>Codes (franchising, oil, dairy</w:t>
      </w:r>
      <w:r>
        <w:t>).</w:t>
      </w:r>
    </w:p>
    <w:p w14:paraId="47E7CE27" w14:textId="6696BD5C" w:rsidR="00A37B92" w:rsidRDefault="00C83C40" w:rsidP="00082D4C">
      <w:pPr>
        <w:pStyle w:val="ChartorTablenoteandsource"/>
        <w:numPr>
          <w:ilvl w:val="1"/>
          <w:numId w:val="12"/>
        </w:numPr>
        <w:ind w:left="1021" w:hanging="227"/>
      </w:pPr>
      <w:r>
        <w:t>Refinements to</w:t>
      </w:r>
      <w:r w:rsidR="00A37B92" w:rsidRPr="00A37FE8">
        <w:t xml:space="preserve"> </w:t>
      </w:r>
      <w:r w:rsidR="00E30E0E">
        <w:t>classification</w:t>
      </w:r>
      <w:r w:rsidR="003A0D5E">
        <w:t xml:space="preserve"> –</w:t>
      </w:r>
      <w:r w:rsidR="00A37B92" w:rsidRPr="00A37FE8">
        <w:t xml:space="preserve"> </w:t>
      </w:r>
      <w:r w:rsidR="003A08F6">
        <w:t>B</w:t>
      </w:r>
      <w:r w:rsidR="00A37B92" w:rsidRPr="00A37FE8">
        <w:t>etter reflect</w:t>
      </w:r>
      <w:r w:rsidR="003A08F6">
        <w:t>ed</w:t>
      </w:r>
      <w:r w:rsidR="00A37B92" w:rsidRPr="00A37FE8">
        <w:t xml:space="preserve"> the breakdown of initial calls and requests for information compared to disputes. Previous reporting sometimes provided a total while others combined the </w:t>
      </w:r>
      <w:r w:rsidR="007D3715">
        <w:t>2</w:t>
      </w:r>
      <w:r w:rsidR="007D3715" w:rsidRPr="00A37FE8">
        <w:t xml:space="preserve"> </w:t>
      </w:r>
      <w:r w:rsidR="00A37B92" w:rsidRPr="00A37FE8">
        <w:t>as enquiries</w:t>
      </w:r>
      <w:r w:rsidR="00A37B92">
        <w:t>.</w:t>
      </w:r>
    </w:p>
    <w:p w14:paraId="22DC8670" w14:textId="6EA174D5" w:rsidR="00A37B92" w:rsidRDefault="0000761E" w:rsidP="00082D4C">
      <w:pPr>
        <w:pStyle w:val="ChartorTablenoteandsource"/>
        <w:numPr>
          <w:ilvl w:val="1"/>
          <w:numId w:val="12"/>
        </w:numPr>
        <w:ind w:left="1021" w:hanging="227"/>
      </w:pPr>
      <w:r>
        <w:t xml:space="preserve">Migration of </w:t>
      </w:r>
      <w:r w:rsidR="00A37B92" w:rsidRPr="00A37FE8">
        <w:t>ASBFEO</w:t>
      </w:r>
      <w:r w:rsidR="003A0D5E">
        <w:t>’</w:t>
      </w:r>
      <w:r w:rsidR="00A37B92" w:rsidRPr="00A37FE8">
        <w:t>s case management system</w:t>
      </w:r>
      <w:r w:rsidR="00D23688">
        <w:t xml:space="preserve">. Live </w:t>
      </w:r>
      <w:r w:rsidR="00A37B92" w:rsidRPr="00A37FE8">
        <w:t xml:space="preserve">system was migrated without an audit trail </w:t>
      </w:r>
      <w:proofErr w:type="gramStart"/>
      <w:r w:rsidR="00A37B92" w:rsidRPr="00A37FE8">
        <w:t>as a result of</w:t>
      </w:r>
      <w:proofErr w:type="gramEnd"/>
      <w:r w:rsidR="00A37B92" w:rsidRPr="00A37FE8">
        <w:t xml:space="preserve"> </w:t>
      </w:r>
      <w:r w:rsidR="00A37B92">
        <w:t xml:space="preserve">multiple </w:t>
      </w:r>
      <w:r w:rsidR="00A37B92" w:rsidRPr="00A37FE8">
        <w:t>M</w:t>
      </w:r>
      <w:r w:rsidR="00A37B92">
        <w:t>achinery of Government changes.</w:t>
      </w:r>
      <w:r w:rsidR="00A37B92" w:rsidRPr="00A37FE8">
        <w:t xml:space="preserve"> </w:t>
      </w:r>
    </w:p>
    <w:p w14:paraId="011E291E" w14:textId="7393CC40" w:rsidR="00A37B92" w:rsidRDefault="00A37B92" w:rsidP="00082D4C">
      <w:pPr>
        <w:pStyle w:val="ChartorTablenoteandsource"/>
        <w:numPr>
          <w:ilvl w:val="1"/>
          <w:numId w:val="12"/>
        </w:numPr>
        <w:ind w:left="1021" w:hanging="227"/>
      </w:pPr>
      <w:r>
        <w:t>N</w:t>
      </w:r>
      <w:r w:rsidRPr="00A37FE8">
        <w:t>ew web forms</w:t>
      </w:r>
      <w:r>
        <w:t xml:space="preserve"> (key data sources)</w:t>
      </w:r>
      <w:r w:rsidRPr="00A37FE8">
        <w:t xml:space="preserve"> were</w:t>
      </w:r>
      <w:r w:rsidR="005F70A7">
        <w:t>. I</w:t>
      </w:r>
      <w:r w:rsidRPr="00A37FE8">
        <w:t>mplemented in December 2021 and July 2023</w:t>
      </w:r>
      <w:r>
        <w:t>.</w:t>
      </w:r>
    </w:p>
    <w:p w14:paraId="7D1C20BD" w14:textId="5883990F" w:rsidR="00A37B92" w:rsidRDefault="00A37B92" w:rsidP="00082D4C">
      <w:pPr>
        <w:pStyle w:val="ChartorTablenoteandsource"/>
        <w:numPr>
          <w:ilvl w:val="1"/>
          <w:numId w:val="12"/>
        </w:numPr>
        <w:ind w:left="1021" w:hanging="227"/>
      </w:pPr>
      <w:r>
        <w:t xml:space="preserve">Changes to reporting of </w:t>
      </w:r>
      <w:r w:rsidRPr="00902406">
        <w:t>self</w:t>
      </w:r>
      <w:r w:rsidR="003A0D5E">
        <w:noBreakHyphen/>
      </w:r>
      <w:r w:rsidRPr="00902406">
        <w:t xml:space="preserve">identified as a small business/individual </w:t>
      </w:r>
      <w:r w:rsidR="0025021A">
        <w:t>for example,</w:t>
      </w:r>
      <w:r w:rsidRPr="00902406">
        <w:t xml:space="preserve"> sole trader</w:t>
      </w:r>
      <w:r>
        <w:t>.</w:t>
      </w:r>
    </w:p>
    <w:p w14:paraId="3B20DF62" w14:textId="729D661C" w:rsidR="00A37B92" w:rsidRDefault="00A37B92" w:rsidP="00082D4C">
      <w:pPr>
        <w:pStyle w:val="ChartorTablenoteandsource"/>
        <w:numPr>
          <w:ilvl w:val="1"/>
          <w:numId w:val="12"/>
        </w:numPr>
        <w:ind w:left="1021" w:hanging="227"/>
      </w:pPr>
      <w:r>
        <w:t>N</w:t>
      </w:r>
      <w:r w:rsidRPr="001308C8">
        <w:t xml:space="preserve">ew data capture </w:t>
      </w:r>
      <w:r>
        <w:t xml:space="preserve">implemented </w:t>
      </w:r>
      <w:r w:rsidRPr="001308C8">
        <w:t>in January 2024</w:t>
      </w:r>
      <w:r w:rsidR="00C37BD4">
        <w:t>. B</w:t>
      </w:r>
      <w:r w:rsidRPr="001308C8">
        <w:t>etter reflect</w:t>
      </w:r>
      <w:r w:rsidR="00C37BD4">
        <w:t>s</w:t>
      </w:r>
      <w:r w:rsidRPr="001308C8">
        <w:t xml:space="preserve"> queries for information from franchising participants that have not become disputes.</w:t>
      </w:r>
      <w:r>
        <w:t xml:space="preserve"> </w:t>
      </w:r>
      <w:r w:rsidR="000008C4">
        <w:t xml:space="preserve">Implemented </w:t>
      </w:r>
      <w:r w:rsidR="000008C4" w:rsidRPr="001308C8">
        <w:t>in January 2024</w:t>
      </w:r>
      <w:r w:rsidR="00AC12EE">
        <w:t>.</w:t>
      </w:r>
    </w:p>
    <w:p w14:paraId="77268731" w14:textId="5B8A1799" w:rsidR="00A37B92" w:rsidRDefault="00A37B92" w:rsidP="00082D4C">
      <w:pPr>
        <w:pStyle w:val="ChartorTablenoteandsource"/>
        <w:numPr>
          <w:ilvl w:val="1"/>
          <w:numId w:val="12"/>
        </w:numPr>
        <w:ind w:left="1021" w:hanging="227"/>
      </w:pPr>
      <w:r>
        <w:t>N</w:t>
      </w:r>
      <w:r w:rsidRPr="00F26F08">
        <w:t xml:space="preserve">ew data governance processes </w:t>
      </w:r>
      <w:r w:rsidR="00C37BD4">
        <w:t>introduced from late 2022. E</w:t>
      </w:r>
      <w:r w:rsidRPr="00F26F08">
        <w:t>nhance</w:t>
      </w:r>
      <w:r w:rsidR="00C37BD4">
        <w:t>d</w:t>
      </w:r>
      <w:r w:rsidRPr="00F26F08">
        <w:t xml:space="preserve"> consistency in reporting</w:t>
      </w:r>
      <w:r w:rsidR="00C37BD4">
        <w:t>.</w:t>
      </w:r>
    </w:p>
    <w:p w14:paraId="1C1D65C7" w14:textId="3D4F0073" w:rsidR="00A37B92" w:rsidRDefault="00A37B92" w:rsidP="00A37B92">
      <w:pPr>
        <w:pStyle w:val="ChartorTablenoteandsource"/>
      </w:pPr>
      <w:r>
        <w:t xml:space="preserve">Source: </w:t>
      </w:r>
      <w:r>
        <w:tab/>
        <w:t xml:space="preserve">ASBFEO Review’s analysis of </w:t>
      </w:r>
      <w:r w:rsidRPr="001B7B18">
        <w:rPr>
          <w:i/>
        </w:rPr>
        <w:t>ASBFEO new cases since 2021</w:t>
      </w:r>
      <w:r w:rsidR="003C1E20" w:rsidRPr="003C1E20">
        <w:rPr>
          <w:i/>
        </w:rPr>
        <w:t>–</w:t>
      </w:r>
      <w:r w:rsidRPr="001B7B18">
        <w:rPr>
          <w:i/>
        </w:rPr>
        <w:t>22</w:t>
      </w:r>
      <w:r>
        <w:t xml:space="preserve"> [unpublished document], ASBFEO, Canberra, 2024</w:t>
      </w:r>
      <w:r w:rsidR="00056EEE">
        <w:t>.</w:t>
      </w:r>
    </w:p>
    <w:p w14:paraId="6DEB539C" w14:textId="683B1F4B" w:rsidR="00A37B92" w:rsidRPr="004D2DD7" w:rsidRDefault="00A37B92" w:rsidP="00A37B92">
      <w:pPr>
        <w:pStyle w:val="TableMainHeading"/>
        <w:rPr>
          <w:lang w:val="en-US"/>
        </w:rPr>
      </w:pPr>
      <w:r>
        <w:rPr>
          <w:lang w:val="en-US"/>
        </w:rPr>
        <w:t xml:space="preserve">Notes for </w:t>
      </w:r>
      <w:r w:rsidRPr="004D2DD7">
        <w:rPr>
          <w:lang w:val="en-US"/>
        </w:rPr>
        <w:t>Table 4.2</w:t>
      </w:r>
      <w:r w:rsidR="001E789B">
        <w:rPr>
          <w:lang w:val="en-US"/>
        </w:rPr>
        <w:t>:</w:t>
      </w:r>
      <w:r w:rsidRPr="004D2DD7">
        <w:rPr>
          <w:lang w:val="en-US"/>
        </w:rPr>
        <w:t xml:space="preserve"> Outcome of cases managed by ASBFEO </w:t>
      </w:r>
    </w:p>
    <w:p w14:paraId="77F38A1E" w14:textId="62535F58" w:rsidR="00A37B92" w:rsidRDefault="00A37B92" w:rsidP="00A37B92">
      <w:pPr>
        <w:pStyle w:val="ChartorTablenoteandsource"/>
      </w:pPr>
      <w:r>
        <w:t xml:space="preserve">Note: </w:t>
      </w:r>
      <w:r>
        <w:tab/>
        <w:t>Data in this table is based on the number of cases closed in reporting period (date closed). It i</w:t>
      </w:r>
      <w:r w:rsidRPr="00D34E04">
        <w:t>nclude</w:t>
      </w:r>
      <w:r>
        <w:t>s</w:t>
      </w:r>
      <w:r w:rsidRPr="00D34E04">
        <w:t xml:space="preserve"> </w:t>
      </w:r>
      <w:r w:rsidRPr="005C3D00">
        <w:t>cases</w:t>
      </w:r>
      <w:r>
        <w:t xml:space="preserve"> that were </w:t>
      </w:r>
      <w:r w:rsidRPr="005C3D00">
        <w:t>finalised in th</w:t>
      </w:r>
      <w:r>
        <w:t>is</w:t>
      </w:r>
      <w:r w:rsidRPr="005C3D00">
        <w:t xml:space="preserve"> reporting period </w:t>
      </w:r>
      <w:r>
        <w:t>but received in a</w:t>
      </w:r>
      <w:r w:rsidRPr="005C3D00">
        <w:t xml:space="preserve"> previous year</w:t>
      </w:r>
      <w:r>
        <w:t xml:space="preserve"> and may include </w:t>
      </w:r>
      <w:r w:rsidRPr="00D34E04">
        <w:t>cases that have been reactivated at any time then closed in the reporting period</w:t>
      </w:r>
      <w:r>
        <w:t xml:space="preserve">. </w:t>
      </w:r>
      <w:r w:rsidR="00676F14">
        <w:t>The table only include data for 3 years and not 4 as the full data set is not available for 2024</w:t>
      </w:r>
      <w:r w:rsidR="003A056B" w:rsidRPr="003A056B">
        <w:t>–</w:t>
      </w:r>
      <w:r w:rsidR="00676F14">
        <w:t>25.</w:t>
      </w:r>
    </w:p>
    <w:p w14:paraId="5506AA3E" w14:textId="62737D5A" w:rsidR="00A37B92" w:rsidRDefault="00A37B92" w:rsidP="00A37B92">
      <w:pPr>
        <w:pStyle w:val="ChartorTablenoteandsource"/>
        <w:ind w:hanging="26"/>
      </w:pPr>
      <w:r>
        <w:t xml:space="preserve">ASBFEO have advised </w:t>
      </w:r>
      <w:r w:rsidR="003B75C7">
        <w:t>it</w:t>
      </w:r>
      <w:r w:rsidRPr="00A37FE8">
        <w:t xml:space="preserve"> takes great care to ensure reporting is accurate at the time of compilation</w:t>
      </w:r>
      <w:r>
        <w:t>, but c</w:t>
      </w:r>
      <w:r w:rsidRPr="00A37FE8">
        <w:t xml:space="preserve">lassifications can change </w:t>
      </w:r>
      <w:proofErr w:type="gramStart"/>
      <w:r w:rsidRPr="00A37FE8">
        <w:t>as a result of</w:t>
      </w:r>
      <w:proofErr w:type="gramEnd"/>
      <w:r w:rsidRPr="00A37FE8">
        <w:t xml:space="preserve"> </w:t>
      </w:r>
      <w:r>
        <w:t xml:space="preserve">a range of factors, and this may also result in </w:t>
      </w:r>
      <w:r w:rsidRPr="00A37FE8">
        <w:t>slight discrepancies in data</w:t>
      </w:r>
      <w:r w:rsidRPr="00EA02CA">
        <w:t xml:space="preserve"> </w:t>
      </w:r>
      <w:r>
        <w:t xml:space="preserve">published in ASBFEO’s relevant </w:t>
      </w:r>
      <w:r w:rsidR="00017C09">
        <w:t>q</w:t>
      </w:r>
      <w:r w:rsidRPr="00A37FE8">
        <w:t xml:space="preserve">uarterly and </w:t>
      </w:r>
      <w:r w:rsidR="00017C09">
        <w:t>a</w:t>
      </w:r>
      <w:r w:rsidRPr="00A37FE8">
        <w:t xml:space="preserve">nnual </w:t>
      </w:r>
      <w:r w:rsidR="00017C09">
        <w:t>r</w:t>
      </w:r>
      <w:r w:rsidRPr="00A37FE8">
        <w:t>eport</w:t>
      </w:r>
      <w:r>
        <w:t xml:space="preserve">s. </w:t>
      </w:r>
      <w:r w:rsidRPr="00D6324C">
        <w:t>Factors which may impact classifications and comparisons with other published reports include:</w:t>
      </w:r>
    </w:p>
    <w:p w14:paraId="7BBDE469" w14:textId="77777777" w:rsidR="00A37B92" w:rsidRDefault="00A37B92" w:rsidP="00082D4C">
      <w:pPr>
        <w:pStyle w:val="ChartorTablenoteandsource"/>
        <w:numPr>
          <w:ilvl w:val="1"/>
          <w:numId w:val="12"/>
        </w:numPr>
        <w:ind w:left="1021" w:hanging="227"/>
      </w:pPr>
      <w:r>
        <w:t xml:space="preserve">Data </w:t>
      </w:r>
      <w:r w:rsidRPr="00003316">
        <w:t>is from a live system that regularly changes as cases can be reactivated after they are closed</w:t>
      </w:r>
      <w:r>
        <w:t>.</w:t>
      </w:r>
    </w:p>
    <w:p w14:paraId="3EF092D2" w14:textId="6AD95013" w:rsidR="00A37B92" w:rsidRDefault="00A37B92" w:rsidP="00082D4C">
      <w:pPr>
        <w:pStyle w:val="ChartorTablenoteandsource"/>
        <w:numPr>
          <w:ilvl w:val="1"/>
          <w:numId w:val="12"/>
        </w:numPr>
        <w:ind w:left="1021" w:hanging="227"/>
      </w:pPr>
      <w:r>
        <w:t>ASBFEO</w:t>
      </w:r>
      <w:r w:rsidR="00E46288">
        <w:t>’</w:t>
      </w:r>
      <w:r>
        <w:t xml:space="preserve">s </w:t>
      </w:r>
      <w:r w:rsidR="00E46288">
        <w:t>q</w:t>
      </w:r>
      <w:r w:rsidRPr="00AD14EB">
        <w:t xml:space="preserve">uarterly </w:t>
      </w:r>
      <w:r w:rsidR="0052187F">
        <w:t>r</w:t>
      </w:r>
      <w:r w:rsidRPr="00AD14EB">
        <w:t>eport</w:t>
      </w:r>
      <w:r>
        <w:t>s</w:t>
      </w:r>
      <w:r w:rsidRPr="00AD14EB">
        <w:t xml:space="preserve"> combine the categories of </w:t>
      </w:r>
      <w:r w:rsidR="00D15987">
        <w:t>i</w:t>
      </w:r>
      <w:r w:rsidRPr="00AD14EB">
        <w:t xml:space="preserve">nformation provided and </w:t>
      </w:r>
      <w:r w:rsidR="00D15987">
        <w:t>a</w:t>
      </w:r>
      <w:r w:rsidRPr="00AD14EB">
        <w:t xml:space="preserve">ctive case management, as information is provided </w:t>
      </w:r>
      <w:proofErr w:type="gramStart"/>
      <w:r w:rsidRPr="00AD14EB">
        <w:t>in the course of</w:t>
      </w:r>
      <w:proofErr w:type="gramEnd"/>
      <w:r w:rsidRPr="00AD14EB">
        <w:t xml:space="preserve"> managing a case</w:t>
      </w:r>
      <w:r>
        <w:t>.</w:t>
      </w:r>
    </w:p>
    <w:p w14:paraId="2E3D53BD" w14:textId="4CEF770B" w:rsidR="00A37B92" w:rsidRDefault="00A37B92" w:rsidP="00082D4C">
      <w:pPr>
        <w:pStyle w:val="ChartorTablenoteandsource"/>
        <w:numPr>
          <w:ilvl w:val="1"/>
          <w:numId w:val="12"/>
        </w:numPr>
        <w:ind w:left="1021" w:hanging="227"/>
      </w:pPr>
      <w:r w:rsidRPr="00EF177A">
        <w:t>The annual figures for 2023</w:t>
      </w:r>
      <w:r w:rsidR="003C1E20" w:rsidRPr="003C1E20">
        <w:t>–</w:t>
      </w:r>
      <w:r w:rsidRPr="00EF177A">
        <w:t xml:space="preserve">24 in </w:t>
      </w:r>
      <w:r>
        <w:t>ASBFEO</w:t>
      </w:r>
      <w:r w:rsidR="003C1E20">
        <w:t>’</w:t>
      </w:r>
      <w:r>
        <w:t>s</w:t>
      </w:r>
      <w:r w:rsidRPr="00EF177A">
        <w:t xml:space="preserve"> June 2024 Quarterly Report </w:t>
      </w:r>
      <w:r w:rsidR="002C6E44">
        <w:t xml:space="preserve">were </w:t>
      </w:r>
      <w:r>
        <w:t xml:space="preserve">changed to </w:t>
      </w:r>
      <w:r w:rsidRPr="00EF177A">
        <w:t>reflect cases closed by ASBFEO case managers</w:t>
      </w:r>
      <w:r>
        <w:t xml:space="preserve"> </w:t>
      </w:r>
      <w:r w:rsidRPr="00EF177A">
        <w:t>in the reporting period</w:t>
      </w:r>
      <w:r>
        <w:t xml:space="preserve"> (previously case received)</w:t>
      </w:r>
      <w:r w:rsidRPr="00EF177A">
        <w:t xml:space="preserve"> </w:t>
      </w:r>
      <w:r>
        <w:t xml:space="preserve">to better capture </w:t>
      </w:r>
      <w:r w:rsidRPr="00EF177A">
        <w:t>case</w:t>
      </w:r>
      <w:r>
        <w:t>s</w:t>
      </w:r>
      <w:r w:rsidRPr="00EF177A">
        <w:t xml:space="preserve"> active across multiple reporting periods.</w:t>
      </w:r>
    </w:p>
    <w:p w14:paraId="01C23E26" w14:textId="128F10E4" w:rsidR="00A37B92" w:rsidRDefault="00A37B92" w:rsidP="00A37B92">
      <w:pPr>
        <w:pStyle w:val="ChartorTablenoteandsource"/>
      </w:pPr>
      <w:r>
        <w:t xml:space="preserve">Source: </w:t>
      </w:r>
      <w:r>
        <w:tab/>
        <w:t xml:space="preserve">ASBFEO Review’s analysis of </w:t>
      </w:r>
      <w:r>
        <w:rPr>
          <w:i/>
          <w:iCs/>
        </w:rPr>
        <w:t>Additional Qs Outcome of cases managed by ASBFEO since 2021</w:t>
      </w:r>
      <w:r w:rsidR="00087ED6" w:rsidRPr="00087ED6">
        <w:rPr>
          <w:i/>
          <w:iCs/>
        </w:rPr>
        <w:t>–</w:t>
      </w:r>
      <w:r>
        <w:rPr>
          <w:i/>
          <w:iCs/>
        </w:rPr>
        <w:t>22</w:t>
      </w:r>
      <w:r>
        <w:t xml:space="preserve"> [unpublished document], ASBFEO, Canberra, 2025</w:t>
      </w:r>
      <w:r w:rsidR="00056EEE">
        <w:t>.</w:t>
      </w:r>
    </w:p>
    <w:p w14:paraId="6934855A" w14:textId="70CE8E15" w:rsidR="003374F8" w:rsidRPr="003374F8" w:rsidRDefault="00A37B92" w:rsidP="003374F8">
      <w:pPr>
        <w:pStyle w:val="TableMainHeading"/>
      </w:pPr>
      <w:r>
        <w:rPr>
          <w:lang w:val="en-US"/>
        </w:rPr>
        <w:t>Notes for Table 4.3</w:t>
      </w:r>
      <w:r w:rsidR="003374F8" w:rsidRPr="003374F8">
        <w:rPr>
          <w:lang w:val="en-US"/>
        </w:rPr>
        <w:t>:</w:t>
      </w:r>
      <w:r>
        <w:rPr>
          <w:lang w:val="en-US"/>
        </w:rPr>
        <w:t xml:space="preserve"> </w:t>
      </w:r>
      <w:r w:rsidRPr="00946B4F">
        <w:rPr>
          <w:lang w:val="en-US"/>
        </w:rPr>
        <w:t xml:space="preserve">Referrals by </w:t>
      </w:r>
      <w:r w:rsidR="003374F8" w:rsidRPr="003374F8">
        <w:rPr>
          <w:lang w:val="en-US"/>
        </w:rPr>
        <w:t xml:space="preserve">the </w:t>
      </w:r>
      <w:r w:rsidRPr="00946B4F">
        <w:rPr>
          <w:lang w:val="en-US"/>
        </w:rPr>
        <w:t xml:space="preserve">ASBFEO Contact Centre to </w:t>
      </w:r>
      <w:r w:rsidR="003374F8" w:rsidRPr="003374F8">
        <w:rPr>
          <w:lang w:val="en-US"/>
        </w:rPr>
        <w:t>small business commissioners</w:t>
      </w:r>
      <w:r w:rsidRPr="00946B4F">
        <w:rPr>
          <w:lang w:val="en-US"/>
        </w:rPr>
        <w:t xml:space="preserve"> or equivalent</w:t>
      </w:r>
      <w:r w:rsidRPr="00946B4F">
        <w:t> </w:t>
      </w:r>
      <w:r w:rsidRPr="00946B4F">
        <w:rPr>
          <w:lang w:val="en-US"/>
        </w:rPr>
        <w:t xml:space="preserve"> </w:t>
      </w:r>
    </w:p>
    <w:p w14:paraId="02A6EAAA" w14:textId="27394AB3" w:rsidR="00676F14" w:rsidRDefault="00A37B92" w:rsidP="00676F14">
      <w:pPr>
        <w:pStyle w:val="ChartorTablenoteandsource"/>
      </w:pPr>
      <w:r w:rsidRPr="00505E51">
        <w:t xml:space="preserve">Note: </w:t>
      </w:r>
      <w:r>
        <w:tab/>
      </w:r>
      <w:r w:rsidR="00676F14">
        <w:t>The table only include data for 3 years and not 4 as the full data set is not available for 2024</w:t>
      </w:r>
      <w:r w:rsidR="003A056B" w:rsidRPr="003A056B">
        <w:t>–</w:t>
      </w:r>
      <w:r w:rsidR="00676F14">
        <w:t>25.</w:t>
      </w:r>
    </w:p>
    <w:p w14:paraId="56BFAA50" w14:textId="128708E1" w:rsidR="00A37B92" w:rsidRDefault="00A37B92" w:rsidP="00EA6888">
      <w:pPr>
        <w:pStyle w:val="ChartorTablenoteandsource"/>
        <w:ind w:hanging="26"/>
      </w:pPr>
      <w:r>
        <w:t xml:space="preserve">ASBFEO have advised </w:t>
      </w:r>
      <w:r w:rsidR="00F3210F">
        <w:t>it</w:t>
      </w:r>
      <w:r w:rsidR="00F3210F" w:rsidRPr="00A37FE8">
        <w:t xml:space="preserve"> </w:t>
      </w:r>
      <w:r w:rsidRPr="00A37FE8">
        <w:t>takes great care to ensure reporting is accurate at the time of compilation</w:t>
      </w:r>
      <w:r>
        <w:t>, but that that c</w:t>
      </w:r>
      <w:r w:rsidRPr="00A37FE8">
        <w:t xml:space="preserve">lassifications can change as a result of </w:t>
      </w:r>
      <w:r>
        <w:t xml:space="preserve">a range of </w:t>
      </w:r>
      <w:proofErr w:type="gramStart"/>
      <w:r>
        <w:t>factors</w:t>
      </w:r>
      <w:proofErr w:type="gramEnd"/>
      <w:r>
        <w:t xml:space="preserve"> and this may also result in </w:t>
      </w:r>
      <w:r w:rsidRPr="00A37FE8">
        <w:t>slight discrepancies in data</w:t>
      </w:r>
      <w:r w:rsidRPr="00EA02CA">
        <w:t xml:space="preserve"> </w:t>
      </w:r>
      <w:r>
        <w:t xml:space="preserve">published in ASBFEO’s relevant </w:t>
      </w:r>
      <w:r w:rsidR="00F3210F">
        <w:t>q</w:t>
      </w:r>
      <w:r w:rsidRPr="00A37FE8">
        <w:t xml:space="preserve">uarterly and </w:t>
      </w:r>
      <w:r w:rsidR="00F3210F">
        <w:t>a</w:t>
      </w:r>
      <w:r w:rsidRPr="00A37FE8">
        <w:t xml:space="preserve">nnual </w:t>
      </w:r>
      <w:r w:rsidR="00F3210F">
        <w:t>r</w:t>
      </w:r>
      <w:r w:rsidRPr="00A37FE8">
        <w:t>eport</w:t>
      </w:r>
      <w:r>
        <w:t>s.</w:t>
      </w:r>
      <w:r w:rsidRPr="00D6324C">
        <w:rPr>
          <w:rFonts w:asciiTheme="minorHAnsi" w:hAnsiTheme="minorHAnsi"/>
          <w:color w:val="000000" w:themeColor="text1"/>
          <w:sz w:val="22"/>
        </w:rPr>
        <w:t xml:space="preserve"> </w:t>
      </w:r>
      <w:r w:rsidRPr="00D6324C">
        <w:t>Factors which may impact classifications and comparisons with other published reports include:</w:t>
      </w:r>
    </w:p>
    <w:p w14:paraId="11F5AE56" w14:textId="77777777" w:rsidR="00A37B92" w:rsidRDefault="00A37B92" w:rsidP="00082D4C">
      <w:pPr>
        <w:pStyle w:val="ChartorTablenoteandsource"/>
        <w:numPr>
          <w:ilvl w:val="1"/>
          <w:numId w:val="12"/>
        </w:numPr>
        <w:ind w:left="1021" w:hanging="227"/>
      </w:pPr>
      <w:r>
        <w:t>C</w:t>
      </w:r>
      <w:r w:rsidRPr="00264432">
        <w:t>aller</w:t>
      </w:r>
      <w:r>
        <w:t>s</w:t>
      </w:r>
      <w:r w:rsidRPr="00264432">
        <w:t xml:space="preserve"> </w:t>
      </w:r>
      <w:r>
        <w:t xml:space="preserve">to the Contact Centre </w:t>
      </w:r>
      <w:r w:rsidRPr="00264432">
        <w:t xml:space="preserve">can be referred to multiple parties. </w:t>
      </w:r>
    </w:p>
    <w:p w14:paraId="192DC29B" w14:textId="77777777" w:rsidR="00A37B92" w:rsidRDefault="00A37B92" w:rsidP="00082D4C">
      <w:pPr>
        <w:pStyle w:val="ChartorTablenoteandsource"/>
        <w:numPr>
          <w:ilvl w:val="1"/>
          <w:numId w:val="12"/>
        </w:numPr>
        <w:ind w:left="1021" w:hanging="227"/>
      </w:pPr>
      <w:r>
        <w:t>The Contact C</w:t>
      </w:r>
      <w:r w:rsidRPr="00264432">
        <w:t>entre web form was changed 7 December 2021</w:t>
      </w:r>
      <w:r>
        <w:t xml:space="preserve"> to allow </w:t>
      </w:r>
      <w:r w:rsidRPr="00264432">
        <w:t xml:space="preserve">agents </w:t>
      </w:r>
      <w:r>
        <w:t xml:space="preserve">to record </w:t>
      </w:r>
      <w:r w:rsidRPr="00264432">
        <w:t xml:space="preserve">2 </w:t>
      </w:r>
      <w:r>
        <w:t xml:space="preserve">referral </w:t>
      </w:r>
      <w:r w:rsidRPr="00264432">
        <w:t>fields</w:t>
      </w:r>
      <w:r>
        <w:t xml:space="preserve"> (p</w:t>
      </w:r>
      <w:r w:rsidRPr="00264432">
        <w:t>rior to this, call centre agents could select 3 referrals</w:t>
      </w:r>
      <w:r>
        <w:t>).</w:t>
      </w:r>
    </w:p>
    <w:p w14:paraId="0B8F71FA" w14:textId="4DBA2F45" w:rsidR="00A37B92" w:rsidRDefault="00A37B92" w:rsidP="00082D4C">
      <w:pPr>
        <w:pStyle w:val="ChartorTablenoteandsource"/>
        <w:numPr>
          <w:ilvl w:val="1"/>
          <w:numId w:val="12"/>
        </w:numPr>
        <w:ind w:left="1021" w:hanging="227"/>
      </w:pPr>
      <w:r>
        <w:t>Contact C</w:t>
      </w:r>
      <w:r w:rsidRPr="004D4E55">
        <w:t xml:space="preserve">entre agents </w:t>
      </w:r>
      <w:r>
        <w:t xml:space="preserve">record </w:t>
      </w:r>
      <w:r w:rsidRPr="004D4E55">
        <w:t xml:space="preserve">one option for </w:t>
      </w:r>
      <w:r>
        <w:t xml:space="preserve">the </w:t>
      </w:r>
      <w:r w:rsidRPr="004D4E55">
        <w:t>type of dispute that best reflects their understanding of the dispute, rather than the party they are referring the matter to</w:t>
      </w:r>
      <w:r w:rsidR="006069E4">
        <w:t>. This means</w:t>
      </w:r>
      <w:r>
        <w:t xml:space="preserve"> the data in this table will not reconcile to the ‘State/territory Government Dispute’ category displayed in the table at </w:t>
      </w:r>
      <w:r w:rsidRPr="00AB5FF3">
        <w:rPr>
          <w:rStyle w:val="Emphasis"/>
        </w:rPr>
        <w:t>Appendix H Calls to ASBFEO call centre by dispute/reason and year</w:t>
      </w:r>
      <w:r>
        <w:t>.</w:t>
      </w:r>
    </w:p>
    <w:p w14:paraId="19144A1B" w14:textId="38BC4E82" w:rsidR="00A37B92" w:rsidRDefault="00A37B92" w:rsidP="00A37B92">
      <w:pPr>
        <w:pStyle w:val="ChartorTablenoteandsource"/>
      </w:pPr>
      <w:r>
        <w:t xml:space="preserve">Source: </w:t>
      </w:r>
      <w:r w:rsidR="00AB5FF3">
        <w:tab/>
      </w:r>
      <w:r>
        <w:t xml:space="preserve">ASBFEO Review analysis of </w:t>
      </w:r>
      <w:r w:rsidRPr="00AB5FF3">
        <w:rPr>
          <w:rStyle w:val="Emphasis"/>
        </w:rPr>
        <w:t>Referrals to SBCs</w:t>
      </w:r>
      <w:r>
        <w:t xml:space="preserve"> [unpublished document], ASBFEO, Canberra, 2025</w:t>
      </w:r>
      <w:r w:rsidR="001460EB">
        <w:t>.</w:t>
      </w:r>
    </w:p>
    <w:p w14:paraId="3A6BAFD2" w14:textId="2AB74AA7" w:rsidR="00A37B92" w:rsidRPr="00946B4F" w:rsidRDefault="00A37B92" w:rsidP="00A37B92">
      <w:pPr>
        <w:pStyle w:val="TableMainHeading"/>
      </w:pPr>
      <w:r>
        <w:rPr>
          <w:lang w:val="en-US"/>
        </w:rPr>
        <w:lastRenderedPageBreak/>
        <w:t>Notes for Table 4.4</w:t>
      </w:r>
      <w:r w:rsidR="007B3BA6">
        <w:rPr>
          <w:lang w:val="en-US"/>
        </w:rPr>
        <w:t>:</w:t>
      </w:r>
      <w:r>
        <w:rPr>
          <w:lang w:val="en-US"/>
        </w:rPr>
        <w:t xml:space="preserve"> </w:t>
      </w:r>
      <w:r w:rsidRPr="00946B4F">
        <w:rPr>
          <w:lang w:val="en-US"/>
        </w:rPr>
        <w:t xml:space="preserve">Destination of </w:t>
      </w:r>
      <w:r w:rsidR="007B3BA6" w:rsidRPr="007B3BA6">
        <w:rPr>
          <w:lang w:val="en-US"/>
        </w:rPr>
        <w:t>referrals</w:t>
      </w:r>
      <w:r w:rsidRPr="00946B4F">
        <w:rPr>
          <w:lang w:val="en-US"/>
        </w:rPr>
        <w:t xml:space="preserve"> by ASBFEO Case Managers</w:t>
      </w:r>
      <w:r w:rsidRPr="00946B4F">
        <w:t> </w:t>
      </w:r>
    </w:p>
    <w:p w14:paraId="5044E61A" w14:textId="0C6BEF89" w:rsidR="00A37B92" w:rsidRPr="00653B45" w:rsidRDefault="00A37B92" w:rsidP="00A37B92">
      <w:pPr>
        <w:pStyle w:val="ChartorTablenoteandsource"/>
      </w:pPr>
      <w:r>
        <w:t xml:space="preserve">Notes: </w:t>
      </w:r>
      <w:r>
        <w:tab/>
      </w:r>
      <w:r w:rsidRPr="00653B45">
        <w:t xml:space="preserve">Data in this table is based on the number of cases closed in reporting period (date closed). It includes cases that were finalised in this reporting period but received in a previous </w:t>
      </w:r>
      <w:r w:rsidR="00D05786" w:rsidRPr="00653B45">
        <w:t>year and</w:t>
      </w:r>
      <w:r w:rsidRPr="00653B45">
        <w:t xml:space="preserve"> may include cases that have been reactivated at any time then closed in the reporting period. </w:t>
      </w:r>
      <w:r w:rsidR="00EA6888">
        <w:t>The table only include data for 3 years and not 4 as the full data set is not available for 2024</w:t>
      </w:r>
      <w:r w:rsidR="003A056B" w:rsidRPr="003A056B">
        <w:t>–</w:t>
      </w:r>
      <w:r w:rsidR="00EA6888">
        <w:t>25.</w:t>
      </w:r>
    </w:p>
    <w:p w14:paraId="7E3C52FA" w14:textId="700593CE" w:rsidR="00A37B92" w:rsidRPr="00653B45" w:rsidRDefault="00A37B92" w:rsidP="00A37B92">
      <w:pPr>
        <w:pStyle w:val="ChartorTablenoteandsource"/>
        <w:ind w:hanging="26"/>
      </w:pPr>
      <w:r w:rsidRPr="00653B45">
        <w:t xml:space="preserve">ASBFEO have advised </w:t>
      </w:r>
      <w:r w:rsidR="00630EFE">
        <w:t>it</w:t>
      </w:r>
      <w:r w:rsidRPr="00653B45">
        <w:t xml:space="preserve"> takes great care to ensure reporting is accurate at the time of compilation, but that that classifications can change as a result of a range of </w:t>
      </w:r>
      <w:proofErr w:type="gramStart"/>
      <w:r w:rsidRPr="00653B45">
        <w:t>factors</w:t>
      </w:r>
      <w:proofErr w:type="gramEnd"/>
      <w:r w:rsidRPr="00653B45">
        <w:t xml:space="preserve"> and this may also result in slight discrepancies in data published in ASBFEO’s relevant </w:t>
      </w:r>
      <w:r w:rsidR="00F127E5">
        <w:t>q</w:t>
      </w:r>
      <w:r w:rsidRPr="00653B45">
        <w:t xml:space="preserve">uarterly and </w:t>
      </w:r>
      <w:r w:rsidR="00F127E5">
        <w:t>a</w:t>
      </w:r>
      <w:r w:rsidRPr="00653B45">
        <w:t xml:space="preserve">nnual Reports. </w:t>
      </w:r>
      <w:r w:rsidRPr="00D6324C">
        <w:t>Factors which may impact classifications and comparisons with other published reports include:</w:t>
      </w:r>
    </w:p>
    <w:p w14:paraId="6B48315C" w14:textId="77777777" w:rsidR="00A37B92" w:rsidRPr="00653B45" w:rsidRDefault="00A37B92" w:rsidP="00082D4C">
      <w:pPr>
        <w:pStyle w:val="ChartorTablenoteandsource"/>
        <w:numPr>
          <w:ilvl w:val="1"/>
          <w:numId w:val="12"/>
        </w:numPr>
        <w:ind w:left="1021" w:hanging="227"/>
      </w:pPr>
      <w:r w:rsidRPr="00653B45">
        <w:t>Data is from a live system that regularly changes as cases can be reactivated after they are closed.</w:t>
      </w:r>
    </w:p>
    <w:p w14:paraId="4B9A9008" w14:textId="3A2E1455" w:rsidR="00A37B92" w:rsidRPr="00653B45" w:rsidRDefault="00A37B92" w:rsidP="00082D4C">
      <w:pPr>
        <w:pStyle w:val="ChartorTablenoteandsource"/>
        <w:numPr>
          <w:ilvl w:val="1"/>
          <w:numId w:val="12"/>
        </w:numPr>
        <w:ind w:left="1021" w:hanging="227"/>
      </w:pPr>
      <w:r w:rsidRPr="00653B45">
        <w:t>ASBFEO</w:t>
      </w:r>
      <w:r w:rsidR="00F127E5">
        <w:t>’</w:t>
      </w:r>
      <w:r w:rsidRPr="00653B45">
        <w:t xml:space="preserve">s </w:t>
      </w:r>
      <w:r w:rsidR="00F127E5">
        <w:t>q</w:t>
      </w:r>
      <w:r w:rsidRPr="00653B45">
        <w:t xml:space="preserve">uarterly </w:t>
      </w:r>
      <w:r w:rsidR="00F127E5">
        <w:t>r</w:t>
      </w:r>
      <w:r w:rsidRPr="00653B45">
        <w:t xml:space="preserve">eports combine the categories of Information provided and Active case management, as information is provided </w:t>
      </w:r>
      <w:proofErr w:type="gramStart"/>
      <w:r w:rsidRPr="00653B45">
        <w:t>in the course of</w:t>
      </w:r>
      <w:proofErr w:type="gramEnd"/>
      <w:r w:rsidRPr="00653B45">
        <w:t xml:space="preserve"> managing a case.</w:t>
      </w:r>
    </w:p>
    <w:p w14:paraId="03945542" w14:textId="5C3412D6" w:rsidR="00A37B92" w:rsidRDefault="00A37B92" w:rsidP="00082D4C">
      <w:pPr>
        <w:pStyle w:val="ChartorTablenoteandsource"/>
        <w:numPr>
          <w:ilvl w:val="1"/>
          <w:numId w:val="12"/>
        </w:numPr>
        <w:ind w:left="1021" w:hanging="227"/>
      </w:pPr>
      <w:r w:rsidRPr="00653B45">
        <w:t>The annual figures for 2023</w:t>
      </w:r>
      <w:r w:rsidR="0024091D" w:rsidRPr="0024091D">
        <w:t>–</w:t>
      </w:r>
      <w:r w:rsidRPr="00653B45">
        <w:t>24 in ASBFEO</w:t>
      </w:r>
      <w:r w:rsidR="003C2A91">
        <w:t>’</w:t>
      </w:r>
      <w:r w:rsidRPr="00653B45">
        <w:t>s June 2024 Quarterly Report was changed to reflect cases closed by ASBFEO case managers in the reporting period (previously case received) to better capture cases active across multiple reporting periods.</w:t>
      </w:r>
    </w:p>
    <w:p w14:paraId="6C9769FD" w14:textId="2DF7C2E8" w:rsidR="00A37B92" w:rsidRDefault="00A37B92" w:rsidP="00082D4C">
      <w:pPr>
        <w:pStyle w:val="ChartorTablenoteandsource"/>
        <w:numPr>
          <w:ilvl w:val="1"/>
          <w:numId w:val="12"/>
        </w:numPr>
        <w:ind w:left="1021" w:hanging="227"/>
      </w:pPr>
      <w:r>
        <w:t xml:space="preserve">A </w:t>
      </w:r>
      <w:r w:rsidRPr="00505E51">
        <w:t>small number of referrals include referrals to State/Territory Ombudsman and referrals to multiple parties (due to a current CRM limitation). Figures: 2021</w:t>
      </w:r>
      <w:r w:rsidR="0089345A" w:rsidRPr="0089345A">
        <w:t>–</w:t>
      </w:r>
      <w:r w:rsidRPr="00505E51">
        <w:t>22: 16 referrals to State/Territory Ombudsman, 7 in 2022</w:t>
      </w:r>
      <w:r w:rsidR="0089345A" w:rsidRPr="0089345A">
        <w:t>–</w:t>
      </w:r>
      <w:r w:rsidRPr="00505E51">
        <w:t>23 and 6 in 2023</w:t>
      </w:r>
      <w:r w:rsidR="0089345A" w:rsidRPr="0089345A">
        <w:t>–</w:t>
      </w:r>
      <w:r w:rsidRPr="00505E51">
        <w:t>24.</w:t>
      </w:r>
    </w:p>
    <w:p w14:paraId="07CA04C7" w14:textId="24A5F695" w:rsidR="00A37B92" w:rsidRDefault="00A37B92" w:rsidP="00A37B92">
      <w:pPr>
        <w:pStyle w:val="ChartorTablenoteandsource"/>
      </w:pPr>
      <w:r>
        <w:t xml:space="preserve">Source: </w:t>
      </w:r>
      <w:r w:rsidR="00CB4E46">
        <w:tab/>
      </w:r>
      <w:r>
        <w:t xml:space="preserve">ASBFEO Review analysis of </w:t>
      </w:r>
      <w:r w:rsidRPr="00E413D9">
        <w:rPr>
          <w:rStyle w:val="Emphasis"/>
        </w:rPr>
        <w:t>Additional Qs Outcome of cases managed by ASBFEO since 2021</w:t>
      </w:r>
      <w:r w:rsidR="005E2AE6" w:rsidRPr="00E413D9">
        <w:rPr>
          <w:rStyle w:val="Emphasis"/>
        </w:rPr>
        <w:t>–</w:t>
      </w:r>
      <w:r w:rsidRPr="00E413D9">
        <w:rPr>
          <w:rStyle w:val="Emphasis"/>
        </w:rPr>
        <w:t>22</w:t>
      </w:r>
      <w:r>
        <w:t xml:space="preserve"> [unpublished document].</w:t>
      </w:r>
    </w:p>
    <w:p w14:paraId="06539E9B" w14:textId="77777777" w:rsidR="00A37B92" w:rsidRPr="00946B4F" w:rsidRDefault="00A37B92" w:rsidP="00A37B92">
      <w:pPr>
        <w:pStyle w:val="TableMainHeading"/>
        <w:rPr>
          <w:bCs/>
        </w:rPr>
      </w:pPr>
      <w:r>
        <w:rPr>
          <w:lang w:val="en-US"/>
        </w:rPr>
        <w:t xml:space="preserve">Notes for Table 4.5: </w:t>
      </w:r>
      <w:r w:rsidRPr="00946B4F">
        <w:rPr>
          <w:lang w:val="en-US"/>
        </w:rPr>
        <w:t>Outcomes of cases referred to ADR</w:t>
      </w:r>
      <w:r w:rsidRPr="00946B4F">
        <w:t> </w:t>
      </w:r>
    </w:p>
    <w:p w14:paraId="50F85D13" w14:textId="4B2DDF92" w:rsidR="00A37B92" w:rsidRDefault="00A37B92" w:rsidP="00A37B92">
      <w:pPr>
        <w:pStyle w:val="ChartorTablenoteandsource"/>
      </w:pPr>
      <w:r>
        <w:t xml:space="preserve">Notes </w:t>
      </w:r>
      <w:r>
        <w:tab/>
        <w:t xml:space="preserve">Data in this table is based on the number of cases closed in reporting period (date closed). </w:t>
      </w:r>
      <w:r w:rsidR="00EA6888">
        <w:t>The table only include data for 3 years and not 4 as the full data set is not available for 2024</w:t>
      </w:r>
      <w:r w:rsidR="003A056B" w:rsidRPr="003A056B">
        <w:t>–</w:t>
      </w:r>
      <w:r w:rsidR="00EA6888">
        <w:t xml:space="preserve">25. </w:t>
      </w:r>
      <w:r>
        <w:t xml:space="preserve">ASBFEO have advised </w:t>
      </w:r>
      <w:r w:rsidR="0024091D">
        <w:t>it</w:t>
      </w:r>
      <w:r w:rsidR="0024091D" w:rsidRPr="00A37FE8">
        <w:t xml:space="preserve"> </w:t>
      </w:r>
      <w:r w:rsidRPr="00A37FE8">
        <w:t>takes great care to ensure reporting is accurate at the time of compilation</w:t>
      </w:r>
      <w:r>
        <w:t>, but c</w:t>
      </w:r>
      <w:r w:rsidRPr="00A37FE8">
        <w:t xml:space="preserve">lassifications can change as a result of </w:t>
      </w:r>
      <w:r>
        <w:t xml:space="preserve">a range of </w:t>
      </w:r>
      <w:proofErr w:type="gramStart"/>
      <w:r>
        <w:t>factors</w:t>
      </w:r>
      <w:proofErr w:type="gramEnd"/>
      <w:r>
        <w:t xml:space="preserve"> and this may also result in </w:t>
      </w:r>
      <w:r w:rsidRPr="00A37FE8">
        <w:t>slight discrepancies in data</w:t>
      </w:r>
      <w:r w:rsidRPr="00EA02CA">
        <w:t xml:space="preserve"> </w:t>
      </w:r>
      <w:r>
        <w:t xml:space="preserve">published in ASBFEO’s relevant </w:t>
      </w:r>
      <w:r w:rsidR="00A31D82">
        <w:t>q</w:t>
      </w:r>
      <w:r w:rsidRPr="00A37FE8">
        <w:t xml:space="preserve">uarterly and </w:t>
      </w:r>
      <w:r w:rsidR="00A31D82">
        <w:t>a</w:t>
      </w:r>
      <w:r w:rsidRPr="00A37FE8">
        <w:t xml:space="preserve">nnual </w:t>
      </w:r>
      <w:r w:rsidR="00A31D82">
        <w:t>r</w:t>
      </w:r>
      <w:r w:rsidRPr="00A37FE8">
        <w:t>eport</w:t>
      </w:r>
      <w:r>
        <w:t xml:space="preserve">s. </w:t>
      </w:r>
      <w:r w:rsidRPr="00D6324C">
        <w:t>Factors which may impact classifications and comparisons with other published reports include:</w:t>
      </w:r>
    </w:p>
    <w:p w14:paraId="631787A7" w14:textId="77777777" w:rsidR="00A37B92" w:rsidRDefault="00A37B92" w:rsidP="00082D4C">
      <w:pPr>
        <w:pStyle w:val="ChartorTablenoteandsource"/>
        <w:numPr>
          <w:ilvl w:val="1"/>
          <w:numId w:val="12"/>
        </w:numPr>
        <w:ind w:left="1021" w:hanging="227"/>
      </w:pPr>
      <w:r>
        <w:t xml:space="preserve">Data </w:t>
      </w:r>
      <w:r w:rsidRPr="00003316">
        <w:t>is from a live system that regularly changes as cases can be reactivated after they are closed</w:t>
      </w:r>
      <w:r>
        <w:t>.</w:t>
      </w:r>
    </w:p>
    <w:p w14:paraId="18BC0523" w14:textId="77777777" w:rsidR="00A37B92" w:rsidRDefault="00A37B92" w:rsidP="00082D4C">
      <w:pPr>
        <w:pStyle w:val="ChartorTablenoteandsource"/>
        <w:numPr>
          <w:ilvl w:val="1"/>
          <w:numId w:val="12"/>
        </w:numPr>
        <w:ind w:left="1021" w:hanging="227"/>
      </w:pPr>
      <w:r>
        <w:t>T</w:t>
      </w:r>
      <w:r w:rsidRPr="00671684">
        <w:t xml:space="preserve">he ADR practitioner report </w:t>
      </w:r>
      <w:r>
        <w:t>to ASBFEO (</w:t>
      </w:r>
      <w:r w:rsidRPr="00671684">
        <w:t>following ADR</w:t>
      </w:r>
      <w:r>
        <w:t xml:space="preserve">) </w:t>
      </w:r>
      <w:r w:rsidRPr="00671684">
        <w:t>only request</w:t>
      </w:r>
      <w:r>
        <w:t>s</w:t>
      </w:r>
      <w:r w:rsidRPr="00671684">
        <w:t xml:space="preserve"> whether the matter is resolved, partially resolved or unresolved and whether the parties participated in good faith. </w:t>
      </w:r>
    </w:p>
    <w:p w14:paraId="001DBFAC" w14:textId="791A3261" w:rsidR="00A37B92" w:rsidRDefault="00A37B92" w:rsidP="00A37B92">
      <w:pPr>
        <w:pStyle w:val="ChartorTablenoteandsource"/>
      </w:pPr>
      <w:r>
        <w:t xml:space="preserve">Source: </w:t>
      </w:r>
      <w:r w:rsidR="00CB4E46">
        <w:tab/>
      </w:r>
      <w:r>
        <w:t xml:space="preserve">ASBFEO Review analysis of </w:t>
      </w:r>
      <w:r w:rsidRPr="00E413D9">
        <w:rPr>
          <w:rStyle w:val="Emphasis"/>
        </w:rPr>
        <w:t>Additional Qs Outcome of cases managed by ASBFEO since 2021</w:t>
      </w:r>
      <w:r w:rsidR="005E2AE6" w:rsidRPr="00E413D9">
        <w:rPr>
          <w:rStyle w:val="Emphasis"/>
        </w:rPr>
        <w:t>–</w:t>
      </w:r>
      <w:r w:rsidRPr="00E413D9">
        <w:rPr>
          <w:rStyle w:val="Emphasis"/>
        </w:rPr>
        <w:t>22</w:t>
      </w:r>
      <w:r>
        <w:t xml:space="preserve"> [unpublished document], ASBFEO, Canberra, 2025.</w:t>
      </w:r>
    </w:p>
    <w:p w14:paraId="3DEF8A7D" w14:textId="0C928847" w:rsidR="00A37B92" w:rsidRPr="004D1FDF" w:rsidRDefault="00A37B92" w:rsidP="00A37B92">
      <w:pPr>
        <w:pStyle w:val="TableMainHeading"/>
        <w:rPr>
          <w:lang w:val="en-US"/>
        </w:rPr>
      </w:pPr>
      <w:r>
        <w:rPr>
          <w:lang w:val="en-US"/>
        </w:rPr>
        <w:t xml:space="preserve">Notes for </w:t>
      </w:r>
      <w:r w:rsidRPr="004D1FDF">
        <w:rPr>
          <w:lang w:val="en-US"/>
        </w:rPr>
        <w:t xml:space="preserve">Table 4.6: Success rates </w:t>
      </w:r>
      <w:r w:rsidR="001E789B" w:rsidRPr="004D1FDF">
        <w:rPr>
          <w:lang w:val="en-US"/>
        </w:rPr>
        <w:t xml:space="preserve">of </w:t>
      </w:r>
      <w:r w:rsidRPr="004D1FDF">
        <w:rPr>
          <w:lang w:val="en-US"/>
        </w:rPr>
        <w:t>pre</w:t>
      </w:r>
      <w:r w:rsidR="000D7D0D">
        <w:rPr>
          <w:lang w:val="en-US"/>
        </w:rPr>
        <w:t>-</w:t>
      </w:r>
      <w:r w:rsidRPr="004D1FDF">
        <w:rPr>
          <w:lang w:val="en-US"/>
        </w:rPr>
        <w:t xml:space="preserve">mediation and mediation </w:t>
      </w:r>
      <w:r w:rsidR="001E789B" w:rsidRPr="004D1FDF">
        <w:rPr>
          <w:lang w:val="en-US"/>
        </w:rPr>
        <w:t xml:space="preserve">and costs of mediation </w:t>
      </w:r>
      <w:r w:rsidRPr="004D1FDF">
        <w:rPr>
          <w:lang w:val="en-US"/>
        </w:rPr>
        <w:t>2023–24 </w:t>
      </w:r>
    </w:p>
    <w:p w14:paraId="29A0A865" w14:textId="75047796" w:rsidR="00A37B92" w:rsidRDefault="00A37B92" w:rsidP="00A37B92">
      <w:pPr>
        <w:pStyle w:val="ChartorTablenoteandsource"/>
      </w:pPr>
      <w:r>
        <w:t xml:space="preserve">Notes: </w:t>
      </w:r>
      <w:r>
        <w:tab/>
      </w:r>
      <w:r w:rsidR="004B58EF" w:rsidRPr="004B58EF">
        <w:t>New South Wales</w:t>
      </w:r>
      <w:r w:rsidR="004B58EF" w:rsidRPr="004B58EF" w:rsidDel="004B58EF">
        <w:t xml:space="preserve"> </w:t>
      </w:r>
      <w:r>
        <w:t>SBC for half day mediation cost is $304</w:t>
      </w:r>
      <w:r w:rsidR="00DF42FC">
        <w:t xml:space="preserve"> multiplied by </w:t>
      </w:r>
      <w:r>
        <w:t>4 = $1</w:t>
      </w:r>
      <w:r w:rsidR="00BB67D2">
        <w:t>,</w:t>
      </w:r>
      <w:r>
        <w:t>216 and full day mediation cost is $304</w:t>
      </w:r>
      <w:r w:rsidR="00561E9B">
        <w:t xml:space="preserve"> multiplied by </w:t>
      </w:r>
      <w:r>
        <w:t>7.5 =</w:t>
      </w:r>
      <w:r w:rsidR="003946B0">
        <w:t xml:space="preserve"> </w:t>
      </w:r>
      <w:r>
        <w:t>$2280; Cost to each party $330 +3.5</w:t>
      </w:r>
      <w:r w:rsidR="00DC0D02">
        <w:t xml:space="preserve"> </w:t>
      </w:r>
      <w:r>
        <w:t xml:space="preserve">hours </w:t>
      </w:r>
      <w:r w:rsidR="00DF42FC">
        <w:t>multiplied</w:t>
      </w:r>
      <w:r w:rsidR="00DC0D02">
        <w:t xml:space="preserve"> by</w:t>
      </w:r>
      <w:r>
        <w:t>$152 = $862</w:t>
      </w:r>
      <w:r w:rsidR="00843AC2">
        <w:t>.</w:t>
      </w:r>
    </w:p>
    <w:p w14:paraId="13690595" w14:textId="7E4DEECE" w:rsidR="00A37B92" w:rsidRPr="00BB6D61" w:rsidRDefault="00A37B92" w:rsidP="00A37B92">
      <w:pPr>
        <w:pStyle w:val="ChartorTablenoteandsource"/>
        <w:ind w:hanging="26"/>
        <w:rPr>
          <w:rFonts w:asciiTheme="minorHAnsi" w:eastAsia="Calibri" w:hAnsiTheme="minorHAnsi"/>
          <w:b/>
          <w:color w:val="auto"/>
          <w:sz w:val="20"/>
          <w:szCs w:val="18"/>
        </w:rPr>
      </w:pPr>
      <w:r>
        <w:rPr>
          <w:rFonts w:eastAsia="Calibri"/>
          <w:szCs w:val="18"/>
        </w:rPr>
        <w:t>Q</w:t>
      </w:r>
      <w:r w:rsidR="00712461">
        <w:rPr>
          <w:rFonts w:eastAsia="Calibri"/>
          <w:szCs w:val="18"/>
        </w:rPr>
        <w:t>ueensland</w:t>
      </w:r>
      <w:r>
        <w:rPr>
          <w:rFonts w:eastAsia="Calibri"/>
          <w:szCs w:val="18"/>
        </w:rPr>
        <w:t xml:space="preserve"> SBC </w:t>
      </w:r>
      <w:r w:rsidR="003A0D5E">
        <w:rPr>
          <w:rFonts w:eastAsia="Calibri"/>
          <w:szCs w:val="18"/>
        </w:rPr>
        <w:t>–</w:t>
      </w:r>
      <w:r>
        <w:rPr>
          <w:rFonts w:eastAsia="Calibri"/>
          <w:szCs w:val="18"/>
        </w:rPr>
        <w:t xml:space="preserve"> $</w:t>
      </w:r>
      <w:r w:rsidRPr="00B46A27">
        <w:rPr>
          <w:rFonts w:eastAsia="Calibri"/>
          <w:szCs w:val="18"/>
        </w:rPr>
        <w:t>1250</w:t>
      </w:r>
      <w:r>
        <w:rPr>
          <w:rFonts w:eastAsia="Calibri"/>
          <w:szCs w:val="18"/>
        </w:rPr>
        <w:t xml:space="preserve"> (including GST)</w:t>
      </w:r>
      <w:r w:rsidRPr="00B46A27">
        <w:rPr>
          <w:rFonts w:eastAsia="Calibri"/>
          <w:szCs w:val="18"/>
        </w:rPr>
        <w:t xml:space="preserve"> </w:t>
      </w:r>
      <w:r>
        <w:rPr>
          <w:rFonts w:eastAsia="Calibri"/>
          <w:szCs w:val="18"/>
        </w:rPr>
        <w:t>for</w:t>
      </w:r>
      <w:r w:rsidRPr="00B46A27">
        <w:rPr>
          <w:rFonts w:eastAsia="Calibri"/>
          <w:szCs w:val="18"/>
        </w:rPr>
        <w:t xml:space="preserve"> meditation preparation including intake, mediation conference held, and no signed agreement. $1</w:t>
      </w:r>
      <w:r w:rsidR="00BB67D2">
        <w:rPr>
          <w:rFonts w:eastAsia="Calibri"/>
          <w:szCs w:val="18"/>
        </w:rPr>
        <w:t>,</w:t>
      </w:r>
      <w:r w:rsidRPr="00B46A27">
        <w:rPr>
          <w:rFonts w:eastAsia="Calibri"/>
          <w:szCs w:val="18"/>
        </w:rPr>
        <w:t>750</w:t>
      </w:r>
      <w:r>
        <w:rPr>
          <w:rFonts w:eastAsia="Calibri"/>
          <w:szCs w:val="18"/>
        </w:rPr>
        <w:t xml:space="preserve"> (including GST</w:t>
      </w:r>
      <w:r w:rsidRPr="00B46A27">
        <w:rPr>
          <w:rFonts w:eastAsia="Calibri"/>
          <w:szCs w:val="18"/>
        </w:rPr>
        <w:t>) – meditation preparation including intake, mediation conference held, and agreement signed by both parties.</w:t>
      </w:r>
    </w:p>
    <w:p w14:paraId="3F07E545" w14:textId="0657FD59" w:rsidR="00A37B92" w:rsidRDefault="00A37B92" w:rsidP="00A37B92">
      <w:pPr>
        <w:pStyle w:val="ChartorTablenoteandsource"/>
        <w:ind w:hanging="26"/>
      </w:pPr>
      <w:r>
        <w:t>S</w:t>
      </w:r>
      <w:r w:rsidR="00712461">
        <w:t>outh Australian</w:t>
      </w:r>
      <w:r>
        <w:t xml:space="preserve"> SBC full day </w:t>
      </w:r>
      <w:r w:rsidRPr="00B46A27">
        <w:rPr>
          <w:szCs w:val="18"/>
        </w:rPr>
        <w:t xml:space="preserve">$195 </w:t>
      </w:r>
      <w:r>
        <w:rPr>
          <w:szCs w:val="18"/>
        </w:rPr>
        <w:t xml:space="preserve">cost to </w:t>
      </w:r>
      <w:r w:rsidRPr="00B46A27">
        <w:rPr>
          <w:szCs w:val="18"/>
        </w:rPr>
        <w:t xml:space="preserve">each party and free if it falls under the </w:t>
      </w:r>
      <w:r w:rsidRPr="00BB67D2">
        <w:rPr>
          <w:rStyle w:val="Emphasis"/>
        </w:rPr>
        <w:t>Retail and Commercial Leases Act 1995</w:t>
      </w:r>
      <w:r w:rsidRPr="00B46A27">
        <w:rPr>
          <w:szCs w:val="18"/>
        </w:rPr>
        <w:t>.</w:t>
      </w:r>
    </w:p>
    <w:p w14:paraId="2CF34E20" w14:textId="1087D659" w:rsidR="00A37B92" w:rsidRDefault="00A37B92" w:rsidP="00A37B92">
      <w:pPr>
        <w:pStyle w:val="ChartorTablenoteandsource"/>
      </w:pPr>
      <w:r>
        <w:t>Source:</w:t>
      </w:r>
      <w:r w:rsidR="00BB67D2">
        <w:tab/>
      </w:r>
      <w:r>
        <w:t xml:space="preserve">Provided by State Small Business Commissioners for </w:t>
      </w:r>
      <w:r w:rsidR="00CB3DD3" w:rsidRPr="00CB3DD3">
        <w:t>New South Wales</w:t>
      </w:r>
      <w:r>
        <w:t>, V</w:t>
      </w:r>
      <w:r w:rsidR="00CB3DD3">
        <w:t>ictoria</w:t>
      </w:r>
      <w:r>
        <w:t>, Q</w:t>
      </w:r>
      <w:r w:rsidR="00CB3DD3">
        <w:t>ueensland</w:t>
      </w:r>
      <w:r>
        <w:t>, SBDC</w:t>
      </w:r>
      <w:r w:rsidR="00EE2B7E">
        <w:t xml:space="preserve"> (WA)</w:t>
      </w:r>
      <w:r>
        <w:t>. ASBFEO and S</w:t>
      </w:r>
      <w:r w:rsidR="00EE2B7E">
        <w:t>outh Australian</w:t>
      </w:r>
      <w:r>
        <w:t xml:space="preserve"> SBC data was sourced from its website and annual reports. </w:t>
      </w:r>
    </w:p>
    <w:p w14:paraId="2BAF80E6" w14:textId="1A1FB778" w:rsidR="00A37B92" w:rsidRPr="00946B4F" w:rsidRDefault="00A37B92" w:rsidP="00A37B92">
      <w:pPr>
        <w:pStyle w:val="TableMainHeading"/>
      </w:pPr>
      <w:r>
        <w:rPr>
          <w:lang w:val="en-US"/>
        </w:rPr>
        <w:t xml:space="preserve">Notes for </w:t>
      </w:r>
      <w:r>
        <w:t xml:space="preserve">Table 4.7: </w:t>
      </w:r>
      <w:r w:rsidRPr="00946B4F">
        <w:t xml:space="preserve">Mediation </w:t>
      </w:r>
      <w:r w:rsidRPr="000A4521">
        <w:t>cost</w:t>
      </w:r>
      <w:r w:rsidRPr="00946B4F">
        <w:t xml:space="preserve"> </w:t>
      </w:r>
      <w:r w:rsidR="004E288B" w:rsidRPr="004E288B">
        <w:t>of mediators</w:t>
      </w:r>
      <w:r w:rsidRPr="00946B4F">
        <w:t xml:space="preserve"> on ASBFEO</w:t>
      </w:r>
      <w:r>
        <w:t>’</w:t>
      </w:r>
      <w:r w:rsidRPr="00946B4F">
        <w:t>s ADR</w:t>
      </w:r>
      <w:r w:rsidR="00C83C8F">
        <w:t xml:space="preserve"> practitioners</w:t>
      </w:r>
      <w:r w:rsidRPr="00946B4F">
        <w:t xml:space="preserve"> </w:t>
      </w:r>
      <w:r w:rsidR="004E288B" w:rsidRPr="004E288B">
        <w:t>list</w:t>
      </w:r>
      <w:r w:rsidRPr="00946B4F">
        <w:t> </w:t>
      </w:r>
    </w:p>
    <w:p w14:paraId="06F0AF9B" w14:textId="442A62A7" w:rsidR="00A37B92" w:rsidRDefault="00A37B92" w:rsidP="00A37B92">
      <w:pPr>
        <w:pStyle w:val="ChartorTablenoteandsource"/>
      </w:pPr>
      <w:r w:rsidRPr="00F013C5">
        <w:t>Source:</w:t>
      </w:r>
      <w:r w:rsidR="00AA2565">
        <w:tab/>
      </w:r>
      <w:r w:rsidR="004903E0">
        <w:t>Mediator</w:t>
      </w:r>
      <w:r w:rsidRPr="00F013C5">
        <w:t xml:space="preserve"> Survey</w:t>
      </w:r>
      <w:r w:rsidR="00F10B89">
        <w:t>.</w:t>
      </w:r>
    </w:p>
    <w:p w14:paraId="00CEF97D" w14:textId="77777777" w:rsidR="00A37B92" w:rsidRPr="00946B4F" w:rsidRDefault="00A37B92" w:rsidP="00A37B92">
      <w:pPr>
        <w:pStyle w:val="TableMainHeading"/>
        <w:rPr>
          <w:bCs/>
        </w:rPr>
      </w:pPr>
      <w:r>
        <w:rPr>
          <w:lang w:val="en-US"/>
        </w:rPr>
        <w:t xml:space="preserve">Notes for </w:t>
      </w:r>
      <w:r w:rsidRPr="00946B4F">
        <w:t xml:space="preserve">Table </w:t>
      </w:r>
      <w:r w:rsidRPr="008F602B">
        <w:t>4.8</w:t>
      </w:r>
      <w:r>
        <w:t xml:space="preserve"> </w:t>
      </w:r>
      <w:r w:rsidRPr="00AA0977">
        <w:t>–</w:t>
      </w:r>
      <w:r>
        <w:t xml:space="preserve"> </w:t>
      </w:r>
      <w:r w:rsidRPr="00946B4F">
        <w:t>Small business tax concierge – Outcomes</w:t>
      </w:r>
      <w:r w:rsidRPr="00946B4F">
        <w:rPr>
          <w:bCs/>
        </w:rPr>
        <w:t>  </w:t>
      </w:r>
      <w:r w:rsidRPr="00946B4F">
        <w:t xml:space="preserve"> </w:t>
      </w:r>
    </w:p>
    <w:p w14:paraId="1F45EF21" w14:textId="10F4CA7B" w:rsidR="00A37B92" w:rsidRPr="004E1DB4" w:rsidRDefault="00A37B92" w:rsidP="00A37B92">
      <w:pPr>
        <w:pStyle w:val="ChartorTablenoteandsource"/>
      </w:pPr>
      <w:r w:rsidRPr="004E1DB4">
        <w:t xml:space="preserve">Note: </w:t>
      </w:r>
      <w:r w:rsidRPr="004E1DB4">
        <w:tab/>
        <w:t># The 2021–22 referrals to ATO were predominately reviews of decisions regarding eligibility for Covid</w:t>
      </w:r>
      <w:r w:rsidRPr="004E1DB4">
        <w:noBreakHyphen/>
        <w:t>19 relief measures. </w:t>
      </w:r>
    </w:p>
    <w:p w14:paraId="58F379BD" w14:textId="0C10AC91" w:rsidR="00A37B92" w:rsidRDefault="00AA2565" w:rsidP="00AA2565">
      <w:pPr>
        <w:pStyle w:val="ChartorTablenoteandsource"/>
      </w:pPr>
      <w:r>
        <w:tab/>
      </w:r>
      <w:r w:rsidR="00A37B92" w:rsidRPr="00AA2565">
        <w:t>^</w:t>
      </w:r>
      <w:r w:rsidR="00A37B92">
        <w:t xml:space="preserve"> </w:t>
      </w:r>
      <w:r w:rsidR="00A37B92" w:rsidRPr="00AF489E">
        <w:t xml:space="preserve">This category is used when ASBFEO contact the complainant and provide information. The small business may decide not to pursue based on this information or they may decide to deal directly with the ATO. It may also be that the matter was not eligible for the SBTC service and ASBFEO could not </w:t>
      </w:r>
      <w:proofErr w:type="gramStart"/>
      <w:r w:rsidR="00A37B92" w:rsidRPr="00AF489E">
        <w:t>provide assistance</w:t>
      </w:r>
      <w:proofErr w:type="gramEnd"/>
      <w:r w:rsidR="00A37B92" w:rsidRPr="00AF489E">
        <w:t>. ASBFEO do not keep specific data on these matters.</w:t>
      </w:r>
    </w:p>
    <w:p w14:paraId="0F922835" w14:textId="32ACA0A7" w:rsidR="00A37B92" w:rsidRPr="000D6223" w:rsidRDefault="00AA2565" w:rsidP="00AA2565">
      <w:pPr>
        <w:pStyle w:val="ChartorTablenoteandsource"/>
      </w:pPr>
      <w:r>
        <w:tab/>
      </w:r>
      <w:r w:rsidR="00A37B92">
        <w:t xml:space="preserve">Data in this table is based on the number of cases closed in reporting period (date closed). </w:t>
      </w:r>
      <w:r w:rsidR="007F0F22">
        <w:t>The table only include data for 3 years and not 4 as the full data set is not available for 2024</w:t>
      </w:r>
      <w:r w:rsidR="003A056B" w:rsidRPr="00AA2565">
        <w:t>–</w:t>
      </w:r>
      <w:r w:rsidR="007F0F22">
        <w:t>25.</w:t>
      </w:r>
      <w:r w:rsidR="00A37B92">
        <w:t xml:space="preserve"> </w:t>
      </w:r>
      <w:r w:rsidR="00A37B92" w:rsidRPr="00562ACC">
        <w:t xml:space="preserve">It includes cases that were finalised in this reporting period but received in a previous year and may include cases that have been reactivated at any </w:t>
      </w:r>
      <w:r w:rsidR="00A37B92" w:rsidRPr="00562ACC">
        <w:lastRenderedPageBreak/>
        <w:t>time then closed in the reporting period.</w:t>
      </w:r>
      <w:r w:rsidR="00A37B92">
        <w:t xml:space="preserve"> ASBFEO have advised </w:t>
      </w:r>
      <w:r w:rsidR="00303A80">
        <w:t>it</w:t>
      </w:r>
      <w:r w:rsidR="00A37B92" w:rsidRPr="00A37FE8">
        <w:t xml:space="preserve"> takes great care to ensure reporting is accurate at the time of compilation</w:t>
      </w:r>
      <w:r w:rsidR="00A37B92">
        <w:t>, but c</w:t>
      </w:r>
      <w:r w:rsidR="00A37B92" w:rsidRPr="00A37FE8">
        <w:t xml:space="preserve">lassifications can change as a result of </w:t>
      </w:r>
      <w:r w:rsidR="00A37B92">
        <w:t xml:space="preserve">a range of </w:t>
      </w:r>
      <w:proofErr w:type="gramStart"/>
      <w:r w:rsidR="00A37B92">
        <w:t>factors</w:t>
      </w:r>
      <w:proofErr w:type="gramEnd"/>
      <w:r w:rsidR="00A37B92">
        <w:t xml:space="preserve"> and this may also result in </w:t>
      </w:r>
      <w:r w:rsidR="00A37B92" w:rsidRPr="00A37FE8">
        <w:t>slight discrepancies in data</w:t>
      </w:r>
      <w:r w:rsidR="00A37B92" w:rsidRPr="00EA02CA">
        <w:t xml:space="preserve"> </w:t>
      </w:r>
      <w:r w:rsidR="00A37B92">
        <w:t xml:space="preserve">published in ASBFEO’s relevant </w:t>
      </w:r>
      <w:r w:rsidR="00A37B92" w:rsidRPr="00A37FE8">
        <w:t>Quarterly and Annual Report</w:t>
      </w:r>
      <w:r w:rsidR="00A37B92">
        <w:t xml:space="preserve">s. </w:t>
      </w:r>
      <w:r w:rsidR="00A37B92" w:rsidRPr="00205B29">
        <w:t>Factors which may impact classifications and comparisons with other published reports include</w:t>
      </w:r>
      <w:r w:rsidR="00A37B92" w:rsidRPr="000D6223">
        <w:t>:</w:t>
      </w:r>
    </w:p>
    <w:p w14:paraId="33126B67" w14:textId="77777777" w:rsidR="00C94D8C" w:rsidRPr="00653B45" w:rsidRDefault="00C94D8C" w:rsidP="00082D4C">
      <w:pPr>
        <w:pStyle w:val="ChartorTablenoteandsource"/>
        <w:numPr>
          <w:ilvl w:val="1"/>
          <w:numId w:val="12"/>
        </w:numPr>
        <w:ind w:left="1021" w:hanging="227"/>
      </w:pPr>
      <w:r w:rsidRPr="00653B45">
        <w:t>Data is from a live system that regularly changes as cases can be reactivated after they are closed.</w:t>
      </w:r>
    </w:p>
    <w:p w14:paraId="64AF2B2D" w14:textId="40694830" w:rsidR="00C94D8C" w:rsidRPr="00653B45" w:rsidRDefault="00C94D8C" w:rsidP="00082D4C">
      <w:pPr>
        <w:pStyle w:val="ChartorTablenoteandsource"/>
        <w:numPr>
          <w:ilvl w:val="1"/>
          <w:numId w:val="12"/>
        </w:numPr>
        <w:ind w:left="1021" w:hanging="227"/>
      </w:pPr>
      <w:r w:rsidRPr="00653B45">
        <w:t>ASBFEO</w:t>
      </w:r>
      <w:r>
        <w:t>’</w:t>
      </w:r>
      <w:r w:rsidRPr="00653B45">
        <w:t xml:space="preserve">s </w:t>
      </w:r>
      <w:r>
        <w:t>q</w:t>
      </w:r>
      <w:r w:rsidRPr="00653B45">
        <w:t xml:space="preserve">uarterly </w:t>
      </w:r>
      <w:r>
        <w:t>r</w:t>
      </w:r>
      <w:r w:rsidRPr="00653B45">
        <w:t xml:space="preserve">eports combine the categories of Information provided and Active case management, as information is provided </w:t>
      </w:r>
      <w:proofErr w:type="gramStart"/>
      <w:r w:rsidRPr="00653B45">
        <w:t>in the course of</w:t>
      </w:r>
      <w:proofErr w:type="gramEnd"/>
      <w:r w:rsidRPr="00653B45">
        <w:t xml:space="preserve"> managing a case.</w:t>
      </w:r>
    </w:p>
    <w:p w14:paraId="13B2CD06" w14:textId="7109127C" w:rsidR="00C94D8C" w:rsidRPr="000D6223" w:rsidRDefault="00C94D8C" w:rsidP="00082D4C">
      <w:pPr>
        <w:pStyle w:val="ChartorTablenoteandsource"/>
        <w:numPr>
          <w:ilvl w:val="1"/>
          <w:numId w:val="12"/>
        </w:numPr>
        <w:ind w:left="1021" w:hanging="227"/>
      </w:pPr>
      <w:r w:rsidRPr="00653B45">
        <w:t>The annual figures for 2023</w:t>
      </w:r>
      <w:r w:rsidRPr="0024091D">
        <w:t>–</w:t>
      </w:r>
      <w:r w:rsidRPr="00653B45">
        <w:t>24 in ASBFEO</w:t>
      </w:r>
      <w:r>
        <w:t>’</w:t>
      </w:r>
      <w:r w:rsidRPr="00653B45">
        <w:t>s June 2024 Quarterly Report was changed to reflect cases closed by ASBFEO case managers in the reporting period (previously case received) to better capture cases active across multiple reporting periods.</w:t>
      </w:r>
    </w:p>
    <w:p w14:paraId="25007BC6" w14:textId="09B37FEB" w:rsidR="00A37B92" w:rsidRDefault="00A37B92" w:rsidP="00A37B92">
      <w:pPr>
        <w:pStyle w:val="ChartorTablenoteandsource"/>
      </w:pPr>
      <w:r>
        <w:t xml:space="preserve">Source: </w:t>
      </w:r>
      <w:r>
        <w:tab/>
        <w:t xml:space="preserve">ASBFEO Review analysis of </w:t>
      </w:r>
      <w:r w:rsidRPr="00AA2565">
        <w:rPr>
          <w:rStyle w:val="Emphasis"/>
        </w:rPr>
        <w:t>Additional Qs Outcome of cases managed by ASBFEO since 2021</w:t>
      </w:r>
      <w:r w:rsidR="00182B58" w:rsidRPr="00AA2565">
        <w:rPr>
          <w:rStyle w:val="Emphasis"/>
        </w:rPr>
        <w:t>–</w:t>
      </w:r>
      <w:r w:rsidRPr="00AA2565">
        <w:rPr>
          <w:rStyle w:val="Emphasis"/>
        </w:rPr>
        <w:t xml:space="preserve">22 </w:t>
      </w:r>
      <w:r>
        <w:t>[unpublished document], ASBFEO, Canberra, 2025.</w:t>
      </w:r>
    </w:p>
    <w:p w14:paraId="7157571D" w14:textId="0823B8B4" w:rsidR="00A37B92" w:rsidRPr="00D44973" w:rsidRDefault="00A37B92" w:rsidP="00A37B92">
      <w:pPr>
        <w:pStyle w:val="TableMainHeading"/>
        <w:rPr>
          <w:lang w:val="en-US"/>
        </w:rPr>
      </w:pPr>
      <w:r>
        <w:rPr>
          <w:lang w:val="en-US"/>
        </w:rPr>
        <w:t xml:space="preserve">Notes for </w:t>
      </w:r>
      <w:r w:rsidRPr="00573800">
        <w:rPr>
          <w:lang w:val="en-US"/>
        </w:rPr>
        <w:t>Table 5.1</w:t>
      </w:r>
      <w:r w:rsidR="009A56EC">
        <w:rPr>
          <w:lang w:val="en-US"/>
        </w:rPr>
        <w:t>:</w:t>
      </w:r>
      <w:r w:rsidRPr="00573800">
        <w:rPr>
          <w:lang w:val="en-US"/>
        </w:rPr>
        <w:t xml:space="preserve"> Franchising Cases from 2021–22 to 2023–24 </w:t>
      </w:r>
    </w:p>
    <w:p w14:paraId="3EB5E92C" w14:textId="1FBDBDB4" w:rsidR="00A37B92" w:rsidRDefault="00A37B92" w:rsidP="00A37B92">
      <w:pPr>
        <w:pStyle w:val="ChartorTablenoteandsource"/>
      </w:pPr>
      <w:r>
        <w:t xml:space="preserve">Notes: </w:t>
      </w:r>
      <w:r>
        <w:tab/>
        <w:t xml:space="preserve">Data in this table is based on the number of cases received in reporting period (date received). </w:t>
      </w:r>
      <w:r w:rsidR="007F0F22">
        <w:t>The table only include data for 3 years and not 4 as the full data set is not available for 2024</w:t>
      </w:r>
      <w:r w:rsidR="003A056B" w:rsidRPr="003A056B">
        <w:t>–</w:t>
      </w:r>
      <w:r w:rsidR="007F0F22">
        <w:t xml:space="preserve">25. </w:t>
      </w:r>
      <w:r>
        <w:t xml:space="preserve">ASBFEO have advised </w:t>
      </w:r>
      <w:r w:rsidR="00791297">
        <w:t>it</w:t>
      </w:r>
      <w:r w:rsidR="00791297" w:rsidRPr="00A37FE8">
        <w:t xml:space="preserve"> </w:t>
      </w:r>
      <w:r w:rsidRPr="00A37FE8">
        <w:t>takes great care to ensure reporting is accurate at the time of compilation</w:t>
      </w:r>
      <w:r>
        <w:t>, but c</w:t>
      </w:r>
      <w:r w:rsidRPr="00A37FE8">
        <w:t xml:space="preserve">lassifications can change as a result of </w:t>
      </w:r>
      <w:r>
        <w:t xml:space="preserve">a range of </w:t>
      </w:r>
      <w:proofErr w:type="gramStart"/>
      <w:r>
        <w:t>factors</w:t>
      </w:r>
      <w:proofErr w:type="gramEnd"/>
      <w:r>
        <w:t xml:space="preserve"> and this may also result in </w:t>
      </w:r>
      <w:r w:rsidRPr="00A37FE8">
        <w:t>slight discrepancies in data</w:t>
      </w:r>
      <w:r w:rsidRPr="00EA02CA">
        <w:t xml:space="preserve"> </w:t>
      </w:r>
      <w:r>
        <w:t xml:space="preserve">published in ASBFEO’s relevant </w:t>
      </w:r>
      <w:r w:rsidR="00791297">
        <w:t>q</w:t>
      </w:r>
      <w:r w:rsidRPr="00A37FE8">
        <w:t xml:space="preserve">uarterly and </w:t>
      </w:r>
      <w:r w:rsidR="00791297">
        <w:t>a</w:t>
      </w:r>
      <w:r w:rsidRPr="00A37FE8">
        <w:t xml:space="preserve">nnual </w:t>
      </w:r>
      <w:r w:rsidR="00791297">
        <w:t>r</w:t>
      </w:r>
      <w:r w:rsidRPr="00A37FE8">
        <w:t>eport</w:t>
      </w:r>
      <w:r>
        <w:t xml:space="preserve">s. </w:t>
      </w:r>
      <w:r w:rsidRPr="004B68F7">
        <w:t>Factors which may impact classifications and comparisons with other published reports include</w:t>
      </w:r>
      <w:r>
        <w:t>:</w:t>
      </w:r>
    </w:p>
    <w:p w14:paraId="15F814E6" w14:textId="431E1C66" w:rsidR="005D4B08" w:rsidRDefault="005D4B08" w:rsidP="00082D4C">
      <w:pPr>
        <w:pStyle w:val="ChartorTablenoteandsource"/>
        <w:numPr>
          <w:ilvl w:val="1"/>
          <w:numId w:val="12"/>
        </w:numPr>
        <w:ind w:left="1021" w:hanging="227"/>
      </w:pPr>
      <w:r>
        <w:t>C</w:t>
      </w:r>
      <w:r w:rsidRPr="00A37FE8">
        <w:t>ase managers</w:t>
      </w:r>
      <w:r w:rsidR="003A0D5E">
        <w:t>’</w:t>
      </w:r>
      <w:r w:rsidRPr="00A37FE8">
        <w:t xml:space="preserve"> investigations. For example, if a small business owner initially alleges a franchising dispute but </w:t>
      </w:r>
      <w:r>
        <w:t xml:space="preserve">it is </w:t>
      </w:r>
      <w:proofErr w:type="gramStart"/>
      <w:r>
        <w:t xml:space="preserve">actually </w:t>
      </w:r>
      <w:r w:rsidRPr="00A37FE8">
        <w:t>a</w:t>
      </w:r>
      <w:proofErr w:type="gramEnd"/>
      <w:r w:rsidRPr="00A37FE8">
        <w:t xml:space="preserve"> licensing dispute, ASBFEO reclassifies this as a business</w:t>
      </w:r>
      <w:r w:rsidR="003A0D5E">
        <w:noBreakHyphen/>
      </w:r>
      <w:r w:rsidRPr="00A37FE8">
        <w:t>to</w:t>
      </w:r>
      <w:r w:rsidR="003A0D5E">
        <w:noBreakHyphen/>
      </w:r>
      <w:r w:rsidRPr="00A37FE8">
        <w:t>business dispute.</w:t>
      </w:r>
      <w:r>
        <w:t xml:space="preserve"> This may include </w:t>
      </w:r>
      <w:r w:rsidRPr="00A37FE8">
        <w:t>Codes (franchising, oil, dairy</w:t>
      </w:r>
      <w:r>
        <w:t>).</w:t>
      </w:r>
    </w:p>
    <w:p w14:paraId="69468C07" w14:textId="08F836DD" w:rsidR="005D4B08" w:rsidRDefault="005D4B08" w:rsidP="00082D4C">
      <w:pPr>
        <w:pStyle w:val="ChartorTablenoteandsource"/>
        <w:numPr>
          <w:ilvl w:val="1"/>
          <w:numId w:val="12"/>
        </w:numPr>
        <w:ind w:left="1021" w:hanging="227"/>
      </w:pPr>
      <w:r>
        <w:t>Refinements to</w:t>
      </w:r>
      <w:r w:rsidRPr="00A37FE8">
        <w:t xml:space="preserve"> </w:t>
      </w:r>
      <w:r>
        <w:t xml:space="preserve">classification. </w:t>
      </w:r>
      <w:r w:rsidR="003A0D5E">
        <w:t>–</w:t>
      </w:r>
      <w:r w:rsidRPr="00A37FE8">
        <w:t xml:space="preserve"> </w:t>
      </w:r>
      <w:r>
        <w:t>B</w:t>
      </w:r>
      <w:r w:rsidRPr="00A37FE8">
        <w:t>etter reflect</w:t>
      </w:r>
      <w:r>
        <w:t>ed</w:t>
      </w:r>
      <w:r w:rsidRPr="00A37FE8">
        <w:t xml:space="preserve"> the breakdown of initial calls and requests for information compared to disputes. Previous reporting sometimes provided a total while others combined the </w:t>
      </w:r>
      <w:r>
        <w:t>2</w:t>
      </w:r>
      <w:r w:rsidRPr="00A37FE8">
        <w:t xml:space="preserve"> as enquiries</w:t>
      </w:r>
      <w:r>
        <w:t>.</w:t>
      </w:r>
    </w:p>
    <w:p w14:paraId="5276C587" w14:textId="70ACD0EA" w:rsidR="005D4B08" w:rsidRDefault="005D4B08" w:rsidP="00082D4C">
      <w:pPr>
        <w:pStyle w:val="ChartorTablenoteandsource"/>
        <w:numPr>
          <w:ilvl w:val="1"/>
          <w:numId w:val="12"/>
        </w:numPr>
        <w:ind w:left="1021" w:hanging="227"/>
      </w:pPr>
      <w:r>
        <w:t xml:space="preserve">Migration of </w:t>
      </w:r>
      <w:r w:rsidRPr="00A37FE8">
        <w:t>ASBFEO</w:t>
      </w:r>
      <w:r w:rsidR="003A0D5E">
        <w:t>’</w:t>
      </w:r>
      <w:r w:rsidRPr="00A37FE8">
        <w:t>s case management system</w:t>
      </w:r>
      <w:r>
        <w:t xml:space="preserve">. Live </w:t>
      </w:r>
      <w:r w:rsidRPr="00A37FE8">
        <w:t xml:space="preserve">system was migrated without an audit trail </w:t>
      </w:r>
      <w:proofErr w:type="gramStart"/>
      <w:r w:rsidRPr="00A37FE8">
        <w:t>as a result of</w:t>
      </w:r>
      <w:proofErr w:type="gramEnd"/>
      <w:r w:rsidRPr="00A37FE8">
        <w:t xml:space="preserve"> </w:t>
      </w:r>
      <w:r>
        <w:t xml:space="preserve">multiple </w:t>
      </w:r>
      <w:r w:rsidRPr="00A37FE8">
        <w:t>M</w:t>
      </w:r>
      <w:r>
        <w:t>achinery of Government changes.</w:t>
      </w:r>
      <w:r w:rsidRPr="00A37FE8">
        <w:t xml:space="preserve"> </w:t>
      </w:r>
    </w:p>
    <w:p w14:paraId="7613585F" w14:textId="1B14335A" w:rsidR="005D4B08" w:rsidRDefault="005D4B08" w:rsidP="00082D4C">
      <w:pPr>
        <w:pStyle w:val="ChartorTablenoteandsource"/>
        <w:numPr>
          <w:ilvl w:val="1"/>
          <w:numId w:val="12"/>
        </w:numPr>
        <w:ind w:left="1021" w:hanging="227"/>
      </w:pPr>
      <w:r>
        <w:t>N</w:t>
      </w:r>
      <w:r w:rsidRPr="00A37FE8">
        <w:t>ew web forms</w:t>
      </w:r>
      <w:r>
        <w:t xml:space="preserve"> (key data sources)</w:t>
      </w:r>
      <w:r w:rsidRPr="00A37FE8">
        <w:t xml:space="preserve"> were</w:t>
      </w:r>
      <w:r>
        <w:t>. I</w:t>
      </w:r>
      <w:r w:rsidRPr="00A37FE8">
        <w:t>mplemented in December 2021 and July 2023</w:t>
      </w:r>
      <w:r>
        <w:t>.</w:t>
      </w:r>
    </w:p>
    <w:p w14:paraId="5F323BE8" w14:textId="0E2105A7" w:rsidR="005D4B08" w:rsidRDefault="005D4B08" w:rsidP="00082D4C">
      <w:pPr>
        <w:pStyle w:val="ChartorTablenoteandsource"/>
        <w:numPr>
          <w:ilvl w:val="1"/>
          <w:numId w:val="12"/>
        </w:numPr>
        <w:ind w:left="1021" w:hanging="227"/>
      </w:pPr>
      <w:r>
        <w:t xml:space="preserve">Changes to reporting of </w:t>
      </w:r>
      <w:r w:rsidRPr="00902406">
        <w:t>self</w:t>
      </w:r>
      <w:r w:rsidR="003A0D5E">
        <w:noBreakHyphen/>
      </w:r>
      <w:r w:rsidRPr="00902406">
        <w:t xml:space="preserve">identified as a small business/individual </w:t>
      </w:r>
      <w:r w:rsidR="0025021A">
        <w:t>for example,</w:t>
      </w:r>
      <w:r w:rsidRPr="00902406">
        <w:t xml:space="preserve"> sole trader</w:t>
      </w:r>
      <w:r>
        <w:t>.</w:t>
      </w:r>
    </w:p>
    <w:p w14:paraId="13A6C009" w14:textId="4128C401" w:rsidR="005D4B08" w:rsidRDefault="005D4B08" w:rsidP="00082D4C">
      <w:pPr>
        <w:pStyle w:val="ChartorTablenoteandsource"/>
        <w:numPr>
          <w:ilvl w:val="1"/>
          <w:numId w:val="12"/>
        </w:numPr>
        <w:ind w:left="1021" w:hanging="227"/>
      </w:pPr>
      <w:r>
        <w:t>N</w:t>
      </w:r>
      <w:r w:rsidRPr="001308C8">
        <w:t xml:space="preserve">ew data capture </w:t>
      </w:r>
      <w:r>
        <w:t xml:space="preserve">implemented </w:t>
      </w:r>
      <w:r w:rsidRPr="001308C8">
        <w:t>in January 2024</w:t>
      </w:r>
      <w:r>
        <w:t>. B</w:t>
      </w:r>
      <w:r w:rsidRPr="001308C8">
        <w:t>etter reflect</w:t>
      </w:r>
      <w:r>
        <w:t>s</w:t>
      </w:r>
      <w:r w:rsidRPr="001308C8">
        <w:t xml:space="preserve"> queries for information from franchising participants that have not become disputes.</w:t>
      </w:r>
      <w:r>
        <w:t xml:space="preserve"> Implemented </w:t>
      </w:r>
      <w:r w:rsidRPr="001308C8">
        <w:t>in January 2024</w:t>
      </w:r>
      <w:r w:rsidR="00D3601C">
        <w:t>.</w:t>
      </w:r>
    </w:p>
    <w:p w14:paraId="6A8E395B" w14:textId="77777777" w:rsidR="00A37B92" w:rsidRDefault="00A37B92" w:rsidP="00A37B92">
      <w:pPr>
        <w:pStyle w:val="ChartorTablenoteandsource"/>
        <w:ind w:hanging="26"/>
      </w:pPr>
      <w:r>
        <w:t>N</w:t>
      </w:r>
      <w:r w:rsidRPr="00F26F08">
        <w:t>ew data governance processes to enhance consistency in reporting</w:t>
      </w:r>
      <w:r>
        <w:t xml:space="preserve"> were introduced from late 2022.</w:t>
      </w:r>
    </w:p>
    <w:p w14:paraId="6D3B4B12" w14:textId="60DD30AD" w:rsidR="00A37B92" w:rsidRDefault="00A37B92" w:rsidP="00A37B92">
      <w:pPr>
        <w:pStyle w:val="ChartorTablenoteandsource"/>
      </w:pPr>
      <w:r>
        <w:t xml:space="preserve">Source: </w:t>
      </w:r>
      <w:r>
        <w:tab/>
        <w:t xml:space="preserve">ASBFEO Review analysis of </w:t>
      </w:r>
      <w:r w:rsidRPr="00D67EAF">
        <w:rPr>
          <w:rStyle w:val="Emphasis"/>
        </w:rPr>
        <w:t>ASBFEO new cases since 2021</w:t>
      </w:r>
      <w:r w:rsidR="00DC74C8" w:rsidRPr="00D67EAF">
        <w:rPr>
          <w:rStyle w:val="Emphasis"/>
        </w:rPr>
        <w:t>–</w:t>
      </w:r>
      <w:r w:rsidRPr="00D67EAF">
        <w:rPr>
          <w:rStyle w:val="Emphasis"/>
        </w:rPr>
        <w:t>22</w:t>
      </w:r>
      <w:r>
        <w:t xml:space="preserve"> [unpublished document], ASBFEO, Canberra, 2024</w:t>
      </w:r>
      <w:r w:rsidR="00AC38F4">
        <w:t>.</w:t>
      </w:r>
      <w:r>
        <w:t xml:space="preserve"> </w:t>
      </w:r>
    </w:p>
    <w:p w14:paraId="422A83DF" w14:textId="77777777" w:rsidR="00A37B92" w:rsidRDefault="00A37B92" w:rsidP="00A37B92">
      <w:pPr>
        <w:pStyle w:val="TableMainHeading"/>
      </w:pPr>
      <w:r>
        <w:rPr>
          <w:lang w:val="en-US"/>
        </w:rPr>
        <w:t xml:space="preserve">Notes for </w:t>
      </w:r>
      <w:r w:rsidRPr="00573800">
        <w:rPr>
          <w:lang w:val="en-US"/>
        </w:rPr>
        <w:t>Table</w:t>
      </w:r>
      <w:r w:rsidRPr="00D44973">
        <w:rPr>
          <w:lang w:val="en-US"/>
        </w:rPr>
        <w:t xml:space="preserve"> 5.2: </w:t>
      </w:r>
      <w:r w:rsidRPr="00573800">
        <w:rPr>
          <w:lang w:val="en-US"/>
        </w:rPr>
        <w:t>Outcome of cases referred to ADR under Franchising Code </w:t>
      </w:r>
    </w:p>
    <w:p w14:paraId="7411E8F6" w14:textId="74D609FE" w:rsidR="00A37B92" w:rsidRDefault="00A37B92" w:rsidP="00A37B92">
      <w:pPr>
        <w:pStyle w:val="ChartorTablenoteandsource"/>
      </w:pPr>
      <w:r>
        <w:t xml:space="preserve">Notes: </w:t>
      </w:r>
      <w:r>
        <w:tab/>
        <w:t xml:space="preserve">Data in this table is based on the number of cases closed in reporting period (date closed). </w:t>
      </w:r>
      <w:r w:rsidR="004F5121">
        <w:t>The table only include data for 3 years and not 4 as the full data set is not available for 2024</w:t>
      </w:r>
      <w:r w:rsidR="003A056B" w:rsidRPr="00D67EAF">
        <w:t>–</w:t>
      </w:r>
      <w:r w:rsidR="004F5121">
        <w:t>25.</w:t>
      </w:r>
      <w:r>
        <w:t xml:space="preserve"> ASBFEO have advised </w:t>
      </w:r>
      <w:r w:rsidR="00052D4C">
        <w:t>it</w:t>
      </w:r>
      <w:r w:rsidR="00052D4C" w:rsidRPr="00A37FE8">
        <w:t xml:space="preserve"> </w:t>
      </w:r>
      <w:r w:rsidRPr="00A37FE8">
        <w:t>takes great care to ensure reporting is accurate at the time of compilation</w:t>
      </w:r>
      <w:r>
        <w:t>, but c</w:t>
      </w:r>
      <w:r w:rsidRPr="00A37FE8">
        <w:t xml:space="preserve">lassifications can change as a result of </w:t>
      </w:r>
      <w:r>
        <w:t xml:space="preserve">a range of </w:t>
      </w:r>
      <w:proofErr w:type="gramStart"/>
      <w:r>
        <w:t>factors</w:t>
      </w:r>
      <w:proofErr w:type="gramEnd"/>
      <w:r>
        <w:t xml:space="preserve"> and this may also result in </w:t>
      </w:r>
      <w:r w:rsidRPr="00A37FE8">
        <w:t>slight discrepancies in data</w:t>
      </w:r>
      <w:r w:rsidRPr="00EA02CA">
        <w:t xml:space="preserve"> </w:t>
      </w:r>
      <w:r>
        <w:t xml:space="preserve">published in ASBFEO’s relevant </w:t>
      </w:r>
      <w:r w:rsidR="00052D4C">
        <w:t>q</w:t>
      </w:r>
      <w:r w:rsidRPr="00A37FE8">
        <w:t xml:space="preserve">uarterly and </w:t>
      </w:r>
      <w:r w:rsidR="00052D4C">
        <w:t>a</w:t>
      </w:r>
      <w:r w:rsidRPr="00A37FE8">
        <w:t xml:space="preserve">nnual </w:t>
      </w:r>
      <w:r w:rsidR="00052D4C">
        <w:t>r</w:t>
      </w:r>
      <w:r w:rsidRPr="00A37FE8">
        <w:t>eport</w:t>
      </w:r>
      <w:r>
        <w:t xml:space="preserve">s. </w:t>
      </w:r>
      <w:r w:rsidRPr="004B68F7">
        <w:t>Factors which may impact classifications and comparisons with other published reports include</w:t>
      </w:r>
      <w:r>
        <w:t>:</w:t>
      </w:r>
    </w:p>
    <w:p w14:paraId="6E23153C" w14:textId="70D157DD" w:rsidR="00A37B92" w:rsidRPr="00C50D59" w:rsidRDefault="00D67EAF" w:rsidP="00D67EAF">
      <w:pPr>
        <w:pStyle w:val="ChartorTablenoteandsource"/>
      </w:pPr>
      <w:r>
        <w:tab/>
      </w:r>
      <w:r w:rsidR="00A37B92" w:rsidRPr="00C50D59">
        <w:t>Data is from a li</w:t>
      </w:r>
      <w:r w:rsidR="00A37B92" w:rsidRPr="004F575C">
        <w:t>v</w:t>
      </w:r>
      <w:r w:rsidR="00A37B92" w:rsidRPr="00C50D59">
        <w:t>e system that regularly changes as cases can be reactivated after they are closed.</w:t>
      </w:r>
      <w:r w:rsidR="00A37B92">
        <w:t xml:space="preserve"> </w:t>
      </w:r>
      <w:r w:rsidR="00A37B92" w:rsidRPr="00C50D59">
        <w:t xml:space="preserve">ASBFEOs </w:t>
      </w:r>
      <w:r w:rsidR="00ED4CAF">
        <w:t>q</w:t>
      </w:r>
      <w:r w:rsidR="00A37B92" w:rsidRPr="00C50D59">
        <w:t xml:space="preserve">uarterly </w:t>
      </w:r>
      <w:r w:rsidR="00ED4CAF">
        <w:t>r</w:t>
      </w:r>
      <w:r w:rsidR="00A37B92" w:rsidRPr="00C50D59">
        <w:t xml:space="preserve">eports combine the categories of Information provided and Active case management, as information is provided </w:t>
      </w:r>
      <w:proofErr w:type="gramStart"/>
      <w:r w:rsidR="00A37B92" w:rsidRPr="00C50D59">
        <w:t>in the course of</w:t>
      </w:r>
      <w:proofErr w:type="gramEnd"/>
      <w:r w:rsidR="00A37B92" w:rsidRPr="00C50D59">
        <w:t xml:space="preserve"> managing a case.</w:t>
      </w:r>
    </w:p>
    <w:p w14:paraId="52F27FFA" w14:textId="59EECC1F" w:rsidR="00A37B92" w:rsidRDefault="00D67EAF" w:rsidP="00D67EAF">
      <w:pPr>
        <w:pStyle w:val="ChartorTablenoteandsource"/>
      </w:pPr>
      <w:r>
        <w:tab/>
      </w:r>
      <w:r w:rsidR="00A37B92" w:rsidRPr="00C50D59">
        <w:t>The annual figures for 2023</w:t>
      </w:r>
      <w:r w:rsidR="00DF4DC4" w:rsidRPr="00DF4DC4">
        <w:t>–</w:t>
      </w:r>
      <w:r w:rsidR="00A37B92" w:rsidRPr="00C50D59">
        <w:t>24 in ASBFEO</w:t>
      </w:r>
      <w:r w:rsidR="00DF4DC4">
        <w:t>’</w:t>
      </w:r>
      <w:r w:rsidR="00A37B92" w:rsidRPr="00C50D59">
        <w:t xml:space="preserve">s June 2024 Quarterly Report </w:t>
      </w:r>
      <w:r w:rsidR="00FD4BAC" w:rsidRPr="00C50D59">
        <w:t>w</w:t>
      </w:r>
      <w:r w:rsidR="00FD4BAC">
        <w:t>ere</w:t>
      </w:r>
      <w:r w:rsidR="00FD4BAC" w:rsidRPr="00C50D59">
        <w:t xml:space="preserve"> </w:t>
      </w:r>
      <w:r w:rsidR="00A37B92" w:rsidRPr="00C50D59">
        <w:t>changed to reflect cases closed by ASBFEO case managers in the reporting period (previously case received) to better capture cases active across multiple reporting periods.</w:t>
      </w:r>
    </w:p>
    <w:p w14:paraId="1FFF8545" w14:textId="77777777" w:rsidR="00A717E5" w:rsidRPr="00653B45" w:rsidRDefault="00A717E5" w:rsidP="00082D4C">
      <w:pPr>
        <w:pStyle w:val="ChartorTablenoteandsource"/>
        <w:numPr>
          <w:ilvl w:val="1"/>
          <w:numId w:val="12"/>
        </w:numPr>
        <w:ind w:left="1021" w:hanging="227"/>
      </w:pPr>
      <w:r w:rsidRPr="00653B45">
        <w:t>Data is from a live system that regularly changes as cases can be reactivated after they are closed.</w:t>
      </w:r>
    </w:p>
    <w:p w14:paraId="28A87DF0" w14:textId="385084DD" w:rsidR="00A717E5" w:rsidRPr="00653B45" w:rsidRDefault="00A717E5" w:rsidP="00082D4C">
      <w:pPr>
        <w:pStyle w:val="ChartorTablenoteandsource"/>
        <w:numPr>
          <w:ilvl w:val="1"/>
          <w:numId w:val="12"/>
        </w:numPr>
        <w:ind w:left="1021" w:hanging="227"/>
      </w:pPr>
      <w:r w:rsidRPr="00653B45">
        <w:t>ASBFEO</w:t>
      </w:r>
      <w:r>
        <w:t>’</w:t>
      </w:r>
      <w:r w:rsidRPr="00653B45">
        <w:t xml:space="preserve">s </w:t>
      </w:r>
      <w:r>
        <w:t>q</w:t>
      </w:r>
      <w:r w:rsidRPr="00653B45">
        <w:t xml:space="preserve">uarterly </w:t>
      </w:r>
      <w:r>
        <w:t>r</w:t>
      </w:r>
      <w:r w:rsidRPr="00653B45">
        <w:t xml:space="preserve">eports combine the categories of Information provided and Active case management, as information is provided </w:t>
      </w:r>
      <w:proofErr w:type="gramStart"/>
      <w:r w:rsidRPr="00653B45">
        <w:t>in the course of</w:t>
      </w:r>
      <w:proofErr w:type="gramEnd"/>
      <w:r w:rsidRPr="00653B45">
        <w:t xml:space="preserve"> managing a case.</w:t>
      </w:r>
    </w:p>
    <w:p w14:paraId="62F419CE" w14:textId="717A0238" w:rsidR="00A717E5" w:rsidRDefault="00A717E5" w:rsidP="00082D4C">
      <w:pPr>
        <w:pStyle w:val="ChartorTablenoteandsource"/>
        <w:numPr>
          <w:ilvl w:val="1"/>
          <w:numId w:val="12"/>
        </w:numPr>
        <w:ind w:left="1021" w:hanging="227"/>
      </w:pPr>
      <w:r w:rsidRPr="00653B45">
        <w:t>The annual figures for 2023</w:t>
      </w:r>
      <w:r w:rsidRPr="0024091D">
        <w:t>–</w:t>
      </w:r>
      <w:r w:rsidRPr="00653B45">
        <w:t>24 in ASBFEO</w:t>
      </w:r>
      <w:r>
        <w:t>’</w:t>
      </w:r>
      <w:r w:rsidRPr="00653B45">
        <w:t>s June 2024 Quarterly Report was changed to reflect cases closed by ASBFEO case managers in the reporting period (previously case received) to better capture cases active across multiple reporting periods.</w:t>
      </w:r>
    </w:p>
    <w:p w14:paraId="498EE7D3" w14:textId="77777777" w:rsidR="00A717E5" w:rsidRDefault="00A717E5" w:rsidP="00082D4C">
      <w:pPr>
        <w:pStyle w:val="ChartorTablenoteandsource"/>
        <w:numPr>
          <w:ilvl w:val="1"/>
          <w:numId w:val="12"/>
        </w:numPr>
        <w:ind w:left="1021" w:hanging="227"/>
      </w:pPr>
      <w:r>
        <w:t xml:space="preserve">A </w:t>
      </w:r>
      <w:r w:rsidRPr="00505E51">
        <w:t>small number of referrals include referrals to State/Territory Ombudsman and referrals to multiple parties (due to a current CRM limitation). Figures: 2021</w:t>
      </w:r>
      <w:r w:rsidRPr="0089345A">
        <w:t>–</w:t>
      </w:r>
      <w:r w:rsidRPr="00505E51">
        <w:t>22: 16 referrals to State/Territory Ombudsman, 7 in 2022</w:t>
      </w:r>
      <w:r w:rsidRPr="0089345A">
        <w:t>–</w:t>
      </w:r>
      <w:r w:rsidRPr="00505E51">
        <w:t>23 and 6 in 2023</w:t>
      </w:r>
      <w:r w:rsidRPr="0089345A">
        <w:t>–</w:t>
      </w:r>
      <w:r w:rsidRPr="00505E51">
        <w:t>24.</w:t>
      </w:r>
    </w:p>
    <w:p w14:paraId="3C248A4A" w14:textId="45923A3C" w:rsidR="00A37B92" w:rsidRDefault="00A37B92" w:rsidP="00A37B92">
      <w:pPr>
        <w:pStyle w:val="ChartorTablenoteandsource"/>
      </w:pPr>
      <w:r>
        <w:t xml:space="preserve">Source: </w:t>
      </w:r>
      <w:r>
        <w:tab/>
        <w:t xml:space="preserve">ASBFEO Review’s analysis of </w:t>
      </w:r>
      <w:r w:rsidRPr="00596028">
        <w:rPr>
          <w:rStyle w:val="Emphasis"/>
        </w:rPr>
        <w:t>Additional Qs Outcome of cases managed by ASBFEO since 2021</w:t>
      </w:r>
      <w:r w:rsidR="00DC74C8" w:rsidRPr="00596028">
        <w:rPr>
          <w:rStyle w:val="Emphasis"/>
        </w:rPr>
        <w:t>–</w:t>
      </w:r>
      <w:r w:rsidRPr="00596028">
        <w:rPr>
          <w:rStyle w:val="Emphasis"/>
        </w:rPr>
        <w:t xml:space="preserve">22 </w:t>
      </w:r>
      <w:r>
        <w:t>[unpublished document], ASBFEO, Canberra, 2025.</w:t>
      </w:r>
    </w:p>
    <w:p w14:paraId="04B06060" w14:textId="586FE0DE" w:rsidR="00633EFE" w:rsidRPr="00633EFE" w:rsidRDefault="00A37B92" w:rsidP="00633EFE">
      <w:pPr>
        <w:pStyle w:val="TableMainHeading"/>
      </w:pPr>
      <w:r>
        <w:rPr>
          <w:lang w:val="en-US"/>
        </w:rPr>
        <w:lastRenderedPageBreak/>
        <w:t xml:space="preserve">Notes for </w:t>
      </w:r>
      <w:r w:rsidRPr="00877810">
        <w:rPr>
          <w:lang w:val="en-US"/>
        </w:rPr>
        <w:t xml:space="preserve">Table </w:t>
      </w:r>
      <w:r>
        <w:rPr>
          <w:lang w:val="en-US"/>
        </w:rPr>
        <w:t>6</w:t>
      </w:r>
      <w:r w:rsidRPr="00877810">
        <w:rPr>
          <w:lang w:val="en-US"/>
        </w:rPr>
        <w:t>.1</w:t>
      </w:r>
      <w:r w:rsidR="009A56EC">
        <w:rPr>
          <w:lang w:val="en-US"/>
        </w:rPr>
        <w:t>:</w:t>
      </w:r>
      <w:r>
        <w:t xml:space="preserve"> </w:t>
      </w:r>
      <w:r w:rsidR="00633EFE" w:rsidRPr="00633EFE">
        <w:rPr>
          <w:lang w:val="en-US"/>
        </w:rPr>
        <w:t>ASBFEO annual funding levels 2021</w:t>
      </w:r>
      <w:r w:rsidR="00633EFE" w:rsidRPr="00633EFE">
        <w:t>–</w:t>
      </w:r>
      <w:r w:rsidR="00633EFE" w:rsidRPr="00633EFE">
        <w:rPr>
          <w:lang w:val="en-US"/>
        </w:rPr>
        <w:t>22 to 2024</w:t>
      </w:r>
      <w:r w:rsidR="00633EFE" w:rsidRPr="00633EFE">
        <w:t>–</w:t>
      </w:r>
      <w:r w:rsidR="00633EFE" w:rsidRPr="00633EFE">
        <w:rPr>
          <w:lang w:val="en-US"/>
        </w:rPr>
        <w:t>25</w:t>
      </w:r>
      <w:r w:rsidR="006D56F1">
        <w:rPr>
          <w:lang w:val="en-US"/>
        </w:rPr>
        <w:t xml:space="preserve"> </w:t>
      </w:r>
      <w:r w:rsidR="000C641B">
        <w:rPr>
          <w:lang w:val="en-US"/>
        </w:rPr>
        <w:br/>
      </w:r>
      <w:r w:rsidR="006D56F1">
        <w:rPr>
          <w:lang w:val="en-US"/>
        </w:rPr>
        <w:t>ye</w:t>
      </w:r>
      <w:r w:rsidR="00633EFE" w:rsidRPr="00633EFE">
        <w:rPr>
          <w:lang w:val="en-US"/>
        </w:rPr>
        <w:t>ar</w:t>
      </w:r>
      <w:r w:rsidR="000C641B">
        <w:rPr>
          <w:lang w:val="en-US"/>
        </w:rPr>
        <w:t>-</w:t>
      </w:r>
      <w:r w:rsidR="00633EFE" w:rsidRPr="00633EFE">
        <w:rPr>
          <w:lang w:val="en-US"/>
        </w:rPr>
        <w:t>to</w:t>
      </w:r>
      <w:r w:rsidR="000C641B">
        <w:rPr>
          <w:lang w:val="en-US"/>
        </w:rPr>
        <w:t>-</w:t>
      </w:r>
      <w:r w:rsidR="00633EFE" w:rsidRPr="00633EFE">
        <w:rPr>
          <w:lang w:val="en-US"/>
        </w:rPr>
        <w:t>date</w:t>
      </w:r>
      <w:r w:rsidR="00633EFE" w:rsidRPr="00633EFE">
        <w:t> </w:t>
      </w:r>
    </w:p>
    <w:p w14:paraId="21912323" w14:textId="4E5BD434" w:rsidR="00A37B92" w:rsidRDefault="00A37B92" w:rsidP="00A37B92">
      <w:pPr>
        <w:pStyle w:val="ChartorTableNote"/>
      </w:pPr>
      <w:r>
        <w:t>N</w:t>
      </w:r>
      <w:proofErr w:type="spellStart"/>
      <w:r>
        <w:rPr>
          <w:lang w:val="en-US"/>
        </w:rPr>
        <w:t>ote</w:t>
      </w:r>
      <w:proofErr w:type="spellEnd"/>
      <w:r w:rsidRPr="00877810">
        <w:rPr>
          <w:lang w:val="en-US"/>
        </w:rPr>
        <w:t>:</w:t>
      </w:r>
      <w:r>
        <w:rPr>
          <w:lang w:val="en-US"/>
        </w:rPr>
        <w:t xml:space="preserve"> *</w:t>
      </w:r>
      <w:r w:rsidR="009C019B">
        <w:rPr>
          <w:lang w:val="en-US"/>
        </w:rPr>
        <w:t xml:space="preserve"> </w:t>
      </w:r>
      <w:r w:rsidRPr="00877810">
        <w:rPr>
          <w:lang w:val="en-US"/>
        </w:rPr>
        <w:t>Year</w:t>
      </w:r>
      <w:r>
        <w:rPr>
          <w:lang w:val="en-US"/>
        </w:rPr>
        <w:noBreakHyphen/>
      </w:r>
      <w:r w:rsidRPr="00877810">
        <w:rPr>
          <w:lang w:val="en-US"/>
        </w:rPr>
        <w:t xml:space="preserve"> to</w:t>
      </w:r>
      <w:r>
        <w:rPr>
          <w:lang w:val="en-US"/>
        </w:rPr>
        <w:noBreakHyphen/>
      </w:r>
      <w:r w:rsidRPr="00877810">
        <w:rPr>
          <w:lang w:val="en-US"/>
        </w:rPr>
        <w:t>date refers to period from 1 July 2024 through to 31 January 2025</w:t>
      </w:r>
      <w:r w:rsidR="00AC38F4">
        <w:rPr>
          <w:lang w:val="en-US"/>
        </w:rPr>
        <w:t>.</w:t>
      </w:r>
      <w:r w:rsidRPr="00877810">
        <w:t> </w:t>
      </w:r>
    </w:p>
    <w:p w14:paraId="3E8C1235" w14:textId="200A8447" w:rsidR="00A37B92" w:rsidRPr="00877810" w:rsidRDefault="00A37B92" w:rsidP="00A37B92">
      <w:pPr>
        <w:pStyle w:val="TableMainHeading"/>
      </w:pPr>
      <w:r>
        <w:rPr>
          <w:lang w:val="en-US"/>
        </w:rPr>
        <w:t xml:space="preserve">Notes for </w:t>
      </w:r>
      <w:r w:rsidRPr="00877810">
        <w:rPr>
          <w:lang w:val="en-US"/>
        </w:rPr>
        <w:t>T</w:t>
      </w:r>
      <w:r>
        <w:rPr>
          <w:lang w:val="en-US"/>
        </w:rPr>
        <w:t>able</w:t>
      </w:r>
      <w:r w:rsidRPr="00877810">
        <w:rPr>
          <w:lang w:val="en-US"/>
        </w:rPr>
        <w:t xml:space="preserve"> </w:t>
      </w:r>
      <w:r>
        <w:rPr>
          <w:lang w:val="en-US"/>
        </w:rPr>
        <w:t>6.2</w:t>
      </w:r>
      <w:r w:rsidR="009A56EC">
        <w:rPr>
          <w:lang w:val="en-US"/>
        </w:rPr>
        <w:t>:</w:t>
      </w:r>
      <w:r w:rsidRPr="00877810">
        <w:rPr>
          <w:lang w:val="en-US"/>
        </w:rPr>
        <w:t xml:space="preserve"> Social </w:t>
      </w:r>
      <w:r w:rsidR="00633EFE" w:rsidRPr="00633EFE">
        <w:rPr>
          <w:lang w:val="en-US"/>
        </w:rPr>
        <w:t>media activity</w:t>
      </w:r>
      <w:r w:rsidRPr="00877810">
        <w:rPr>
          <w:lang w:val="en-US"/>
        </w:rPr>
        <w:t xml:space="preserve"> across all platforms used by ASBFEO  </w:t>
      </w:r>
      <w:r w:rsidRPr="00877810">
        <w:t> </w:t>
      </w:r>
    </w:p>
    <w:p w14:paraId="1EA35266" w14:textId="01147535" w:rsidR="00A37B92" w:rsidRPr="00212CA4" w:rsidRDefault="00A37B92" w:rsidP="00A37B92">
      <w:pPr>
        <w:pStyle w:val="ChartorTablenoteandsource"/>
      </w:pPr>
      <w:r w:rsidRPr="00212CA4">
        <w:t xml:space="preserve">Note: </w:t>
      </w:r>
      <w:r>
        <w:tab/>
      </w:r>
      <w:r w:rsidRPr="00D572BA">
        <w:t>#</w:t>
      </w:r>
      <w:r w:rsidRPr="00212CA4">
        <w:t xml:space="preserve"> Social </w:t>
      </w:r>
      <w:r w:rsidR="00693582">
        <w:t>m</w:t>
      </w:r>
      <w:r w:rsidRPr="00212CA4">
        <w:t xml:space="preserve">edia </w:t>
      </w:r>
      <w:r w:rsidR="00693582">
        <w:t>f</w:t>
      </w:r>
      <w:r w:rsidRPr="00212CA4">
        <w:t>ollowers measured as at last quarter of financial year.</w:t>
      </w:r>
    </w:p>
    <w:p w14:paraId="08DDF431" w14:textId="7A5D2089" w:rsidR="00A717E5" w:rsidRDefault="00A37B92" w:rsidP="00A37B92">
      <w:pPr>
        <w:pStyle w:val="ChartorTablenoteandsource"/>
        <w:ind w:hanging="26"/>
      </w:pPr>
      <w:r w:rsidRPr="00212CA4">
        <w:t>Social media followers and social media posts counts only the ASBFEO</w:t>
      </w:r>
      <w:r w:rsidR="0029279E">
        <w:t>’</w:t>
      </w:r>
      <w:r w:rsidRPr="00212CA4">
        <w:t>s social media account activity and does not include social media activity under the Ombudsman’s accounts. Platforms used by the ASBFEO account are reported as</w:t>
      </w:r>
      <w:r w:rsidR="00D3677E">
        <w:t>:</w:t>
      </w:r>
      <w:r w:rsidRPr="00212CA4">
        <w:t xml:space="preserve"> </w:t>
      </w:r>
    </w:p>
    <w:p w14:paraId="64D9140F" w14:textId="6864CE79" w:rsidR="00A717E5" w:rsidRDefault="00A37B92" w:rsidP="00082D4C">
      <w:pPr>
        <w:pStyle w:val="ChartorTablenoteandsource"/>
        <w:numPr>
          <w:ilvl w:val="1"/>
          <w:numId w:val="12"/>
        </w:numPr>
        <w:ind w:left="1021" w:hanging="227"/>
      </w:pPr>
      <w:proofErr w:type="gramStart"/>
      <w:r w:rsidRPr="00212CA4">
        <w:t>Facebook</w:t>
      </w:r>
      <w:r w:rsidR="00A717E5">
        <w:t>;</w:t>
      </w:r>
      <w:proofErr w:type="gramEnd"/>
    </w:p>
    <w:p w14:paraId="70682937" w14:textId="7E51F65C" w:rsidR="00A717E5" w:rsidRDefault="00A37B92" w:rsidP="00082D4C">
      <w:pPr>
        <w:pStyle w:val="ChartorTablenoteandsource"/>
        <w:numPr>
          <w:ilvl w:val="1"/>
          <w:numId w:val="12"/>
        </w:numPr>
        <w:ind w:left="1021" w:hanging="227"/>
      </w:pPr>
      <w:r w:rsidRPr="00212CA4">
        <w:t xml:space="preserve"> </w:t>
      </w:r>
      <w:proofErr w:type="gramStart"/>
      <w:r w:rsidRPr="00212CA4">
        <w:t>Instagram</w:t>
      </w:r>
      <w:r w:rsidR="00A717E5">
        <w:t>;</w:t>
      </w:r>
      <w:proofErr w:type="gramEnd"/>
      <w:r w:rsidRPr="00212CA4">
        <w:t xml:space="preserve"> </w:t>
      </w:r>
    </w:p>
    <w:p w14:paraId="5192969E" w14:textId="296511AC" w:rsidR="00A717E5" w:rsidRDefault="00A37B92" w:rsidP="00082D4C">
      <w:pPr>
        <w:pStyle w:val="ChartorTablenoteandsource"/>
        <w:numPr>
          <w:ilvl w:val="1"/>
          <w:numId w:val="12"/>
        </w:numPr>
        <w:ind w:left="1021" w:hanging="227"/>
      </w:pPr>
      <w:r w:rsidRPr="00212CA4">
        <w:t>Twitter/</w:t>
      </w:r>
      <w:proofErr w:type="gramStart"/>
      <w:r w:rsidRPr="00212CA4">
        <w:t>X</w:t>
      </w:r>
      <w:r w:rsidR="00A717E5">
        <w:t>;</w:t>
      </w:r>
      <w:proofErr w:type="gramEnd"/>
      <w:r w:rsidRPr="00212CA4">
        <w:t xml:space="preserve"> </w:t>
      </w:r>
    </w:p>
    <w:p w14:paraId="0991F4A5" w14:textId="646AE060" w:rsidR="00A717E5" w:rsidRDefault="00A37B92" w:rsidP="00082D4C">
      <w:pPr>
        <w:pStyle w:val="ChartorTablenoteandsource"/>
        <w:numPr>
          <w:ilvl w:val="1"/>
          <w:numId w:val="12"/>
        </w:numPr>
        <w:ind w:left="1021" w:hanging="227"/>
      </w:pPr>
      <w:r w:rsidRPr="00212CA4">
        <w:t>YouTube</w:t>
      </w:r>
      <w:r w:rsidR="00A717E5">
        <w:t xml:space="preserve">; </w:t>
      </w:r>
      <w:proofErr w:type="gramStart"/>
      <w:r w:rsidRPr="00212CA4">
        <w:t>and</w:t>
      </w:r>
      <w:r w:rsidR="00705DEC">
        <w:t>;</w:t>
      </w:r>
      <w:proofErr w:type="gramEnd"/>
      <w:r w:rsidRPr="00212CA4">
        <w:t xml:space="preserve"> </w:t>
      </w:r>
    </w:p>
    <w:p w14:paraId="7A9CD00B" w14:textId="760A70B0" w:rsidR="00A37B92" w:rsidRPr="00212CA4" w:rsidRDefault="00A37B92" w:rsidP="00082D4C">
      <w:pPr>
        <w:pStyle w:val="ChartorTablenoteandsource"/>
        <w:numPr>
          <w:ilvl w:val="1"/>
          <w:numId w:val="12"/>
        </w:numPr>
        <w:ind w:left="1021" w:hanging="227"/>
      </w:pPr>
      <w:r w:rsidRPr="00212CA4">
        <w:t xml:space="preserve">LinkedIn. </w:t>
      </w:r>
    </w:p>
    <w:p w14:paraId="6CE630A7" w14:textId="58EE9EEA" w:rsidR="00A37B92" w:rsidRDefault="00A37B92" w:rsidP="00A37B92">
      <w:pPr>
        <w:pStyle w:val="ChartorTablenoteandsource"/>
      </w:pPr>
      <w:r w:rsidRPr="00212CA4">
        <w:t xml:space="preserve">Source: </w:t>
      </w:r>
      <w:r>
        <w:tab/>
        <w:t>A</w:t>
      </w:r>
      <w:r w:rsidRPr="00212CA4">
        <w:t xml:space="preserve">ll data taken from </w:t>
      </w:r>
      <w:r w:rsidRPr="00C4200F">
        <w:t>ASBFEO</w:t>
      </w:r>
      <w:r w:rsidR="00BB23C6">
        <w:t>’</w:t>
      </w:r>
      <w:r w:rsidRPr="00C4200F">
        <w:t xml:space="preserve">s published </w:t>
      </w:r>
      <w:r w:rsidR="00AA6291">
        <w:t>q</w:t>
      </w:r>
      <w:r w:rsidRPr="00887277">
        <w:t xml:space="preserve">uarterly </w:t>
      </w:r>
      <w:r w:rsidR="00AA6291">
        <w:t>r</w:t>
      </w:r>
      <w:r w:rsidRPr="00887277">
        <w:t>eports</w:t>
      </w:r>
      <w:r w:rsidRPr="00212CA4">
        <w:t xml:space="preserve"> covering </w:t>
      </w:r>
      <w:r>
        <w:t xml:space="preserve">the period from </w:t>
      </w:r>
      <w:r w:rsidRPr="00212CA4">
        <w:t>July</w:t>
      </w:r>
      <w:r w:rsidR="006F6B5B" w:rsidRPr="006F6B5B">
        <w:t>–</w:t>
      </w:r>
      <w:r w:rsidRPr="00212CA4">
        <w:t>September (quarter 3) 2020 through to the April</w:t>
      </w:r>
      <w:r w:rsidR="006F6B5B" w:rsidRPr="006F6B5B">
        <w:t>–</w:t>
      </w:r>
      <w:r w:rsidRPr="00212CA4">
        <w:t>June (quarter 2) 2024</w:t>
      </w:r>
      <w:r>
        <w:t>.</w:t>
      </w:r>
    </w:p>
    <w:p w14:paraId="5B4E05F4" w14:textId="71CE8182" w:rsidR="00A37B92" w:rsidRPr="00877810" w:rsidRDefault="00A37B92" w:rsidP="00A37B92">
      <w:pPr>
        <w:pStyle w:val="TableMainHeading"/>
      </w:pPr>
      <w:r>
        <w:rPr>
          <w:lang w:val="en-US"/>
        </w:rPr>
        <w:t xml:space="preserve">Notes for </w:t>
      </w:r>
      <w:r w:rsidRPr="00877810">
        <w:rPr>
          <w:lang w:val="en-US"/>
        </w:rPr>
        <w:t>T</w:t>
      </w:r>
      <w:r>
        <w:rPr>
          <w:lang w:val="en-US"/>
        </w:rPr>
        <w:t>able</w:t>
      </w:r>
      <w:r w:rsidRPr="00877810">
        <w:rPr>
          <w:lang w:val="en-US"/>
        </w:rPr>
        <w:t xml:space="preserve"> </w:t>
      </w:r>
      <w:r>
        <w:rPr>
          <w:lang w:val="en-US"/>
        </w:rPr>
        <w:t>6.3</w:t>
      </w:r>
      <w:r w:rsidR="009A56EC">
        <w:rPr>
          <w:lang w:val="en-US"/>
        </w:rPr>
        <w:t>:</w:t>
      </w:r>
      <w:r w:rsidRPr="00877810">
        <w:rPr>
          <w:lang w:val="en-US"/>
        </w:rPr>
        <w:t xml:space="preserve"> Media </w:t>
      </w:r>
      <w:r w:rsidR="009A56EC">
        <w:rPr>
          <w:lang w:val="en-US"/>
        </w:rPr>
        <w:t>r</w:t>
      </w:r>
      <w:r w:rsidRPr="00877810">
        <w:rPr>
          <w:lang w:val="en-US"/>
        </w:rPr>
        <w:t xml:space="preserve">elease </w:t>
      </w:r>
      <w:r w:rsidR="009A56EC">
        <w:rPr>
          <w:lang w:val="en-US"/>
        </w:rPr>
        <w:t>a</w:t>
      </w:r>
      <w:r w:rsidRPr="00877810">
        <w:rPr>
          <w:lang w:val="en-US"/>
        </w:rPr>
        <w:t>ctivity</w:t>
      </w:r>
      <w:r w:rsidRPr="00877810">
        <w:t> </w:t>
      </w:r>
    </w:p>
    <w:p w14:paraId="5B473D5A" w14:textId="04253451" w:rsidR="00A37B92" w:rsidRDefault="00A37B92" w:rsidP="00A37B92">
      <w:pPr>
        <w:pStyle w:val="ChartorTablenoteandsource"/>
      </w:pPr>
      <w:r w:rsidRPr="007477A2">
        <w:t>N</w:t>
      </w:r>
      <w:r>
        <w:t>ote</w:t>
      </w:r>
      <w:r w:rsidRPr="007477A2">
        <w:t>:</w:t>
      </w:r>
      <w:r>
        <w:tab/>
      </w:r>
      <w:r w:rsidRPr="00D53CEC">
        <w:rPr>
          <w:b/>
          <w:lang w:val="en-US"/>
        </w:rPr>
        <w:t>#</w:t>
      </w:r>
      <w:r w:rsidR="00D53CEC">
        <w:rPr>
          <w:lang w:val="en-US"/>
        </w:rPr>
        <w:t xml:space="preserve"> </w:t>
      </w:r>
      <w:r w:rsidRPr="00877810">
        <w:rPr>
          <w:lang w:val="en-US"/>
        </w:rPr>
        <w:t xml:space="preserve">This category is labelled </w:t>
      </w:r>
      <w:r>
        <w:rPr>
          <w:lang w:val="en-US"/>
        </w:rPr>
        <w:t>‘</w:t>
      </w:r>
      <w:r w:rsidRPr="00877810">
        <w:rPr>
          <w:lang w:val="en-US"/>
        </w:rPr>
        <w:t>Media Mentions</w:t>
      </w:r>
      <w:r>
        <w:rPr>
          <w:lang w:val="en-US"/>
        </w:rPr>
        <w:t>’</w:t>
      </w:r>
      <w:r w:rsidRPr="00877810">
        <w:rPr>
          <w:lang w:val="en-US"/>
        </w:rPr>
        <w:t xml:space="preserve"> in ASBFEOs quarterly reports.</w:t>
      </w:r>
      <w:r>
        <w:t xml:space="preserve"> </w:t>
      </w:r>
      <w:r w:rsidRPr="007477A2">
        <w:t xml:space="preserve">Annual data is </w:t>
      </w:r>
      <w:r>
        <w:t xml:space="preserve">an </w:t>
      </w:r>
      <w:r w:rsidRPr="007477A2">
        <w:t>aggregate</w:t>
      </w:r>
      <w:r>
        <w:t xml:space="preserve"> of published quarterly data.</w:t>
      </w:r>
    </w:p>
    <w:p w14:paraId="57098C1F" w14:textId="7D2553AF" w:rsidR="00A37B92" w:rsidRDefault="00A37B92" w:rsidP="00A37B92">
      <w:pPr>
        <w:pStyle w:val="ChartorTablenoteandsource"/>
      </w:pPr>
      <w:r>
        <w:t xml:space="preserve">Source: </w:t>
      </w:r>
      <w:r>
        <w:tab/>
        <w:t>A</w:t>
      </w:r>
      <w:r w:rsidRPr="00212CA4">
        <w:t xml:space="preserve">ll data taken from </w:t>
      </w:r>
      <w:r w:rsidRPr="00562ACC">
        <w:t>ASBFEO</w:t>
      </w:r>
      <w:r w:rsidR="006E6524">
        <w:t>’</w:t>
      </w:r>
      <w:r w:rsidRPr="00562ACC">
        <w:t xml:space="preserve">s published </w:t>
      </w:r>
      <w:r w:rsidR="006E6524">
        <w:t>q</w:t>
      </w:r>
      <w:r w:rsidRPr="00562ACC">
        <w:t xml:space="preserve">uarterly </w:t>
      </w:r>
      <w:r w:rsidR="006E6524">
        <w:t>r</w:t>
      </w:r>
      <w:r w:rsidRPr="00562ACC">
        <w:t>eports</w:t>
      </w:r>
      <w:r w:rsidRPr="00212CA4">
        <w:t xml:space="preserve"> covering </w:t>
      </w:r>
      <w:r>
        <w:t xml:space="preserve">the period from </w:t>
      </w:r>
      <w:r w:rsidRPr="00212CA4">
        <w:t>July</w:t>
      </w:r>
      <w:r w:rsidR="006F6B5B" w:rsidRPr="006F6B5B">
        <w:t>–</w:t>
      </w:r>
      <w:r w:rsidRPr="00212CA4">
        <w:t>September (quarter</w:t>
      </w:r>
      <w:r w:rsidR="00211652">
        <w:t> </w:t>
      </w:r>
      <w:r w:rsidRPr="00212CA4">
        <w:t>3)</w:t>
      </w:r>
      <w:r w:rsidR="00211652">
        <w:t> </w:t>
      </w:r>
      <w:r w:rsidRPr="00212CA4">
        <w:t>2020 through to the April</w:t>
      </w:r>
      <w:r w:rsidR="006F6B5B" w:rsidRPr="006F6B5B">
        <w:t>–</w:t>
      </w:r>
      <w:r w:rsidRPr="00212CA4">
        <w:t>June (quarter 2) 2024</w:t>
      </w:r>
      <w:r>
        <w:t>.</w:t>
      </w:r>
    </w:p>
    <w:p w14:paraId="61DE5212" w14:textId="10C70004" w:rsidR="00A37B92" w:rsidRPr="00877810" w:rsidRDefault="00A37B92" w:rsidP="00A37B92">
      <w:pPr>
        <w:pStyle w:val="TableMainHeading"/>
      </w:pPr>
      <w:r>
        <w:rPr>
          <w:lang w:val="en-US"/>
        </w:rPr>
        <w:t xml:space="preserve">Notes for </w:t>
      </w:r>
      <w:r w:rsidRPr="00877810">
        <w:rPr>
          <w:lang w:val="en-US"/>
        </w:rPr>
        <w:t>T</w:t>
      </w:r>
      <w:r>
        <w:rPr>
          <w:lang w:val="en-US"/>
        </w:rPr>
        <w:t>able</w:t>
      </w:r>
      <w:r w:rsidRPr="00877810">
        <w:rPr>
          <w:lang w:val="en-US"/>
        </w:rPr>
        <w:t xml:space="preserve"> </w:t>
      </w:r>
      <w:r>
        <w:rPr>
          <w:lang w:val="en-US"/>
        </w:rPr>
        <w:t>6.4</w:t>
      </w:r>
      <w:r w:rsidR="009A56EC">
        <w:rPr>
          <w:lang w:val="en-US"/>
        </w:rPr>
        <w:t>:</w:t>
      </w:r>
      <w:r w:rsidRPr="00877810">
        <w:rPr>
          <w:lang w:val="en-US"/>
        </w:rPr>
        <w:t xml:space="preserve"> Website </w:t>
      </w:r>
      <w:r w:rsidR="009A56EC">
        <w:rPr>
          <w:lang w:val="en-US"/>
        </w:rPr>
        <w:t>v</w:t>
      </w:r>
      <w:r w:rsidRPr="00877810">
        <w:rPr>
          <w:lang w:val="en-US"/>
        </w:rPr>
        <w:t xml:space="preserve">isits – </w:t>
      </w:r>
      <w:r w:rsidR="009A56EC">
        <w:rPr>
          <w:lang w:val="en-US"/>
        </w:rPr>
        <w:t>a</w:t>
      </w:r>
      <w:r w:rsidRPr="00877810">
        <w:rPr>
          <w:lang w:val="en-US"/>
        </w:rPr>
        <w:t>nnual basis</w:t>
      </w:r>
    </w:p>
    <w:p w14:paraId="28FF6358" w14:textId="0467F26C" w:rsidR="00A37B92" w:rsidRDefault="00A37B92" w:rsidP="009C019B">
      <w:pPr>
        <w:pStyle w:val="ChartorTablenoteandsource"/>
      </w:pPr>
      <w:r w:rsidRPr="008215CF">
        <w:t>Note:</w:t>
      </w:r>
      <w:r>
        <w:tab/>
      </w:r>
      <w:r w:rsidRPr="007477A2">
        <w:t xml:space="preserve">Annual data is </w:t>
      </w:r>
      <w:r>
        <w:t xml:space="preserve">an </w:t>
      </w:r>
      <w:r w:rsidRPr="007477A2">
        <w:t>aggregate</w:t>
      </w:r>
      <w:r>
        <w:t xml:space="preserve"> of published quarterly data.</w:t>
      </w:r>
    </w:p>
    <w:p w14:paraId="6892E289" w14:textId="5C209333" w:rsidR="00A37B92" w:rsidRDefault="00A37B92" w:rsidP="00A37B92">
      <w:pPr>
        <w:pStyle w:val="ChartorTablenoteandsource"/>
      </w:pPr>
      <w:r>
        <w:t>Source:</w:t>
      </w:r>
      <w:r>
        <w:tab/>
        <w:t>A</w:t>
      </w:r>
      <w:r w:rsidRPr="00212CA4">
        <w:t xml:space="preserve">ll data taken from </w:t>
      </w:r>
      <w:r w:rsidRPr="00562ACC">
        <w:t>ASBFEO</w:t>
      </w:r>
      <w:r w:rsidR="00893703">
        <w:t>’</w:t>
      </w:r>
      <w:r w:rsidRPr="00562ACC">
        <w:t xml:space="preserve">s published </w:t>
      </w:r>
      <w:r w:rsidR="00893703">
        <w:t>q</w:t>
      </w:r>
      <w:r w:rsidRPr="00562ACC">
        <w:t xml:space="preserve">uarterly </w:t>
      </w:r>
      <w:r w:rsidR="00893703">
        <w:t>r</w:t>
      </w:r>
      <w:r w:rsidRPr="00562ACC">
        <w:t>eports</w:t>
      </w:r>
      <w:r w:rsidRPr="00212CA4">
        <w:t xml:space="preserve"> covering </w:t>
      </w:r>
      <w:r>
        <w:t xml:space="preserve">the period from </w:t>
      </w:r>
      <w:r w:rsidRPr="00212CA4">
        <w:t>July</w:t>
      </w:r>
      <w:r w:rsidR="006F6B5B" w:rsidRPr="006F6B5B">
        <w:t>–</w:t>
      </w:r>
      <w:r w:rsidRPr="00212CA4">
        <w:t>September (quarter</w:t>
      </w:r>
      <w:r w:rsidR="007C10AF">
        <w:t> </w:t>
      </w:r>
      <w:r w:rsidRPr="00212CA4">
        <w:t>3)</w:t>
      </w:r>
      <w:r w:rsidR="007C10AF">
        <w:t> </w:t>
      </w:r>
      <w:r w:rsidRPr="00212CA4">
        <w:t>2020 through to the April</w:t>
      </w:r>
      <w:r w:rsidR="006F6B5B" w:rsidRPr="006F6B5B">
        <w:t>–</w:t>
      </w:r>
      <w:r w:rsidRPr="00212CA4">
        <w:t>June (quarter 2) 2024</w:t>
      </w:r>
      <w:r>
        <w:t>.</w:t>
      </w:r>
    </w:p>
    <w:p w14:paraId="172AE693" w14:textId="4BD3812F" w:rsidR="00A37B92" w:rsidRPr="00877810" w:rsidRDefault="00A37B92" w:rsidP="00A37B92">
      <w:pPr>
        <w:pStyle w:val="TableMainHeading"/>
      </w:pPr>
      <w:r>
        <w:rPr>
          <w:lang w:val="en-US"/>
        </w:rPr>
        <w:t xml:space="preserve">Notes for </w:t>
      </w:r>
      <w:r w:rsidRPr="00877810">
        <w:rPr>
          <w:lang w:val="en-US"/>
        </w:rPr>
        <w:t>T</w:t>
      </w:r>
      <w:r>
        <w:rPr>
          <w:lang w:val="en-US"/>
        </w:rPr>
        <w:t>able</w:t>
      </w:r>
      <w:r w:rsidRPr="00877810">
        <w:rPr>
          <w:lang w:val="en-US"/>
        </w:rPr>
        <w:t xml:space="preserve"> </w:t>
      </w:r>
      <w:r>
        <w:rPr>
          <w:lang w:val="en-US"/>
        </w:rPr>
        <w:t>6.5</w:t>
      </w:r>
      <w:r w:rsidR="009A56EC">
        <w:rPr>
          <w:lang w:val="en-US"/>
        </w:rPr>
        <w:t>:</w:t>
      </w:r>
      <w:r w:rsidRPr="00877810">
        <w:rPr>
          <w:lang w:val="en-US"/>
        </w:rPr>
        <w:t xml:space="preserve"> Various </w:t>
      </w:r>
      <w:r w:rsidR="009A56EC">
        <w:rPr>
          <w:lang w:val="en-US"/>
        </w:rPr>
        <w:t>e</w:t>
      </w:r>
      <w:r w:rsidRPr="00877810">
        <w:rPr>
          <w:lang w:val="en-US"/>
        </w:rPr>
        <w:t xml:space="preserve">ngagement </w:t>
      </w:r>
      <w:r w:rsidR="009A56EC">
        <w:rPr>
          <w:lang w:val="en-US"/>
        </w:rPr>
        <w:t>a</w:t>
      </w:r>
      <w:r w:rsidRPr="00877810">
        <w:rPr>
          <w:lang w:val="en-US"/>
        </w:rPr>
        <w:t xml:space="preserve">ctivities compared to </w:t>
      </w:r>
      <w:r w:rsidR="009A56EC">
        <w:rPr>
          <w:lang w:val="en-US"/>
        </w:rPr>
        <w:t>n</w:t>
      </w:r>
      <w:r w:rsidRPr="00877810">
        <w:rPr>
          <w:lang w:val="en-US"/>
        </w:rPr>
        <w:t xml:space="preserve">umber of </w:t>
      </w:r>
      <w:r w:rsidR="009A56EC">
        <w:rPr>
          <w:lang w:val="en-US"/>
        </w:rPr>
        <w:t>c</w:t>
      </w:r>
      <w:r w:rsidRPr="00877810">
        <w:rPr>
          <w:lang w:val="en-US"/>
        </w:rPr>
        <w:t xml:space="preserve">ontacts and </w:t>
      </w:r>
      <w:r w:rsidR="009A56EC">
        <w:rPr>
          <w:lang w:val="en-US"/>
        </w:rPr>
        <w:t>c</w:t>
      </w:r>
      <w:r w:rsidRPr="00877810">
        <w:rPr>
          <w:lang w:val="en-US"/>
        </w:rPr>
        <w:t>ases</w:t>
      </w:r>
    </w:p>
    <w:p w14:paraId="63DC65B9" w14:textId="70BC5E23" w:rsidR="00A37B92" w:rsidRPr="009C019B" w:rsidRDefault="00A37B92" w:rsidP="00A37B92">
      <w:pPr>
        <w:pStyle w:val="ChartorTablenoteandsource"/>
      </w:pPr>
      <w:r w:rsidRPr="009C019B">
        <w:t xml:space="preserve">Note: </w:t>
      </w:r>
      <w:r w:rsidRPr="009C019B">
        <w:tab/>
        <w:t xml:space="preserve"># This category is labelled ‘Media Mentions’ in ASBFEOs quarterly reports. </w:t>
      </w:r>
    </w:p>
    <w:p w14:paraId="19375F9F" w14:textId="5B4726B2" w:rsidR="00A37B92" w:rsidRPr="00877810" w:rsidRDefault="009C019B" w:rsidP="009C019B">
      <w:pPr>
        <w:pStyle w:val="ChartorTablenoteandsource"/>
      </w:pPr>
      <w:r>
        <w:tab/>
      </w:r>
      <w:r w:rsidR="00A37B92" w:rsidRPr="794D33DD">
        <w:rPr>
          <w:lang w:val="en-US"/>
        </w:rPr>
        <w:t>*</w:t>
      </w:r>
      <w:r w:rsidRPr="794D33DD">
        <w:rPr>
          <w:lang w:val="en-US"/>
        </w:rPr>
        <w:t xml:space="preserve"> </w:t>
      </w:r>
      <w:r w:rsidR="00A37B92" w:rsidRPr="00877810">
        <w:rPr>
          <w:lang w:val="en-US"/>
        </w:rPr>
        <w:t xml:space="preserve">Social </w:t>
      </w:r>
      <w:r w:rsidR="00893703">
        <w:rPr>
          <w:lang w:val="en-US"/>
        </w:rPr>
        <w:t>m</w:t>
      </w:r>
      <w:r w:rsidR="00A37B92" w:rsidRPr="00877810">
        <w:rPr>
          <w:lang w:val="en-US"/>
        </w:rPr>
        <w:t xml:space="preserve">edia </w:t>
      </w:r>
      <w:r w:rsidR="00A37B92">
        <w:rPr>
          <w:lang w:val="en-US"/>
        </w:rPr>
        <w:t>f</w:t>
      </w:r>
      <w:r w:rsidR="00A37B92" w:rsidRPr="00877810">
        <w:rPr>
          <w:lang w:val="en-US"/>
        </w:rPr>
        <w:t>ollowers measured as at last quarter of financial year.</w:t>
      </w:r>
      <w:r w:rsidR="00A37B92" w:rsidRPr="00966BE0">
        <w:rPr>
          <w:lang w:val="en-US"/>
        </w:rPr>
        <w:t xml:space="preserve"> </w:t>
      </w:r>
      <w:r w:rsidR="00A37B92" w:rsidRPr="00877810">
        <w:rPr>
          <w:lang w:val="en-US"/>
        </w:rPr>
        <w:t>Social media followers and social media posts counts only the ASBFEO</w:t>
      </w:r>
      <w:r w:rsidR="00615700">
        <w:rPr>
          <w:lang w:val="en-US"/>
        </w:rPr>
        <w:t>’</w:t>
      </w:r>
      <w:r w:rsidR="00A37B92" w:rsidRPr="00877810">
        <w:rPr>
          <w:lang w:val="en-US"/>
        </w:rPr>
        <w:t xml:space="preserve">s social media activity and does not include social media activity under </w:t>
      </w:r>
      <w:r w:rsidR="00A37B92">
        <w:rPr>
          <w:lang w:val="en-US"/>
        </w:rPr>
        <w:t>t</w:t>
      </w:r>
      <w:r w:rsidR="00A37B92" w:rsidRPr="00877810">
        <w:rPr>
          <w:lang w:val="en-US"/>
        </w:rPr>
        <w:t>he Ombudsman</w:t>
      </w:r>
      <w:r w:rsidR="00A37B92">
        <w:rPr>
          <w:lang w:val="en-US"/>
        </w:rPr>
        <w:t>’</w:t>
      </w:r>
      <w:r w:rsidR="00A37B92" w:rsidRPr="00877810">
        <w:rPr>
          <w:lang w:val="en-US"/>
        </w:rPr>
        <w:t>s accounts.</w:t>
      </w:r>
    </w:p>
    <w:p w14:paraId="7C5C2270" w14:textId="476D526F" w:rsidR="00A37B92" w:rsidRPr="009C019B" w:rsidRDefault="009C019B" w:rsidP="009C019B">
      <w:pPr>
        <w:pStyle w:val="ChartorTablenoteandsource"/>
      </w:pPr>
      <w:r>
        <w:tab/>
      </w:r>
      <w:r w:rsidR="00A37B92" w:rsidRPr="009C019B">
        <w:t>^</w:t>
      </w:r>
      <w:r>
        <w:t xml:space="preserve"> </w:t>
      </w:r>
      <w:r w:rsidR="00A37B92" w:rsidRPr="009C019B">
        <w:t xml:space="preserve">Total </w:t>
      </w:r>
      <w:r w:rsidR="00B9599F" w:rsidRPr="009C019B">
        <w:t>c</w:t>
      </w:r>
      <w:r w:rsidR="00A37B92" w:rsidRPr="009C019B">
        <w:t xml:space="preserve">ontacts – includes calls to the </w:t>
      </w:r>
      <w:r w:rsidR="00B9599F" w:rsidRPr="009C019B">
        <w:t>C</w:t>
      </w:r>
      <w:r w:rsidR="00A37B92" w:rsidRPr="009C019B">
        <w:t xml:space="preserve">ontact </w:t>
      </w:r>
      <w:r w:rsidR="00B9599F" w:rsidRPr="009C019B">
        <w:t>C</w:t>
      </w:r>
      <w:r w:rsidR="00A37B92" w:rsidRPr="009C019B">
        <w:t>entre, website inquiries, emails.</w:t>
      </w:r>
    </w:p>
    <w:p w14:paraId="75A20E0F" w14:textId="31F5C012" w:rsidR="00A37B92" w:rsidRPr="009C019B" w:rsidRDefault="009C019B" w:rsidP="009C019B">
      <w:pPr>
        <w:pStyle w:val="ChartorTablenoteandsource"/>
      </w:pPr>
      <w:r>
        <w:tab/>
      </w:r>
      <w:r w:rsidR="00A37B92" w:rsidRPr="009C019B">
        <w:t>N/A – Cases actively managed by ASBFEO in 2020–21 is not available in a comparable data set. </w:t>
      </w:r>
    </w:p>
    <w:p w14:paraId="65023A87" w14:textId="434302B6" w:rsidR="00A37B92" w:rsidRPr="009C019B" w:rsidRDefault="009C019B" w:rsidP="009C019B">
      <w:pPr>
        <w:pStyle w:val="ChartorTablenoteandsource"/>
      </w:pPr>
      <w:r>
        <w:tab/>
      </w:r>
      <w:r w:rsidR="00A37B92" w:rsidRPr="007477A2">
        <w:t xml:space="preserve">Annual data is </w:t>
      </w:r>
      <w:r w:rsidR="00A37B92">
        <w:t xml:space="preserve">an </w:t>
      </w:r>
      <w:r w:rsidR="00A37B92" w:rsidRPr="007477A2">
        <w:t>aggregate</w:t>
      </w:r>
      <w:r w:rsidR="00A37B92">
        <w:t xml:space="preserve"> of published quarterly data.</w:t>
      </w:r>
    </w:p>
    <w:p w14:paraId="218C283C" w14:textId="5D69101A" w:rsidR="00BB57BF" w:rsidRPr="001D18F1" w:rsidRDefault="00A37B92" w:rsidP="004C749D">
      <w:pPr>
        <w:pStyle w:val="ChartorTablenoteandsource"/>
      </w:pPr>
      <w:r>
        <w:t xml:space="preserve">Source: </w:t>
      </w:r>
      <w:r>
        <w:tab/>
        <w:t>A</w:t>
      </w:r>
      <w:r w:rsidRPr="00212CA4">
        <w:t xml:space="preserve">ll data taken from </w:t>
      </w:r>
      <w:r w:rsidRPr="00562ACC">
        <w:t>ASBFEO</w:t>
      </w:r>
      <w:r w:rsidR="00333F70">
        <w:t>’</w:t>
      </w:r>
      <w:r w:rsidRPr="00562ACC">
        <w:t xml:space="preserve">s published </w:t>
      </w:r>
      <w:r>
        <w:t>Q</w:t>
      </w:r>
      <w:r w:rsidRPr="00562ACC">
        <w:t xml:space="preserve">uarterly </w:t>
      </w:r>
      <w:r>
        <w:t>R</w:t>
      </w:r>
      <w:r w:rsidRPr="00562ACC">
        <w:t>eports</w:t>
      </w:r>
      <w:r w:rsidRPr="00212CA4">
        <w:t xml:space="preserve"> covering </w:t>
      </w:r>
      <w:r>
        <w:t xml:space="preserve">the period from </w:t>
      </w:r>
      <w:r w:rsidRPr="00212CA4">
        <w:t>July</w:t>
      </w:r>
      <w:r w:rsidR="006F6B5B" w:rsidRPr="009C019B">
        <w:t>–</w:t>
      </w:r>
      <w:r w:rsidRPr="00212CA4">
        <w:t>September (quarter</w:t>
      </w:r>
      <w:r w:rsidR="007C10AF">
        <w:t> </w:t>
      </w:r>
      <w:r w:rsidRPr="00212CA4">
        <w:t>3)</w:t>
      </w:r>
      <w:r w:rsidR="007C10AF">
        <w:t> </w:t>
      </w:r>
      <w:r w:rsidRPr="00212CA4">
        <w:t>2020 through to the April</w:t>
      </w:r>
      <w:r w:rsidR="006F6B5B" w:rsidRPr="009C019B">
        <w:t>–</w:t>
      </w:r>
      <w:r w:rsidRPr="00212CA4">
        <w:t>June (quarter 2) 2024</w:t>
      </w:r>
      <w:r>
        <w:t>.</w:t>
      </w:r>
    </w:p>
    <w:sectPr w:rsidR="00BB57BF" w:rsidRPr="001D18F1" w:rsidSect="00751171">
      <w:type w:val="oddPage"/>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F3D3F" w14:textId="77777777" w:rsidR="009475AF" w:rsidRDefault="009475AF">
      <w:pPr>
        <w:spacing w:before="0" w:after="0"/>
      </w:pPr>
      <w:r>
        <w:separator/>
      </w:r>
    </w:p>
  </w:endnote>
  <w:endnote w:type="continuationSeparator" w:id="0">
    <w:p w14:paraId="62E7BEA6" w14:textId="77777777" w:rsidR="009475AF" w:rsidRDefault="009475AF">
      <w:pPr>
        <w:spacing w:before="0" w:after="0"/>
      </w:pPr>
      <w:r>
        <w:continuationSeparator/>
      </w:r>
    </w:p>
  </w:endnote>
  <w:endnote w:type="continuationNotice" w:id="1">
    <w:p w14:paraId="17BEC204" w14:textId="77777777" w:rsidR="009475AF" w:rsidRDefault="009475A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69EDC" w14:textId="6D447C98"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EFCBF" w14:textId="7F00D230" w:rsidR="005A7676" w:rsidRDefault="005A7676" w:rsidP="00191CFE">
    <w:pPr>
      <w:pStyle w:val="FooterOd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AAD4A" w14:textId="77777777" w:rsidR="000127B3" w:rsidRDefault="000127B3" w:rsidP="00191CFE">
    <w:pPr>
      <w:pStyle w:val="FooterOdd"/>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13E12" w14:textId="1F24B1E2" w:rsidR="00082D4C" w:rsidRDefault="00D1617A" w:rsidP="00C60B0F">
    <w:pPr>
      <w:pStyle w:val="FooterEven"/>
    </w:pPr>
    <w:r w:rsidRPr="00C60B0F">
      <w:fldChar w:fldCharType="begin"/>
    </w:r>
    <w:r w:rsidRPr="00C60B0F">
      <w:instrText xml:space="preserve"> PAGE   \* MERGEFORMAT </w:instrText>
    </w:r>
    <w:r w:rsidRPr="00C60B0F">
      <w:fldChar w:fldCharType="separate"/>
    </w:r>
    <w:r w:rsidR="00770FE1">
      <w:t>2</w:t>
    </w:r>
    <w:r w:rsidRPr="00C60B0F">
      <w:fldChar w:fldCharType="end"/>
    </w:r>
    <w:r w:rsidR="000E70CF" w:rsidRPr="00C60B0F">
      <w:t xml:space="preserve"> | </w:t>
    </w:r>
    <w:fldSimple w:instr="STYLEREF  &quot;Heading 1&quot;  \* MERGEFORMAT">
      <w:r w:rsidR="001E7C30">
        <w:t>Letter of Transmittal</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A8389" w14:textId="5E41F270" w:rsidR="00082D4C" w:rsidRDefault="000C641B" w:rsidP="00AB738A">
    <w:pPr>
      <w:pStyle w:val="FooterOdd"/>
    </w:pPr>
    <w:fldSimple w:instr="STYLEREF  &quot;Heading 1&quot;  \* MERGEFORMAT">
      <w:r w:rsidR="001E7C30">
        <w:rPr>
          <w:noProof/>
        </w:rPr>
        <w:t>Letter of Transmittal</w:t>
      </w:r>
    </w:fldSimple>
    <w:r w:rsidR="000E70CF">
      <w:t xml:space="preserve"> | </w:t>
    </w:r>
    <w:r w:rsidR="000E70CF">
      <w:fldChar w:fldCharType="begin"/>
    </w:r>
    <w:r w:rsidR="000E70CF">
      <w:instrText xml:space="preserve"> PAGE   \* MERGEFORMAT </w:instrText>
    </w:r>
    <w:r w:rsidR="000E70CF">
      <w:fldChar w:fldCharType="separate"/>
    </w:r>
    <w:r w:rsidR="000E70CF">
      <w:t>5</w:t>
    </w:r>
    <w:r w:rsidR="000E70C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9669" w14:textId="78B69A5A" w:rsidR="005431A0" w:rsidRPr="00C60B0F" w:rsidRDefault="005431A0"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w:t>
    </w:r>
  </w:p>
  <w:p w14:paraId="28F37C18" w14:textId="3249399C" w:rsidR="00082D4C" w:rsidRDefault="00082D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4C5EE" w14:textId="0EA27F83" w:rsidR="00082D4C" w:rsidRDefault="00141145"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fldSimple w:instr="STYLEREF  &quot;Heading 1&quot;  \* MERGEFORMAT">
      <w:r w:rsidR="001E7C30">
        <w:t>Chapter 1: About this Review</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3EE30" w14:textId="1FE9A39F" w:rsidR="00082D4C" w:rsidRDefault="000C641B" w:rsidP="00AB738A">
    <w:pPr>
      <w:pStyle w:val="FooterOdd"/>
    </w:pPr>
    <w:fldSimple w:instr="STYLEREF  &quot;Heading 1&quot;  \* MERGEFORMAT">
      <w:r w:rsidR="001E7C30">
        <w:rPr>
          <w:noProof/>
        </w:rPr>
        <w:t>Chapter 1: About this Review</w:t>
      </w:r>
    </w:fldSimple>
    <w:r w:rsidR="00FB380A">
      <w:t xml:space="preserve"> | </w:t>
    </w:r>
    <w:r w:rsidR="00FB380A">
      <w:fldChar w:fldCharType="begin"/>
    </w:r>
    <w:r w:rsidR="00FB380A">
      <w:instrText xml:space="preserve"> PAGE   \* MERGEFORMAT </w:instrText>
    </w:r>
    <w:r w:rsidR="00FB380A">
      <w:fldChar w:fldCharType="separate"/>
    </w:r>
    <w:r w:rsidR="00FB380A">
      <w:t>1</w:t>
    </w:r>
    <w:r w:rsidR="00FB380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2A53F" w14:textId="77777777" w:rsidR="009475AF" w:rsidRPr="00ED5A20" w:rsidRDefault="009475AF" w:rsidP="000F6233">
      <w:pPr>
        <w:rPr>
          <w:color w:val="B2B2B2" w:themeColor="accent2"/>
        </w:rPr>
      </w:pPr>
      <w:r w:rsidRPr="00ED5A20">
        <w:rPr>
          <w:color w:val="B2B2B2" w:themeColor="accent2"/>
        </w:rPr>
        <w:separator/>
      </w:r>
    </w:p>
  </w:footnote>
  <w:footnote w:type="continuationSeparator" w:id="0">
    <w:p w14:paraId="7EA70854" w14:textId="77777777" w:rsidR="009475AF" w:rsidRPr="00B737EB" w:rsidRDefault="009475AF">
      <w:pPr>
        <w:spacing w:before="0" w:after="0"/>
        <w:rPr>
          <w:color w:val="E6E6E6" w:themeColor="accent1"/>
        </w:rPr>
      </w:pPr>
      <w:r w:rsidRPr="00B737EB">
        <w:rPr>
          <w:color w:val="E6E6E6" w:themeColor="accent1"/>
        </w:rPr>
        <w:continuationSeparator/>
      </w:r>
    </w:p>
  </w:footnote>
  <w:footnote w:type="continuationNotice" w:id="1">
    <w:p w14:paraId="7B6E9772" w14:textId="77777777" w:rsidR="009475AF" w:rsidRDefault="009475AF">
      <w:pPr>
        <w:spacing w:before="0" w:after="0"/>
      </w:pPr>
    </w:p>
  </w:footnote>
  <w:footnote w:id="2">
    <w:p w14:paraId="06862F8A" w14:textId="05BD567E" w:rsidR="00E77D1B" w:rsidRPr="00A93218" w:rsidRDefault="00E77D1B">
      <w:pPr>
        <w:pStyle w:val="FootnoteText"/>
      </w:pPr>
      <w:r>
        <w:rPr>
          <w:rStyle w:val="FootnoteReference"/>
        </w:rPr>
        <w:footnoteRef/>
      </w:r>
      <w:r>
        <w:t xml:space="preserve"> </w:t>
      </w:r>
      <w:r w:rsidR="008C728F">
        <w:tab/>
      </w:r>
      <w:r w:rsidR="00594675">
        <w:t>J Collins</w:t>
      </w:r>
      <w:r w:rsidR="00471E59">
        <w:t xml:space="preserve">, </w:t>
      </w:r>
      <w:hyperlink r:id="rId1" w:history="1">
        <w:r w:rsidR="00471E59" w:rsidRPr="004D1FDF">
          <w:rPr>
            <w:rStyle w:val="Hyperlink"/>
            <w:i/>
            <w:iCs/>
          </w:rPr>
          <w:t>Address to the launch of the State of Small Business data report</w:t>
        </w:r>
      </w:hyperlink>
      <w:r w:rsidR="00AB0C2F" w:rsidRPr="004D1FDF">
        <w:t xml:space="preserve"> </w:t>
      </w:r>
      <w:r w:rsidR="004F41CF">
        <w:t>[speech]</w:t>
      </w:r>
      <w:r w:rsidR="00961E4E">
        <w:t xml:space="preserve">, </w:t>
      </w:r>
      <w:r w:rsidR="00AB0C2F" w:rsidRPr="004D1FDF">
        <w:t>Ministers Treasury Portfolio</w:t>
      </w:r>
      <w:r w:rsidR="00A93218" w:rsidRPr="004D1FDF">
        <w:t>,</w:t>
      </w:r>
      <w:r w:rsidR="00471E59" w:rsidRPr="004D1FDF">
        <w:t xml:space="preserve"> </w:t>
      </w:r>
      <w:r w:rsidR="00E66619" w:rsidRPr="004D1FDF">
        <w:t>14 August 2024, accessed 15 May 2025</w:t>
      </w:r>
      <w:r w:rsidR="00E70C46">
        <w:t>.</w:t>
      </w:r>
    </w:p>
  </w:footnote>
  <w:footnote w:id="3">
    <w:p w14:paraId="0615034E" w14:textId="32B66CD4" w:rsidR="00EE786D" w:rsidRDefault="00EE786D">
      <w:pPr>
        <w:pStyle w:val="FootnoteText"/>
      </w:pPr>
      <w:r>
        <w:rPr>
          <w:rStyle w:val="FootnoteReference"/>
        </w:rPr>
        <w:footnoteRef/>
      </w:r>
      <w:r>
        <w:t xml:space="preserve"> </w:t>
      </w:r>
      <w:r w:rsidR="008C728F">
        <w:tab/>
      </w:r>
      <w:r w:rsidR="008A5426">
        <w:t xml:space="preserve">Australian Government, </w:t>
      </w:r>
      <w:hyperlink r:id="rId2" w:history="1">
        <w:r w:rsidR="002A53BC" w:rsidRPr="004D1FDF">
          <w:rPr>
            <w:rStyle w:val="Hyperlink"/>
            <w:i/>
            <w:iCs/>
          </w:rPr>
          <w:t>National Small Business Strategy: Working together for small businesses</w:t>
        </w:r>
      </w:hyperlink>
      <w:r w:rsidR="002A53BC">
        <w:t xml:space="preserve">, </w:t>
      </w:r>
      <w:r w:rsidR="009C6397">
        <w:t>Department of the Treasury</w:t>
      </w:r>
      <w:r w:rsidR="00250CC2">
        <w:t xml:space="preserve">, p 10, </w:t>
      </w:r>
      <w:r w:rsidR="0096175B">
        <w:t>accessed 15 May 2025</w:t>
      </w:r>
      <w:r w:rsidR="00DB752D">
        <w:t>.</w:t>
      </w:r>
    </w:p>
  </w:footnote>
  <w:footnote w:id="4">
    <w:p w14:paraId="6BC544C4" w14:textId="18DAE86C" w:rsidR="00D24301" w:rsidRDefault="00D24301" w:rsidP="005077CE">
      <w:pPr>
        <w:pStyle w:val="FootnoteText"/>
      </w:pPr>
      <w:r>
        <w:rPr>
          <w:rStyle w:val="FootnoteReference"/>
        </w:rPr>
        <w:footnoteRef/>
      </w:r>
      <w:r>
        <w:t xml:space="preserve"> </w:t>
      </w:r>
      <w:r w:rsidR="008C728F">
        <w:tab/>
      </w:r>
      <w:r w:rsidR="005077CE">
        <w:t>Family Business Association</w:t>
      </w:r>
      <w:r w:rsidR="008130E0">
        <w:t xml:space="preserve"> (FBA)</w:t>
      </w:r>
      <w:r w:rsidR="005077CE">
        <w:t xml:space="preserve">, </w:t>
      </w:r>
      <w:r w:rsidR="00D443E1" w:rsidRPr="004567B5">
        <w:rPr>
          <w:rStyle w:val="Emphasis"/>
        </w:rPr>
        <w:t>Submission to the</w:t>
      </w:r>
      <w:r w:rsidR="005077CE" w:rsidRPr="004567B5">
        <w:rPr>
          <w:rStyle w:val="Emphasis"/>
        </w:rPr>
        <w:t xml:space="preserve"> </w:t>
      </w:r>
      <w:r w:rsidR="00045088" w:rsidRPr="004567B5">
        <w:rPr>
          <w:rStyle w:val="Emphasis"/>
        </w:rPr>
        <w:t xml:space="preserve">Independent Review of the </w:t>
      </w:r>
      <w:r w:rsidR="000C1A07" w:rsidRPr="004567B5">
        <w:rPr>
          <w:rStyle w:val="Emphasis"/>
        </w:rPr>
        <w:t xml:space="preserve">Australian Small Business and Family Enterprise </w:t>
      </w:r>
      <w:r w:rsidR="00763400" w:rsidRPr="004567B5">
        <w:rPr>
          <w:rStyle w:val="Emphasis"/>
        </w:rPr>
        <w:t>Ombudsman (</w:t>
      </w:r>
      <w:r w:rsidR="005077CE" w:rsidRPr="004567B5">
        <w:rPr>
          <w:rStyle w:val="Emphasis"/>
        </w:rPr>
        <w:t>ASBFEO</w:t>
      </w:r>
      <w:r w:rsidR="00763400" w:rsidRPr="004567B5">
        <w:rPr>
          <w:rStyle w:val="Emphasis"/>
        </w:rPr>
        <w:t>)</w:t>
      </w:r>
      <w:r w:rsidR="00FA3285" w:rsidRPr="004567B5">
        <w:rPr>
          <w:rStyle w:val="Emphasis"/>
        </w:rPr>
        <w:t>,</w:t>
      </w:r>
      <w:r w:rsidR="00FA3285">
        <w:t xml:space="preserve"> </w:t>
      </w:r>
      <w:r w:rsidR="00D40D4E">
        <w:t>January</w:t>
      </w:r>
      <w:r w:rsidR="005077CE">
        <w:t xml:space="preserve"> 2025, p</w:t>
      </w:r>
      <w:r w:rsidR="00E24EC5">
        <w:t xml:space="preserve"> </w:t>
      </w:r>
      <w:r w:rsidR="005077CE">
        <w:t>2</w:t>
      </w:r>
      <w:r w:rsidR="00DB752D">
        <w:t>.</w:t>
      </w:r>
    </w:p>
  </w:footnote>
  <w:footnote w:id="5">
    <w:p w14:paraId="64AB4AA7" w14:textId="54DE420F" w:rsidR="005077CE" w:rsidRDefault="005077CE">
      <w:pPr>
        <w:pStyle w:val="FootnoteText"/>
      </w:pPr>
      <w:r>
        <w:rPr>
          <w:rStyle w:val="FootnoteReference"/>
        </w:rPr>
        <w:footnoteRef/>
      </w:r>
      <w:r>
        <w:t xml:space="preserve"> </w:t>
      </w:r>
      <w:r w:rsidR="000006DF" w:rsidRPr="000006DF">
        <w:t xml:space="preserve"> </w:t>
      </w:r>
      <w:r w:rsidR="008C728F">
        <w:tab/>
      </w:r>
      <w:r w:rsidR="000006DF" w:rsidRPr="47CF6FE8">
        <w:t xml:space="preserve">Dr Michael Schaper, </w:t>
      </w:r>
      <w:r w:rsidR="009B271C" w:rsidRPr="004567B5">
        <w:rPr>
          <w:rStyle w:val="Emphasis"/>
        </w:rPr>
        <w:t>Independent Review of the Franchising Code of Conduct</w:t>
      </w:r>
      <w:r w:rsidR="009B271C" w:rsidRPr="47CF6FE8">
        <w:t xml:space="preserve">, December 2023, </w:t>
      </w:r>
      <w:r w:rsidR="009B271C">
        <w:t>p 12</w:t>
      </w:r>
      <w:r w:rsidR="00DB752D">
        <w:t>.</w:t>
      </w:r>
    </w:p>
  </w:footnote>
  <w:footnote w:id="6">
    <w:p w14:paraId="4E13D499" w14:textId="79223C85" w:rsidR="00293399" w:rsidRDefault="00293399">
      <w:pPr>
        <w:pStyle w:val="FootnoteText"/>
      </w:pPr>
      <w:r>
        <w:rPr>
          <w:rStyle w:val="FootnoteReference"/>
        </w:rPr>
        <w:footnoteRef/>
      </w:r>
      <w:r>
        <w:t xml:space="preserve"> </w:t>
      </w:r>
      <w:r w:rsidR="007D65C0">
        <w:tab/>
      </w:r>
      <w:r w:rsidR="00351916">
        <w:rPr>
          <w:rFonts w:eastAsia="Aptos"/>
        </w:rPr>
        <w:t>Explanatory Memorandum</w:t>
      </w:r>
      <w:r w:rsidR="001E66CE">
        <w:rPr>
          <w:rFonts w:eastAsia="Aptos"/>
        </w:rPr>
        <w:t xml:space="preserve">, </w:t>
      </w:r>
      <w:hyperlink r:id="rId3" w:history="1">
        <w:r w:rsidR="001E66CE" w:rsidRPr="00EA0274">
          <w:rPr>
            <w:rStyle w:val="Hyperlink"/>
            <w:rFonts w:eastAsia="Aptos"/>
          </w:rPr>
          <w:t>Australian Small Business and Family Enterprise Ombudsman Bill 2015, Australian Small Business And Family Enterprise Ombudsman (Consequential And Transitional Provisions) Bill 2015</w:t>
        </w:r>
      </w:hyperlink>
      <w:r w:rsidR="001E66CE">
        <w:rPr>
          <w:rFonts w:eastAsia="Aptos"/>
        </w:rPr>
        <w:t>,</w:t>
      </w:r>
      <w:r w:rsidR="001E66CE" w:rsidRPr="00F41F6B">
        <w:t xml:space="preserve"> </w:t>
      </w:r>
      <w:r w:rsidR="001E66CE">
        <w:t>para 1.8</w:t>
      </w:r>
      <w:r w:rsidR="00413356">
        <w:rPr>
          <w:rFonts w:eastAsia="Aptos"/>
        </w:rPr>
        <w:t>.</w:t>
      </w:r>
    </w:p>
  </w:footnote>
  <w:footnote w:id="7">
    <w:p w14:paraId="35259116" w14:textId="2B4E4C0C" w:rsidR="005F7E38" w:rsidRPr="005F7E38" w:rsidRDefault="005F7E38" w:rsidP="005F7E38">
      <w:pPr>
        <w:pStyle w:val="FootnoteText"/>
        <w:rPr>
          <w:b/>
          <w:bCs/>
        </w:rPr>
      </w:pPr>
      <w:r>
        <w:rPr>
          <w:rStyle w:val="FootnoteReference"/>
        </w:rPr>
        <w:footnoteRef/>
      </w:r>
      <w:r>
        <w:t xml:space="preserve"> </w:t>
      </w:r>
      <w:r w:rsidR="009D2D58">
        <w:tab/>
      </w:r>
      <w:r w:rsidRPr="005F7E38">
        <w:t xml:space="preserve">C McGregor, </w:t>
      </w:r>
      <w:hyperlink r:id="rId4" w:history="1">
        <w:r w:rsidRPr="009D2D58">
          <w:rPr>
            <w:rStyle w:val="Hyperlink"/>
          </w:rPr>
          <w:t>Australian Small Business and Family Enterprise (ASBFEO) Independent Review</w:t>
        </w:r>
      </w:hyperlink>
      <w:r w:rsidRPr="005F7E38">
        <w:t>, Canberra, Commonwealth of Australia, 2021 p</w:t>
      </w:r>
      <w:r w:rsidR="00C07F03">
        <w:t xml:space="preserve"> </w:t>
      </w:r>
      <w:r w:rsidR="00D770EE">
        <w:t>11</w:t>
      </w:r>
      <w:r w:rsidR="00E908D7">
        <w:t>,</w:t>
      </w:r>
      <w:r w:rsidRPr="005F7E38">
        <w:t xml:space="preserve"> accessed 20 May 2025.</w:t>
      </w:r>
    </w:p>
  </w:footnote>
  <w:footnote w:id="8">
    <w:p w14:paraId="05E25400" w14:textId="7718228E" w:rsidR="000C442F" w:rsidRDefault="000C442F">
      <w:pPr>
        <w:pStyle w:val="FootnoteText"/>
      </w:pPr>
      <w:r>
        <w:rPr>
          <w:rStyle w:val="FootnoteReference"/>
        </w:rPr>
        <w:footnoteRef/>
      </w:r>
      <w:r>
        <w:t xml:space="preserve"> </w:t>
      </w:r>
      <w:r w:rsidR="000E212B">
        <w:tab/>
      </w:r>
      <w:hyperlink r:id="rId5" w:history="1">
        <w:r w:rsidRPr="00050A5B">
          <w:rPr>
            <w:rStyle w:val="Hyperlink"/>
            <w:i/>
            <w:iCs/>
          </w:rPr>
          <w:t>Australian Small Business and Family Enterprise Ombudsman Act 2015</w:t>
        </w:r>
      </w:hyperlink>
      <w:r>
        <w:t>, section</w:t>
      </w:r>
      <w:r w:rsidR="001606A0">
        <w:t>s</w:t>
      </w:r>
      <w:r>
        <w:t xml:space="preserve"> 14</w:t>
      </w:r>
      <w:r w:rsidR="001606A0">
        <w:t xml:space="preserve"> and</w:t>
      </w:r>
      <w:r w:rsidR="00672CA0">
        <w:t xml:space="preserve"> 35</w:t>
      </w:r>
      <w:r w:rsidR="003A0D5E">
        <w:noBreakHyphen/>
      </w:r>
      <w:r w:rsidR="00672CA0">
        <w:t>64</w:t>
      </w:r>
      <w:r w:rsidR="00D562D8">
        <w:t>.</w:t>
      </w:r>
    </w:p>
  </w:footnote>
  <w:footnote w:id="9">
    <w:p w14:paraId="39493C1D" w14:textId="715C3701" w:rsidR="004A465B" w:rsidRDefault="004A465B" w:rsidP="00486B3B">
      <w:pPr>
        <w:pStyle w:val="FootnoteText"/>
        <w:ind w:left="408" w:hanging="408"/>
      </w:pPr>
      <w:r>
        <w:rPr>
          <w:rStyle w:val="FootnoteReference"/>
        </w:rPr>
        <w:footnoteRef/>
      </w:r>
      <w:r>
        <w:t xml:space="preserve"> </w:t>
      </w:r>
      <w:r w:rsidR="000E212B">
        <w:tab/>
      </w:r>
      <w:r>
        <w:rPr>
          <w:rFonts w:eastAsia="Aptos"/>
        </w:rPr>
        <w:t>E</w:t>
      </w:r>
      <w:r w:rsidR="00A9495C">
        <w:rPr>
          <w:rFonts w:eastAsia="Aptos"/>
        </w:rPr>
        <w:t>xplanatory memorandum</w:t>
      </w:r>
      <w:r>
        <w:rPr>
          <w:rFonts w:eastAsia="Aptos"/>
        </w:rPr>
        <w:t xml:space="preserve">, </w:t>
      </w:r>
      <w:hyperlink r:id="rId6" w:history="1">
        <w:r w:rsidRPr="00EA0274">
          <w:rPr>
            <w:rStyle w:val="Hyperlink"/>
            <w:rFonts w:eastAsia="Aptos"/>
          </w:rPr>
          <w:t>Australian Small Business and Family Enterprise Ombudsman Bill 2015, Australian Small Business And Family Enterprise Ombudsman (Consequential And Transitional Provisions) Bill 2015</w:t>
        </w:r>
      </w:hyperlink>
      <w:r>
        <w:rPr>
          <w:rFonts w:eastAsia="Aptos"/>
        </w:rPr>
        <w:t>, para 2.4. accessed 6 May 2025</w:t>
      </w:r>
      <w:r w:rsidR="006A02A8">
        <w:rPr>
          <w:rFonts w:eastAsia="Aptos"/>
        </w:rPr>
        <w:t>.</w:t>
      </w:r>
    </w:p>
  </w:footnote>
  <w:footnote w:id="10">
    <w:p w14:paraId="4CAF6E50" w14:textId="1F54C492" w:rsidR="004F7FD7" w:rsidRDefault="004F7FD7" w:rsidP="00486B3B">
      <w:pPr>
        <w:pStyle w:val="FootnoteText"/>
        <w:ind w:left="408" w:hanging="408"/>
      </w:pPr>
      <w:r>
        <w:rPr>
          <w:rStyle w:val="FootnoteReference"/>
        </w:rPr>
        <w:footnoteRef/>
      </w:r>
      <w:r>
        <w:t xml:space="preserve"> </w:t>
      </w:r>
      <w:r w:rsidR="000E212B">
        <w:tab/>
      </w:r>
      <w:r w:rsidR="00A9495C">
        <w:rPr>
          <w:rFonts w:eastAsia="Aptos"/>
        </w:rPr>
        <w:t>Explanatory memorandum</w:t>
      </w:r>
      <w:r>
        <w:rPr>
          <w:rFonts w:eastAsia="Aptos"/>
        </w:rPr>
        <w:t xml:space="preserve">, </w:t>
      </w:r>
      <w:hyperlink r:id="rId7" w:history="1">
        <w:r w:rsidRPr="00EA0274">
          <w:rPr>
            <w:rStyle w:val="Hyperlink"/>
            <w:rFonts w:eastAsia="Aptos"/>
          </w:rPr>
          <w:t>Australian Small Business and Family Enterprise Ombudsman Bill 2015, Australian Small Business And Family Enterprise Ombudsman (Consequential And Transitional Provisions) Bill 2015</w:t>
        </w:r>
      </w:hyperlink>
      <w:r>
        <w:rPr>
          <w:rFonts w:eastAsia="Aptos"/>
        </w:rPr>
        <w:t>, para 3.14, accessed 6 May 2025</w:t>
      </w:r>
      <w:r w:rsidR="006A02A8">
        <w:rPr>
          <w:rFonts w:eastAsia="Aptos"/>
        </w:rPr>
        <w:t>.</w:t>
      </w:r>
    </w:p>
  </w:footnote>
  <w:footnote w:id="11">
    <w:p w14:paraId="33818627" w14:textId="4D8963CA" w:rsidR="00E115C8" w:rsidRDefault="00E115C8" w:rsidP="00486B3B">
      <w:pPr>
        <w:pStyle w:val="FootnoteText"/>
        <w:ind w:left="408" w:hanging="408"/>
      </w:pPr>
      <w:r>
        <w:rPr>
          <w:rStyle w:val="FootnoteReference"/>
        </w:rPr>
        <w:footnoteRef/>
      </w:r>
      <w:r>
        <w:t xml:space="preserve"> </w:t>
      </w:r>
      <w:r w:rsidR="000E212B">
        <w:tab/>
      </w:r>
      <w:r>
        <w:rPr>
          <w:rFonts w:eastAsia="Aptos"/>
        </w:rPr>
        <w:t xml:space="preserve">Treasury 2015, </w:t>
      </w:r>
      <w:hyperlink r:id="rId8" w:history="1">
        <w:r w:rsidRPr="00912044">
          <w:rPr>
            <w:rStyle w:val="Hyperlink"/>
            <w:rFonts w:eastAsia="Aptos"/>
          </w:rPr>
          <w:t>Regulation impact statement – The Australian Small Business and Family Enterprise Ombudsman</w:t>
        </w:r>
      </w:hyperlink>
      <w:r>
        <w:rPr>
          <w:rFonts w:eastAsia="Aptos"/>
        </w:rPr>
        <w:t>, p</w:t>
      </w:r>
      <w:r w:rsidR="00512F7F">
        <w:rPr>
          <w:rFonts w:eastAsia="Aptos"/>
        </w:rPr>
        <w:t xml:space="preserve"> </w:t>
      </w:r>
      <w:r>
        <w:rPr>
          <w:rFonts w:eastAsia="Aptos"/>
        </w:rPr>
        <w:t>1, accessed 6 May 2025</w:t>
      </w:r>
      <w:r w:rsidR="006A02A8">
        <w:rPr>
          <w:rFonts w:eastAsia="Aptos"/>
        </w:rPr>
        <w:t>.</w:t>
      </w:r>
    </w:p>
  </w:footnote>
  <w:footnote w:id="12">
    <w:p w14:paraId="0843B9C0" w14:textId="6580015E" w:rsidR="00FE6DB4" w:rsidRDefault="00FE6DB4">
      <w:pPr>
        <w:pStyle w:val="FootnoteText"/>
      </w:pPr>
      <w:r>
        <w:rPr>
          <w:rStyle w:val="FootnoteReference"/>
        </w:rPr>
        <w:footnoteRef/>
      </w:r>
      <w:r>
        <w:t xml:space="preserve"> </w:t>
      </w:r>
      <w:r w:rsidR="000E212B">
        <w:tab/>
      </w:r>
      <w:r w:rsidRPr="00EC62B0">
        <w:rPr>
          <w:rFonts w:cstheme="minorBidi"/>
        </w:rPr>
        <w:t xml:space="preserve">ASBFEO, </w:t>
      </w:r>
      <w:hyperlink r:id="rId9" w:history="1">
        <w:r w:rsidRPr="00EC62B0">
          <w:rPr>
            <w:rStyle w:val="Hyperlink"/>
            <w:rFonts w:cstheme="minorBidi"/>
          </w:rPr>
          <w:t>Small Business News Newsletter</w:t>
        </w:r>
      </w:hyperlink>
      <w:r w:rsidRPr="00EC62B0">
        <w:rPr>
          <w:rFonts w:cstheme="minorBidi"/>
        </w:rPr>
        <w:t>, October 2024, accessed 07 May 2025</w:t>
      </w:r>
      <w:r w:rsidR="006A02A8">
        <w:rPr>
          <w:rFonts w:cstheme="minorBidi"/>
        </w:rPr>
        <w:t>.</w:t>
      </w:r>
    </w:p>
  </w:footnote>
  <w:footnote w:id="13">
    <w:p w14:paraId="5E4A968D" w14:textId="57C3A086" w:rsidR="0041138E" w:rsidRDefault="0041138E">
      <w:pPr>
        <w:pStyle w:val="FootnoteText"/>
      </w:pPr>
      <w:r>
        <w:rPr>
          <w:rStyle w:val="FootnoteReference"/>
        </w:rPr>
        <w:footnoteRef/>
      </w:r>
      <w:r>
        <w:t xml:space="preserve"> </w:t>
      </w:r>
      <w:r w:rsidR="000E212B">
        <w:tab/>
      </w:r>
      <w:r w:rsidR="00A9495C">
        <w:rPr>
          <w:rFonts w:cstheme="minorBidi"/>
        </w:rPr>
        <w:t>Department of the</w:t>
      </w:r>
      <w:r w:rsidR="00A9495C" w:rsidRPr="0041138E">
        <w:rPr>
          <w:rFonts w:cstheme="minorBidi"/>
        </w:rPr>
        <w:t xml:space="preserve"> </w:t>
      </w:r>
      <w:r w:rsidRPr="0041138E">
        <w:rPr>
          <w:rFonts w:cstheme="minorBidi"/>
        </w:rPr>
        <w:t xml:space="preserve">Treasury, </w:t>
      </w:r>
      <w:hyperlink r:id="rId10" w:history="1">
        <w:r w:rsidRPr="0041138E">
          <w:rPr>
            <w:rStyle w:val="Hyperlink"/>
            <w:rFonts w:cstheme="minorBidi"/>
          </w:rPr>
          <w:t>Treasury Annual Report</w:t>
        </w:r>
      </w:hyperlink>
      <w:r w:rsidRPr="0041138E">
        <w:rPr>
          <w:rFonts w:cstheme="minorBidi"/>
        </w:rPr>
        <w:t xml:space="preserve"> 2023</w:t>
      </w:r>
      <w:r w:rsidR="00A9495C">
        <w:rPr>
          <w:rFonts w:cstheme="minorBidi"/>
        </w:rPr>
        <w:t>–</w:t>
      </w:r>
      <w:r w:rsidRPr="0041138E">
        <w:rPr>
          <w:rFonts w:cstheme="minorBidi"/>
        </w:rPr>
        <w:t>24 p 241</w:t>
      </w:r>
      <w:r w:rsidR="00CD4FF1">
        <w:rPr>
          <w:rFonts w:cstheme="minorBidi"/>
        </w:rPr>
        <w:t>, accessed 9 May 2025</w:t>
      </w:r>
      <w:r w:rsidR="00C20FB7">
        <w:rPr>
          <w:rFonts w:cstheme="minorBidi"/>
        </w:rPr>
        <w:t>.</w:t>
      </w:r>
    </w:p>
  </w:footnote>
  <w:footnote w:id="14">
    <w:p w14:paraId="5212859F" w14:textId="0C80C88D" w:rsidR="00E8268D" w:rsidRDefault="00E8268D">
      <w:pPr>
        <w:pStyle w:val="FootnoteText"/>
      </w:pPr>
      <w:r>
        <w:rPr>
          <w:rStyle w:val="FootnoteReference"/>
        </w:rPr>
        <w:footnoteRef/>
      </w:r>
      <w:r>
        <w:t xml:space="preserve"> </w:t>
      </w:r>
      <w:r w:rsidR="000E212B">
        <w:tab/>
      </w:r>
      <w:r w:rsidRPr="00E8268D">
        <w:rPr>
          <w:rFonts w:cstheme="minorHAnsi"/>
        </w:rPr>
        <w:t xml:space="preserve">ASBFEO, </w:t>
      </w:r>
      <w:r w:rsidRPr="00D92A4C">
        <w:rPr>
          <w:rStyle w:val="Emphasis"/>
        </w:rPr>
        <w:t>Submission to the Independent Review of the ASBFEO</w:t>
      </w:r>
      <w:r w:rsidRPr="00E8268D">
        <w:rPr>
          <w:rFonts w:cstheme="minorHAnsi"/>
        </w:rPr>
        <w:t>, January 2025, p</w:t>
      </w:r>
      <w:r>
        <w:rPr>
          <w:rFonts w:cstheme="minorHAnsi"/>
          <w:sz w:val="22"/>
          <w:szCs w:val="22"/>
        </w:rPr>
        <w:t xml:space="preserve"> </w:t>
      </w:r>
      <w:r w:rsidRPr="00CD4FF1">
        <w:rPr>
          <w:rFonts w:cstheme="minorHAnsi"/>
        </w:rPr>
        <w:t>22</w:t>
      </w:r>
      <w:r w:rsidR="00C20FB7">
        <w:rPr>
          <w:rFonts w:cstheme="minorHAnsi"/>
        </w:rPr>
        <w:t>.</w:t>
      </w:r>
    </w:p>
  </w:footnote>
  <w:footnote w:id="15">
    <w:p w14:paraId="4A846F9B" w14:textId="66AC40B3" w:rsidR="00113B03" w:rsidRDefault="00113B03">
      <w:pPr>
        <w:pStyle w:val="FootnoteText"/>
      </w:pPr>
      <w:r>
        <w:rPr>
          <w:rStyle w:val="FootnoteReference"/>
        </w:rPr>
        <w:footnoteRef/>
      </w:r>
      <w:r>
        <w:t xml:space="preserve"> </w:t>
      </w:r>
      <w:r w:rsidR="000E212B">
        <w:tab/>
      </w:r>
      <w:r w:rsidR="00A9495C">
        <w:rPr>
          <w:rFonts w:cstheme="minorBidi"/>
        </w:rPr>
        <w:t>Department of the</w:t>
      </w:r>
      <w:r w:rsidR="00A9495C" w:rsidRPr="00113B03">
        <w:rPr>
          <w:rFonts w:cstheme="minorBidi"/>
        </w:rPr>
        <w:t xml:space="preserve"> </w:t>
      </w:r>
      <w:r w:rsidRPr="00113B03">
        <w:rPr>
          <w:rFonts w:cstheme="minorBidi"/>
        </w:rPr>
        <w:t xml:space="preserve">Treasury, </w:t>
      </w:r>
      <w:hyperlink r:id="rId11" w:history="1">
        <w:r w:rsidRPr="00113B03">
          <w:rPr>
            <w:rStyle w:val="Hyperlink"/>
            <w:rFonts w:cstheme="minorBidi"/>
          </w:rPr>
          <w:t>Treasury Annual Report</w:t>
        </w:r>
      </w:hyperlink>
      <w:r w:rsidRPr="00113B03">
        <w:rPr>
          <w:rFonts w:cstheme="minorBidi"/>
        </w:rPr>
        <w:t xml:space="preserve"> 2023</w:t>
      </w:r>
      <w:r w:rsidR="003A0D5E">
        <w:rPr>
          <w:rFonts w:cstheme="minorBidi"/>
        </w:rPr>
        <w:noBreakHyphen/>
      </w:r>
      <w:r w:rsidRPr="00113B03">
        <w:rPr>
          <w:rFonts w:cstheme="minorBidi"/>
        </w:rPr>
        <w:t>24 p 241</w:t>
      </w:r>
      <w:r w:rsidR="00CD4FF1">
        <w:rPr>
          <w:rFonts w:cstheme="minorBidi"/>
        </w:rPr>
        <w:t>, accessed 9 May 2025</w:t>
      </w:r>
      <w:r w:rsidR="00C20FB7">
        <w:rPr>
          <w:rFonts w:cstheme="minorBidi"/>
        </w:rPr>
        <w:t>.</w:t>
      </w:r>
    </w:p>
  </w:footnote>
  <w:footnote w:id="16">
    <w:p w14:paraId="0BEEC3F5" w14:textId="658843DC" w:rsidR="008B38C1" w:rsidRDefault="008B38C1">
      <w:pPr>
        <w:pStyle w:val="FootnoteText"/>
      </w:pPr>
      <w:r>
        <w:rPr>
          <w:rStyle w:val="FootnoteReference"/>
        </w:rPr>
        <w:footnoteRef/>
      </w:r>
      <w:r>
        <w:t xml:space="preserve"> </w:t>
      </w:r>
      <w:r w:rsidR="000E212B">
        <w:tab/>
      </w:r>
      <w:r w:rsidRPr="008B38C1">
        <w:rPr>
          <w:rFonts w:cstheme="minorHAnsi"/>
        </w:rPr>
        <w:t xml:space="preserve">ASBFEO, </w:t>
      </w:r>
      <w:r w:rsidRPr="00D92A4C">
        <w:rPr>
          <w:rStyle w:val="Emphasis"/>
        </w:rPr>
        <w:t>Submission to the Independent Review of the ASBFEO</w:t>
      </w:r>
      <w:r w:rsidRPr="008B38C1">
        <w:rPr>
          <w:rFonts w:cstheme="minorHAnsi"/>
        </w:rPr>
        <w:t>, January 2025, p 22</w:t>
      </w:r>
      <w:r w:rsidR="00C20FB7">
        <w:rPr>
          <w:rFonts w:cstheme="minorHAnsi"/>
        </w:rPr>
        <w:t>.</w:t>
      </w:r>
    </w:p>
  </w:footnote>
  <w:footnote w:id="17">
    <w:p w14:paraId="564487B1" w14:textId="1117D28C" w:rsidR="003A5079" w:rsidRDefault="003A5079" w:rsidP="00486B3B">
      <w:pPr>
        <w:pStyle w:val="FootnoteText"/>
        <w:ind w:left="408" w:hanging="408"/>
      </w:pPr>
      <w:r>
        <w:rPr>
          <w:rStyle w:val="FootnoteReference"/>
        </w:rPr>
        <w:footnoteRef/>
      </w:r>
      <w:r>
        <w:t xml:space="preserve"> </w:t>
      </w:r>
      <w:r w:rsidR="000E212B">
        <w:tab/>
      </w:r>
      <w:r w:rsidRPr="00486B3B">
        <w:rPr>
          <w:lang w:val="en-US"/>
        </w:rPr>
        <w:t xml:space="preserve">Council of Small Business </w:t>
      </w:r>
      <w:proofErr w:type="spellStart"/>
      <w:r w:rsidRPr="00486B3B">
        <w:rPr>
          <w:lang w:val="en-US"/>
        </w:rPr>
        <w:t>Organisations</w:t>
      </w:r>
      <w:proofErr w:type="spellEnd"/>
      <w:r w:rsidRPr="00486B3B">
        <w:rPr>
          <w:lang w:val="en-US"/>
        </w:rPr>
        <w:t xml:space="preserve"> Australia (COSBOA), S</w:t>
      </w:r>
      <w:r w:rsidRPr="00486B3B">
        <w:rPr>
          <w:rFonts w:eastAsia="Calibri"/>
          <w:lang w:val="en-US"/>
        </w:rPr>
        <w:t xml:space="preserve">ubmission to the Independent Review of the </w:t>
      </w:r>
      <w:r w:rsidRPr="00486B3B">
        <w:rPr>
          <w:lang w:val="en-US"/>
        </w:rPr>
        <w:t>ASBFEO, January 2025, p 2</w:t>
      </w:r>
      <w:r w:rsidR="00C20FB7">
        <w:rPr>
          <w:lang w:val="en-US"/>
        </w:rPr>
        <w:t>.</w:t>
      </w:r>
    </w:p>
  </w:footnote>
  <w:footnote w:id="18">
    <w:p w14:paraId="4C3B9B08" w14:textId="2A42A4E0" w:rsidR="00D032A2" w:rsidRDefault="00D032A2" w:rsidP="00486B3B">
      <w:pPr>
        <w:pStyle w:val="FootnoteText"/>
        <w:ind w:left="408" w:hanging="408"/>
      </w:pPr>
      <w:r>
        <w:rPr>
          <w:rStyle w:val="FootnoteReference"/>
        </w:rPr>
        <w:footnoteRef/>
      </w:r>
      <w:r>
        <w:t xml:space="preserve"> </w:t>
      </w:r>
      <w:r w:rsidR="009D79DE">
        <w:tab/>
      </w:r>
      <w:r w:rsidRPr="26543DF1">
        <w:rPr>
          <w:rFonts w:ascii="Calibri" w:eastAsia="Calibri" w:hAnsi="Calibri" w:cs="Calibri"/>
        </w:rPr>
        <w:t>M</w:t>
      </w:r>
      <w:r>
        <w:rPr>
          <w:rFonts w:ascii="Calibri" w:eastAsia="Calibri" w:hAnsi="Calibri" w:cs="Calibri"/>
        </w:rPr>
        <w:t xml:space="preserve">otor </w:t>
      </w:r>
      <w:r w:rsidRPr="26543DF1">
        <w:rPr>
          <w:rFonts w:ascii="Calibri" w:eastAsia="Calibri" w:hAnsi="Calibri" w:cs="Calibri"/>
        </w:rPr>
        <w:t>T</w:t>
      </w:r>
      <w:r>
        <w:rPr>
          <w:rFonts w:ascii="Calibri" w:eastAsia="Calibri" w:hAnsi="Calibri" w:cs="Calibri"/>
        </w:rPr>
        <w:t xml:space="preserve">raders </w:t>
      </w:r>
      <w:r w:rsidRPr="26543DF1">
        <w:rPr>
          <w:rFonts w:ascii="Calibri" w:eastAsia="Calibri" w:hAnsi="Calibri" w:cs="Calibri"/>
        </w:rPr>
        <w:t>A</w:t>
      </w:r>
      <w:r>
        <w:rPr>
          <w:rFonts w:ascii="Calibri" w:eastAsia="Calibri" w:hAnsi="Calibri" w:cs="Calibri"/>
        </w:rPr>
        <w:t xml:space="preserve">ssociation of Australia (MTAA), </w:t>
      </w:r>
      <w:r w:rsidR="000F24E1" w:rsidRPr="00D92A4C">
        <w:rPr>
          <w:rStyle w:val="Emphasis"/>
          <w:rFonts w:eastAsia="Calibri"/>
        </w:rPr>
        <w:t>Submission to the Review of the ASBFEO</w:t>
      </w:r>
      <w:r w:rsidR="000F24E1" w:rsidRPr="000F24E1">
        <w:rPr>
          <w:rFonts w:ascii="Calibri" w:eastAsia="Calibri" w:hAnsi="Calibri" w:cs="Calibri"/>
          <w:i/>
          <w:iCs/>
        </w:rPr>
        <w:t xml:space="preserve">, </w:t>
      </w:r>
      <w:r>
        <w:rPr>
          <w:rFonts w:ascii="Calibri" w:eastAsia="Calibri" w:hAnsi="Calibri" w:cs="Calibri"/>
        </w:rPr>
        <w:t>January 2025, p</w:t>
      </w:r>
      <w:r w:rsidR="00C20FB7">
        <w:rPr>
          <w:rFonts w:ascii="Calibri" w:eastAsia="Calibri" w:hAnsi="Calibri" w:cs="Calibri"/>
        </w:rPr>
        <w:t> </w:t>
      </w:r>
      <w:r>
        <w:rPr>
          <w:rFonts w:ascii="Calibri" w:eastAsia="Calibri" w:hAnsi="Calibri" w:cs="Calibri"/>
        </w:rPr>
        <w:t xml:space="preserve">1; </w:t>
      </w:r>
      <w:r w:rsidRPr="26543DF1">
        <w:rPr>
          <w:rFonts w:ascii="Calibri" w:eastAsia="Calibri" w:hAnsi="Calibri" w:cs="Calibri"/>
        </w:rPr>
        <w:t>N</w:t>
      </w:r>
      <w:r>
        <w:rPr>
          <w:rFonts w:ascii="Calibri" w:eastAsia="Calibri" w:hAnsi="Calibri" w:cs="Calibri"/>
        </w:rPr>
        <w:t>ational Electrical and Communications Association (N</w:t>
      </w:r>
      <w:r w:rsidRPr="26543DF1">
        <w:rPr>
          <w:rFonts w:ascii="Calibri" w:eastAsia="Calibri" w:hAnsi="Calibri" w:cs="Calibri"/>
        </w:rPr>
        <w:t>ECA</w:t>
      </w:r>
      <w:r>
        <w:rPr>
          <w:rFonts w:ascii="Calibri" w:eastAsia="Calibri" w:hAnsi="Calibri" w:cs="Calibri"/>
        </w:rPr>
        <w:t xml:space="preserve">), </w:t>
      </w:r>
      <w:r w:rsidRPr="00D92A4C">
        <w:rPr>
          <w:rStyle w:val="Emphasis"/>
          <w:rFonts w:eastAsia="Calibri"/>
        </w:rPr>
        <w:t>Submission to the Review of the ASBFEO</w:t>
      </w:r>
      <w:r w:rsidRPr="000F24E1">
        <w:rPr>
          <w:rFonts w:ascii="Calibri" w:eastAsia="Calibri" w:hAnsi="Calibri" w:cs="Calibri"/>
          <w:i/>
          <w:iCs/>
        </w:rPr>
        <w:t xml:space="preserve">, </w:t>
      </w:r>
      <w:r>
        <w:rPr>
          <w:rFonts w:ascii="Calibri" w:eastAsia="Calibri" w:hAnsi="Calibri" w:cs="Calibri"/>
        </w:rPr>
        <w:t xml:space="preserve">January 2025, p 2; Institute of Public Accountants (IPA), </w:t>
      </w:r>
      <w:r w:rsidR="000F24E1" w:rsidRPr="00D92A4C">
        <w:rPr>
          <w:rStyle w:val="Emphasis"/>
          <w:rFonts w:eastAsia="Calibri"/>
        </w:rPr>
        <w:t>Submission to the Review of the ASBFEO</w:t>
      </w:r>
      <w:r>
        <w:rPr>
          <w:rFonts w:ascii="Calibri" w:eastAsia="Calibri" w:hAnsi="Calibri" w:cs="Calibri"/>
        </w:rPr>
        <w:t>, January</w:t>
      </w:r>
      <w:r w:rsidR="00D92A4C">
        <w:rPr>
          <w:rFonts w:ascii="Calibri" w:eastAsia="Calibri" w:hAnsi="Calibri" w:cs="Calibri"/>
        </w:rPr>
        <w:t> </w:t>
      </w:r>
      <w:r>
        <w:rPr>
          <w:rFonts w:ascii="Calibri" w:eastAsia="Calibri" w:hAnsi="Calibri" w:cs="Calibri"/>
        </w:rPr>
        <w:t xml:space="preserve">2025, p 1; Australian Automotive Dealers Association (AADA) </w:t>
      </w:r>
      <w:r w:rsidR="000F24E1" w:rsidRPr="00D92A4C">
        <w:rPr>
          <w:rStyle w:val="Emphasis"/>
          <w:rFonts w:eastAsia="Calibri"/>
        </w:rPr>
        <w:t>Submission to the Review of the ASBFEO</w:t>
      </w:r>
      <w:r w:rsidRPr="002129E2">
        <w:rPr>
          <w:rFonts w:ascii="Calibri" w:eastAsia="Calibri" w:hAnsi="Calibri" w:cs="Calibri"/>
          <w:i/>
          <w:iCs/>
        </w:rPr>
        <w:t>,</w:t>
      </w:r>
      <w:r>
        <w:rPr>
          <w:rFonts w:ascii="Calibri" w:eastAsia="Calibri" w:hAnsi="Calibri" w:cs="Calibri"/>
        </w:rPr>
        <w:t xml:space="preserve"> January 2025 p 2</w:t>
      </w:r>
      <w:r w:rsidR="00C20FB7">
        <w:rPr>
          <w:rFonts w:ascii="Calibri" w:eastAsia="Calibri" w:hAnsi="Calibri" w:cs="Calibri"/>
        </w:rPr>
        <w:t>.</w:t>
      </w:r>
    </w:p>
  </w:footnote>
  <w:footnote w:id="19">
    <w:p w14:paraId="225B90D9" w14:textId="35245D05" w:rsidR="00A10524" w:rsidRDefault="00A10524">
      <w:pPr>
        <w:pStyle w:val="FootnoteText"/>
      </w:pPr>
      <w:r>
        <w:rPr>
          <w:rStyle w:val="FootnoteReference"/>
        </w:rPr>
        <w:footnoteRef/>
      </w:r>
      <w:r>
        <w:t xml:space="preserve"> </w:t>
      </w:r>
      <w:r w:rsidR="009D79DE">
        <w:tab/>
      </w:r>
      <w:r>
        <w:rPr>
          <w:rFonts w:ascii="Calibri" w:eastAsia="Calibri" w:hAnsi="Calibri" w:cs="Calibri"/>
        </w:rPr>
        <w:t xml:space="preserve">AADA, </w:t>
      </w:r>
      <w:r w:rsidRPr="002B461C">
        <w:rPr>
          <w:rStyle w:val="Emphasis"/>
          <w:rFonts w:eastAsia="Calibri"/>
        </w:rPr>
        <w:t>Submission to the Review of the ASBFEO</w:t>
      </w:r>
      <w:r w:rsidRPr="002129E2">
        <w:rPr>
          <w:rFonts w:ascii="Calibri" w:eastAsia="Calibri" w:hAnsi="Calibri" w:cs="Calibri"/>
          <w:i/>
          <w:iCs/>
        </w:rPr>
        <w:t>,</w:t>
      </w:r>
      <w:r>
        <w:rPr>
          <w:rFonts w:ascii="Calibri" w:eastAsia="Calibri" w:hAnsi="Calibri" w:cs="Calibri"/>
        </w:rPr>
        <w:t xml:space="preserve"> January 2025 p 2</w:t>
      </w:r>
      <w:r w:rsidR="00C20FB7">
        <w:rPr>
          <w:rFonts w:ascii="Calibri" w:eastAsia="Calibri" w:hAnsi="Calibri" w:cs="Calibri"/>
        </w:rPr>
        <w:t>.</w:t>
      </w:r>
    </w:p>
  </w:footnote>
  <w:footnote w:id="20">
    <w:p w14:paraId="2CA39989" w14:textId="2AFBF0FE" w:rsidR="00286804" w:rsidRDefault="00286804">
      <w:pPr>
        <w:pStyle w:val="FootnoteText"/>
      </w:pPr>
      <w:r>
        <w:rPr>
          <w:rStyle w:val="FootnoteReference"/>
        </w:rPr>
        <w:footnoteRef/>
      </w:r>
      <w:r>
        <w:t xml:space="preserve"> </w:t>
      </w:r>
      <w:r w:rsidR="009D79DE">
        <w:tab/>
      </w:r>
      <w:r w:rsidRPr="36F91C57">
        <w:rPr>
          <w:rFonts w:ascii="Calibri" w:eastAsia="Calibri" w:hAnsi="Calibri" w:cs="Calibri"/>
        </w:rPr>
        <w:t>S</w:t>
      </w:r>
      <w:r>
        <w:rPr>
          <w:rFonts w:ascii="Calibri" w:eastAsia="Calibri" w:hAnsi="Calibri" w:cs="Calibri"/>
        </w:rPr>
        <w:t>mall Biz</w:t>
      </w:r>
      <w:r w:rsidRPr="36F91C57">
        <w:rPr>
          <w:rFonts w:ascii="Calibri" w:eastAsia="Calibri" w:hAnsi="Calibri" w:cs="Calibri"/>
        </w:rPr>
        <w:t xml:space="preserve"> Matters</w:t>
      </w:r>
      <w:r>
        <w:rPr>
          <w:rFonts w:ascii="Calibri" w:eastAsia="Calibri" w:hAnsi="Calibri" w:cs="Calibri"/>
        </w:rPr>
        <w:t>,</w:t>
      </w:r>
      <w:r w:rsidRPr="001F2D64">
        <w:rPr>
          <w:rFonts w:ascii="Calibri" w:eastAsia="Calibri" w:hAnsi="Calibri" w:cs="Calibri"/>
          <w:i/>
          <w:iCs/>
        </w:rPr>
        <w:t xml:space="preserve"> </w:t>
      </w:r>
      <w:r w:rsidRPr="002B461C">
        <w:rPr>
          <w:rStyle w:val="Emphasis"/>
          <w:rFonts w:eastAsia="Calibri"/>
        </w:rPr>
        <w:t>Submission to the Independent Review of the ASBFEO</w:t>
      </w:r>
      <w:r w:rsidR="000C4C66">
        <w:rPr>
          <w:rFonts w:ascii="Calibri" w:eastAsia="Calibri" w:hAnsi="Calibri" w:cs="Calibri"/>
          <w:i/>
          <w:iCs/>
        </w:rPr>
        <w:t>,</w:t>
      </w:r>
      <w:r w:rsidRPr="001F2D64">
        <w:rPr>
          <w:rFonts w:ascii="Calibri" w:eastAsia="Calibri" w:hAnsi="Calibri" w:cs="Calibri"/>
          <w:i/>
          <w:iCs/>
        </w:rPr>
        <w:t xml:space="preserve"> </w:t>
      </w:r>
      <w:r>
        <w:rPr>
          <w:rFonts w:ascii="Calibri" w:eastAsia="Calibri" w:hAnsi="Calibri" w:cs="Calibri"/>
        </w:rPr>
        <w:t>January 2025, p 4</w:t>
      </w:r>
      <w:r w:rsidR="00FC43C2">
        <w:rPr>
          <w:rFonts w:ascii="Calibri" w:eastAsia="Calibri" w:hAnsi="Calibri" w:cs="Calibri"/>
        </w:rPr>
        <w:t>.</w:t>
      </w:r>
    </w:p>
  </w:footnote>
  <w:footnote w:id="21">
    <w:p w14:paraId="71E543B5" w14:textId="2A42221D" w:rsidR="000C4C66" w:rsidRDefault="000C4C66">
      <w:pPr>
        <w:pStyle w:val="FootnoteText"/>
      </w:pPr>
      <w:r>
        <w:rPr>
          <w:rStyle w:val="FootnoteReference"/>
        </w:rPr>
        <w:footnoteRef/>
      </w:r>
      <w:r>
        <w:t xml:space="preserve"> </w:t>
      </w:r>
      <w:r w:rsidR="009D79DE">
        <w:tab/>
      </w:r>
      <w:r>
        <w:rPr>
          <w:rFonts w:ascii="Calibri" w:eastAsia="Calibri" w:hAnsi="Calibri" w:cs="Calibri"/>
        </w:rPr>
        <w:t xml:space="preserve">MTAA, </w:t>
      </w:r>
      <w:r w:rsidRPr="002B461C">
        <w:rPr>
          <w:rStyle w:val="Emphasis"/>
          <w:rFonts w:eastAsia="Calibri"/>
        </w:rPr>
        <w:t>Submission to the Independent Review of the ASBFEO</w:t>
      </w:r>
      <w:r>
        <w:rPr>
          <w:rFonts w:ascii="Calibri" w:eastAsia="Calibri" w:hAnsi="Calibri" w:cs="Calibri"/>
        </w:rPr>
        <w:t>, January 2025, p 3</w:t>
      </w:r>
      <w:r w:rsidR="00FC43C2">
        <w:rPr>
          <w:rFonts w:ascii="Calibri" w:eastAsia="Calibri" w:hAnsi="Calibri" w:cs="Calibri"/>
        </w:rPr>
        <w:t>.</w:t>
      </w:r>
    </w:p>
  </w:footnote>
  <w:footnote w:id="22">
    <w:p w14:paraId="76474DF4" w14:textId="2C94C253" w:rsidR="00085901" w:rsidRDefault="00085901" w:rsidP="00882EDC">
      <w:pPr>
        <w:pStyle w:val="FootnoteText"/>
      </w:pPr>
      <w:r>
        <w:rPr>
          <w:rStyle w:val="FootnoteReference"/>
        </w:rPr>
        <w:footnoteRef/>
      </w:r>
      <w:r>
        <w:t xml:space="preserve"> </w:t>
      </w:r>
      <w:r w:rsidR="009D79DE">
        <w:tab/>
      </w:r>
      <w:r w:rsidRPr="00882EDC">
        <w:rPr>
          <w:lang w:val="en-US"/>
        </w:rPr>
        <w:t>COSBOA, S</w:t>
      </w:r>
      <w:r w:rsidRPr="00882EDC">
        <w:rPr>
          <w:rFonts w:eastAsia="Calibri"/>
          <w:lang w:val="en-US"/>
        </w:rPr>
        <w:t xml:space="preserve">ubmission to the Independent Review of the </w:t>
      </w:r>
      <w:r w:rsidRPr="00882EDC">
        <w:rPr>
          <w:lang w:val="en-US"/>
        </w:rPr>
        <w:t xml:space="preserve">ASBFEO, January 2025, p 2; Newsagents Association of NSW and ACT Limited (NANA) </w:t>
      </w:r>
      <w:r w:rsidRPr="002B461C">
        <w:rPr>
          <w:rStyle w:val="Emphasis"/>
        </w:rPr>
        <w:t>S</w:t>
      </w:r>
      <w:r w:rsidRPr="002B461C">
        <w:rPr>
          <w:rStyle w:val="Emphasis"/>
          <w:rFonts w:eastAsia="Calibri"/>
        </w:rPr>
        <w:t xml:space="preserve">ubmission to the Independent Review of the </w:t>
      </w:r>
      <w:r w:rsidRPr="002B461C">
        <w:rPr>
          <w:rStyle w:val="Emphasis"/>
        </w:rPr>
        <w:t>ASBFEO</w:t>
      </w:r>
      <w:r w:rsidRPr="00882EDC">
        <w:rPr>
          <w:lang w:val="en-US"/>
        </w:rPr>
        <w:t>, January 2025, pp</w:t>
      </w:r>
      <w:r w:rsidR="004566D6" w:rsidRPr="00882EDC">
        <w:rPr>
          <w:lang w:val="en-US"/>
        </w:rPr>
        <w:t xml:space="preserve"> </w:t>
      </w:r>
      <w:r w:rsidRPr="00882EDC">
        <w:rPr>
          <w:lang w:val="en-US"/>
        </w:rPr>
        <w:t>1</w:t>
      </w:r>
      <w:r w:rsidR="003A0D5E">
        <w:rPr>
          <w:lang w:val="en-US"/>
        </w:rPr>
        <w:noBreakHyphen/>
      </w:r>
      <w:r w:rsidRPr="00882EDC">
        <w:rPr>
          <w:lang w:val="en-US"/>
        </w:rPr>
        <w:t>2.</w:t>
      </w:r>
    </w:p>
  </w:footnote>
  <w:footnote w:id="23">
    <w:p w14:paraId="56CE4DDE" w14:textId="62849632" w:rsidR="00025FC7" w:rsidRDefault="00B103F8">
      <w:pPr>
        <w:pStyle w:val="FootnoteText"/>
      </w:pPr>
      <w:r w:rsidRPr="00B103F8">
        <w:rPr>
          <w:rStyle w:val="FootnoteReference"/>
        </w:rPr>
        <w:footnoteRef/>
      </w:r>
      <w:r w:rsidR="00025FC7">
        <w:t xml:space="preserve"> </w:t>
      </w:r>
      <w:r w:rsidR="009D79DE">
        <w:tab/>
      </w:r>
      <w:r w:rsidR="00025FC7" w:rsidRPr="00C47726">
        <w:rPr>
          <w:lang w:val="en-US"/>
        </w:rPr>
        <w:t>Small Business Debt Helpline</w:t>
      </w:r>
      <w:r w:rsidR="00025FC7">
        <w:rPr>
          <w:rFonts w:cstheme="minorBidi"/>
        </w:rPr>
        <w:t xml:space="preserve">, </w:t>
      </w:r>
      <w:r w:rsidR="00025FC7" w:rsidRPr="002B461C">
        <w:rPr>
          <w:rStyle w:val="Emphasis"/>
        </w:rPr>
        <w:t>S</w:t>
      </w:r>
      <w:r w:rsidR="00025FC7" w:rsidRPr="002B461C">
        <w:rPr>
          <w:rStyle w:val="Emphasis"/>
          <w:rFonts w:eastAsia="Calibri"/>
        </w:rPr>
        <w:t xml:space="preserve">ubmission to the Independent Review of the </w:t>
      </w:r>
      <w:r w:rsidR="00025FC7" w:rsidRPr="002B461C">
        <w:rPr>
          <w:rStyle w:val="Emphasis"/>
        </w:rPr>
        <w:t>ASBFEO</w:t>
      </w:r>
      <w:r w:rsidR="00025FC7">
        <w:rPr>
          <w:rFonts w:cstheme="minorBidi"/>
          <w:i/>
          <w:iCs/>
        </w:rPr>
        <w:t xml:space="preserve">, </w:t>
      </w:r>
      <w:r w:rsidR="00025FC7" w:rsidRPr="00DB058F">
        <w:rPr>
          <w:rFonts w:cstheme="minorBidi"/>
        </w:rPr>
        <w:t>December 2024 p 4</w:t>
      </w:r>
      <w:r w:rsidR="00FC43C2">
        <w:rPr>
          <w:rFonts w:cstheme="minorBidi"/>
        </w:rPr>
        <w:t>.</w:t>
      </w:r>
    </w:p>
  </w:footnote>
  <w:footnote w:id="24">
    <w:p w14:paraId="70E11F47" w14:textId="3C98D6EE" w:rsidR="003A729B" w:rsidRDefault="003A729B">
      <w:pPr>
        <w:pStyle w:val="FootnoteText"/>
      </w:pPr>
      <w:r>
        <w:rPr>
          <w:rStyle w:val="FootnoteReference"/>
        </w:rPr>
        <w:footnoteRef/>
      </w:r>
      <w:r>
        <w:t xml:space="preserve"> </w:t>
      </w:r>
      <w:r w:rsidR="009D79DE">
        <w:tab/>
      </w:r>
      <w:r>
        <w:rPr>
          <w:rFonts w:cstheme="minorBidi"/>
        </w:rPr>
        <w:t xml:space="preserve">ASBFEO, </w:t>
      </w:r>
      <w:r w:rsidRPr="00B26B45">
        <w:rPr>
          <w:rStyle w:val="Emphasis"/>
        </w:rPr>
        <w:t>Contact List</w:t>
      </w:r>
      <w:r>
        <w:rPr>
          <w:rFonts w:cstheme="minorBidi"/>
        </w:rPr>
        <w:t xml:space="preserve"> [unpublished document] ASBFEO, Canberra 2024</w:t>
      </w:r>
      <w:r w:rsidR="00FC43C2">
        <w:rPr>
          <w:rFonts w:cstheme="minorBidi"/>
        </w:rPr>
        <w:t>.</w:t>
      </w:r>
    </w:p>
  </w:footnote>
  <w:footnote w:id="25">
    <w:p w14:paraId="06886E39" w14:textId="707A5456" w:rsidR="00311B9A" w:rsidRDefault="00311B9A">
      <w:pPr>
        <w:pStyle w:val="FootnoteText"/>
      </w:pPr>
      <w:r>
        <w:rPr>
          <w:rStyle w:val="FootnoteReference"/>
        </w:rPr>
        <w:footnoteRef/>
      </w:r>
      <w:r>
        <w:t xml:space="preserve"> </w:t>
      </w:r>
      <w:r>
        <w:tab/>
      </w:r>
      <w:proofErr w:type="spellStart"/>
      <w:r w:rsidRPr="008D2AE6">
        <w:t>AusIndustry</w:t>
      </w:r>
      <w:proofErr w:type="spellEnd"/>
      <w:r w:rsidRPr="008D2AE6">
        <w:t xml:space="preserve"> (n.d.) </w:t>
      </w:r>
      <w:hyperlink r:id="rId12" w:history="1">
        <w:r w:rsidRPr="008D2AE6">
          <w:rPr>
            <w:rStyle w:val="Hyperlink"/>
          </w:rPr>
          <w:t>Expertise and Advice</w:t>
        </w:r>
      </w:hyperlink>
      <w:r w:rsidRPr="008D2AE6">
        <w:t>, [business.gov.au website], accessed 9 May 2025</w:t>
      </w:r>
      <w:r w:rsidR="00C63252">
        <w:t>.</w:t>
      </w:r>
    </w:p>
  </w:footnote>
  <w:footnote w:id="26">
    <w:p w14:paraId="6856F67F" w14:textId="3A1EA0C4" w:rsidR="00135CF6" w:rsidRDefault="00B103F8" w:rsidP="00135CF6">
      <w:pPr>
        <w:pStyle w:val="FootnoteText"/>
      </w:pPr>
      <w:r w:rsidRPr="00B103F8">
        <w:rPr>
          <w:rStyle w:val="FootnoteReference"/>
        </w:rPr>
        <w:footnoteRef/>
      </w:r>
      <w:r w:rsidR="00135CF6">
        <w:t xml:space="preserve"> </w:t>
      </w:r>
      <w:r w:rsidR="009D79DE">
        <w:tab/>
      </w:r>
      <w:r w:rsidR="00135CF6">
        <w:t xml:space="preserve">Business Enterprises Centres Australia (BEC Australia) </w:t>
      </w:r>
      <w:r w:rsidR="00135CF6" w:rsidRPr="00DF4CEF">
        <w:rPr>
          <w:rStyle w:val="Emphasis"/>
        </w:rPr>
        <w:t>S</w:t>
      </w:r>
      <w:r w:rsidR="00135CF6" w:rsidRPr="00DF4CEF">
        <w:rPr>
          <w:rStyle w:val="Emphasis"/>
          <w:rFonts w:eastAsia="Calibri"/>
        </w:rPr>
        <w:t xml:space="preserve">ubmission to the Independent Review of the </w:t>
      </w:r>
      <w:r w:rsidR="00135CF6" w:rsidRPr="00DF4CEF">
        <w:rPr>
          <w:rStyle w:val="Emphasis"/>
        </w:rPr>
        <w:t>ASBFEO</w:t>
      </w:r>
      <w:r w:rsidR="00135CF6">
        <w:rPr>
          <w:rFonts w:cstheme="minorBidi"/>
        </w:rPr>
        <w:t>, January 2025, p 1.</w:t>
      </w:r>
    </w:p>
  </w:footnote>
  <w:footnote w:id="27">
    <w:p w14:paraId="3382F1A8" w14:textId="64BE1E30" w:rsidR="00115AB2" w:rsidRDefault="00115AB2">
      <w:pPr>
        <w:pStyle w:val="FootnoteText"/>
      </w:pPr>
      <w:r>
        <w:rPr>
          <w:rStyle w:val="FootnoteReference"/>
        </w:rPr>
        <w:footnoteRef/>
      </w:r>
      <w:r>
        <w:t xml:space="preserve"> </w:t>
      </w:r>
      <w:r w:rsidR="009D79DE">
        <w:tab/>
      </w:r>
      <w:r>
        <w:rPr>
          <w:rFonts w:ascii="Calibri" w:eastAsia="Calibri" w:hAnsi="Calibri" w:cs="Calibri"/>
        </w:rPr>
        <w:t>N</w:t>
      </w:r>
      <w:r w:rsidRPr="26543DF1">
        <w:rPr>
          <w:rFonts w:ascii="Calibri" w:eastAsia="Calibri" w:hAnsi="Calibri" w:cs="Calibri"/>
        </w:rPr>
        <w:t>ECA</w:t>
      </w:r>
      <w:r>
        <w:rPr>
          <w:rFonts w:ascii="Calibri" w:eastAsia="Calibri" w:hAnsi="Calibri" w:cs="Calibri"/>
        </w:rPr>
        <w:t xml:space="preserve">, </w:t>
      </w:r>
      <w:r w:rsidRPr="00A73C8E">
        <w:rPr>
          <w:rStyle w:val="Emphasis"/>
        </w:rPr>
        <w:t>S</w:t>
      </w:r>
      <w:r w:rsidRPr="00A73C8E">
        <w:rPr>
          <w:rStyle w:val="Emphasis"/>
          <w:rFonts w:eastAsia="Calibri"/>
        </w:rPr>
        <w:t xml:space="preserve">ubmission to the Independent Review of the </w:t>
      </w:r>
      <w:r w:rsidRPr="00A73C8E">
        <w:rPr>
          <w:rStyle w:val="Emphasis"/>
        </w:rPr>
        <w:t>ASBFEO</w:t>
      </w:r>
      <w:r>
        <w:rPr>
          <w:rFonts w:ascii="Calibri" w:eastAsia="Calibri" w:hAnsi="Calibri" w:cs="Calibri"/>
        </w:rPr>
        <w:t>, January 2025, p 3</w:t>
      </w:r>
      <w:r w:rsidR="00C63252">
        <w:rPr>
          <w:rFonts w:ascii="Calibri" w:eastAsia="Calibri" w:hAnsi="Calibri" w:cs="Calibri"/>
        </w:rPr>
        <w:t>.</w:t>
      </w:r>
    </w:p>
  </w:footnote>
  <w:footnote w:id="28">
    <w:p w14:paraId="7FE11426" w14:textId="52A0FC62" w:rsidR="00D1161A" w:rsidRPr="00BC2619" w:rsidRDefault="00D1161A">
      <w:pPr>
        <w:pStyle w:val="FootnoteText"/>
        <w:rPr>
          <w:u w:val="single"/>
        </w:rPr>
      </w:pPr>
      <w:r>
        <w:rPr>
          <w:rStyle w:val="FootnoteReference"/>
        </w:rPr>
        <w:footnoteRef/>
      </w:r>
      <w:r>
        <w:t xml:space="preserve"> </w:t>
      </w:r>
      <w:r w:rsidR="009D79DE">
        <w:tab/>
      </w:r>
      <w:r w:rsidRPr="00D1161A">
        <w:rPr>
          <w:rFonts w:ascii="Calibri" w:eastAsia="Calibri" w:hAnsi="Calibri" w:cs="Calibri"/>
        </w:rPr>
        <w:t>MTAA</w:t>
      </w:r>
      <w:r>
        <w:rPr>
          <w:rFonts w:ascii="Calibri" w:eastAsia="Calibri" w:hAnsi="Calibri" w:cs="Calibri"/>
        </w:rPr>
        <w:t>,</w:t>
      </w:r>
      <w:r w:rsidRPr="00D1161A">
        <w:rPr>
          <w:rFonts w:ascii="Calibri" w:eastAsia="Calibri" w:hAnsi="Calibri" w:cs="Calibri"/>
        </w:rPr>
        <w:t xml:space="preserve"> </w:t>
      </w:r>
      <w:r w:rsidRPr="00DF4CEF">
        <w:rPr>
          <w:rStyle w:val="Emphasis"/>
        </w:rPr>
        <w:t>S</w:t>
      </w:r>
      <w:r w:rsidRPr="00DF4CEF">
        <w:rPr>
          <w:rStyle w:val="Emphasis"/>
          <w:rFonts w:eastAsia="Calibri"/>
        </w:rPr>
        <w:t xml:space="preserve">ubmission to the Independent Review of the </w:t>
      </w:r>
      <w:r w:rsidRPr="00DF4CEF">
        <w:rPr>
          <w:rStyle w:val="Emphasis"/>
        </w:rPr>
        <w:t>ASBFEO</w:t>
      </w:r>
      <w:r>
        <w:rPr>
          <w:rFonts w:ascii="Calibri" w:eastAsia="Calibri" w:hAnsi="Calibri" w:cs="Calibri"/>
        </w:rPr>
        <w:t xml:space="preserve">, January 2025, p 3; AADA, </w:t>
      </w:r>
      <w:r w:rsidRPr="00DF4CEF">
        <w:rPr>
          <w:rStyle w:val="Emphasis"/>
        </w:rPr>
        <w:t>S</w:t>
      </w:r>
      <w:r w:rsidRPr="00DF4CEF">
        <w:rPr>
          <w:rStyle w:val="Emphasis"/>
          <w:rFonts w:eastAsia="Calibri"/>
        </w:rPr>
        <w:t xml:space="preserve">ubmission to the Independent Review of the </w:t>
      </w:r>
      <w:r w:rsidRPr="00DF4CEF">
        <w:rPr>
          <w:rStyle w:val="Emphasis"/>
        </w:rPr>
        <w:t>ASBFEO</w:t>
      </w:r>
      <w:r w:rsidRPr="002129E2">
        <w:rPr>
          <w:rFonts w:ascii="Calibri" w:eastAsia="Calibri" w:hAnsi="Calibri" w:cs="Calibri"/>
          <w:i/>
          <w:iCs/>
        </w:rPr>
        <w:t>,</w:t>
      </w:r>
      <w:r>
        <w:rPr>
          <w:rFonts w:ascii="Calibri" w:eastAsia="Calibri" w:hAnsi="Calibri" w:cs="Calibri"/>
        </w:rPr>
        <w:t xml:space="preserve"> January 2025 p </w:t>
      </w:r>
      <w:r w:rsidR="009466B1">
        <w:rPr>
          <w:rFonts w:ascii="Calibri" w:eastAsia="Calibri" w:hAnsi="Calibri" w:cs="Calibri"/>
        </w:rPr>
        <w:t>1</w:t>
      </w:r>
      <w:r>
        <w:rPr>
          <w:rFonts w:ascii="Calibri" w:eastAsia="Calibri" w:hAnsi="Calibri" w:cs="Calibri"/>
        </w:rPr>
        <w:t>;</w:t>
      </w:r>
      <w:r w:rsidR="00C57638">
        <w:rPr>
          <w:rFonts w:ascii="Calibri" w:eastAsia="Calibri" w:hAnsi="Calibri" w:cs="Calibri"/>
        </w:rPr>
        <w:t xml:space="preserve"> Post Office Agents Association Limited, </w:t>
      </w:r>
      <w:r w:rsidR="00C57638" w:rsidRPr="00DF4CEF">
        <w:rPr>
          <w:rStyle w:val="Emphasis"/>
        </w:rPr>
        <w:t>S</w:t>
      </w:r>
      <w:r w:rsidR="00C57638" w:rsidRPr="00DF4CEF">
        <w:rPr>
          <w:rStyle w:val="Emphasis"/>
          <w:rFonts w:eastAsia="Calibri"/>
        </w:rPr>
        <w:t xml:space="preserve">ubmission to the Independent Review of the </w:t>
      </w:r>
      <w:r w:rsidR="00C57638" w:rsidRPr="00DF4CEF">
        <w:rPr>
          <w:rStyle w:val="Emphasis"/>
        </w:rPr>
        <w:t>ASBFEO</w:t>
      </w:r>
      <w:r w:rsidR="00C57638">
        <w:rPr>
          <w:rFonts w:cstheme="minorBidi"/>
          <w:i/>
          <w:iCs/>
        </w:rPr>
        <w:t xml:space="preserve">, </w:t>
      </w:r>
      <w:r w:rsidR="00D36F9E" w:rsidRPr="00D36F9E">
        <w:rPr>
          <w:rFonts w:cstheme="minorBidi"/>
        </w:rPr>
        <w:t>November 2024</w:t>
      </w:r>
      <w:r w:rsidR="00D07CF6">
        <w:rPr>
          <w:rFonts w:cstheme="minorBidi"/>
        </w:rPr>
        <w:t xml:space="preserve"> p 1</w:t>
      </w:r>
      <w:r w:rsidR="007E701C">
        <w:rPr>
          <w:rFonts w:cstheme="minorBidi"/>
        </w:rPr>
        <w:t>;</w:t>
      </w:r>
      <w:r w:rsidR="00514F24">
        <w:rPr>
          <w:rFonts w:cstheme="minorBidi"/>
        </w:rPr>
        <w:t xml:space="preserve"> </w:t>
      </w:r>
      <w:r w:rsidR="00514F24" w:rsidRPr="00514F24">
        <w:rPr>
          <w:rFonts w:cstheme="minorBidi"/>
        </w:rPr>
        <w:t>Shopping Centre Council of Australia,</w:t>
      </w:r>
      <w:r w:rsidR="00514F24">
        <w:rPr>
          <w:rFonts w:cstheme="minorBidi"/>
          <w:i/>
          <w:iCs/>
        </w:rPr>
        <w:t xml:space="preserve"> </w:t>
      </w:r>
      <w:r w:rsidR="00514F24" w:rsidRPr="00DF4CEF">
        <w:rPr>
          <w:rStyle w:val="Emphasis"/>
        </w:rPr>
        <w:t>S</w:t>
      </w:r>
      <w:r w:rsidR="00514F24" w:rsidRPr="00DF4CEF">
        <w:rPr>
          <w:rStyle w:val="Emphasis"/>
          <w:rFonts w:eastAsia="Calibri"/>
        </w:rPr>
        <w:t xml:space="preserve">ubmission to the Independent Review of the </w:t>
      </w:r>
      <w:r w:rsidR="00514F24" w:rsidRPr="00DF4CEF">
        <w:rPr>
          <w:rStyle w:val="Emphasis"/>
        </w:rPr>
        <w:t>ASBFEO</w:t>
      </w:r>
      <w:r w:rsidR="00514F24" w:rsidRPr="008E4C0E">
        <w:rPr>
          <w:rFonts w:cstheme="minorBidi"/>
        </w:rPr>
        <w:t xml:space="preserve">, </w:t>
      </w:r>
      <w:r w:rsidR="00514F24">
        <w:rPr>
          <w:rFonts w:cstheme="minorBidi"/>
        </w:rPr>
        <w:t>January 2025</w:t>
      </w:r>
      <w:r w:rsidR="00514F24" w:rsidRPr="008E4C0E">
        <w:rPr>
          <w:rFonts w:cstheme="minorBidi"/>
        </w:rPr>
        <w:t xml:space="preserve"> p</w:t>
      </w:r>
      <w:r w:rsidR="00C63252">
        <w:rPr>
          <w:rFonts w:cstheme="minorBidi"/>
        </w:rPr>
        <w:t xml:space="preserve"> </w:t>
      </w:r>
      <w:r w:rsidR="00514F24">
        <w:rPr>
          <w:rFonts w:cstheme="minorBidi"/>
        </w:rPr>
        <w:t>1;</w:t>
      </w:r>
      <w:r w:rsidR="007E701C">
        <w:rPr>
          <w:rFonts w:cstheme="minorBidi"/>
        </w:rPr>
        <w:t xml:space="preserve"> </w:t>
      </w:r>
      <w:r w:rsidR="00724E64">
        <w:rPr>
          <w:rFonts w:cstheme="minorBidi"/>
        </w:rPr>
        <w:t>Independent Tertiary Education Council Australia (</w:t>
      </w:r>
      <w:r w:rsidR="00D07CF6">
        <w:rPr>
          <w:rFonts w:cstheme="minorBidi"/>
        </w:rPr>
        <w:t>ITECA</w:t>
      </w:r>
      <w:r w:rsidR="00724E64">
        <w:rPr>
          <w:rFonts w:cstheme="minorBidi"/>
        </w:rPr>
        <w:t xml:space="preserve">) </w:t>
      </w:r>
      <w:r w:rsidR="00D07CF6" w:rsidRPr="00DF4CEF">
        <w:rPr>
          <w:rStyle w:val="Emphasis"/>
        </w:rPr>
        <w:t>S</w:t>
      </w:r>
      <w:r w:rsidR="00D07CF6" w:rsidRPr="00DF4CEF">
        <w:rPr>
          <w:rStyle w:val="Emphasis"/>
          <w:rFonts w:eastAsia="Calibri"/>
        </w:rPr>
        <w:t xml:space="preserve">ubmission to the Independent Review of the </w:t>
      </w:r>
      <w:r w:rsidR="00D07CF6" w:rsidRPr="00DF4CEF">
        <w:rPr>
          <w:rStyle w:val="Emphasis"/>
        </w:rPr>
        <w:t>ASBFEO</w:t>
      </w:r>
      <w:r w:rsidR="00D07CF6" w:rsidRPr="008E4C0E">
        <w:rPr>
          <w:rFonts w:cstheme="minorBidi"/>
        </w:rPr>
        <w:t xml:space="preserve">, </w:t>
      </w:r>
      <w:r w:rsidR="008E4C0E" w:rsidRPr="008E4C0E">
        <w:rPr>
          <w:rFonts w:cstheme="minorBidi"/>
        </w:rPr>
        <w:t>December 2024 p 3</w:t>
      </w:r>
      <w:r w:rsidR="00514F24">
        <w:rPr>
          <w:rFonts w:cstheme="minorBidi"/>
          <w:i/>
          <w:iCs/>
        </w:rPr>
        <w:t>.</w:t>
      </w:r>
    </w:p>
  </w:footnote>
  <w:footnote w:id="29">
    <w:p w14:paraId="3B0B4533" w14:textId="01DF8BF9" w:rsidR="002D4B83" w:rsidRDefault="002D4B83">
      <w:pPr>
        <w:pStyle w:val="FootnoteText"/>
      </w:pPr>
      <w:r>
        <w:rPr>
          <w:rStyle w:val="FootnoteReference"/>
        </w:rPr>
        <w:footnoteRef/>
      </w:r>
      <w:r>
        <w:t xml:space="preserve"> </w:t>
      </w:r>
      <w:r w:rsidR="009D79DE">
        <w:tab/>
      </w:r>
      <w:r w:rsidRPr="36F91C57">
        <w:rPr>
          <w:rFonts w:ascii="Calibri" w:eastAsia="Calibri" w:hAnsi="Calibri" w:cs="Calibri"/>
        </w:rPr>
        <w:t>S</w:t>
      </w:r>
      <w:r>
        <w:rPr>
          <w:rFonts w:ascii="Calibri" w:eastAsia="Calibri" w:hAnsi="Calibri" w:cs="Calibri"/>
        </w:rPr>
        <w:t>mall Biz</w:t>
      </w:r>
      <w:r w:rsidRPr="36F91C57">
        <w:rPr>
          <w:rFonts w:ascii="Calibri" w:eastAsia="Calibri" w:hAnsi="Calibri" w:cs="Calibri"/>
        </w:rPr>
        <w:t xml:space="preserve"> Matters</w:t>
      </w:r>
      <w:r>
        <w:rPr>
          <w:rFonts w:ascii="Calibri" w:eastAsia="Calibri" w:hAnsi="Calibri" w:cs="Calibri"/>
        </w:rPr>
        <w:t xml:space="preserve">, </w:t>
      </w:r>
      <w:r w:rsidRPr="00DF4CEF">
        <w:rPr>
          <w:rStyle w:val="Emphasis"/>
        </w:rPr>
        <w:t>S</w:t>
      </w:r>
      <w:r w:rsidRPr="00DF4CEF">
        <w:rPr>
          <w:rStyle w:val="Emphasis"/>
          <w:rFonts w:eastAsia="Calibri"/>
        </w:rPr>
        <w:t xml:space="preserve">ubmission to the Independent Review of the </w:t>
      </w:r>
      <w:r w:rsidRPr="00DF4CEF">
        <w:rPr>
          <w:rStyle w:val="Emphasis"/>
        </w:rPr>
        <w:t>ASBFEO</w:t>
      </w:r>
      <w:r>
        <w:rPr>
          <w:rFonts w:ascii="Calibri" w:eastAsia="Calibri" w:hAnsi="Calibri" w:cs="Calibri"/>
        </w:rPr>
        <w:t>, January 2025, p 4</w:t>
      </w:r>
      <w:r w:rsidR="00C63252">
        <w:rPr>
          <w:rFonts w:ascii="Calibri" w:eastAsia="Calibri" w:hAnsi="Calibri" w:cs="Calibri"/>
        </w:rPr>
        <w:t>.</w:t>
      </w:r>
    </w:p>
  </w:footnote>
  <w:footnote w:id="30">
    <w:p w14:paraId="4D2CD657" w14:textId="3494B1EC" w:rsidR="00554FB4" w:rsidRDefault="00554FB4">
      <w:pPr>
        <w:pStyle w:val="FootnoteText"/>
      </w:pPr>
      <w:r>
        <w:rPr>
          <w:rStyle w:val="FootnoteReference"/>
        </w:rPr>
        <w:footnoteRef/>
      </w:r>
      <w:r>
        <w:t xml:space="preserve"> </w:t>
      </w:r>
      <w:r w:rsidR="009D79DE">
        <w:tab/>
      </w:r>
      <w:r>
        <w:t>GM Advisory</w:t>
      </w:r>
      <w:r w:rsidR="006F106B" w:rsidRPr="001B706D">
        <w:t xml:space="preserve"> </w:t>
      </w:r>
      <w:r w:rsidR="006F106B">
        <w:t xml:space="preserve">(Australia) </w:t>
      </w:r>
      <w:r w:rsidR="006F106B" w:rsidRPr="001B706D">
        <w:t>Services</w:t>
      </w:r>
      <w:r>
        <w:t xml:space="preserve">, </w:t>
      </w:r>
      <w:r w:rsidRPr="00DF4CEF">
        <w:rPr>
          <w:rStyle w:val="Emphasis"/>
        </w:rPr>
        <w:t>S</w:t>
      </w:r>
      <w:r w:rsidRPr="00DF4CEF">
        <w:rPr>
          <w:rStyle w:val="Emphasis"/>
          <w:rFonts w:eastAsia="Calibri"/>
        </w:rPr>
        <w:t xml:space="preserve">ubmission to the Independent Review of the </w:t>
      </w:r>
      <w:r w:rsidRPr="00DF4CEF">
        <w:rPr>
          <w:rStyle w:val="Emphasis"/>
        </w:rPr>
        <w:t>ASBFEO</w:t>
      </w:r>
      <w:r>
        <w:rPr>
          <w:rFonts w:ascii="Calibri" w:eastAsia="Calibri" w:hAnsi="Calibri" w:cs="Calibri"/>
        </w:rPr>
        <w:t xml:space="preserve">, </w:t>
      </w:r>
      <w:r>
        <w:t>January 2025 p 4</w:t>
      </w:r>
      <w:r w:rsidR="00C63252">
        <w:t>.</w:t>
      </w:r>
    </w:p>
  </w:footnote>
  <w:footnote w:id="31">
    <w:p w14:paraId="6C7118D0" w14:textId="2B15CC6D" w:rsidR="009A0583" w:rsidRDefault="009A0583">
      <w:pPr>
        <w:pStyle w:val="FootnoteText"/>
      </w:pPr>
      <w:r>
        <w:rPr>
          <w:rStyle w:val="FootnoteReference"/>
        </w:rPr>
        <w:footnoteRef/>
      </w:r>
      <w:r>
        <w:t xml:space="preserve"> </w:t>
      </w:r>
      <w:r>
        <w:tab/>
      </w:r>
      <w:r w:rsidRPr="005F7E38">
        <w:t xml:space="preserve">C McGregor, </w:t>
      </w:r>
      <w:hyperlink r:id="rId13" w:history="1">
        <w:r w:rsidRPr="009D2D58">
          <w:rPr>
            <w:rStyle w:val="Hyperlink"/>
          </w:rPr>
          <w:t>Australian Small Business and Family Enterprise (ASBFEO) Independent Review</w:t>
        </w:r>
      </w:hyperlink>
      <w:r w:rsidRPr="005F7E38">
        <w:t>, Canberra, Commonwealth of Australia, 2021 p</w:t>
      </w:r>
      <w:r w:rsidR="001C362B">
        <w:t xml:space="preserve"> </w:t>
      </w:r>
      <w:r>
        <w:t>48</w:t>
      </w:r>
      <w:r w:rsidR="0070268A">
        <w:t>,</w:t>
      </w:r>
      <w:r w:rsidRPr="005F7E38">
        <w:t xml:space="preserve"> accessed 20 May 2025</w:t>
      </w:r>
      <w:r w:rsidR="00C63252">
        <w:t>.</w:t>
      </w:r>
    </w:p>
  </w:footnote>
  <w:footnote w:id="32">
    <w:p w14:paraId="6093EE10" w14:textId="67D9E0F4" w:rsidR="007A5323" w:rsidRDefault="007A5323">
      <w:pPr>
        <w:pStyle w:val="FootnoteText"/>
      </w:pPr>
      <w:r>
        <w:rPr>
          <w:rStyle w:val="FootnoteReference"/>
        </w:rPr>
        <w:footnoteRef/>
      </w:r>
      <w:r>
        <w:t xml:space="preserve"> </w:t>
      </w:r>
      <w:r w:rsidR="003C3BAA">
        <w:tab/>
      </w:r>
      <w:r>
        <w:rPr>
          <w:rFonts w:cstheme="minorBidi"/>
        </w:rPr>
        <w:t xml:space="preserve">NANA </w:t>
      </w:r>
      <w:r w:rsidRPr="004C5CA9">
        <w:rPr>
          <w:rStyle w:val="Emphasis"/>
        </w:rPr>
        <w:t>S</w:t>
      </w:r>
      <w:r w:rsidRPr="004C5CA9">
        <w:rPr>
          <w:rStyle w:val="Emphasis"/>
          <w:rFonts w:eastAsia="Calibri"/>
        </w:rPr>
        <w:t xml:space="preserve">ubmission to the Independent Review of the </w:t>
      </w:r>
      <w:r w:rsidRPr="007704C2">
        <w:t xml:space="preserve">ASBFEO </w:t>
      </w:r>
      <w:r>
        <w:rPr>
          <w:rFonts w:cstheme="minorBidi"/>
        </w:rPr>
        <w:t>Review, January 2025 p 2</w:t>
      </w:r>
      <w:r w:rsidR="00580813" w:rsidRPr="00580813">
        <w:rPr>
          <w:rFonts w:cstheme="minorBidi"/>
        </w:rPr>
        <w:t>–</w:t>
      </w:r>
      <w:r>
        <w:rPr>
          <w:rFonts w:cstheme="minorBidi"/>
        </w:rPr>
        <w:t>3;</w:t>
      </w:r>
      <w:r w:rsidRPr="000B4745">
        <w:t xml:space="preserve"> </w:t>
      </w:r>
      <w:r w:rsidRPr="36F91C57">
        <w:rPr>
          <w:rFonts w:ascii="Calibri" w:eastAsia="Calibri" w:hAnsi="Calibri" w:cs="Calibri"/>
        </w:rPr>
        <w:t>S</w:t>
      </w:r>
      <w:r>
        <w:rPr>
          <w:rFonts w:ascii="Calibri" w:eastAsia="Calibri" w:hAnsi="Calibri" w:cs="Calibri"/>
        </w:rPr>
        <w:t>mall Biz</w:t>
      </w:r>
      <w:r w:rsidRPr="36F91C57">
        <w:rPr>
          <w:rFonts w:ascii="Calibri" w:eastAsia="Calibri" w:hAnsi="Calibri" w:cs="Calibri"/>
        </w:rPr>
        <w:t xml:space="preserve"> Matters</w:t>
      </w:r>
      <w:r>
        <w:rPr>
          <w:rFonts w:ascii="Calibri" w:eastAsia="Calibri" w:hAnsi="Calibri" w:cs="Calibri"/>
        </w:rPr>
        <w:t xml:space="preserve">, </w:t>
      </w:r>
      <w:r w:rsidR="003E5F95" w:rsidRPr="004C5CA9">
        <w:rPr>
          <w:rStyle w:val="Emphasis"/>
        </w:rPr>
        <w:t>S</w:t>
      </w:r>
      <w:r w:rsidR="003E5F95" w:rsidRPr="004C5CA9">
        <w:rPr>
          <w:rStyle w:val="Emphasis"/>
          <w:rFonts w:eastAsia="Calibri"/>
        </w:rPr>
        <w:t xml:space="preserve">ubmission to the Independent Review of the </w:t>
      </w:r>
      <w:r w:rsidR="003E5F95" w:rsidRPr="004C5CA9">
        <w:rPr>
          <w:rStyle w:val="Emphasis"/>
        </w:rPr>
        <w:t>ASBFEO</w:t>
      </w:r>
      <w:r w:rsidR="003E5F95">
        <w:rPr>
          <w:rFonts w:cstheme="minorBidi"/>
        </w:rPr>
        <w:t xml:space="preserve"> </w:t>
      </w:r>
      <w:r>
        <w:rPr>
          <w:rFonts w:ascii="Calibri" w:eastAsia="Calibri" w:hAnsi="Calibri" w:cs="Calibri"/>
        </w:rPr>
        <w:t>January 2025, p 3;</w:t>
      </w:r>
      <w:r>
        <w:rPr>
          <w:rFonts w:eastAsia="Calibri" w:cstheme="minorBidi"/>
        </w:rPr>
        <w:t xml:space="preserve"> </w:t>
      </w:r>
      <w:r w:rsidR="00063D09" w:rsidRPr="000B4745">
        <w:t>ITECA</w:t>
      </w:r>
      <w:r w:rsidR="0065186E">
        <w:t xml:space="preserve">, </w:t>
      </w:r>
      <w:r w:rsidR="003E5F95" w:rsidRPr="004C5CA9">
        <w:rPr>
          <w:rStyle w:val="Emphasis"/>
        </w:rPr>
        <w:t>S</w:t>
      </w:r>
      <w:r w:rsidR="003E5F95" w:rsidRPr="004C5CA9">
        <w:rPr>
          <w:rStyle w:val="Emphasis"/>
          <w:rFonts w:eastAsia="Calibri"/>
        </w:rPr>
        <w:t xml:space="preserve">ubmission to the Independent Review of the </w:t>
      </w:r>
      <w:r w:rsidR="003E5F95" w:rsidRPr="004C5CA9">
        <w:rPr>
          <w:rStyle w:val="Emphasis"/>
        </w:rPr>
        <w:t>ASBFEO</w:t>
      </w:r>
      <w:r w:rsidR="003E5F95">
        <w:rPr>
          <w:rFonts w:cstheme="minorBidi"/>
        </w:rPr>
        <w:t xml:space="preserve"> </w:t>
      </w:r>
      <w:r w:rsidR="0065186E">
        <w:rPr>
          <w:rFonts w:cstheme="minorBidi"/>
        </w:rPr>
        <w:t xml:space="preserve">December 2024, p2; </w:t>
      </w:r>
      <w:r w:rsidR="00A26998">
        <w:rPr>
          <w:rFonts w:ascii="Calibri" w:eastAsia="Calibri" w:hAnsi="Calibri" w:cs="Calibri"/>
        </w:rPr>
        <w:t>N</w:t>
      </w:r>
      <w:r w:rsidR="00A26998" w:rsidRPr="26543DF1">
        <w:rPr>
          <w:rFonts w:ascii="Calibri" w:eastAsia="Calibri" w:hAnsi="Calibri" w:cs="Calibri"/>
        </w:rPr>
        <w:t>ECA</w:t>
      </w:r>
      <w:r w:rsidR="00A26998">
        <w:rPr>
          <w:rFonts w:ascii="Calibri" w:eastAsia="Calibri" w:hAnsi="Calibri" w:cs="Calibri"/>
        </w:rPr>
        <w:t xml:space="preserve">, </w:t>
      </w:r>
      <w:r w:rsidR="003E5F95" w:rsidRPr="004C5CA9">
        <w:rPr>
          <w:rStyle w:val="Emphasis"/>
        </w:rPr>
        <w:t>S</w:t>
      </w:r>
      <w:r w:rsidR="003E5F95" w:rsidRPr="004C5CA9">
        <w:rPr>
          <w:rStyle w:val="Emphasis"/>
          <w:rFonts w:eastAsia="Calibri"/>
        </w:rPr>
        <w:t xml:space="preserve">ubmission to the Independent Review of the </w:t>
      </w:r>
      <w:r w:rsidR="003E5F95" w:rsidRPr="004C5CA9">
        <w:rPr>
          <w:rStyle w:val="Emphasis"/>
        </w:rPr>
        <w:t>ASBFEO</w:t>
      </w:r>
      <w:r w:rsidR="00A26998" w:rsidRPr="004C5CA9">
        <w:rPr>
          <w:rStyle w:val="Emphasis"/>
          <w:rFonts w:eastAsia="Calibri"/>
        </w:rPr>
        <w:t>,</w:t>
      </w:r>
      <w:r w:rsidR="00A26998" w:rsidRPr="000F24E1">
        <w:rPr>
          <w:rFonts w:ascii="Calibri" w:eastAsia="Calibri" w:hAnsi="Calibri" w:cs="Calibri"/>
          <w:i/>
          <w:iCs/>
        </w:rPr>
        <w:t xml:space="preserve"> </w:t>
      </w:r>
      <w:r w:rsidR="00A26998">
        <w:rPr>
          <w:rFonts w:ascii="Calibri" w:eastAsia="Calibri" w:hAnsi="Calibri" w:cs="Calibri"/>
        </w:rPr>
        <w:t>January 2025 p 2</w:t>
      </w:r>
      <w:r w:rsidR="00580813" w:rsidRPr="00580813">
        <w:rPr>
          <w:rFonts w:ascii="Calibri" w:eastAsia="Calibri" w:hAnsi="Calibri" w:cs="Calibri"/>
        </w:rPr>
        <w:t>–</w:t>
      </w:r>
      <w:r w:rsidR="00E1117D">
        <w:rPr>
          <w:rFonts w:ascii="Calibri" w:eastAsia="Calibri" w:hAnsi="Calibri" w:cs="Calibri"/>
        </w:rPr>
        <w:t>3</w:t>
      </w:r>
      <w:r w:rsidR="004D624C">
        <w:rPr>
          <w:rFonts w:ascii="Calibri" w:eastAsia="Calibri" w:hAnsi="Calibri" w:cs="Calibri"/>
        </w:rPr>
        <w:t>;</w:t>
      </w:r>
      <w:r w:rsidR="00063D09" w:rsidRPr="000B4745">
        <w:t xml:space="preserve"> Tas</w:t>
      </w:r>
      <w:r w:rsidR="00A91638">
        <w:t>manian</w:t>
      </w:r>
      <w:r w:rsidR="00063D09" w:rsidRPr="000B4745">
        <w:t xml:space="preserve"> S</w:t>
      </w:r>
      <w:r w:rsidR="00A91638">
        <w:t xml:space="preserve">mall Business </w:t>
      </w:r>
      <w:r w:rsidR="00063D09" w:rsidRPr="000B4745">
        <w:t>Council</w:t>
      </w:r>
      <w:r w:rsidR="00A91638">
        <w:t xml:space="preserve">, </w:t>
      </w:r>
      <w:r w:rsidR="003E5F95" w:rsidRPr="004C5CA9">
        <w:rPr>
          <w:rStyle w:val="Emphasis"/>
        </w:rPr>
        <w:t>S</w:t>
      </w:r>
      <w:r w:rsidR="003E5F95" w:rsidRPr="004C5CA9">
        <w:rPr>
          <w:rStyle w:val="Emphasis"/>
          <w:rFonts w:eastAsia="Calibri"/>
        </w:rPr>
        <w:t xml:space="preserve">ubmission to the Independent Review of the </w:t>
      </w:r>
      <w:r w:rsidR="003E5F95" w:rsidRPr="004C5CA9">
        <w:rPr>
          <w:rStyle w:val="Emphasis"/>
        </w:rPr>
        <w:t>ASBFEO</w:t>
      </w:r>
      <w:r w:rsidR="00A91638" w:rsidRPr="004C5CA9">
        <w:rPr>
          <w:rStyle w:val="Emphasis"/>
          <w:rFonts w:eastAsia="Calibri"/>
        </w:rPr>
        <w:t xml:space="preserve">, </w:t>
      </w:r>
      <w:r w:rsidR="00A91638">
        <w:rPr>
          <w:rFonts w:ascii="Calibri" w:eastAsia="Calibri" w:hAnsi="Calibri" w:cs="Calibri"/>
        </w:rPr>
        <w:t xml:space="preserve">January 2025, p 2; </w:t>
      </w:r>
      <w:r w:rsidR="00371532">
        <w:rPr>
          <w:rFonts w:ascii="Calibri" w:eastAsia="Calibri" w:hAnsi="Calibri" w:cs="Calibri"/>
        </w:rPr>
        <w:t xml:space="preserve">The Institute of Certified Bookkeepers, </w:t>
      </w:r>
      <w:r w:rsidR="00371532" w:rsidRPr="004C5CA9">
        <w:rPr>
          <w:rStyle w:val="Emphasis"/>
          <w:rFonts w:eastAsia="Calibri"/>
        </w:rPr>
        <w:t>Submission to the Review of the ASBFEO</w:t>
      </w:r>
      <w:r w:rsidR="00371532" w:rsidRPr="000F24E1">
        <w:rPr>
          <w:rFonts w:ascii="Calibri" w:eastAsia="Calibri" w:hAnsi="Calibri" w:cs="Calibri"/>
          <w:i/>
          <w:iCs/>
        </w:rPr>
        <w:t xml:space="preserve">, </w:t>
      </w:r>
      <w:r w:rsidR="00371532">
        <w:rPr>
          <w:rFonts w:ascii="Calibri" w:eastAsia="Calibri" w:hAnsi="Calibri" w:cs="Calibri"/>
        </w:rPr>
        <w:t xml:space="preserve">January 2025, p 2; </w:t>
      </w:r>
      <w:r w:rsidR="001F4B43" w:rsidRPr="001F4B43">
        <w:t>CPA Australia and Chartered Accountants Australia and New Zealand (CA ANZ</w:t>
      </w:r>
      <w:r w:rsidR="001F4B43">
        <w:t>)</w:t>
      </w:r>
      <w:r w:rsidR="006D060C">
        <w:t xml:space="preserve">, </w:t>
      </w:r>
      <w:r w:rsidR="006D060C" w:rsidRPr="004C5CA9">
        <w:rPr>
          <w:rStyle w:val="Emphasis"/>
          <w:rFonts w:eastAsia="Calibri"/>
        </w:rPr>
        <w:t>Submission to the Review of the ASBFEO</w:t>
      </w:r>
      <w:r w:rsidR="006D060C" w:rsidRPr="000F24E1">
        <w:rPr>
          <w:rFonts w:ascii="Calibri" w:eastAsia="Calibri" w:hAnsi="Calibri" w:cs="Calibri"/>
          <w:i/>
          <w:iCs/>
        </w:rPr>
        <w:t xml:space="preserve">, </w:t>
      </w:r>
      <w:r w:rsidR="006D060C">
        <w:rPr>
          <w:rFonts w:ascii="Calibri" w:eastAsia="Calibri" w:hAnsi="Calibri" w:cs="Calibri"/>
        </w:rPr>
        <w:t>January 2025, p 2</w:t>
      </w:r>
      <w:r w:rsidR="006E10C4">
        <w:rPr>
          <w:rFonts w:ascii="Calibri" w:eastAsia="Calibri" w:hAnsi="Calibri" w:cs="Calibri"/>
        </w:rPr>
        <w:t>;</w:t>
      </w:r>
      <w:r w:rsidR="006E10C4">
        <w:rPr>
          <w:rFonts w:eastAsia="Calibri"/>
        </w:rPr>
        <w:t xml:space="preserve"> </w:t>
      </w:r>
      <w:r w:rsidR="002778A3" w:rsidRPr="00916FA5" w:rsidDel="00FC5F26">
        <w:rPr>
          <w:rFonts w:eastAsia="Calibri"/>
        </w:rPr>
        <w:t>Commercial &amp; Asset Finance Brokers Association of Australia</w:t>
      </w:r>
      <w:r w:rsidR="0073676F">
        <w:rPr>
          <w:rFonts w:eastAsia="Calibri"/>
        </w:rPr>
        <w:t xml:space="preserve"> (</w:t>
      </w:r>
      <w:r w:rsidR="006E10C4">
        <w:rPr>
          <w:rFonts w:cstheme="minorBidi"/>
        </w:rPr>
        <w:t>CAFBA</w:t>
      </w:r>
      <w:r w:rsidR="0073676F">
        <w:rPr>
          <w:rFonts w:cstheme="minorBidi"/>
        </w:rPr>
        <w:t>)</w:t>
      </w:r>
      <w:r w:rsidR="006E10C4">
        <w:rPr>
          <w:rFonts w:cstheme="minorBidi"/>
        </w:rPr>
        <w:t xml:space="preserve"> </w:t>
      </w:r>
      <w:r w:rsidR="006E10C4" w:rsidRPr="004C5CA9">
        <w:rPr>
          <w:rStyle w:val="Emphasis"/>
        </w:rPr>
        <w:t>S</w:t>
      </w:r>
      <w:r w:rsidR="006E10C4" w:rsidRPr="004C5CA9">
        <w:rPr>
          <w:rStyle w:val="Emphasis"/>
          <w:rFonts w:eastAsia="Calibri"/>
        </w:rPr>
        <w:t>ubmission to the Independent Review of the</w:t>
      </w:r>
      <w:r w:rsidR="006E10C4" w:rsidRPr="001F2D64">
        <w:rPr>
          <w:rFonts w:ascii="Calibri" w:eastAsia="Calibri" w:hAnsi="Calibri" w:cs="Calibri"/>
          <w:i/>
          <w:iCs/>
        </w:rPr>
        <w:t xml:space="preserve"> </w:t>
      </w:r>
      <w:r w:rsidR="006E10C4">
        <w:rPr>
          <w:rFonts w:cstheme="minorBidi"/>
        </w:rPr>
        <w:t>ASBFEO Review, January</w:t>
      </w:r>
      <w:r w:rsidR="004C5CA9">
        <w:rPr>
          <w:rFonts w:cstheme="minorBidi"/>
        </w:rPr>
        <w:t> </w:t>
      </w:r>
      <w:r w:rsidR="006E10C4">
        <w:rPr>
          <w:rFonts w:cstheme="minorBidi"/>
        </w:rPr>
        <w:t>2025, p 5</w:t>
      </w:r>
      <w:r w:rsidR="00371532">
        <w:t>.</w:t>
      </w:r>
    </w:p>
  </w:footnote>
  <w:footnote w:id="33">
    <w:p w14:paraId="632D9F09" w14:textId="031C0284" w:rsidR="00CF3797" w:rsidRDefault="00CF3797">
      <w:pPr>
        <w:pStyle w:val="FootnoteText"/>
      </w:pPr>
      <w:r>
        <w:rPr>
          <w:rStyle w:val="FootnoteReference"/>
        </w:rPr>
        <w:footnoteRef/>
      </w:r>
      <w:r>
        <w:t xml:space="preserve"> </w:t>
      </w:r>
      <w:r w:rsidR="003C3BAA">
        <w:tab/>
      </w:r>
      <w:r w:rsidR="009E79F1">
        <w:t>Western Australian Small Business Development Corporation</w:t>
      </w:r>
      <w:r w:rsidR="001C3D94">
        <w:t xml:space="preserve"> (</w:t>
      </w:r>
      <w:r w:rsidR="001C3D94" w:rsidRPr="009618FF">
        <w:t>SBDC (WA))</w:t>
      </w:r>
      <w:r w:rsidR="003E5F95" w:rsidRPr="001C3D94">
        <w:t>,</w:t>
      </w:r>
      <w:r w:rsidR="003E5F95">
        <w:t xml:space="preserve"> </w:t>
      </w:r>
      <w:r w:rsidR="00A5597F" w:rsidRPr="004C5CA9">
        <w:rPr>
          <w:rStyle w:val="Emphasis"/>
        </w:rPr>
        <w:t>S</w:t>
      </w:r>
      <w:r w:rsidR="00A5597F" w:rsidRPr="004C5CA9">
        <w:rPr>
          <w:rStyle w:val="Emphasis"/>
          <w:rFonts w:eastAsia="Calibri"/>
        </w:rPr>
        <w:t xml:space="preserve">ubmission to the Independent Review of the </w:t>
      </w:r>
      <w:r w:rsidR="00A5597F" w:rsidRPr="004C5CA9">
        <w:rPr>
          <w:rStyle w:val="Emphasis"/>
        </w:rPr>
        <w:t>ASBFEO,</w:t>
      </w:r>
      <w:r w:rsidR="00A5597F">
        <w:rPr>
          <w:rFonts w:cstheme="minorBidi"/>
        </w:rPr>
        <w:t xml:space="preserve"> </w:t>
      </w:r>
      <w:r w:rsidR="003E5F95">
        <w:t>January 2025, p 3</w:t>
      </w:r>
      <w:r w:rsidR="00CC18DF">
        <w:t>.</w:t>
      </w:r>
    </w:p>
  </w:footnote>
  <w:footnote w:id="34">
    <w:p w14:paraId="700357FB" w14:textId="6968F022" w:rsidR="00066A26" w:rsidRDefault="00066A26">
      <w:pPr>
        <w:pStyle w:val="FootnoteText"/>
      </w:pPr>
      <w:r>
        <w:rPr>
          <w:rStyle w:val="FootnoteReference"/>
        </w:rPr>
        <w:footnoteRef/>
      </w:r>
      <w:r>
        <w:t xml:space="preserve"> </w:t>
      </w:r>
      <w:r w:rsidR="003C3BAA">
        <w:tab/>
      </w:r>
      <w:r>
        <w:rPr>
          <w:rFonts w:cstheme="minorBidi"/>
        </w:rPr>
        <w:t xml:space="preserve">NANA </w:t>
      </w:r>
      <w:r w:rsidRPr="004C5CA9">
        <w:rPr>
          <w:rStyle w:val="Emphasis"/>
        </w:rPr>
        <w:t>S</w:t>
      </w:r>
      <w:r w:rsidRPr="004C5CA9">
        <w:rPr>
          <w:rStyle w:val="Emphasis"/>
          <w:rFonts w:eastAsia="Calibri"/>
        </w:rPr>
        <w:t xml:space="preserve">ubmission to the Independent Review of the </w:t>
      </w:r>
      <w:r w:rsidRPr="00F55FA6">
        <w:t xml:space="preserve">ASBFEO </w:t>
      </w:r>
      <w:r>
        <w:rPr>
          <w:rFonts w:cstheme="minorBidi"/>
        </w:rPr>
        <w:t>Review, January 2025 p 2</w:t>
      </w:r>
      <w:r w:rsidR="00580813" w:rsidRPr="00580813">
        <w:rPr>
          <w:rFonts w:cstheme="minorBidi"/>
        </w:rPr>
        <w:t>–</w:t>
      </w:r>
      <w:r>
        <w:rPr>
          <w:rFonts w:cstheme="minorBidi"/>
        </w:rPr>
        <w:t>3;</w:t>
      </w:r>
      <w:r w:rsidRPr="000B4745">
        <w:t xml:space="preserve"> </w:t>
      </w:r>
      <w:r w:rsidRPr="36F91C57">
        <w:rPr>
          <w:rFonts w:ascii="Calibri" w:eastAsia="Calibri" w:hAnsi="Calibri" w:cs="Calibri"/>
        </w:rPr>
        <w:t>S</w:t>
      </w:r>
      <w:r>
        <w:rPr>
          <w:rFonts w:ascii="Calibri" w:eastAsia="Calibri" w:hAnsi="Calibri" w:cs="Calibri"/>
        </w:rPr>
        <w:t>mall Biz</w:t>
      </w:r>
      <w:r w:rsidRPr="36F91C57">
        <w:rPr>
          <w:rFonts w:ascii="Calibri" w:eastAsia="Calibri" w:hAnsi="Calibri" w:cs="Calibri"/>
        </w:rPr>
        <w:t xml:space="preserve"> Matters</w:t>
      </w:r>
      <w:r>
        <w:rPr>
          <w:rFonts w:ascii="Calibri" w:eastAsia="Calibri" w:hAnsi="Calibri" w:cs="Calibri"/>
        </w:rPr>
        <w:t xml:space="preserve">, </w:t>
      </w:r>
      <w:r w:rsidRPr="004C5CA9">
        <w:rPr>
          <w:rStyle w:val="Emphasis"/>
        </w:rPr>
        <w:t>S</w:t>
      </w:r>
      <w:r w:rsidRPr="004C5CA9">
        <w:rPr>
          <w:rStyle w:val="Emphasis"/>
          <w:rFonts w:eastAsia="Calibri"/>
        </w:rPr>
        <w:t xml:space="preserve">ubmission to the Independent Review of the </w:t>
      </w:r>
      <w:r w:rsidRPr="004C5CA9">
        <w:rPr>
          <w:rStyle w:val="Emphasis"/>
        </w:rPr>
        <w:t>ASBFEO</w:t>
      </w:r>
      <w:r>
        <w:rPr>
          <w:rFonts w:cstheme="minorBidi"/>
        </w:rPr>
        <w:t xml:space="preserve"> </w:t>
      </w:r>
      <w:r>
        <w:rPr>
          <w:rFonts w:ascii="Calibri" w:eastAsia="Calibri" w:hAnsi="Calibri" w:cs="Calibri"/>
        </w:rPr>
        <w:t xml:space="preserve">January 2025, p 3; </w:t>
      </w:r>
      <w:r>
        <w:t xml:space="preserve">CPA </w:t>
      </w:r>
      <w:r w:rsidR="00237F30">
        <w:t>Australia</w:t>
      </w:r>
      <w:r>
        <w:t xml:space="preserve"> and </w:t>
      </w:r>
      <w:r w:rsidRPr="001F4B43">
        <w:t>CA ANZ</w:t>
      </w:r>
      <w:r>
        <w:t xml:space="preserve">, </w:t>
      </w:r>
      <w:r w:rsidRPr="004C5CA9">
        <w:rPr>
          <w:rStyle w:val="Emphasis"/>
          <w:rFonts w:eastAsia="Calibri"/>
        </w:rPr>
        <w:t>Submission to the Review of the ASBFEO</w:t>
      </w:r>
      <w:r w:rsidRPr="000F24E1">
        <w:rPr>
          <w:rFonts w:ascii="Calibri" w:eastAsia="Calibri" w:hAnsi="Calibri" w:cs="Calibri"/>
          <w:i/>
          <w:iCs/>
        </w:rPr>
        <w:t xml:space="preserve">, </w:t>
      </w:r>
      <w:r>
        <w:rPr>
          <w:rFonts w:ascii="Calibri" w:eastAsia="Calibri" w:hAnsi="Calibri" w:cs="Calibri"/>
        </w:rPr>
        <w:t>January 2025, p 2</w:t>
      </w:r>
      <w:r w:rsidR="00CC18DF">
        <w:rPr>
          <w:rFonts w:ascii="Calibri" w:eastAsia="Calibri" w:hAnsi="Calibri" w:cs="Calibri"/>
        </w:rPr>
        <w:t>.</w:t>
      </w:r>
    </w:p>
  </w:footnote>
  <w:footnote w:id="35">
    <w:p w14:paraId="6061BA15" w14:textId="52658D88" w:rsidR="001569DC" w:rsidRDefault="001569DC">
      <w:pPr>
        <w:pStyle w:val="FootnoteText"/>
      </w:pPr>
      <w:r>
        <w:rPr>
          <w:rStyle w:val="FootnoteReference"/>
        </w:rPr>
        <w:footnoteRef/>
      </w:r>
      <w:r>
        <w:t xml:space="preserve"> </w:t>
      </w:r>
      <w:r w:rsidR="003C3BAA">
        <w:tab/>
      </w:r>
      <w:r w:rsidRPr="000B4745">
        <w:t>ITECA</w:t>
      </w:r>
      <w:r>
        <w:t xml:space="preserve">, </w:t>
      </w:r>
      <w:r w:rsidRPr="00AE0E49">
        <w:rPr>
          <w:rStyle w:val="Emphasis"/>
        </w:rPr>
        <w:t>S</w:t>
      </w:r>
      <w:r w:rsidRPr="00AE0E49">
        <w:rPr>
          <w:rStyle w:val="Emphasis"/>
          <w:rFonts w:eastAsia="Calibri"/>
        </w:rPr>
        <w:t xml:space="preserve">ubmission to the Independent Review of the </w:t>
      </w:r>
      <w:r w:rsidRPr="00AE0E49">
        <w:rPr>
          <w:rStyle w:val="Emphasis"/>
        </w:rPr>
        <w:t>ASBFEO</w:t>
      </w:r>
      <w:r>
        <w:rPr>
          <w:rFonts w:cstheme="minorBidi"/>
        </w:rPr>
        <w:t xml:space="preserve"> December 2024, p</w:t>
      </w:r>
      <w:r w:rsidR="00D2261D">
        <w:rPr>
          <w:rFonts w:cstheme="minorBidi"/>
        </w:rPr>
        <w:t xml:space="preserve"> 3.</w:t>
      </w:r>
    </w:p>
  </w:footnote>
  <w:footnote w:id="36">
    <w:p w14:paraId="6C7ACB97" w14:textId="7AEE3678" w:rsidR="00481DA9" w:rsidRDefault="00481DA9">
      <w:pPr>
        <w:pStyle w:val="FootnoteText"/>
      </w:pPr>
      <w:r>
        <w:rPr>
          <w:rStyle w:val="FootnoteReference"/>
        </w:rPr>
        <w:footnoteRef/>
      </w:r>
      <w:r>
        <w:t xml:space="preserve"> </w:t>
      </w:r>
      <w:r w:rsidR="003C3BAA">
        <w:tab/>
      </w:r>
      <w:r>
        <w:t>GM Advisory</w:t>
      </w:r>
      <w:r w:rsidR="00D4551B" w:rsidRPr="001B706D">
        <w:t xml:space="preserve"> </w:t>
      </w:r>
      <w:r w:rsidR="00D4551B">
        <w:t xml:space="preserve">(Australia) </w:t>
      </w:r>
      <w:r w:rsidR="00D4551B" w:rsidRPr="001B706D">
        <w:t>Services</w:t>
      </w:r>
      <w:r>
        <w:t xml:space="preserve">, </w:t>
      </w:r>
      <w:r w:rsidRPr="00AE0E49">
        <w:rPr>
          <w:rStyle w:val="Emphasis"/>
        </w:rPr>
        <w:t>S</w:t>
      </w:r>
      <w:r w:rsidRPr="00AE0E49">
        <w:rPr>
          <w:rStyle w:val="Emphasis"/>
          <w:rFonts w:eastAsia="Calibri"/>
        </w:rPr>
        <w:t xml:space="preserve">ubmission to the Independent Review of the </w:t>
      </w:r>
      <w:r w:rsidRPr="00AE0E49">
        <w:rPr>
          <w:rStyle w:val="Emphasis"/>
        </w:rPr>
        <w:t>ASBFEO</w:t>
      </w:r>
      <w:r>
        <w:rPr>
          <w:rFonts w:ascii="Calibri" w:eastAsia="Calibri" w:hAnsi="Calibri" w:cs="Calibri"/>
        </w:rPr>
        <w:t xml:space="preserve">, </w:t>
      </w:r>
      <w:r>
        <w:t xml:space="preserve">January 2025 </w:t>
      </w:r>
      <w:r w:rsidR="00AE0E49">
        <w:br/>
      </w:r>
      <w:r>
        <w:t xml:space="preserve">p </w:t>
      </w:r>
      <w:r w:rsidR="00287D63">
        <w:t>1</w:t>
      </w:r>
      <w:r w:rsidR="00581716" w:rsidRPr="00581716">
        <w:t>–</w:t>
      </w:r>
      <w:r w:rsidR="00287D63">
        <w:t>2</w:t>
      </w:r>
      <w:r w:rsidR="006D4BD3">
        <w:t>.</w:t>
      </w:r>
    </w:p>
  </w:footnote>
  <w:footnote w:id="37">
    <w:p w14:paraId="4AF68B90" w14:textId="40B5C8CE" w:rsidR="00430F56" w:rsidRDefault="00430F56">
      <w:pPr>
        <w:pStyle w:val="FootnoteText"/>
      </w:pPr>
      <w:r>
        <w:rPr>
          <w:rStyle w:val="FootnoteReference"/>
        </w:rPr>
        <w:footnoteRef/>
      </w:r>
      <w:r>
        <w:t xml:space="preserve"> </w:t>
      </w:r>
      <w:r w:rsidR="009D79DE">
        <w:tab/>
      </w:r>
      <w:r w:rsidRPr="00E8268D">
        <w:rPr>
          <w:rFonts w:cstheme="minorHAnsi"/>
        </w:rPr>
        <w:t xml:space="preserve">ASBFEO, </w:t>
      </w:r>
      <w:r w:rsidRPr="00E8268D">
        <w:rPr>
          <w:rFonts w:cstheme="minorHAnsi"/>
          <w:i/>
          <w:iCs/>
        </w:rPr>
        <w:t>Submission to the Independent Review of the ASBFEO</w:t>
      </w:r>
      <w:r w:rsidRPr="00E8268D">
        <w:rPr>
          <w:rFonts w:cstheme="minorHAnsi"/>
        </w:rPr>
        <w:t>, January 2025, p</w:t>
      </w:r>
      <w:r>
        <w:rPr>
          <w:rFonts w:cstheme="minorHAnsi"/>
          <w:sz w:val="22"/>
          <w:szCs w:val="22"/>
        </w:rPr>
        <w:t xml:space="preserve"> </w:t>
      </w:r>
      <w:r>
        <w:rPr>
          <w:rFonts w:cstheme="minorHAnsi"/>
        </w:rPr>
        <w:t>18</w:t>
      </w:r>
      <w:r w:rsidR="00970043">
        <w:rPr>
          <w:rFonts w:cstheme="minorHAnsi"/>
        </w:rPr>
        <w:t>.</w:t>
      </w:r>
    </w:p>
  </w:footnote>
  <w:footnote w:id="38">
    <w:p w14:paraId="5A50F6ED" w14:textId="3A7B8622" w:rsidR="00737EBE" w:rsidRDefault="00737EBE" w:rsidP="006860D8">
      <w:pPr>
        <w:pStyle w:val="FootnoteText"/>
      </w:pPr>
      <w:r>
        <w:rPr>
          <w:rStyle w:val="FootnoteReference"/>
        </w:rPr>
        <w:footnoteRef/>
      </w:r>
      <w:r>
        <w:t xml:space="preserve"> </w:t>
      </w:r>
      <w:r w:rsidR="009D79DE">
        <w:tab/>
      </w:r>
      <w:r>
        <w:rPr>
          <w:rFonts w:cstheme="minorBidi"/>
        </w:rPr>
        <w:t xml:space="preserve">COSBOA, </w:t>
      </w:r>
      <w:r w:rsidRPr="00BD7471">
        <w:rPr>
          <w:rStyle w:val="Emphasis"/>
        </w:rPr>
        <w:t>S</w:t>
      </w:r>
      <w:r w:rsidRPr="00BD7471">
        <w:rPr>
          <w:rStyle w:val="Emphasis"/>
          <w:rFonts w:eastAsia="Calibri"/>
        </w:rPr>
        <w:t xml:space="preserve">ubmission to the Independent Review of the </w:t>
      </w:r>
      <w:r w:rsidRPr="007704C2">
        <w:t>ASBFEO</w:t>
      </w:r>
      <w:r>
        <w:rPr>
          <w:rFonts w:cstheme="minorBidi"/>
        </w:rPr>
        <w:t xml:space="preserve"> Review, January 2025, p 3; </w:t>
      </w:r>
      <w:r w:rsidR="00F31CB2">
        <w:rPr>
          <w:rFonts w:cstheme="minorBidi"/>
        </w:rPr>
        <w:t>N</w:t>
      </w:r>
      <w:r w:rsidR="00F31CB2" w:rsidRPr="26543DF1">
        <w:rPr>
          <w:rFonts w:ascii="Calibri" w:eastAsia="Calibri" w:hAnsi="Calibri" w:cs="Calibri"/>
        </w:rPr>
        <w:t>ECA</w:t>
      </w:r>
      <w:r w:rsidR="00F31CB2">
        <w:rPr>
          <w:rFonts w:ascii="Calibri" w:eastAsia="Calibri" w:hAnsi="Calibri" w:cs="Calibri"/>
        </w:rPr>
        <w:t xml:space="preserve">, </w:t>
      </w:r>
      <w:r w:rsidR="00F31CB2" w:rsidRPr="00BD7471">
        <w:rPr>
          <w:rStyle w:val="Emphasis"/>
        </w:rPr>
        <w:t>S</w:t>
      </w:r>
      <w:r w:rsidR="00F31CB2" w:rsidRPr="00BD7471">
        <w:rPr>
          <w:rStyle w:val="Emphasis"/>
          <w:rFonts w:eastAsia="Calibri"/>
        </w:rPr>
        <w:t xml:space="preserve">ubmission to the Independent Review of the </w:t>
      </w:r>
      <w:r w:rsidR="00F31CB2" w:rsidRPr="00BD7471">
        <w:rPr>
          <w:rStyle w:val="Emphasis"/>
        </w:rPr>
        <w:t>ASBFEO</w:t>
      </w:r>
      <w:r w:rsidR="00F31CB2" w:rsidRPr="000F24E1">
        <w:rPr>
          <w:rFonts w:ascii="Calibri" w:eastAsia="Calibri" w:hAnsi="Calibri" w:cs="Calibri"/>
          <w:i/>
          <w:iCs/>
        </w:rPr>
        <w:t xml:space="preserve">, </w:t>
      </w:r>
      <w:r w:rsidR="00F31CB2">
        <w:rPr>
          <w:rFonts w:ascii="Calibri" w:eastAsia="Calibri" w:hAnsi="Calibri" w:cs="Calibri"/>
        </w:rPr>
        <w:t xml:space="preserve">January 2025 </w:t>
      </w:r>
      <w:r w:rsidR="00F31CB2">
        <w:rPr>
          <w:rFonts w:cstheme="minorBidi"/>
        </w:rPr>
        <w:t>p</w:t>
      </w:r>
      <w:r w:rsidR="000D6989">
        <w:rPr>
          <w:rFonts w:cstheme="minorBidi"/>
        </w:rPr>
        <w:t xml:space="preserve"> 3; </w:t>
      </w:r>
      <w:r w:rsidR="000D6989" w:rsidRPr="36F91C57">
        <w:rPr>
          <w:rFonts w:ascii="Calibri" w:eastAsia="Calibri" w:hAnsi="Calibri" w:cs="Calibri"/>
        </w:rPr>
        <w:t>S</w:t>
      </w:r>
      <w:r w:rsidR="000D6989">
        <w:rPr>
          <w:rFonts w:ascii="Calibri" w:eastAsia="Calibri" w:hAnsi="Calibri" w:cs="Calibri"/>
        </w:rPr>
        <w:t>mall Biz</w:t>
      </w:r>
      <w:r w:rsidR="000D6989" w:rsidRPr="36F91C57">
        <w:rPr>
          <w:rFonts w:ascii="Calibri" w:eastAsia="Calibri" w:hAnsi="Calibri" w:cs="Calibri"/>
        </w:rPr>
        <w:t xml:space="preserve"> Matters</w:t>
      </w:r>
      <w:r w:rsidR="000D6989">
        <w:rPr>
          <w:rFonts w:ascii="Calibri" w:eastAsia="Calibri" w:hAnsi="Calibri" w:cs="Calibri"/>
        </w:rPr>
        <w:t xml:space="preserve">, </w:t>
      </w:r>
      <w:r w:rsidR="000D6989">
        <w:rPr>
          <w:rFonts w:cstheme="minorBidi"/>
        </w:rPr>
        <w:t>S</w:t>
      </w:r>
      <w:r w:rsidR="000D6989">
        <w:rPr>
          <w:rFonts w:ascii="Calibri" w:eastAsia="Calibri" w:hAnsi="Calibri" w:cs="Calibri"/>
          <w:i/>
          <w:iCs/>
        </w:rPr>
        <w:t xml:space="preserve">ubmission to the </w:t>
      </w:r>
      <w:r w:rsidR="000D6989" w:rsidRPr="001F2D64">
        <w:rPr>
          <w:rFonts w:ascii="Calibri" w:eastAsia="Calibri" w:hAnsi="Calibri" w:cs="Calibri"/>
          <w:i/>
          <w:iCs/>
        </w:rPr>
        <w:t>Independent Review of the</w:t>
      </w:r>
      <w:r w:rsidR="000D6989" w:rsidRPr="003E5F95">
        <w:rPr>
          <w:rFonts w:ascii="Calibri" w:eastAsia="Calibri" w:hAnsi="Calibri" w:cs="Calibri"/>
          <w:i/>
          <w:iCs/>
        </w:rPr>
        <w:t xml:space="preserve"> </w:t>
      </w:r>
      <w:r w:rsidR="000D6989" w:rsidRPr="007704C2">
        <w:t xml:space="preserve">ASBFEO </w:t>
      </w:r>
      <w:r w:rsidR="000D6989">
        <w:rPr>
          <w:rFonts w:ascii="Calibri" w:eastAsia="Calibri" w:hAnsi="Calibri" w:cs="Calibri"/>
        </w:rPr>
        <w:t>January 2025, p 4;</w:t>
      </w:r>
      <w:r w:rsidR="00A52E78">
        <w:rPr>
          <w:rFonts w:ascii="Calibri" w:eastAsia="Calibri" w:hAnsi="Calibri" w:cs="Calibri"/>
        </w:rPr>
        <w:t xml:space="preserve"> </w:t>
      </w:r>
      <w:r w:rsidR="00A52E78">
        <w:t>CPA</w:t>
      </w:r>
      <w:r w:rsidR="00283B99">
        <w:t xml:space="preserve"> </w:t>
      </w:r>
      <w:r w:rsidR="00237F30">
        <w:t xml:space="preserve">Australia </w:t>
      </w:r>
      <w:r w:rsidR="00283B99">
        <w:t xml:space="preserve">and </w:t>
      </w:r>
      <w:r w:rsidR="00A52E78" w:rsidRPr="001F4B43">
        <w:t>CA ANZ</w:t>
      </w:r>
      <w:r w:rsidR="00A52E78">
        <w:t xml:space="preserve">, </w:t>
      </w:r>
      <w:r w:rsidR="00A52E78" w:rsidRPr="000F24E1">
        <w:rPr>
          <w:rFonts w:ascii="Calibri" w:eastAsia="Calibri" w:hAnsi="Calibri" w:cs="Calibri"/>
          <w:i/>
          <w:iCs/>
        </w:rPr>
        <w:t xml:space="preserve">Submission to the Review of the ASBFEO, </w:t>
      </w:r>
      <w:r w:rsidR="00A52E78">
        <w:rPr>
          <w:rFonts w:ascii="Calibri" w:eastAsia="Calibri" w:hAnsi="Calibri" w:cs="Calibri"/>
        </w:rPr>
        <w:t xml:space="preserve">January 2025, p </w:t>
      </w:r>
      <w:r w:rsidR="00283B99">
        <w:rPr>
          <w:rFonts w:ascii="Calibri" w:eastAsia="Calibri" w:hAnsi="Calibri" w:cs="Calibri"/>
        </w:rPr>
        <w:t>3</w:t>
      </w:r>
      <w:r w:rsidR="006860D8">
        <w:rPr>
          <w:rFonts w:ascii="Calibri" w:eastAsia="Calibri" w:hAnsi="Calibri" w:cs="Calibri"/>
        </w:rPr>
        <w:t>.</w:t>
      </w:r>
    </w:p>
  </w:footnote>
  <w:footnote w:id="39">
    <w:p w14:paraId="5CD0D125" w14:textId="3FC3B176" w:rsidR="00145433" w:rsidRDefault="00145433">
      <w:pPr>
        <w:pStyle w:val="FootnoteText"/>
      </w:pPr>
      <w:r>
        <w:rPr>
          <w:rStyle w:val="FootnoteReference"/>
        </w:rPr>
        <w:footnoteRef/>
      </w:r>
      <w:r>
        <w:t xml:space="preserve"> </w:t>
      </w:r>
      <w:r w:rsidR="009D79DE">
        <w:tab/>
      </w:r>
      <w:r w:rsidRPr="00C47726">
        <w:rPr>
          <w:lang w:val="en-US"/>
        </w:rPr>
        <w:t xml:space="preserve">Entrepreneurial &amp; Small </w:t>
      </w:r>
      <w:proofErr w:type="gramStart"/>
      <w:r w:rsidRPr="00C47726">
        <w:rPr>
          <w:lang w:val="en-US"/>
        </w:rPr>
        <w:t>Business Women</w:t>
      </w:r>
      <w:proofErr w:type="gramEnd"/>
      <w:r w:rsidRPr="00C47726">
        <w:rPr>
          <w:lang w:val="en-US"/>
        </w:rPr>
        <w:t xml:space="preserve"> Australia</w:t>
      </w:r>
      <w:r>
        <w:rPr>
          <w:lang w:val="en-US"/>
        </w:rPr>
        <w:t xml:space="preserve">, </w:t>
      </w:r>
      <w:r w:rsidR="006D1738" w:rsidRPr="007704C2">
        <w:rPr>
          <w:rStyle w:val="Emphasis"/>
        </w:rPr>
        <w:t>S</w:t>
      </w:r>
      <w:r w:rsidR="006D1738" w:rsidRPr="007704C2">
        <w:rPr>
          <w:rStyle w:val="Emphasis"/>
          <w:rFonts w:eastAsia="Calibri"/>
        </w:rPr>
        <w:t xml:space="preserve">ubmission to the Independent Review of the </w:t>
      </w:r>
      <w:r w:rsidR="006D1738">
        <w:rPr>
          <w:rFonts w:cstheme="minorBidi"/>
        </w:rPr>
        <w:t>ASBFEO Review, January 2025, p 2.</w:t>
      </w:r>
    </w:p>
  </w:footnote>
  <w:footnote w:id="40">
    <w:p w14:paraId="269DC40B" w14:textId="40F737CE" w:rsidR="00D23752" w:rsidRDefault="00D23752">
      <w:pPr>
        <w:pStyle w:val="FootnoteText"/>
      </w:pPr>
      <w:r>
        <w:rPr>
          <w:rStyle w:val="FootnoteReference"/>
        </w:rPr>
        <w:footnoteRef/>
      </w:r>
      <w:r>
        <w:t xml:space="preserve"> </w:t>
      </w:r>
      <w:r w:rsidR="009D79DE">
        <w:tab/>
      </w:r>
      <w:r>
        <w:t xml:space="preserve">IPA, </w:t>
      </w:r>
      <w:r w:rsidRPr="007704C2">
        <w:rPr>
          <w:rStyle w:val="Emphasis"/>
        </w:rPr>
        <w:t>S</w:t>
      </w:r>
      <w:r w:rsidRPr="007704C2">
        <w:rPr>
          <w:rStyle w:val="Emphasis"/>
          <w:rFonts w:eastAsia="Calibri"/>
        </w:rPr>
        <w:t>ubmission to the Independent Review of the</w:t>
      </w:r>
      <w:r w:rsidRPr="001F2D64">
        <w:rPr>
          <w:rFonts w:ascii="Calibri" w:eastAsia="Calibri" w:hAnsi="Calibri" w:cs="Calibri"/>
          <w:i/>
          <w:iCs/>
        </w:rPr>
        <w:t xml:space="preserve"> </w:t>
      </w:r>
      <w:r>
        <w:rPr>
          <w:rFonts w:cstheme="minorBidi"/>
        </w:rPr>
        <w:t>ASBFEO Review, January 2025, p 2.</w:t>
      </w:r>
    </w:p>
  </w:footnote>
  <w:footnote w:id="41">
    <w:p w14:paraId="3F6B82E6" w14:textId="6832817B" w:rsidR="006037AE" w:rsidRDefault="006037AE">
      <w:pPr>
        <w:pStyle w:val="FootnoteText"/>
      </w:pPr>
      <w:r>
        <w:rPr>
          <w:rStyle w:val="FootnoteReference"/>
        </w:rPr>
        <w:footnoteRef/>
      </w:r>
      <w:r>
        <w:t xml:space="preserve"> </w:t>
      </w:r>
      <w:r w:rsidR="009D79DE">
        <w:tab/>
      </w:r>
      <w:r>
        <w:t>GM Advisory</w:t>
      </w:r>
      <w:r w:rsidR="00D4551B" w:rsidRPr="001B706D">
        <w:t xml:space="preserve"> </w:t>
      </w:r>
      <w:r w:rsidR="00D4551B">
        <w:t xml:space="preserve">(Australia) </w:t>
      </w:r>
      <w:r w:rsidR="00D4551B" w:rsidRPr="001B706D">
        <w:t>Services</w:t>
      </w:r>
      <w:r>
        <w:t xml:space="preserve">, </w:t>
      </w:r>
      <w:r w:rsidRPr="007704C2">
        <w:rPr>
          <w:rStyle w:val="Emphasis"/>
        </w:rPr>
        <w:t>S</w:t>
      </w:r>
      <w:r w:rsidRPr="007704C2">
        <w:rPr>
          <w:rStyle w:val="Emphasis"/>
          <w:rFonts w:eastAsia="Calibri"/>
        </w:rPr>
        <w:t xml:space="preserve">ubmission to the Independent Review of the </w:t>
      </w:r>
      <w:r w:rsidRPr="007704C2">
        <w:rPr>
          <w:rStyle w:val="Emphasis"/>
        </w:rPr>
        <w:t>ASBFEO</w:t>
      </w:r>
      <w:r>
        <w:rPr>
          <w:rFonts w:ascii="Calibri" w:eastAsia="Calibri" w:hAnsi="Calibri" w:cs="Calibri"/>
        </w:rPr>
        <w:t xml:space="preserve">, </w:t>
      </w:r>
      <w:r>
        <w:t>January 2025 p 4.</w:t>
      </w:r>
    </w:p>
  </w:footnote>
  <w:footnote w:id="42">
    <w:p w14:paraId="3D481761" w14:textId="67E57741" w:rsidR="00CE4DF7" w:rsidRDefault="00CE4DF7">
      <w:pPr>
        <w:pStyle w:val="FootnoteText"/>
      </w:pPr>
      <w:r>
        <w:rPr>
          <w:rStyle w:val="FootnoteReference"/>
        </w:rPr>
        <w:footnoteRef/>
      </w:r>
      <w:r>
        <w:t xml:space="preserve"> </w:t>
      </w:r>
      <w:r>
        <w:tab/>
      </w:r>
      <w:r w:rsidRPr="005F7E38">
        <w:t xml:space="preserve">C McGregor, </w:t>
      </w:r>
      <w:hyperlink r:id="rId14" w:history="1">
        <w:r w:rsidRPr="009D2D58">
          <w:rPr>
            <w:rStyle w:val="Hyperlink"/>
          </w:rPr>
          <w:t>Australian Small Business and Family Enterprise (ASBFEO) Independent Review</w:t>
        </w:r>
      </w:hyperlink>
      <w:r w:rsidRPr="005F7E38">
        <w:t>, Canberra, Commonwealth of Australia, 2021 p</w:t>
      </w:r>
      <w:r>
        <w:t>47,</w:t>
      </w:r>
      <w:r w:rsidRPr="005F7E38">
        <w:t xml:space="preserve"> accessed 20 May 2025</w:t>
      </w:r>
      <w:r w:rsidR="008D3F58">
        <w:t>.</w:t>
      </w:r>
    </w:p>
  </w:footnote>
  <w:footnote w:id="43">
    <w:p w14:paraId="150243B1" w14:textId="7DD1026D" w:rsidR="0051091F" w:rsidRDefault="0051091F">
      <w:pPr>
        <w:pStyle w:val="FootnoteText"/>
      </w:pPr>
      <w:r>
        <w:rPr>
          <w:rStyle w:val="FootnoteReference"/>
        </w:rPr>
        <w:footnoteRef/>
      </w:r>
      <w:r>
        <w:t xml:space="preserve"> </w:t>
      </w:r>
      <w:r w:rsidR="009D79DE">
        <w:tab/>
      </w:r>
      <w:r w:rsidR="001C0FA8">
        <w:t>ASBFEO</w:t>
      </w:r>
      <w:r>
        <w:t xml:space="preserve">, </w:t>
      </w:r>
      <w:hyperlink r:id="rId15" w:history="1">
        <w:r w:rsidR="00687C74" w:rsidRPr="000D2F53">
          <w:rPr>
            <w:rStyle w:val="Hyperlink"/>
          </w:rPr>
          <w:t>ASBFEO About Us</w:t>
        </w:r>
      </w:hyperlink>
      <w:r w:rsidR="00CE5214">
        <w:t xml:space="preserve">, </w:t>
      </w:r>
      <w:r w:rsidR="00687C74">
        <w:t>ASBFEO website</w:t>
      </w:r>
      <w:r w:rsidR="00CE5214">
        <w:t>, accesse</w:t>
      </w:r>
      <w:r w:rsidR="00B9599F">
        <w:t>d</w:t>
      </w:r>
      <w:r w:rsidR="00CE5214">
        <w:t xml:space="preserve"> 13 May 2025</w:t>
      </w:r>
      <w:r w:rsidR="008D3F58">
        <w:t>.</w:t>
      </w:r>
    </w:p>
  </w:footnote>
  <w:footnote w:id="44">
    <w:p w14:paraId="3FF43FC8" w14:textId="71D18DA0" w:rsidR="000B176F" w:rsidRDefault="000B176F">
      <w:pPr>
        <w:pStyle w:val="FootnoteText"/>
      </w:pPr>
      <w:r>
        <w:rPr>
          <w:rStyle w:val="FootnoteReference"/>
        </w:rPr>
        <w:footnoteRef/>
      </w:r>
      <w:r>
        <w:t xml:space="preserve"> </w:t>
      </w:r>
      <w:r w:rsidR="009D79DE">
        <w:tab/>
      </w:r>
      <w:r>
        <w:t xml:space="preserve">IPA, </w:t>
      </w:r>
      <w:r w:rsidRPr="00847281">
        <w:rPr>
          <w:rFonts w:cstheme="minorBidi"/>
          <w:i/>
          <w:iCs/>
        </w:rPr>
        <w:t>S</w:t>
      </w:r>
      <w:r w:rsidRPr="00847281">
        <w:rPr>
          <w:rFonts w:ascii="Calibri" w:eastAsia="Calibri" w:hAnsi="Calibri" w:cs="Calibri"/>
          <w:i/>
          <w:iCs/>
        </w:rPr>
        <w:t xml:space="preserve">ubmission to the Independent Review of the </w:t>
      </w:r>
      <w:r w:rsidRPr="00847281">
        <w:rPr>
          <w:rFonts w:cstheme="minorBidi"/>
          <w:i/>
          <w:iCs/>
        </w:rPr>
        <w:t>ASBFEO Review</w:t>
      </w:r>
      <w:r>
        <w:rPr>
          <w:rFonts w:cstheme="minorBidi"/>
        </w:rPr>
        <w:t>, January 2025, p 2</w:t>
      </w:r>
      <w:r w:rsidR="00100891">
        <w:rPr>
          <w:rFonts w:cstheme="minorBidi"/>
        </w:rPr>
        <w:t xml:space="preserve">; </w:t>
      </w:r>
      <w:r w:rsidR="00100891" w:rsidRPr="00100891">
        <w:rPr>
          <w:rFonts w:cstheme="minorBidi"/>
        </w:rPr>
        <w:t>Small Enterprise Association of Australia and New Zealand</w:t>
      </w:r>
      <w:r w:rsidR="00100891">
        <w:rPr>
          <w:rFonts w:cstheme="minorBidi"/>
        </w:rPr>
        <w:t xml:space="preserve"> </w:t>
      </w:r>
      <w:r w:rsidR="00CA53E0">
        <w:rPr>
          <w:rFonts w:cstheme="minorBidi"/>
        </w:rPr>
        <w:t>S</w:t>
      </w:r>
      <w:r w:rsidR="00CA53E0">
        <w:rPr>
          <w:rFonts w:ascii="Calibri" w:eastAsia="Calibri" w:hAnsi="Calibri" w:cs="Calibri"/>
          <w:i/>
          <w:iCs/>
        </w:rPr>
        <w:t xml:space="preserve">ubmission to the </w:t>
      </w:r>
      <w:r w:rsidR="00CA53E0" w:rsidRPr="001F2D64">
        <w:rPr>
          <w:rFonts w:ascii="Calibri" w:eastAsia="Calibri" w:hAnsi="Calibri" w:cs="Calibri"/>
          <w:i/>
          <w:iCs/>
        </w:rPr>
        <w:t xml:space="preserve">Independent Review of the </w:t>
      </w:r>
      <w:r w:rsidR="00CA53E0">
        <w:rPr>
          <w:rFonts w:cstheme="minorBidi"/>
        </w:rPr>
        <w:t>ASBFEO Review, January 2025, p 1</w:t>
      </w:r>
      <w:r w:rsidR="008D3F58">
        <w:rPr>
          <w:rFonts w:cstheme="minorBidi"/>
        </w:rPr>
        <w:t>.</w:t>
      </w:r>
    </w:p>
  </w:footnote>
  <w:footnote w:id="45">
    <w:p w14:paraId="0104422D" w14:textId="0F4F76FE" w:rsidR="00491CF8" w:rsidRDefault="00491CF8">
      <w:pPr>
        <w:pStyle w:val="FootnoteText"/>
      </w:pPr>
      <w:r>
        <w:rPr>
          <w:rStyle w:val="FootnoteReference"/>
        </w:rPr>
        <w:footnoteRef/>
      </w:r>
      <w:r>
        <w:t xml:space="preserve"> </w:t>
      </w:r>
      <w:r>
        <w:tab/>
      </w:r>
      <w:r w:rsidRPr="005F7E38">
        <w:t xml:space="preserve">C McGregor, </w:t>
      </w:r>
      <w:hyperlink r:id="rId16" w:history="1">
        <w:r w:rsidRPr="009D2D58">
          <w:rPr>
            <w:rStyle w:val="Hyperlink"/>
          </w:rPr>
          <w:t>Australian Small Business and Family Enterprise (ASBFEO) Independent Review</w:t>
        </w:r>
      </w:hyperlink>
      <w:r w:rsidRPr="005F7E38">
        <w:t>, Canberra, Commonwealth of Australia, 2021 p</w:t>
      </w:r>
      <w:r>
        <w:t>53,</w:t>
      </w:r>
      <w:r w:rsidRPr="005F7E38">
        <w:t xml:space="preserve"> accessed 20 May 2025</w:t>
      </w:r>
      <w:r w:rsidR="008D3F58">
        <w:t>.</w:t>
      </w:r>
    </w:p>
  </w:footnote>
  <w:footnote w:id="46">
    <w:p w14:paraId="56AD577D" w14:textId="3C177907" w:rsidR="007617A3" w:rsidRDefault="007617A3">
      <w:pPr>
        <w:pStyle w:val="FootnoteText"/>
      </w:pPr>
      <w:r>
        <w:rPr>
          <w:rStyle w:val="FootnoteReference"/>
        </w:rPr>
        <w:footnoteRef/>
      </w:r>
      <w:r>
        <w:t xml:space="preserve"> </w:t>
      </w:r>
      <w:r>
        <w:tab/>
      </w:r>
      <w:r w:rsidRPr="007617A3">
        <w:t xml:space="preserve">Treasury, </w:t>
      </w:r>
      <w:hyperlink r:id="rId17" w:history="1">
        <w:r w:rsidRPr="007617A3">
          <w:rPr>
            <w:rStyle w:val="Hyperlink"/>
          </w:rPr>
          <w:t>Treasury Annual Report 2023</w:t>
        </w:r>
        <w:r w:rsidR="003A0D5E">
          <w:rPr>
            <w:rStyle w:val="Hyperlink"/>
          </w:rPr>
          <w:noBreakHyphen/>
        </w:r>
        <w:r w:rsidRPr="007617A3">
          <w:rPr>
            <w:rStyle w:val="Hyperlink"/>
          </w:rPr>
          <w:t>24</w:t>
        </w:r>
      </w:hyperlink>
      <w:r w:rsidRPr="007617A3">
        <w:t xml:space="preserve"> pp 242</w:t>
      </w:r>
      <w:r w:rsidR="00F92168" w:rsidRPr="00F92168">
        <w:t>–</w:t>
      </w:r>
      <w:r w:rsidRPr="007617A3">
        <w:t xml:space="preserve">243; Treasury, </w:t>
      </w:r>
      <w:hyperlink r:id="rId18" w:history="1">
        <w:r w:rsidRPr="007617A3">
          <w:rPr>
            <w:rStyle w:val="Hyperlink"/>
          </w:rPr>
          <w:t>Treasury Annual Report 2022</w:t>
        </w:r>
        <w:r w:rsidR="003A0D5E">
          <w:rPr>
            <w:rStyle w:val="Hyperlink"/>
          </w:rPr>
          <w:noBreakHyphen/>
        </w:r>
        <w:r w:rsidRPr="007617A3">
          <w:rPr>
            <w:rStyle w:val="Hyperlink"/>
          </w:rPr>
          <w:t>23</w:t>
        </w:r>
      </w:hyperlink>
      <w:r w:rsidRPr="007617A3">
        <w:t xml:space="preserve"> pp</w:t>
      </w:r>
      <w:r w:rsidR="00F92168">
        <w:t> </w:t>
      </w:r>
      <w:r w:rsidRPr="007617A3">
        <w:t>242</w:t>
      </w:r>
      <w:r w:rsidR="00581716" w:rsidRPr="00581716">
        <w:t>–</w:t>
      </w:r>
      <w:r w:rsidRPr="007617A3">
        <w:t xml:space="preserve">244; Treasury, </w:t>
      </w:r>
      <w:hyperlink r:id="rId19" w:history="1">
        <w:r w:rsidRPr="007617A3">
          <w:rPr>
            <w:rStyle w:val="Hyperlink"/>
          </w:rPr>
          <w:t>Treasury Annual Report 2021</w:t>
        </w:r>
        <w:r w:rsidR="003A0D5E">
          <w:rPr>
            <w:rStyle w:val="Hyperlink"/>
          </w:rPr>
          <w:noBreakHyphen/>
        </w:r>
        <w:r w:rsidRPr="007617A3">
          <w:rPr>
            <w:rStyle w:val="Hyperlink"/>
          </w:rPr>
          <w:t>22</w:t>
        </w:r>
      </w:hyperlink>
      <w:r w:rsidRPr="007617A3">
        <w:t xml:space="preserve"> pp 236</w:t>
      </w:r>
      <w:r w:rsidR="00F92168" w:rsidRPr="00F92168">
        <w:t>–</w:t>
      </w:r>
      <w:r w:rsidRPr="007617A3">
        <w:t xml:space="preserve">238,; Treasury, </w:t>
      </w:r>
      <w:hyperlink r:id="rId20" w:history="1">
        <w:r w:rsidRPr="007617A3">
          <w:rPr>
            <w:rStyle w:val="Hyperlink"/>
          </w:rPr>
          <w:t>Treasury Annual Report 2020</w:t>
        </w:r>
        <w:r w:rsidR="003A0D5E">
          <w:rPr>
            <w:rStyle w:val="Hyperlink"/>
          </w:rPr>
          <w:noBreakHyphen/>
        </w:r>
        <w:r w:rsidRPr="007617A3">
          <w:rPr>
            <w:rStyle w:val="Hyperlink"/>
          </w:rPr>
          <w:t>21</w:t>
        </w:r>
      </w:hyperlink>
      <w:r>
        <w:rPr>
          <w:rStyle w:val="Hyperlink"/>
        </w:rPr>
        <w:t xml:space="preserve"> </w:t>
      </w:r>
      <w:r w:rsidRPr="007617A3">
        <w:t>pp</w:t>
      </w:r>
      <w:r w:rsidR="00581716">
        <w:t> </w:t>
      </w:r>
      <w:r w:rsidRPr="007617A3">
        <w:t>198</w:t>
      </w:r>
      <w:r w:rsidR="00581716" w:rsidRPr="00581716">
        <w:t>–</w:t>
      </w:r>
      <w:r w:rsidRPr="007617A3">
        <w:t>200.</w:t>
      </w:r>
    </w:p>
  </w:footnote>
  <w:footnote w:id="47">
    <w:p w14:paraId="5CA4A04B" w14:textId="76289336" w:rsidR="00E77F5A" w:rsidRDefault="00E77F5A">
      <w:pPr>
        <w:pStyle w:val="FootnoteText"/>
      </w:pPr>
      <w:r>
        <w:rPr>
          <w:rStyle w:val="FootnoteReference"/>
        </w:rPr>
        <w:footnoteRef/>
      </w:r>
      <w:r>
        <w:t xml:space="preserve"> </w:t>
      </w:r>
      <w:r w:rsidR="009D79DE">
        <w:tab/>
      </w:r>
      <w:r>
        <w:t>CPA</w:t>
      </w:r>
      <w:r w:rsidR="00237F30">
        <w:t xml:space="preserve"> Australia</w:t>
      </w:r>
      <w:r>
        <w:t xml:space="preserve"> and </w:t>
      </w:r>
      <w:r w:rsidRPr="001F4B43">
        <w:t>CA ANZ</w:t>
      </w:r>
      <w:r>
        <w:t xml:space="preserve">, </w:t>
      </w:r>
      <w:r w:rsidR="00E018E7" w:rsidRPr="003E733F">
        <w:rPr>
          <w:rStyle w:val="Emphasis"/>
        </w:rPr>
        <w:t>S</w:t>
      </w:r>
      <w:r w:rsidR="00E018E7" w:rsidRPr="003E733F">
        <w:rPr>
          <w:rStyle w:val="Emphasis"/>
          <w:rFonts w:eastAsia="Calibri"/>
        </w:rPr>
        <w:t xml:space="preserve">ubmission to the Independent Review of the </w:t>
      </w:r>
      <w:r w:rsidR="00E018E7" w:rsidRPr="003E733F">
        <w:rPr>
          <w:rStyle w:val="Emphasis"/>
        </w:rPr>
        <w:t>ASBFEO Review</w:t>
      </w:r>
      <w:r w:rsidRPr="000F24E1">
        <w:rPr>
          <w:rFonts w:ascii="Calibri" w:eastAsia="Calibri" w:hAnsi="Calibri" w:cs="Calibri"/>
          <w:i/>
          <w:iCs/>
        </w:rPr>
        <w:t xml:space="preserve">, </w:t>
      </w:r>
      <w:r>
        <w:rPr>
          <w:rFonts w:ascii="Calibri" w:eastAsia="Calibri" w:hAnsi="Calibri" w:cs="Calibri"/>
        </w:rPr>
        <w:t>January 2025, p</w:t>
      </w:r>
      <w:r w:rsidR="003E733F">
        <w:rPr>
          <w:rFonts w:ascii="Calibri" w:eastAsia="Calibri" w:hAnsi="Calibri" w:cs="Calibri"/>
        </w:rPr>
        <w:t> </w:t>
      </w:r>
      <w:r>
        <w:rPr>
          <w:rFonts w:ascii="Calibri" w:eastAsia="Calibri" w:hAnsi="Calibri" w:cs="Calibri"/>
        </w:rPr>
        <w:t>3.</w:t>
      </w:r>
    </w:p>
  </w:footnote>
  <w:footnote w:id="48">
    <w:p w14:paraId="0A3008E5" w14:textId="3F7F1DB6" w:rsidR="00A402D2" w:rsidRDefault="00A402D2">
      <w:pPr>
        <w:pStyle w:val="FootnoteText"/>
      </w:pPr>
      <w:r>
        <w:rPr>
          <w:rStyle w:val="FootnoteReference"/>
        </w:rPr>
        <w:footnoteRef/>
      </w:r>
      <w:r>
        <w:t xml:space="preserve"> </w:t>
      </w:r>
      <w:r w:rsidR="009D79DE">
        <w:tab/>
      </w:r>
      <w:r w:rsidRPr="00E8268D">
        <w:rPr>
          <w:rFonts w:cstheme="minorHAnsi"/>
        </w:rPr>
        <w:t xml:space="preserve">ASBFEO, </w:t>
      </w:r>
      <w:r w:rsidRPr="003E733F">
        <w:rPr>
          <w:rStyle w:val="Emphasis"/>
        </w:rPr>
        <w:t>Submission to the Independent Review of the ASBFEO</w:t>
      </w:r>
      <w:r w:rsidRPr="00E8268D">
        <w:rPr>
          <w:rFonts w:cstheme="minorHAnsi"/>
        </w:rPr>
        <w:t>, January 2025, p</w:t>
      </w:r>
      <w:r>
        <w:rPr>
          <w:rFonts w:cstheme="minorHAnsi"/>
          <w:sz w:val="22"/>
          <w:szCs w:val="22"/>
        </w:rPr>
        <w:t xml:space="preserve"> </w:t>
      </w:r>
      <w:r w:rsidRPr="00CD4FF1">
        <w:rPr>
          <w:rFonts w:cstheme="minorHAnsi"/>
        </w:rPr>
        <w:t>2</w:t>
      </w:r>
      <w:r>
        <w:rPr>
          <w:rFonts w:cstheme="minorHAnsi"/>
        </w:rPr>
        <w:t>0</w:t>
      </w:r>
      <w:r w:rsidR="00423403">
        <w:rPr>
          <w:rFonts w:cstheme="minorHAnsi"/>
        </w:rPr>
        <w:t>.</w:t>
      </w:r>
    </w:p>
  </w:footnote>
  <w:footnote w:id="49">
    <w:p w14:paraId="691E55AC" w14:textId="2095F7B5" w:rsidR="00FE35A9" w:rsidRDefault="00FE35A9">
      <w:pPr>
        <w:pStyle w:val="FootnoteText"/>
      </w:pPr>
      <w:r>
        <w:rPr>
          <w:rStyle w:val="FootnoteReference"/>
        </w:rPr>
        <w:footnoteRef/>
      </w:r>
      <w:r>
        <w:t xml:space="preserve"> </w:t>
      </w:r>
      <w:r w:rsidR="005B1D28">
        <w:tab/>
      </w:r>
      <w:bookmarkStart w:id="29" w:name="_Hlk198637927"/>
      <w:r w:rsidR="009C186E">
        <w:t xml:space="preserve">S </w:t>
      </w:r>
      <w:r w:rsidR="00E14A64">
        <w:t>McCluskey</w:t>
      </w:r>
      <w:r w:rsidR="009C186E">
        <w:t xml:space="preserve">, </w:t>
      </w:r>
      <w:hyperlink r:id="rId21" w:history="1">
        <w:r w:rsidR="00680ACF" w:rsidRPr="005B1D28">
          <w:rPr>
            <w:rStyle w:val="Hyperlink"/>
          </w:rPr>
          <w:t>Review of the Australian Small Business and Family Enterprise Ombudsman</w:t>
        </w:r>
      </w:hyperlink>
      <w:r w:rsidR="00680ACF">
        <w:t xml:space="preserve">, </w:t>
      </w:r>
      <w:r w:rsidR="009E74AF">
        <w:t xml:space="preserve">Canberra, </w:t>
      </w:r>
      <w:r w:rsidR="00890799">
        <w:t xml:space="preserve">Commonwealth of Australia, </w:t>
      </w:r>
      <w:r w:rsidR="00017461">
        <w:t>2017</w:t>
      </w:r>
      <w:r w:rsidR="005B1D28">
        <w:t xml:space="preserve"> p 37</w:t>
      </w:r>
      <w:r w:rsidR="0045252A">
        <w:t>, accessed 20 May 2025.</w:t>
      </w:r>
      <w:bookmarkEnd w:id="29"/>
    </w:p>
  </w:footnote>
  <w:footnote w:id="50">
    <w:p w14:paraId="1E9508AB" w14:textId="2A0B52A9" w:rsidR="00687C82" w:rsidRDefault="00687C82">
      <w:pPr>
        <w:pStyle w:val="FootnoteText"/>
      </w:pPr>
      <w:r>
        <w:rPr>
          <w:rStyle w:val="FootnoteReference"/>
        </w:rPr>
        <w:footnoteRef/>
      </w:r>
      <w:r>
        <w:t xml:space="preserve"> </w:t>
      </w:r>
      <w:r w:rsidR="009D79DE">
        <w:tab/>
      </w:r>
      <w:r w:rsidRPr="00B22EB7">
        <w:t xml:space="preserve">ASBFEO, </w:t>
      </w:r>
      <w:r>
        <w:rPr>
          <w:i/>
          <w:iCs/>
        </w:rPr>
        <w:t xml:space="preserve">Follow up </w:t>
      </w:r>
      <w:r w:rsidR="00380D97">
        <w:rPr>
          <w:i/>
          <w:iCs/>
        </w:rPr>
        <w:t>data</w:t>
      </w:r>
      <w:r>
        <w:rPr>
          <w:i/>
          <w:iCs/>
        </w:rPr>
        <w:t xml:space="preserve"> questions</w:t>
      </w:r>
      <w:r w:rsidRPr="00B22EB7">
        <w:rPr>
          <w:i/>
          <w:iCs/>
        </w:rPr>
        <w:t xml:space="preserve"> </w:t>
      </w:r>
      <w:r w:rsidRPr="00B22EB7">
        <w:t>[unpublished document] ASBFEO, Canberra 202</w:t>
      </w:r>
      <w:r w:rsidR="000C371F">
        <w:t>5</w:t>
      </w:r>
      <w:r w:rsidR="00620A5C">
        <w:t>.</w:t>
      </w:r>
    </w:p>
  </w:footnote>
  <w:footnote w:id="51">
    <w:p w14:paraId="00B41098" w14:textId="474BB573" w:rsidR="00AF27F9" w:rsidRDefault="00AF27F9">
      <w:pPr>
        <w:pStyle w:val="FootnoteText"/>
      </w:pPr>
      <w:r>
        <w:rPr>
          <w:rStyle w:val="FootnoteReference"/>
        </w:rPr>
        <w:footnoteRef/>
      </w:r>
      <w:r>
        <w:t xml:space="preserve"> </w:t>
      </w:r>
      <w:r w:rsidR="009D79DE">
        <w:tab/>
      </w:r>
      <w:r w:rsidR="007004CA">
        <w:t>Bullo G (2024)</w:t>
      </w:r>
      <w:r w:rsidR="00907317">
        <w:t xml:space="preserve"> </w:t>
      </w:r>
      <w:hyperlink r:id="rId22" w:history="1">
        <w:r w:rsidR="00907317" w:rsidRPr="008776C3">
          <w:rPr>
            <w:rStyle w:val="Hyperlink"/>
            <w:i/>
            <w:iCs/>
          </w:rPr>
          <w:t>Small Business Economic and Financial Conditions</w:t>
        </w:r>
      </w:hyperlink>
      <w:r w:rsidR="00907317" w:rsidRPr="00784912">
        <w:rPr>
          <w:i/>
          <w:iCs/>
        </w:rPr>
        <w:t>,</w:t>
      </w:r>
      <w:r w:rsidR="00907317">
        <w:t xml:space="preserve"> Reserve Bank of Australia</w:t>
      </w:r>
      <w:r w:rsidR="00784912">
        <w:t>, p 30</w:t>
      </w:r>
      <w:r w:rsidR="006B01FC">
        <w:t>, accessed 13 May 2025</w:t>
      </w:r>
      <w:r w:rsidR="00620A5C">
        <w:t>.</w:t>
      </w:r>
    </w:p>
  </w:footnote>
  <w:footnote w:id="52">
    <w:p w14:paraId="636041B3" w14:textId="4C0CE32D" w:rsidR="00847281" w:rsidRDefault="00B103F8">
      <w:pPr>
        <w:pStyle w:val="FootnoteText"/>
      </w:pPr>
      <w:r w:rsidRPr="00B103F8">
        <w:rPr>
          <w:rStyle w:val="FootnoteReference"/>
        </w:rPr>
        <w:footnoteRef/>
      </w:r>
      <w:r w:rsidR="00847281">
        <w:t xml:space="preserve"> </w:t>
      </w:r>
      <w:r w:rsidR="009D79DE">
        <w:tab/>
      </w:r>
      <w:r w:rsidR="00847281">
        <w:rPr>
          <w:rFonts w:cstheme="minorBidi"/>
        </w:rPr>
        <w:t xml:space="preserve">NANA </w:t>
      </w:r>
      <w:r w:rsidR="00E018E7" w:rsidRPr="0088766E">
        <w:rPr>
          <w:rStyle w:val="Emphasis"/>
        </w:rPr>
        <w:t>S</w:t>
      </w:r>
      <w:r w:rsidR="00E018E7" w:rsidRPr="0088766E">
        <w:rPr>
          <w:rStyle w:val="Emphasis"/>
          <w:rFonts w:eastAsia="Calibri"/>
        </w:rPr>
        <w:t xml:space="preserve">ubmission to the Independent Review of the </w:t>
      </w:r>
      <w:r w:rsidR="00E018E7" w:rsidRPr="0088766E">
        <w:rPr>
          <w:rStyle w:val="Emphasis"/>
        </w:rPr>
        <w:t>ASBFEO Review</w:t>
      </w:r>
      <w:r w:rsidR="00847281">
        <w:rPr>
          <w:rFonts w:cstheme="minorBidi"/>
        </w:rPr>
        <w:t>, January 2025 p 2;</w:t>
      </w:r>
      <w:r w:rsidR="00847281">
        <w:t xml:space="preserve"> </w:t>
      </w:r>
      <w:r w:rsidR="00CE5B6B" w:rsidRPr="001F33C0">
        <w:t xml:space="preserve">CAFBA </w:t>
      </w:r>
      <w:r w:rsidR="00CE5B6B" w:rsidRPr="0088766E">
        <w:rPr>
          <w:rStyle w:val="Emphasis"/>
        </w:rPr>
        <w:t>Submission</w:t>
      </w:r>
      <w:r w:rsidR="00E018E7" w:rsidRPr="0088766E">
        <w:rPr>
          <w:rStyle w:val="Emphasis"/>
          <w:rFonts w:eastAsia="Calibri"/>
        </w:rPr>
        <w:t xml:space="preserve"> to the Independent</w:t>
      </w:r>
      <w:r w:rsidR="00401999" w:rsidRPr="0088766E">
        <w:rPr>
          <w:rStyle w:val="Emphasis"/>
          <w:rFonts w:eastAsia="Calibri"/>
        </w:rPr>
        <w:t xml:space="preserve"> </w:t>
      </w:r>
      <w:r w:rsidR="00E018E7" w:rsidRPr="0088766E">
        <w:rPr>
          <w:rStyle w:val="Emphasis"/>
          <w:rFonts w:eastAsia="Calibri"/>
        </w:rPr>
        <w:t xml:space="preserve">Review of the </w:t>
      </w:r>
      <w:r w:rsidR="00E018E7" w:rsidRPr="0088766E">
        <w:rPr>
          <w:rStyle w:val="Emphasis"/>
        </w:rPr>
        <w:t>ASBFEO Review</w:t>
      </w:r>
      <w:r w:rsidR="001F33C0" w:rsidRPr="0088766E">
        <w:rPr>
          <w:rStyle w:val="Emphasis"/>
        </w:rPr>
        <w:t>,</w:t>
      </w:r>
      <w:r w:rsidR="001F33C0" w:rsidRPr="001F33C0">
        <w:t xml:space="preserve"> </w:t>
      </w:r>
      <w:r w:rsidR="001F33C0" w:rsidRPr="001F33C0">
        <w:rPr>
          <w:rFonts w:cstheme="minorBidi"/>
        </w:rPr>
        <w:t>January 2025 p 4</w:t>
      </w:r>
      <w:r w:rsidR="008E2139">
        <w:rPr>
          <w:rFonts w:cstheme="minorBidi"/>
        </w:rPr>
        <w:t xml:space="preserve">; </w:t>
      </w:r>
      <w:r w:rsidR="008E2139" w:rsidRPr="001F33C0">
        <w:t>C</w:t>
      </w:r>
      <w:r w:rsidR="008E2139">
        <w:t xml:space="preserve">OSBOA, </w:t>
      </w:r>
      <w:r w:rsidR="008E2139" w:rsidRPr="0088766E">
        <w:rPr>
          <w:rStyle w:val="Emphasis"/>
        </w:rPr>
        <w:t>S</w:t>
      </w:r>
      <w:r w:rsidR="008E2139" w:rsidRPr="0088766E">
        <w:rPr>
          <w:rStyle w:val="Emphasis"/>
          <w:rFonts w:eastAsia="Calibri"/>
        </w:rPr>
        <w:t xml:space="preserve">ubmission to the Independent Review of the </w:t>
      </w:r>
      <w:r w:rsidR="008E2139" w:rsidRPr="0088766E">
        <w:rPr>
          <w:rStyle w:val="Emphasis"/>
        </w:rPr>
        <w:t>ASBFEO Review</w:t>
      </w:r>
      <w:r w:rsidR="008E2139" w:rsidRPr="001F33C0">
        <w:t xml:space="preserve">, </w:t>
      </w:r>
      <w:r w:rsidR="008E2139" w:rsidRPr="001F33C0">
        <w:rPr>
          <w:rFonts w:cstheme="minorBidi"/>
        </w:rPr>
        <w:t xml:space="preserve">January 2025 p </w:t>
      </w:r>
      <w:r w:rsidR="008E2139">
        <w:rPr>
          <w:rFonts w:cstheme="minorBidi"/>
        </w:rPr>
        <w:t>2</w:t>
      </w:r>
      <w:r w:rsidR="007713B5">
        <w:rPr>
          <w:rFonts w:cstheme="minorBidi"/>
        </w:rPr>
        <w:t>.</w:t>
      </w:r>
    </w:p>
  </w:footnote>
  <w:footnote w:id="53">
    <w:p w14:paraId="5513B9B2" w14:textId="7F5E27FA" w:rsidR="007713B5" w:rsidRDefault="007713B5">
      <w:pPr>
        <w:pStyle w:val="FootnoteText"/>
      </w:pPr>
      <w:r>
        <w:rPr>
          <w:rStyle w:val="FootnoteReference"/>
        </w:rPr>
        <w:footnoteRef/>
      </w:r>
      <w:r>
        <w:t xml:space="preserve"> </w:t>
      </w:r>
      <w:r w:rsidR="009D79DE">
        <w:tab/>
      </w:r>
      <w:r w:rsidR="00436CF1" w:rsidRPr="36F91C57">
        <w:rPr>
          <w:rFonts w:ascii="Calibri" w:eastAsia="Calibri" w:hAnsi="Calibri" w:cs="Calibri"/>
        </w:rPr>
        <w:t>S</w:t>
      </w:r>
      <w:r w:rsidR="00436CF1">
        <w:rPr>
          <w:rFonts w:ascii="Calibri" w:eastAsia="Calibri" w:hAnsi="Calibri" w:cs="Calibri"/>
        </w:rPr>
        <w:t>mall Biz</w:t>
      </w:r>
      <w:r w:rsidR="00436CF1" w:rsidRPr="36F91C57">
        <w:rPr>
          <w:rFonts w:ascii="Calibri" w:eastAsia="Calibri" w:hAnsi="Calibri" w:cs="Calibri"/>
        </w:rPr>
        <w:t xml:space="preserve"> Matters</w:t>
      </w:r>
      <w:r w:rsidR="00436CF1">
        <w:rPr>
          <w:rFonts w:ascii="Calibri" w:eastAsia="Calibri" w:hAnsi="Calibri" w:cs="Calibri"/>
        </w:rPr>
        <w:t xml:space="preserve">, </w:t>
      </w:r>
      <w:r w:rsidR="00436CF1" w:rsidRPr="0088766E">
        <w:rPr>
          <w:rStyle w:val="Emphasis"/>
        </w:rPr>
        <w:t>S</w:t>
      </w:r>
      <w:r w:rsidR="00436CF1" w:rsidRPr="0088766E">
        <w:rPr>
          <w:rStyle w:val="Emphasis"/>
          <w:rFonts w:eastAsia="Calibri"/>
        </w:rPr>
        <w:t xml:space="preserve">ubmission to the Independent Review of the </w:t>
      </w:r>
      <w:r w:rsidR="00436CF1" w:rsidRPr="0088766E">
        <w:rPr>
          <w:rStyle w:val="Emphasis"/>
        </w:rPr>
        <w:t>ASBFEO Review</w:t>
      </w:r>
      <w:r w:rsidR="00436CF1" w:rsidRPr="0088766E">
        <w:rPr>
          <w:rStyle w:val="Emphasis"/>
          <w:rFonts w:eastAsia="Calibri"/>
        </w:rPr>
        <w:t xml:space="preserve"> </w:t>
      </w:r>
      <w:r w:rsidR="00436CF1">
        <w:rPr>
          <w:rFonts w:ascii="Calibri" w:eastAsia="Calibri" w:hAnsi="Calibri" w:cs="Calibri"/>
        </w:rPr>
        <w:t>January 2025, p 4;</w:t>
      </w:r>
      <w:r w:rsidR="00436CF1" w:rsidRPr="0098159F">
        <w:rPr>
          <w:rFonts w:cstheme="minorBidi"/>
        </w:rPr>
        <w:t xml:space="preserve"> </w:t>
      </w:r>
      <w:r>
        <w:t>LGB Services,</w:t>
      </w:r>
      <w:r w:rsidRPr="001F33C0">
        <w:t xml:space="preserve"> </w:t>
      </w:r>
      <w:r w:rsidRPr="0088766E">
        <w:rPr>
          <w:rStyle w:val="Emphasis"/>
        </w:rPr>
        <w:t>S</w:t>
      </w:r>
      <w:r w:rsidRPr="0088766E">
        <w:rPr>
          <w:rStyle w:val="Emphasis"/>
          <w:rFonts w:eastAsia="Calibri"/>
        </w:rPr>
        <w:t xml:space="preserve">ubmission to the Independent Review of the </w:t>
      </w:r>
      <w:r w:rsidRPr="0088766E">
        <w:rPr>
          <w:rStyle w:val="Emphasis"/>
        </w:rPr>
        <w:t>ASBFEO Review</w:t>
      </w:r>
      <w:r w:rsidRPr="001F33C0">
        <w:t xml:space="preserve">, </w:t>
      </w:r>
      <w:r w:rsidRPr="001F33C0">
        <w:rPr>
          <w:rFonts w:cstheme="minorBidi"/>
        </w:rPr>
        <w:t xml:space="preserve">January 2025 p </w:t>
      </w:r>
      <w:r>
        <w:rPr>
          <w:rFonts w:cstheme="minorBidi"/>
        </w:rPr>
        <w:t>1</w:t>
      </w:r>
      <w:r w:rsidR="00620A5C">
        <w:rPr>
          <w:rFonts w:cstheme="minorBidi"/>
        </w:rPr>
        <w:t>.</w:t>
      </w:r>
    </w:p>
  </w:footnote>
  <w:footnote w:id="54">
    <w:p w14:paraId="40194FCC" w14:textId="3FCB6DCD" w:rsidR="008B339F" w:rsidRDefault="008B339F">
      <w:pPr>
        <w:pStyle w:val="FootnoteText"/>
      </w:pPr>
      <w:r>
        <w:rPr>
          <w:rStyle w:val="FootnoteReference"/>
        </w:rPr>
        <w:footnoteRef/>
      </w:r>
      <w:r>
        <w:t xml:space="preserve"> </w:t>
      </w:r>
      <w:r w:rsidR="009D79DE">
        <w:tab/>
      </w:r>
      <w:r w:rsidRPr="36F91C57">
        <w:rPr>
          <w:rFonts w:ascii="Calibri" w:eastAsia="Calibri" w:hAnsi="Calibri" w:cs="Calibri"/>
        </w:rPr>
        <w:t>S</w:t>
      </w:r>
      <w:r>
        <w:rPr>
          <w:rFonts w:ascii="Calibri" w:eastAsia="Calibri" w:hAnsi="Calibri" w:cs="Calibri"/>
        </w:rPr>
        <w:t>mall Biz</w:t>
      </w:r>
      <w:r w:rsidRPr="36F91C57">
        <w:rPr>
          <w:rFonts w:ascii="Calibri" w:eastAsia="Calibri" w:hAnsi="Calibri" w:cs="Calibri"/>
        </w:rPr>
        <w:t xml:space="preserve"> Matters</w:t>
      </w:r>
      <w:r>
        <w:rPr>
          <w:rFonts w:ascii="Calibri" w:eastAsia="Calibri" w:hAnsi="Calibri" w:cs="Calibri"/>
        </w:rPr>
        <w:t xml:space="preserve">, </w:t>
      </w:r>
      <w:r w:rsidRPr="0088766E">
        <w:rPr>
          <w:rStyle w:val="Emphasis"/>
        </w:rPr>
        <w:t>S</w:t>
      </w:r>
      <w:r w:rsidRPr="0088766E">
        <w:rPr>
          <w:rStyle w:val="Emphasis"/>
          <w:rFonts w:eastAsia="Calibri"/>
        </w:rPr>
        <w:t xml:space="preserve">ubmission to the Independent Review of the </w:t>
      </w:r>
      <w:r w:rsidRPr="0088766E">
        <w:rPr>
          <w:rStyle w:val="Emphasis"/>
        </w:rPr>
        <w:t>ASBFEO Review</w:t>
      </w:r>
      <w:r>
        <w:rPr>
          <w:rFonts w:ascii="Calibri" w:eastAsia="Calibri" w:hAnsi="Calibri" w:cs="Calibri"/>
        </w:rPr>
        <w:t xml:space="preserve"> January 2025, p 4</w:t>
      </w:r>
      <w:r w:rsidR="00972C29">
        <w:rPr>
          <w:rFonts w:ascii="Calibri" w:eastAsia="Calibri" w:hAnsi="Calibri" w:cs="Calibri"/>
        </w:rPr>
        <w:t>.</w:t>
      </w:r>
    </w:p>
  </w:footnote>
  <w:footnote w:id="55">
    <w:p w14:paraId="495DE53D" w14:textId="4BD145D4" w:rsidR="00B517D9" w:rsidRDefault="00B517D9">
      <w:pPr>
        <w:pStyle w:val="FootnoteText"/>
      </w:pPr>
      <w:r>
        <w:rPr>
          <w:rStyle w:val="FootnoteReference"/>
        </w:rPr>
        <w:footnoteRef/>
      </w:r>
      <w:r>
        <w:t xml:space="preserve"> </w:t>
      </w:r>
      <w:r w:rsidR="009D79DE">
        <w:tab/>
      </w:r>
      <w:r>
        <w:rPr>
          <w:rFonts w:ascii="Calibri" w:eastAsia="Calibri" w:hAnsi="Calibri" w:cs="Calibri"/>
        </w:rPr>
        <w:t xml:space="preserve">FBA, </w:t>
      </w:r>
      <w:r w:rsidRPr="0088766E">
        <w:rPr>
          <w:rStyle w:val="Emphasis"/>
        </w:rPr>
        <w:t>S</w:t>
      </w:r>
      <w:r w:rsidRPr="0088766E">
        <w:rPr>
          <w:rStyle w:val="Emphasis"/>
          <w:rFonts w:eastAsia="Calibri"/>
        </w:rPr>
        <w:t xml:space="preserve">ubmission to the Independent Review of the </w:t>
      </w:r>
      <w:r w:rsidRPr="0088766E">
        <w:rPr>
          <w:rStyle w:val="Emphasis"/>
        </w:rPr>
        <w:t>ASBFEO Review</w:t>
      </w:r>
      <w:r>
        <w:rPr>
          <w:rFonts w:ascii="Calibri" w:eastAsia="Calibri" w:hAnsi="Calibri" w:cs="Calibri"/>
        </w:rPr>
        <w:t xml:space="preserve"> January 2025, p </w:t>
      </w:r>
      <w:r w:rsidR="00B231E3">
        <w:rPr>
          <w:rFonts w:ascii="Calibri" w:eastAsia="Calibri" w:hAnsi="Calibri" w:cs="Calibri"/>
        </w:rPr>
        <w:t>1</w:t>
      </w:r>
      <w:r w:rsidR="00F92168" w:rsidRPr="00F92168">
        <w:rPr>
          <w:rFonts w:ascii="Calibri" w:eastAsia="Calibri" w:hAnsi="Calibri" w:cs="Calibri"/>
        </w:rPr>
        <w:t>–</w:t>
      </w:r>
      <w:r w:rsidR="00B231E3">
        <w:rPr>
          <w:rFonts w:ascii="Calibri" w:eastAsia="Calibri" w:hAnsi="Calibri" w:cs="Calibri"/>
        </w:rPr>
        <w:t>2</w:t>
      </w:r>
      <w:r w:rsidR="00620A5C">
        <w:rPr>
          <w:rFonts w:ascii="Calibri" w:eastAsia="Calibri" w:hAnsi="Calibri" w:cs="Calibri"/>
        </w:rPr>
        <w:t>.</w:t>
      </w:r>
    </w:p>
  </w:footnote>
  <w:footnote w:id="56">
    <w:p w14:paraId="36A4DA29" w14:textId="7AC3A856" w:rsidR="00037CB8" w:rsidRDefault="00037CB8">
      <w:pPr>
        <w:pStyle w:val="FootnoteText"/>
      </w:pPr>
      <w:r>
        <w:rPr>
          <w:rStyle w:val="FootnoteReference"/>
        </w:rPr>
        <w:footnoteRef/>
      </w:r>
      <w:r>
        <w:t xml:space="preserve"> </w:t>
      </w:r>
      <w:r w:rsidR="009D79DE">
        <w:tab/>
      </w:r>
      <w:proofErr w:type="spellStart"/>
      <w:r w:rsidRPr="00912E34">
        <w:t>AusIndustry</w:t>
      </w:r>
      <w:proofErr w:type="spellEnd"/>
      <w:r>
        <w:t xml:space="preserve"> (n.d.)</w:t>
      </w:r>
      <w:r w:rsidRPr="00912E34">
        <w:t xml:space="preserve"> </w:t>
      </w:r>
      <w:hyperlink r:id="rId23" w:history="1">
        <w:r w:rsidRPr="00EA24E8">
          <w:rPr>
            <w:rStyle w:val="Hyperlink"/>
          </w:rPr>
          <w:t>Expertise and Advice</w:t>
        </w:r>
      </w:hyperlink>
      <w:r w:rsidRPr="00912E34">
        <w:t xml:space="preserve">, </w:t>
      </w:r>
      <w:r>
        <w:t>[</w:t>
      </w:r>
      <w:r w:rsidRPr="00912E34">
        <w:t>business.gov.au website</w:t>
      </w:r>
      <w:r>
        <w:t>],</w:t>
      </w:r>
      <w:r w:rsidRPr="00912E34">
        <w:t xml:space="preserve"> accessed </w:t>
      </w:r>
      <w:r>
        <w:t>9</w:t>
      </w:r>
      <w:r w:rsidRPr="00912E34">
        <w:t xml:space="preserve"> May 2025</w:t>
      </w:r>
      <w:r w:rsidR="003545F9">
        <w:t>.</w:t>
      </w:r>
    </w:p>
  </w:footnote>
  <w:footnote w:id="57">
    <w:p w14:paraId="283E247A" w14:textId="3F173EA5" w:rsidR="002446A0" w:rsidRDefault="002446A0">
      <w:pPr>
        <w:pStyle w:val="FootnoteText"/>
      </w:pPr>
      <w:r>
        <w:rPr>
          <w:rStyle w:val="FootnoteReference"/>
        </w:rPr>
        <w:footnoteRef/>
      </w:r>
      <w:r>
        <w:t xml:space="preserve"> </w:t>
      </w:r>
      <w:r w:rsidR="009D79DE">
        <w:tab/>
      </w:r>
      <w:r w:rsidR="00037CB8">
        <w:t>Treasury (</w:t>
      </w:r>
      <w:proofErr w:type="spellStart"/>
      <w:r w:rsidR="009550EE">
        <w:t>n.d</w:t>
      </w:r>
      <w:proofErr w:type="spellEnd"/>
      <w:r w:rsidR="009550EE">
        <w:t>)</w:t>
      </w:r>
      <w:r w:rsidR="00037CB8">
        <w:t xml:space="preserve">, </w:t>
      </w:r>
      <w:hyperlink r:id="rId24" w:history="1">
        <w:r w:rsidR="00037CB8" w:rsidRPr="00A212EE">
          <w:rPr>
            <w:rStyle w:val="Hyperlink"/>
          </w:rPr>
          <w:t>Small Business</w:t>
        </w:r>
      </w:hyperlink>
      <w:r w:rsidR="00037CB8">
        <w:t xml:space="preserve">, </w:t>
      </w:r>
      <w:r w:rsidR="009550EE">
        <w:t>[</w:t>
      </w:r>
      <w:r w:rsidR="00037CB8">
        <w:t>Treasury website</w:t>
      </w:r>
      <w:r w:rsidR="009550EE">
        <w:t>]</w:t>
      </w:r>
      <w:r w:rsidR="00037CB8">
        <w:t xml:space="preserve"> accessed 9 May 2025</w:t>
      </w:r>
      <w:r w:rsidR="003545F9">
        <w:t>.</w:t>
      </w:r>
    </w:p>
  </w:footnote>
  <w:footnote w:id="58">
    <w:p w14:paraId="3BBF348D" w14:textId="1E7A919E" w:rsidR="00AE4E0A" w:rsidRDefault="00AE4E0A">
      <w:pPr>
        <w:pStyle w:val="FootnoteText"/>
      </w:pPr>
      <w:r>
        <w:rPr>
          <w:rStyle w:val="FootnoteReference"/>
        </w:rPr>
        <w:footnoteRef/>
      </w:r>
      <w:r>
        <w:t xml:space="preserve">  </w:t>
      </w:r>
      <w:r>
        <w:tab/>
      </w:r>
      <w:r w:rsidRPr="005F7E38">
        <w:t xml:space="preserve">C McGregor, </w:t>
      </w:r>
      <w:hyperlink r:id="rId25" w:history="1">
        <w:r w:rsidRPr="009D2D58">
          <w:rPr>
            <w:rStyle w:val="Hyperlink"/>
          </w:rPr>
          <w:t>Australian Small Business and Family Enterprise (ASBFEO) Independent Review</w:t>
        </w:r>
      </w:hyperlink>
      <w:r w:rsidRPr="005F7E38">
        <w:t>, Canberra, Commonwealth of Australia, 2021 p</w:t>
      </w:r>
      <w:r>
        <w:t>p 56</w:t>
      </w:r>
      <w:r w:rsidR="00F92168" w:rsidRPr="00F92168">
        <w:t>–</w:t>
      </w:r>
      <w:r>
        <w:t>60,</w:t>
      </w:r>
      <w:r w:rsidRPr="005F7E38">
        <w:t xml:space="preserve"> accessed 20 May 2025</w:t>
      </w:r>
      <w:r w:rsidR="003545F9">
        <w:t>.</w:t>
      </w:r>
    </w:p>
  </w:footnote>
  <w:footnote w:id="59">
    <w:p w14:paraId="572CDEF9" w14:textId="296E5D34" w:rsidR="00E27F72" w:rsidRDefault="00E27F72">
      <w:pPr>
        <w:pStyle w:val="FootnoteText"/>
      </w:pPr>
      <w:r>
        <w:rPr>
          <w:rStyle w:val="FootnoteReference"/>
        </w:rPr>
        <w:footnoteRef/>
      </w:r>
      <w:r w:rsidRPr="00FD0225">
        <w:rPr>
          <w:rFonts w:ascii="Calibri Light" w:eastAsia="Calibri Light" w:hAnsi="Calibri Light" w:cs="Calibri Light"/>
          <w:sz w:val="16"/>
          <w:szCs w:val="16"/>
        </w:rPr>
        <w:t>.</w:t>
      </w:r>
      <w:r w:rsidR="003A38D5" w:rsidRPr="003A38D5">
        <w:rPr>
          <w:rFonts w:eastAsia="Aptos"/>
        </w:rPr>
        <w:t xml:space="preserve"> </w:t>
      </w:r>
      <w:r w:rsidR="00B02862">
        <w:rPr>
          <w:rFonts w:eastAsia="Aptos"/>
        </w:rPr>
        <w:tab/>
      </w:r>
      <w:r w:rsidR="003A38D5">
        <w:rPr>
          <w:rFonts w:eastAsia="Aptos"/>
        </w:rPr>
        <w:t>E</w:t>
      </w:r>
      <w:r w:rsidR="003A673D">
        <w:rPr>
          <w:rFonts w:eastAsia="Aptos"/>
        </w:rPr>
        <w:t>xplanatory memorandum</w:t>
      </w:r>
      <w:r w:rsidR="003A38D5">
        <w:rPr>
          <w:rFonts w:eastAsia="Aptos"/>
        </w:rPr>
        <w:t xml:space="preserve">, </w:t>
      </w:r>
      <w:hyperlink r:id="rId26" w:history="1">
        <w:r w:rsidR="003A38D5" w:rsidRPr="00EA0274">
          <w:rPr>
            <w:rStyle w:val="Hyperlink"/>
            <w:rFonts w:eastAsia="Aptos"/>
          </w:rPr>
          <w:t>Australian Small Business and Family Enterprise Ombudsman Bill 2015, Australian Small Business And Family Enterprise Ombudsman (Consequential And Transitional Provisions) Bill 2015</w:t>
        </w:r>
      </w:hyperlink>
      <w:r w:rsidR="003A38D5">
        <w:rPr>
          <w:rFonts w:eastAsia="Aptos"/>
        </w:rPr>
        <w:t>, para 1.14, accessed 6 May 2025</w:t>
      </w:r>
      <w:r w:rsidR="003A673D">
        <w:rPr>
          <w:rFonts w:eastAsia="Aptos"/>
        </w:rPr>
        <w:t>.</w:t>
      </w:r>
    </w:p>
  </w:footnote>
  <w:footnote w:id="60">
    <w:p w14:paraId="2A46FB2D" w14:textId="2EC7ACEB" w:rsidR="00822DCF" w:rsidRDefault="00822DCF" w:rsidP="007C1346">
      <w:pPr>
        <w:pStyle w:val="FootnoteText"/>
      </w:pPr>
      <w:r>
        <w:rPr>
          <w:rStyle w:val="FootnoteReference"/>
        </w:rPr>
        <w:footnoteRef/>
      </w:r>
      <w:r>
        <w:t xml:space="preserve"> </w:t>
      </w:r>
      <w:r w:rsidR="00BC1E2A">
        <w:tab/>
      </w:r>
      <w:r w:rsidR="0054081C">
        <w:t xml:space="preserve">Tasmanian Small Business Council, </w:t>
      </w:r>
      <w:r w:rsidR="0054081C" w:rsidRPr="00B64644">
        <w:rPr>
          <w:rStyle w:val="Emphasis"/>
        </w:rPr>
        <w:t>Submission to the Independent Review of the ASBFEO</w:t>
      </w:r>
      <w:r w:rsidR="0054081C" w:rsidRPr="0054081C">
        <w:t xml:space="preserve"> January 202</w:t>
      </w:r>
      <w:r w:rsidR="0054081C">
        <w:t>5, p</w:t>
      </w:r>
      <w:r w:rsidR="00F073BE">
        <w:t> </w:t>
      </w:r>
      <w:r w:rsidR="0054081C">
        <w:t>2</w:t>
      </w:r>
      <w:r w:rsidR="00F073BE">
        <w:t>.</w:t>
      </w:r>
    </w:p>
  </w:footnote>
  <w:footnote w:id="61">
    <w:p w14:paraId="72034C75" w14:textId="058CBC2F" w:rsidR="00EF3583" w:rsidRDefault="00EF3583">
      <w:pPr>
        <w:pStyle w:val="FootnoteText"/>
      </w:pPr>
      <w:r>
        <w:rPr>
          <w:rStyle w:val="FootnoteReference"/>
        </w:rPr>
        <w:footnoteRef/>
      </w:r>
      <w:r>
        <w:t xml:space="preserve"> </w:t>
      </w:r>
      <w:r w:rsidR="00BC1E2A">
        <w:tab/>
      </w:r>
      <w:proofErr w:type="spellStart"/>
      <w:r w:rsidR="003655B2">
        <w:t>AusIndustry</w:t>
      </w:r>
      <w:proofErr w:type="spellEnd"/>
      <w:r w:rsidR="003E4B6B">
        <w:t xml:space="preserve">, </w:t>
      </w:r>
      <w:r w:rsidR="00930ADB" w:rsidRPr="00B64644">
        <w:rPr>
          <w:rStyle w:val="Emphasis"/>
          <w:rFonts w:eastAsia="Calibri Light"/>
        </w:rPr>
        <w:t>ASBFEO Review BOE Response</w:t>
      </w:r>
      <w:r w:rsidR="00930ADB">
        <w:rPr>
          <w:rFonts w:eastAsia="Calibri Light"/>
        </w:rPr>
        <w:t xml:space="preserve"> [</w:t>
      </w:r>
      <w:r w:rsidR="00D840C6">
        <w:rPr>
          <w:rFonts w:eastAsia="Calibri Light"/>
        </w:rPr>
        <w:t>unpublished document]</w:t>
      </w:r>
      <w:r w:rsidR="006B3CB4">
        <w:rPr>
          <w:rFonts w:eastAsia="Calibri Light"/>
        </w:rPr>
        <w:t>. L</w:t>
      </w:r>
      <w:r w:rsidRPr="16D82E46">
        <w:rPr>
          <w:rFonts w:eastAsia="Calibri Light"/>
        </w:rPr>
        <w:t xml:space="preserve">etter </w:t>
      </w:r>
      <w:r w:rsidR="006B3CB4">
        <w:rPr>
          <w:rFonts w:eastAsia="Calibri Light"/>
        </w:rPr>
        <w:t xml:space="preserve">template </w:t>
      </w:r>
      <w:r w:rsidRPr="16D82E46">
        <w:rPr>
          <w:rFonts w:eastAsia="Calibri Light"/>
        </w:rPr>
        <w:t>accessible at</w:t>
      </w:r>
      <w:r w:rsidR="006B3CB4">
        <w:rPr>
          <w:rFonts w:eastAsia="Calibri Light"/>
        </w:rPr>
        <w:t xml:space="preserve"> </w:t>
      </w:r>
      <w:hyperlink r:id="rId27" w:history="1">
        <w:r w:rsidR="00177A93" w:rsidRPr="006B3CB4">
          <w:rPr>
            <w:rStyle w:val="Hyperlink"/>
          </w:rPr>
          <w:t>business.gov.au</w:t>
        </w:r>
        <w:r w:rsidR="006B3CB4" w:rsidRPr="006B3CB4">
          <w:rPr>
            <w:rStyle w:val="Hyperlink"/>
          </w:rPr>
          <w:t>/people/suppliers</w:t>
        </w:r>
      </w:hyperlink>
      <w:r w:rsidR="00F073BE">
        <w:t>.</w:t>
      </w:r>
    </w:p>
  </w:footnote>
  <w:footnote w:id="62">
    <w:p w14:paraId="628620C7" w14:textId="50F3B29A" w:rsidR="00FE3E82" w:rsidRDefault="00FE3E82" w:rsidP="003522E6">
      <w:pPr>
        <w:pStyle w:val="ChartorTableNote"/>
        <w:ind w:left="408" w:hanging="408"/>
      </w:pPr>
      <w:r>
        <w:rPr>
          <w:rStyle w:val="FootnoteReference"/>
        </w:rPr>
        <w:footnoteRef/>
      </w:r>
      <w:r>
        <w:t xml:space="preserve"> </w:t>
      </w:r>
      <w:r w:rsidR="00C82E9A">
        <w:tab/>
      </w:r>
      <w:r w:rsidR="001A2F27" w:rsidRPr="00705A3D">
        <w:rPr>
          <w:rStyle w:val="FootnoteTextChar"/>
        </w:rPr>
        <w:t xml:space="preserve">ASBFEO Review analysis of </w:t>
      </w:r>
      <w:r w:rsidR="001A2F27" w:rsidRPr="00E8743E">
        <w:rPr>
          <w:rStyle w:val="FootnoteTextChar"/>
        </w:rPr>
        <w:t>ASBFEO calls since 2021</w:t>
      </w:r>
      <w:r w:rsidR="00C278D0">
        <w:rPr>
          <w:rStyle w:val="FootnoteTextChar"/>
        </w:rPr>
        <w:t>–</w:t>
      </w:r>
      <w:r w:rsidR="001A2F27" w:rsidRPr="00E8743E">
        <w:rPr>
          <w:rStyle w:val="FootnoteTextChar"/>
        </w:rPr>
        <w:t>22</w:t>
      </w:r>
      <w:r w:rsidR="001A2F27" w:rsidRPr="003522E6">
        <w:rPr>
          <w:rStyle w:val="FootnoteTextChar"/>
        </w:rPr>
        <w:t xml:space="preserve"> [unpublished document],</w:t>
      </w:r>
      <w:r w:rsidR="00930ADB" w:rsidRPr="003522E6">
        <w:rPr>
          <w:rStyle w:val="FootnoteTextChar"/>
        </w:rPr>
        <w:t xml:space="preserve"> </w:t>
      </w:r>
      <w:r w:rsidR="001A2F27" w:rsidRPr="003522E6">
        <w:rPr>
          <w:rStyle w:val="FootnoteTextChar"/>
        </w:rPr>
        <w:t>ASBFEO, Canberra, 2024</w:t>
      </w:r>
      <w:r w:rsidR="00F073BE">
        <w:rPr>
          <w:rStyle w:val="FootnoteTextChar"/>
        </w:rPr>
        <w:t>.</w:t>
      </w:r>
    </w:p>
  </w:footnote>
  <w:footnote w:id="63">
    <w:p w14:paraId="66562346" w14:textId="4527F33A" w:rsidR="00193A23" w:rsidRPr="00193A23" w:rsidRDefault="001A2F27" w:rsidP="003522E6">
      <w:pPr>
        <w:pStyle w:val="ChartorTableNote"/>
        <w:spacing w:before="0" w:after="0"/>
        <w:ind w:left="408" w:hanging="408"/>
        <w:jc w:val="left"/>
      </w:pPr>
      <w:r>
        <w:rPr>
          <w:rStyle w:val="FootnoteReference"/>
        </w:rPr>
        <w:footnoteRef/>
      </w:r>
      <w:r w:rsidRPr="004D1FDF">
        <w:rPr>
          <w:rStyle w:val="FootnoteReference"/>
        </w:rPr>
        <w:t xml:space="preserve"> </w:t>
      </w:r>
      <w:r w:rsidR="006513F4">
        <w:tab/>
      </w:r>
      <w:r w:rsidR="003A2EA8" w:rsidRPr="00ED63C7">
        <w:rPr>
          <w:rStyle w:val="FootnoteReference"/>
          <w:sz w:val="20"/>
        </w:rPr>
        <w:t xml:space="preserve">ASBFEO, </w:t>
      </w:r>
      <w:hyperlink r:id="rId28" w:history="1">
        <w:r w:rsidR="00856767" w:rsidRPr="00ED63C7">
          <w:rPr>
            <w:rStyle w:val="Hyperlink"/>
            <w:sz w:val="20"/>
          </w:rPr>
          <w:t>ASBFEO Quarterly Report Quarter 2 April – June  2024</w:t>
        </w:r>
      </w:hyperlink>
      <w:r w:rsidR="00671615" w:rsidRPr="00ED63C7">
        <w:rPr>
          <w:sz w:val="20"/>
        </w:rPr>
        <w:t xml:space="preserve">, </w:t>
      </w:r>
      <w:r w:rsidR="00DB143A" w:rsidRPr="00ED63C7">
        <w:rPr>
          <w:rStyle w:val="FootnoteReference"/>
          <w:sz w:val="20"/>
        </w:rPr>
        <w:t>accessed 12 May 2025, p 10</w:t>
      </w:r>
      <w:r w:rsidR="00862F94" w:rsidRPr="00ED63C7">
        <w:rPr>
          <w:sz w:val="20"/>
        </w:rPr>
        <w:t xml:space="preserve">; </w:t>
      </w:r>
      <w:r w:rsidR="00862F94" w:rsidRPr="00ED63C7">
        <w:rPr>
          <w:rStyle w:val="FootnoteReference"/>
          <w:sz w:val="20"/>
        </w:rPr>
        <w:t>ASBFEO,</w:t>
      </w:r>
      <w:r w:rsidR="008F534B" w:rsidRPr="00ED63C7">
        <w:rPr>
          <w:sz w:val="20"/>
        </w:rPr>
        <w:t xml:space="preserve"> </w:t>
      </w:r>
      <w:hyperlink r:id="rId29" w:history="1">
        <w:r w:rsidR="00485660" w:rsidRPr="00ED63C7">
          <w:rPr>
            <w:rStyle w:val="Hyperlink"/>
            <w:sz w:val="20"/>
          </w:rPr>
          <w:t>ASBFEO</w:t>
        </w:r>
        <w:r w:rsidR="00856767" w:rsidRPr="00ED63C7">
          <w:rPr>
            <w:rStyle w:val="Hyperlink"/>
            <w:sz w:val="20"/>
          </w:rPr>
          <w:t xml:space="preserve"> Quarterly Report Quarter 2 April </w:t>
        </w:r>
        <w:r w:rsidR="006D6E4A" w:rsidRPr="00ED63C7">
          <w:rPr>
            <w:rStyle w:val="Hyperlink"/>
            <w:sz w:val="20"/>
          </w:rPr>
          <w:t>–</w:t>
        </w:r>
        <w:r w:rsidR="00856767" w:rsidRPr="00ED63C7">
          <w:rPr>
            <w:rStyle w:val="Hyperlink"/>
            <w:sz w:val="20"/>
          </w:rPr>
          <w:t xml:space="preserve"> June </w:t>
        </w:r>
        <w:r w:rsidR="00485660" w:rsidRPr="00ED63C7">
          <w:rPr>
            <w:rStyle w:val="Hyperlink"/>
            <w:sz w:val="20"/>
          </w:rPr>
          <w:t>2023</w:t>
        </w:r>
      </w:hyperlink>
      <w:r w:rsidR="00824AD7" w:rsidRPr="00ED63C7" w:rsidDel="008F534B">
        <w:rPr>
          <w:rStyle w:val="FootnoteReference"/>
          <w:sz w:val="20"/>
        </w:rPr>
        <w:t xml:space="preserve"> </w:t>
      </w:r>
      <w:r w:rsidR="00DB143A" w:rsidRPr="00ED63C7">
        <w:rPr>
          <w:rStyle w:val="FootnoteReference"/>
          <w:sz w:val="20"/>
        </w:rPr>
        <w:t xml:space="preserve">accessed 12 May 2025, </w:t>
      </w:r>
      <w:r w:rsidR="00862F94" w:rsidRPr="00ED63C7">
        <w:rPr>
          <w:rStyle w:val="FootnoteReference"/>
          <w:sz w:val="20"/>
        </w:rPr>
        <w:t>p</w:t>
      </w:r>
      <w:r w:rsidR="00862F94" w:rsidRPr="00ED63C7">
        <w:rPr>
          <w:sz w:val="20"/>
        </w:rPr>
        <w:t xml:space="preserve"> 11</w:t>
      </w:r>
      <w:r w:rsidR="00E5366B">
        <w:rPr>
          <w:sz w:val="20"/>
        </w:rPr>
        <w:t>.</w:t>
      </w:r>
    </w:p>
  </w:footnote>
  <w:footnote w:id="64">
    <w:p w14:paraId="6E165A36" w14:textId="1B0256AA" w:rsidR="006E466B" w:rsidRDefault="006E466B" w:rsidP="003522E6">
      <w:pPr>
        <w:pStyle w:val="FootnoteText"/>
        <w:ind w:left="408" w:hanging="408"/>
      </w:pPr>
      <w:r>
        <w:rPr>
          <w:rStyle w:val="FootnoteReference"/>
        </w:rPr>
        <w:footnoteRef/>
      </w:r>
      <w:r w:rsidR="00210D22">
        <w:t xml:space="preserve"> </w:t>
      </w:r>
      <w:r w:rsidR="006513F4">
        <w:tab/>
      </w:r>
      <w:r w:rsidR="007C6560" w:rsidRPr="00946B4F">
        <w:rPr>
          <w:lang w:val="en-US"/>
        </w:rPr>
        <w:t>Department of Industry</w:t>
      </w:r>
      <w:r w:rsidR="007C6560">
        <w:rPr>
          <w:lang w:val="en-US"/>
        </w:rPr>
        <w:t>, Science and Resources (DISR)</w:t>
      </w:r>
      <w:r w:rsidR="00210D22">
        <w:t xml:space="preserve">, </w:t>
      </w:r>
      <w:r w:rsidR="00F67113" w:rsidRPr="005271F0">
        <w:rPr>
          <w:rStyle w:val="Emphasis"/>
        </w:rPr>
        <w:t>Contact Centre Customer Satisfaction Data</w:t>
      </w:r>
      <w:r w:rsidR="00F67113">
        <w:t xml:space="preserve">, </w:t>
      </w:r>
      <w:r w:rsidR="0077087E">
        <w:t>ASBFEO, Canberra 2025</w:t>
      </w:r>
      <w:r w:rsidR="00E5366B">
        <w:t>.</w:t>
      </w:r>
    </w:p>
  </w:footnote>
  <w:footnote w:id="65">
    <w:p w14:paraId="7E80CB21" w14:textId="4A44AEFB" w:rsidR="0077087E" w:rsidRDefault="0077087E" w:rsidP="004851D1">
      <w:pPr>
        <w:pStyle w:val="FootnoteText"/>
        <w:ind w:left="408" w:hanging="408"/>
      </w:pPr>
      <w:r>
        <w:rPr>
          <w:rStyle w:val="FootnoteReference"/>
        </w:rPr>
        <w:footnoteRef/>
      </w:r>
      <w:r>
        <w:t xml:space="preserve"> </w:t>
      </w:r>
      <w:r w:rsidR="006513F4">
        <w:tab/>
      </w:r>
      <w:r w:rsidR="007C6560">
        <w:t>DISR</w:t>
      </w:r>
      <w:r>
        <w:t xml:space="preserve">, </w:t>
      </w:r>
      <w:r w:rsidRPr="005271F0">
        <w:rPr>
          <w:rStyle w:val="Emphasis"/>
        </w:rPr>
        <w:t xml:space="preserve">Contact Centre </w:t>
      </w:r>
      <w:r w:rsidR="002E616A" w:rsidRPr="005271F0">
        <w:rPr>
          <w:rStyle w:val="Emphasis"/>
        </w:rPr>
        <w:t>Call Timing Data</w:t>
      </w:r>
      <w:r>
        <w:t>, ASBFEO, Canberra 2025</w:t>
      </w:r>
      <w:r w:rsidR="00E5366B">
        <w:t>.</w:t>
      </w:r>
    </w:p>
  </w:footnote>
  <w:footnote w:id="66">
    <w:p w14:paraId="27B23C15" w14:textId="0EF0BAE1" w:rsidR="00233A9B" w:rsidRDefault="00233A9B" w:rsidP="00233A9B">
      <w:pPr>
        <w:pStyle w:val="FootnoteText"/>
      </w:pPr>
      <w:r>
        <w:rPr>
          <w:rStyle w:val="FootnoteReference"/>
        </w:rPr>
        <w:footnoteRef/>
      </w:r>
      <w:r>
        <w:t xml:space="preserve"> </w:t>
      </w:r>
      <w:r>
        <w:tab/>
        <w:t>Australia Chamber of Commerce and Industry,</w:t>
      </w:r>
      <w:r w:rsidRPr="00662760">
        <w:t xml:space="preserve"> </w:t>
      </w:r>
      <w:r w:rsidRPr="00A4524E">
        <w:rPr>
          <w:rStyle w:val="Emphasis"/>
        </w:rPr>
        <w:t>Submission to the Independent Review of the ASBFEO</w:t>
      </w:r>
      <w:r w:rsidRPr="0054081C">
        <w:t xml:space="preserve"> January 202</w:t>
      </w:r>
      <w:r>
        <w:t>5, p</w:t>
      </w:r>
      <w:r w:rsidR="00FF6D42">
        <w:t xml:space="preserve"> </w:t>
      </w:r>
      <w:r>
        <w:t>2</w:t>
      </w:r>
      <w:r w:rsidR="00FF6D42">
        <w:t>.</w:t>
      </w:r>
    </w:p>
  </w:footnote>
  <w:footnote w:id="67">
    <w:p w14:paraId="7BB7BF2D" w14:textId="796CC7A9" w:rsidR="00233A9B" w:rsidRDefault="00233A9B" w:rsidP="00233A9B">
      <w:pPr>
        <w:pStyle w:val="FootnoteText"/>
      </w:pPr>
      <w:r>
        <w:rPr>
          <w:rStyle w:val="FootnoteReference"/>
        </w:rPr>
        <w:footnoteRef/>
      </w:r>
      <w:r>
        <w:t xml:space="preserve"> </w:t>
      </w:r>
      <w:r>
        <w:tab/>
      </w:r>
      <w:r w:rsidR="008C5FF1">
        <w:t>NANA,</w:t>
      </w:r>
      <w:r w:rsidRPr="00650DAA">
        <w:t xml:space="preserve"> </w:t>
      </w:r>
      <w:r w:rsidRPr="00A4524E">
        <w:rPr>
          <w:rStyle w:val="Emphasis"/>
        </w:rPr>
        <w:t xml:space="preserve">Submission to the Independent Review of the ASBFEO </w:t>
      </w:r>
      <w:r w:rsidRPr="0054081C">
        <w:t>January 202</w:t>
      </w:r>
      <w:r>
        <w:t>5, p</w:t>
      </w:r>
      <w:r w:rsidR="00FF6D42">
        <w:t xml:space="preserve"> </w:t>
      </w:r>
      <w:r>
        <w:t>2</w:t>
      </w:r>
      <w:r w:rsidR="00FF6D42">
        <w:t>.</w:t>
      </w:r>
    </w:p>
  </w:footnote>
  <w:footnote w:id="68">
    <w:p w14:paraId="18F86646" w14:textId="07E05D31" w:rsidR="00EC2207" w:rsidRDefault="00EC2207">
      <w:pPr>
        <w:pStyle w:val="FootnoteText"/>
      </w:pPr>
      <w:r>
        <w:rPr>
          <w:rStyle w:val="FootnoteReference"/>
        </w:rPr>
        <w:footnoteRef/>
      </w:r>
      <w:r>
        <w:t xml:space="preserve"> </w:t>
      </w:r>
      <w:r w:rsidR="00BC1E2A">
        <w:tab/>
        <w:t>SBDC (</w:t>
      </w:r>
      <w:r>
        <w:rPr>
          <w:rFonts w:eastAsia="Calibri Light"/>
        </w:rPr>
        <w:t>WA</w:t>
      </w:r>
      <w:r w:rsidR="00BC1E2A">
        <w:t>)</w:t>
      </w:r>
      <w:r w:rsidRPr="001A5F0F">
        <w:rPr>
          <w:rFonts w:eastAsia="Calibri Light"/>
        </w:rPr>
        <w:t xml:space="preserve">, </w:t>
      </w:r>
      <w:r w:rsidR="00C3400A" w:rsidRPr="001A5F0F">
        <w:rPr>
          <w:rStyle w:val="Emphasis"/>
          <w:rFonts w:eastAsia="Calibri Light"/>
        </w:rPr>
        <w:t>Submission to the Independent Review of the ASBFEO</w:t>
      </w:r>
      <w:r w:rsidR="00C3400A" w:rsidRPr="001A5F0F">
        <w:rPr>
          <w:rFonts w:eastAsia="Calibri Light"/>
        </w:rPr>
        <w:t xml:space="preserve"> January</w:t>
      </w:r>
      <w:r w:rsidR="00F16666" w:rsidRPr="001A5F0F">
        <w:rPr>
          <w:rFonts w:eastAsia="Calibri Light"/>
        </w:rPr>
        <w:t xml:space="preserve"> </w:t>
      </w:r>
      <w:r w:rsidR="00C3400A" w:rsidRPr="001A5F0F">
        <w:rPr>
          <w:rFonts w:eastAsia="Calibri Light"/>
        </w:rPr>
        <w:t>2025</w:t>
      </w:r>
      <w:r w:rsidRPr="001A5F0F">
        <w:rPr>
          <w:rFonts w:eastAsia="Calibri Light"/>
        </w:rPr>
        <w:t>, p</w:t>
      </w:r>
      <w:r w:rsidR="00FF6D42" w:rsidRPr="001A5F0F">
        <w:rPr>
          <w:rFonts w:eastAsia="Calibri Light"/>
        </w:rPr>
        <w:t xml:space="preserve"> </w:t>
      </w:r>
      <w:r w:rsidRPr="001A5F0F">
        <w:rPr>
          <w:rFonts w:eastAsia="Calibri Light"/>
        </w:rPr>
        <w:t>3</w:t>
      </w:r>
      <w:r w:rsidR="00FF6D42" w:rsidRPr="001A5F0F">
        <w:rPr>
          <w:rFonts w:eastAsia="Calibri Light"/>
        </w:rPr>
        <w:t>.</w:t>
      </w:r>
    </w:p>
  </w:footnote>
  <w:footnote w:id="69">
    <w:p w14:paraId="4658933A" w14:textId="5EEF1EB3" w:rsidR="009847B6" w:rsidRDefault="00F10E87" w:rsidP="009847B6">
      <w:pPr>
        <w:pStyle w:val="FootnoteText"/>
      </w:pPr>
      <w:r>
        <w:rPr>
          <w:rStyle w:val="FootnoteReference"/>
        </w:rPr>
        <w:footnoteRef/>
      </w:r>
      <w:r>
        <w:t xml:space="preserve"> </w:t>
      </w:r>
      <w:r w:rsidR="00D454EF">
        <w:tab/>
      </w:r>
      <w:r>
        <w:t xml:space="preserve">S McCluskey, </w:t>
      </w:r>
      <w:hyperlink r:id="rId30" w:history="1">
        <w:r w:rsidRPr="005B1D28">
          <w:rPr>
            <w:rStyle w:val="Hyperlink"/>
          </w:rPr>
          <w:t>Review of the Australian Small Business and Family Enterprise Ombudsman</w:t>
        </w:r>
      </w:hyperlink>
      <w:r>
        <w:t>, Canberra, Commonwealth of Australia, 2017 p 39, accessed 20 May 2025.</w:t>
      </w:r>
    </w:p>
  </w:footnote>
  <w:footnote w:id="70">
    <w:p w14:paraId="26AC77A7" w14:textId="5A9CC84F" w:rsidR="0097234F" w:rsidRDefault="0097234F">
      <w:pPr>
        <w:pStyle w:val="FootnoteText"/>
      </w:pPr>
      <w:r>
        <w:rPr>
          <w:rStyle w:val="FootnoteReference"/>
        </w:rPr>
        <w:footnoteRef/>
      </w:r>
      <w:r>
        <w:t xml:space="preserve"> </w:t>
      </w:r>
      <w:r w:rsidR="00D454EF">
        <w:tab/>
      </w:r>
      <w:r w:rsidR="00D454EF" w:rsidRPr="00D454EF">
        <w:t xml:space="preserve">C McGregor, </w:t>
      </w:r>
      <w:hyperlink r:id="rId31" w:history="1">
        <w:r w:rsidR="00D454EF" w:rsidRPr="00D454EF">
          <w:rPr>
            <w:rStyle w:val="Hyperlink"/>
          </w:rPr>
          <w:t>Australian Small Business and Family Enterprise (ASBFEO) Independent Review</w:t>
        </w:r>
      </w:hyperlink>
      <w:r w:rsidR="00D454EF" w:rsidRPr="00D454EF">
        <w:t>, Canberra, Commonwealth of Australia, 2021 p</w:t>
      </w:r>
      <w:r w:rsidR="00D454EF">
        <w:t xml:space="preserve">p </w:t>
      </w:r>
      <w:r w:rsidR="00D454EF" w:rsidRPr="00D454EF">
        <w:t>4</w:t>
      </w:r>
      <w:r w:rsidR="00D454EF">
        <w:t>4</w:t>
      </w:r>
      <w:r w:rsidR="00F92168" w:rsidRPr="00F92168">
        <w:t>–</w:t>
      </w:r>
      <w:r w:rsidR="00D454EF">
        <w:t>47</w:t>
      </w:r>
      <w:r w:rsidR="00D454EF" w:rsidRPr="00D454EF">
        <w:t>, accessed 20 May 2025</w:t>
      </w:r>
      <w:r w:rsidR="003150E6">
        <w:t>.</w:t>
      </w:r>
    </w:p>
  </w:footnote>
  <w:footnote w:id="71">
    <w:p w14:paraId="66D1A99E" w14:textId="0EBEEBA1" w:rsidR="00EA6DA8" w:rsidRDefault="00EA6DA8">
      <w:pPr>
        <w:pStyle w:val="FootnoteText"/>
      </w:pPr>
      <w:r>
        <w:rPr>
          <w:rStyle w:val="FootnoteReference"/>
        </w:rPr>
        <w:footnoteRef/>
      </w:r>
      <w:r>
        <w:t xml:space="preserve"> </w:t>
      </w:r>
      <w:r w:rsidR="00EE4E17">
        <w:tab/>
      </w:r>
      <w:r w:rsidRPr="00AF3D4F">
        <w:rPr>
          <w:rStyle w:val="Emphasis"/>
          <w:rFonts w:eastAsia="Calibri Light"/>
        </w:rPr>
        <w:t>ASBFEO Act 2015</w:t>
      </w:r>
      <w:r w:rsidR="00494A58">
        <w:rPr>
          <w:rFonts w:ascii="Calibri Light" w:eastAsia="Calibri Light" w:hAnsi="Calibri Light" w:cs="Calibri Light"/>
        </w:rPr>
        <w:t xml:space="preserve">, </w:t>
      </w:r>
      <w:r w:rsidR="00494A58" w:rsidRPr="00F06661">
        <w:rPr>
          <w:rFonts w:ascii="Calibri" w:eastAsia="Calibri" w:hAnsi="Calibri" w:cs="Calibri"/>
        </w:rPr>
        <w:t>paragraph 69(5)(b)</w:t>
      </w:r>
      <w:r w:rsidR="003150E6">
        <w:rPr>
          <w:rFonts w:ascii="Calibri" w:eastAsia="Calibri" w:hAnsi="Calibri" w:cs="Calibri"/>
        </w:rPr>
        <w:t>.</w:t>
      </w:r>
    </w:p>
  </w:footnote>
  <w:footnote w:id="72">
    <w:p w14:paraId="74E2B337" w14:textId="7DAA002C" w:rsidR="00956F71" w:rsidRDefault="00956F71">
      <w:pPr>
        <w:pStyle w:val="FootnoteText"/>
      </w:pPr>
      <w:r>
        <w:rPr>
          <w:rStyle w:val="FootnoteReference"/>
        </w:rPr>
        <w:footnoteRef/>
      </w:r>
      <w:r>
        <w:t xml:space="preserve"> </w:t>
      </w:r>
      <w:r w:rsidR="00EE4E17">
        <w:tab/>
      </w:r>
      <w:r w:rsidR="00F41F6B">
        <w:rPr>
          <w:rFonts w:eastAsia="Aptos"/>
        </w:rPr>
        <w:t xml:space="preserve">EM, </w:t>
      </w:r>
      <w:hyperlink r:id="rId32" w:history="1">
        <w:r w:rsidR="00F41F6B" w:rsidRPr="00EA0274">
          <w:rPr>
            <w:rStyle w:val="Hyperlink"/>
            <w:rFonts w:eastAsia="Aptos"/>
          </w:rPr>
          <w:t>Australian Small Business and Family Enterprise Ombudsman Bill 2015, Australian Small Business And Family Enterprise Ombudsman (Consequential And Transitional Provisions) Bill 2015</w:t>
        </w:r>
      </w:hyperlink>
      <w:r w:rsidR="00F41F6B">
        <w:rPr>
          <w:rFonts w:eastAsia="Aptos"/>
        </w:rPr>
        <w:t>,</w:t>
      </w:r>
      <w:r w:rsidR="00F41F6B" w:rsidRPr="00F41F6B">
        <w:t xml:space="preserve"> </w:t>
      </w:r>
      <w:r w:rsidR="00F41F6B">
        <w:t>para 6.11</w:t>
      </w:r>
      <w:r w:rsidR="00F41F6B">
        <w:rPr>
          <w:rFonts w:eastAsia="Aptos"/>
        </w:rPr>
        <w:t>, accessed 6</w:t>
      </w:r>
      <w:r w:rsidR="00943102">
        <w:rPr>
          <w:rFonts w:eastAsia="Aptos"/>
        </w:rPr>
        <w:t> </w:t>
      </w:r>
      <w:r w:rsidR="00F41F6B">
        <w:rPr>
          <w:rFonts w:eastAsia="Aptos"/>
        </w:rPr>
        <w:t>May 2025</w:t>
      </w:r>
      <w:r w:rsidR="00F21ACA">
        <w:rPr>
          <w:rFonts w:eastAsia="Aptos"/>
        </w:rPr>
        <w:t>.</w:t>
      </w:r>
    </w:p>
  </w:footnote>
  <w:footnote w:id="73">
    <w:p w14:paraId="6A998E08" w14:textId="15FF135A" w:rsidR="00774F0C" w:rsidRDefault="00774F0C">
      <w:pPr>
        <w:pStyle w:val="FootnoteText"/>
      </w:pPr>
      <w:r>
        <w:rPr>
          <w:rStyle w:val="FootnoteReference"/>
        </w:rPr>
        <w:footnoteRef/>
      </w:r>
      <w:r>
        <w:t xml:space="preserve"> </w:t>
      </w:r>
      <w:r w:rsidR="003E517F">
        <w:tab/>
      </w:r>
      <w:r w:rsidRPr="00774F0C">
        <w:t xml:space="preserve">Australian Mediator </w:t>
      </w:r>
      <w:r w:rsidR="00025498">
        <w:t>and</w:t>
      </w:r>
      <w:r w:rsidRPr="00774F0C">
        <w:t xml:space="preserve"> Dispute Resolution Accreditation Standards, </w:t>
      </w:r>
      <w:r w:rsidRPr="00533B3E">
        <w:rPr>
          <w:rStyle w:val="Emphasis"/>
        </w:rPr>
        <w:t xml:space="preserve">The Australian Mediator </w:t>
      </w:r>
      <w:r w:rsidR="00025498" w:rsidRPr="00533B3E">
        <w:rPr>
          <w:rStyle w:val="Emphasis"/>
        </w:rPr>
        <w:t>and</w:t>
      </w:r>
      <w:r w:rsidRPr="00533B3E">
        <w:rPr>
          <w:rStyle w:val="Emphasis"/>
        </w:rPr>
        <w:t xml:space="preserve"> Dispute Resolution Accreditation Standards (AMDRAS)</w:t>
      </w:r>
      <w:r w:rsidRPr="00774F0C">
        <w:t>, 2025, p72</w:t>
      </w:r>
    </w:p>
  </w:footnote>
  <w:footnote w:id="74">
    <w:p w14:paraId="67F2AE94" w14:textId="4C9EC24C" w:rsidR="00B172E9" w:rsidRDefault="00B172E9">
      <w:pPr>
        <w:pStyle w:val="FootnoteText"/>
      </w:pPr>
      <w:r>
        <w:rPr>
          <w:rStyle w:val="FootnoteReference"/>
        </w:rPr>
        <w:footnoteRef/>
      </w:r>
      <w:r>
        <w:t xml:space="preserve"> </w:t>
      </w:r>
      <w:r w:rsidR="002310C9">
        <w:tab/>
      </w:r>
      <w:r w:rsidR="00104463" w:rsidRPr="00104463">
        <w:t>S McCluskey, </w:t>
      </w:r>
      <w:hyperlink r:id="rId33" w:tgtFrame="_blank" w:tooltip="https://treasury.gov.au/publication/review-of-the-australian-small-business-and-family-enterprise-ombudsman" w:history="1">
        <w:r w:rsidR="00104463" w:rsidRPr="00104463">
          <w:rPr>
            <w:rStyle w:val="Hyperlink"/>
          </w:rPr>
          <w:t>Review of the Australian Small Business and Family Enterprise Ombudsman</w:t>
        </w:r>
      </w:hyperlink>
      <w:r w:rsidR="00104463" w:rsidRPr="00104463">
        <w:t xml:space="preserve">, Canberra, Commonwealth of Australia, 2017 p </w:t>
      </w:r>
      <w:r w:rsidR="00AF083A">
        <w:t>34</w:t>
      </w:r>
      <w:r w:rsidR="00104463" w:rsidRPr="00104463">
        <w:t>, accessed 20 May 2025.</w:t>
      </w:r>
    </w:p>
  </w:footnote>
  <w:footnote w:id="75">
    <w:p w14:paraId="44A598E6" w14:textId="66A171F3" w:rsidR="004E7442" w:rsidRPr="008316F4" w:rsidRDefault="004E7442">
      <w:pPr>
        <w:pStyle w:val="FootnoteText"/>
        <w:rPr>
          <w:rFonts w:cstheme="minorHAnsi"/>
        </w:rPr>
      </w:pPr>
      <w:r>
        <w:rPr>
          <w:rStyle w:val="FootnoteReference"/>
        </w:rPr>
        <w:footnoteRef/>
      </w:r>
      <w:r w:rsidR="00BE5D48">
        <w:tab/>
      </w:r>
      <w:r w:rsidR="00D76460" w:rsidRPr="008316F4">
        <w:rPr>
          <w:rFonts w:cstheme="minorHAnsi"/>
        </w:rPr>
        <w:t xml:space="preserve">MTAA, </w:t>
      </w:r>
      <w:r w:rsidR="00475A16" w:rsidRPr="008316F4">
        <w:rPr>
          <w:rStyle w:val="Emphasis"/>
          <w:rFonts w:eastAsia="Calibri Light"/>
        </w:rPr>
        <w:t>Submission to the Independent Review of the ASBFEO</w:t>
      </w:r>
      <w:r w:rsidR="00475A16" w:rsidRPr="008316F4">
        <w:rPr>
          <w:rFonts w:eastAsia="Calibri Light" w:cstheme="minorHAnsi"/>
        </w:rPr>
        <w:t xml:space="preserve"> January 2025</w:t>
      </w:r>
      <w:r w:rsidR="00D76460" w:rsidRPr="008316F4">
        <w:rPr>
          <w:rFonts w:cstheme="minorHAnsi"/>
        </w:rPr>
        <w:t>, p</w:t>
      </w:r>
      <w:r w:rsidR="000039EC" w:rsidRPr="008316F4">
        <w:rPr>
          <w:rFonts w:cstheme="minorHAnsi"/>
        </w:rPr>
        <w:t xml:space="preserve"> </w:t>
      </w:r>
      <w:r w:rsidR="00D76460" w:rsidRPr="008316F4">
        <w:rPr>
          <w:rFonts w:cstheme="minorHAnsi"/>
        </w:rPr>
        <w:t>3</w:t>
      </w:r>
      <w:r w:rsidR="000039EC" w:rsidRPr="008316F4">
        <w:rPr>
          <w:rFonts w:cstheme="minorHAnsi"/>
        </w:rPr>
        <w:t>.</w:t>
      </w:r>
    </w:p>
  </w:footnote>
  <w:footnote w:id="76">
    <w:p w14:paraId="3142B195" w14:textId="4EA750A7" w:rsidR="007C2450" w:rsidRDefault="007C2450">
      <w:pPr>
        <w:pStyle w:val="FootnoteText"/>
      </w:pPr>
      <w:r w:rsidRPr="00B103F8">
        <w:rPr>
          <w:rStyle w:val="FootnoteReference"/>
          <w:rFonts w:cstheme="minorHAnsi"/>
        </w:rPr>
        <w:footnoteRef/>
      </w:r>
      <w:r w:rsidR="00BE5D48">
        <w:tab/>
      </w:r>
      <w:r w:rsidR="003A38EF">
        <w:t xml:space="preserve">Small Business Debt Helpline, </w:t>
      </w:r>
      <w:r w:rsidR="00C1598D" w:rsidRPr="008316F4">
        <w:rPr>
          <w:rStyle w:val="Emphasis"/>
          <w:rFonts w:eastAsia="Calibri Light"/>
        </w:rPr>
        <w:t>Submission to the Independent Review of the ASBFEO</w:t>
      </w:r>
      <w:r w:rsidR="00C1598D" w:rsidRPr="008316F4">
        <w:rPr>
          <w:rFonts w:eastAsia="Calibri Light"/>
        </w:rPr>
        <w:t xml:space="preserve"> December 2024</w:t>
      </w:r>
      <w:r w:rsidR="003A38EF">
        <w:t>, p</w:t>
      </w:r>
      <w:r w:rsidR="000039EC">
        <w:t xml:space="preserve"> </w:t>
      </w:r>
      <w:r w:rsidR="003A38EF">
        <w:t>4</w:t>
      </w:r>
      <w:r w:rsidR="000039EC">
        <w:t>.</w:t>
      </w:r>
    </w:p>
  </w:footnote>
  <w:footnote w:id="77">
    <w:p w14:paraId="3082C3BA" w14:textId="780A83CC" w:rsidR="003A38EF" w:rsidRPr="008316F4" w:rsidRDefault="003A38EF">
      <w:pPr>
        <w:pStyle w:val="FootnoteText"/>
        <w:rPr>
          <w:rFonts w:cstheme="minorHAnsi"/>
        </w:rPr>
      </w:pPr>
      <w:r w:rsidRPr="00B103F8">
        <w:rPr>
          <w:rStyle w:val="FootnoteReference"/>
          <w:rFonts w:cstheme="minorHAnsi"/>
        </w:rPr>
        <w:footnoteRef/>
      </w:r>
      <w:r w:rsidRPr="008316F4">
        <w:rPr>
          <w:rFonts w:cstheme="minorHAnsi"/>
        </w:rPr>
        <w:t xml:space="preserve"> </w:t>
      </w:r>
      <w:r w:rsidR="004C3C11" w:rsidRPr="008316F4">
        <w:rPr>
          <w:rFonts w:cstheme="minorHAnsi"/>
        </w:rPr>
        <w:tab/>
      </w:r>
      <w:r w:rsidR="000329B3" w:rsidRPr="008316F4">
        <w:rPr>
          <w:rFonts w:cstheme="minorHAnsi"/>
        </w:rPr>
        <w:t xml:space="preserve">Small Business Debt Helpline, </w:t>
      </w:r>
      <w:r w:rsidR="00C1598D" w:rsidRPr="008316F4">
        <w:rPr>
          <w:rStyle w:val="Emphasis"/>
          <w:rFonts w:eastAsia="Calibri Light"/>
        </w:rPr>
        <w:t>Submission to the Independent Review of the ASBFEO December 2024</w:t>
      </w:r>
      <w:r w:rsidR="000329B3" w:rsidRPr="008316F4">
        <w:rPr>
          <w:rFonts w:cstheme="minorHAnsi"/>
        </w:rPr>
        <w:t>, p</w:t>
      </w:r>
      <w:r w:rsidR="000039EC" w:rsidRPr="008316F4">
        <w:rPr>
          <w:rFonts w:cstheme="minorHAnsi"/>
        </w:rPr>
        <w:t xml:space="preserve"> </w:t>
      </w:r>
      <w:r w:rsidR="000329B3" w:rsidRPr="008316F4">
        <w:rPr>
          <w:rFonts w:cstheme="minorHAnsi"/>
        </w:rPr>
        <w:t>4</w:t>
      </w:r>
      <w:r w:rsidR="000039EC" w:rsidRPr="008316F4">
        <w:rPr>
          <w:rFonts w:cstheme="minorHAnsi"/>
        </w:rPr>
        <w:t>.</w:t>
      </w:r>
    </w:p>
  </w:footnote>
  <w:footnote w:id="78">
    <w:p w14:paraId="1438800A" w14:textId="57EBE02D" w:rsidR="00370538" w:rsidRDefault="00370538">
      <w:pPr>
        <w:pStyle w:val="FootnoteText"/>
      </w:pPr>
      <w:r>
        <w:rPr>
          <w:rStyle w:val="FootnoteReference"/>
        </w:rPr>
        <w:footnoteRef/>
      </w:r>
      <w:r>
        <w:t xml:space="preserve"> </w:t>
      </w:r>
      <w:r w:rsidR="004C3C11">
        <w:tab/>
      </w:r>
      <w:r w:rsidR="00FF01BA" w:rsidRPr="00FF01BA">
        <w:t xml:space="preserve">C McGregor, </w:t>
      </w:r>
      <w:hyperlink r:id="rId34" w:history="1">
        <w:r w:rsidR="00FF01BA" w:rsidRPr="00FF01BA">
          <w:rPr>
            <w:rStyle w:val="Hyperlink"/>
          </w:rPr>
          <w:t>Australian Small Business and Family Enterprise (ASBFEO) Independent Review</w:t>
        </w:r>
      </w:hyperlink>
      <w:r w:rsidR="00FF01BA" w:rsidRPr="00FF01BA">
        <w:t>, Canberra, Commonwealth of Australia, 2021 p</w:t>
      </w:r>
      <w:r w:rsidR="00FF01BA">
        <w:t>p 5</w:t>
      </w:r>
      <w:r w:rsidR="00FF01BA" w:rsidRPr="00FF01BA">
        <w:t>8</w:t>
      </w:r>
      <w:r w:rsidR="00F92168" w:rsidRPr="00F92168">
        <w:t>–</w:t>
      </w:r>
      <w:r w:rsidR="00FF01BA">
        <w:t>60</w:t>
      </w:r>
      <w:r w:rsidR="00FF01BA" w:rsidRPr="00FF01BA">
        <w:t>, accessed 20 May 2025</w:t>
      </w:r>
      <w:r w:rsidR="005E69EA">
        <w:t>.</w:t>
      </w:r>
    </w:p>
  </w:footnote>
  <w:footnote w:id="79">
    <w:p w14:paraId="25837CA3" w14:textId="7C5028F5" w:rsidR="00A226B1" w:rsidRDefault="00A226B1" w:rsidP="00A226B1">
      <w:pPr>
        <w:pStyle w:val="FootnoteText"/>
      </w:pPr>
      <w:r>
        <w:rPr>
          <w:rStyle w:val="FootnoteReference"/>
        </w:rPr>
        <w:footnoteRef/>
      </w:r>
      <w:r w:rsidR="00943102">
        <w:tab/>
      </w:r>
      <w:r w:rsidRPr="005A4399">
        <w:rPr>
          <w:i/>
          <w:iCs/>
        </w:rPr>
        <w:t>Competition and Consumer (Industry Codes – Franchising) Regulation 2014</w:t>
      </w:r>
      <w:r w:rsidRPr="000F1A13">
        <w:t xml:space="preserve"> (</w:t>
      </w:r>
      <w:proofErr w:type="spellStart"/>
      <w:r w:rsidRPr="000F1A13">
        <w:t>Cth</w:t>
      </w:r>
      <w:proofErr w:type="spellEnd"/>
      <w:r w:rsidRPr="000F1A13">
        <w:t>)</w:t>
      </w:r>
      <w:r>
        <w:t>.</w:t>
      </w:r>
    </w:p>
  </w:footnote>
  <w:footnote w:id="80">
    <w:p w14:paraId="25F92A5F" w14:textId="40DD7DB4" w:rsidR="0084502E" w:rsidRDefault="0084502E">
      <w:pPr>
        <w:pStyle w:val="FootnoteText"/>
      </w:pPr>
      <w:r>
        <w:rPr>
          <w:rStyle w:val="FootnoteReference"/>
        </w:rPr>
        <w:footnoteRef/>
      </w:r>
      <w:r w:rsidR="00A226B1">
        <w:tab/>
      </w:r>
      <w:r w:rsidR="005A5906" w:rsidRPr="46CE06A8">
        <w:t xml:space="preserve">ASBFEO, </w:t>
      </w:r>
      <w:r w:rsidR="00061021" w:rsidRPr="000162E5">
        <w:rPr>
          <w:rStyle w:val="Emphasis"/>
          <w:rFonts w:eastAsia="Calibri Light"/>
        </w:rPr>
        <w:t>Submission to the Independent Review of the ASBFEO</w:t>
      </w:r>
      <w:r w:rsidR="00061021" w:rsidRPr="000162E5">
        <w:rPr>
          <w:rFonts w:eastAsia="Calibri Light"/>
        </w:rPr>
        <w:t xml:space="preserve"> January 2025</w:t>
      </w:r>
      <w:r w:rsidR="005A5906" w:rsidRPr="46CE06A8">
        <w:t>, p 20</w:t>
      </w:r>
      <w:r w:rsidR="00AB302A">
        <w:t>.</w:t>
      </w:r>
    </w:p>
  </w:footnote>
  <w:footnote w:id="81">
    <w:p w14:paraId="6D5998F7" w14:textId="5D588E7C" w:rsidR="00E73EB0" w:rsidRDefault="00E73EB0">
      <w:pPr>
        <w:pStyle w:val="FootnoteText"/>
      </w:pPr>
      <w:r>
        <w:rPr>
          <w:rStyle w:val="FootnoteReference"/>
        </w:rPr>
        <w:footnoteRef/>
      </w:r>
      <w:r>
        <w:t xml:space="preserve"> </w:t>
      </w:r>
      <w:r w:rsidR="00AD586D">
        <w:tab/>
      </w:r>
      <w:r w:rsidR="002E7371" w:rsidRPr="47CF6FE8">
        <w:t>Independent Review of the Franchising Code of Conduct, Dr Michael Schaper, December 2023, p 89</w:t>
      </w:r>
      <w:r w:rsidR="001B4F5C">
        <w:t>.</w:t>
      </w:r>
    </w:p>
  </w:footnote>
  <w:footnote w:id="82">
    <w:p w14:paraId="2E5C1331" w14:textId="034E2B3F" w:rsidR="00870E1A" w:rsidRDefault="00870E1A">
      <w:pPr>
        <w:pStyle w:val="FootnoteText"/>
      </w:pPr>
      <w:r>
        <w:rPr>
          <w:rStyle w:val="FootnoteReference"/>
        </w:rPr>
        <w:footnoteRef/>
      </w:r>
      <w:r>
        <w:t xml:space="preserve"> </w:t>
      </w:r>
      <w:r w:rsidR="00AD586D">
        <w:tab/>
      </w:r>
      <w:r w:rsidR="00D87576">
        <w:t>AADA</w:t>
      </w:r>
      <w:r w:rsidR="00F96D72" w:rsidRPr="48886819">
        <w:t xml:space="preserve">, </w:t>
      </w:r>
      <w:r w:rsidR="00F96D72" w:rsidRPr="0033383B">
        <w:rPr>
          <w:rStyle w:val="Emphasis"/>
          <w:rFonts w:eastAsia="Calibri Light"/>
        </w:rPr>
        <w:t xml:space="preserve">Submission to the Independent Review of the ASBFEO </w:t>
      </w:r>
      <w:r w:rsidR="00F96D72" w:rsidRPr="0033383B">
        <w:rPr>
          <w:rFonts w:eastAsia="Calibri Light"/>
        </w:rPr>
        <w:t>January 2025</w:t>
      </w:r>
      <w:r w:rsidR="00F96D72" w:rsidRPr="48886819">
        <w:t>, p</w:t>
      </w:r>
      <w:r w:rsidR="00AD586D">
        <w:t xml:space="preserve"> </w:t>
      </w:r>
      <w:r w:rsidR="00F96D72" w:rsidRPr="48886819">
        <w:t>1</w:t>
      </w:r>
      <w:r w:rsidR="001B4F5C">
        <w:t>.</w:t>
      </w:r>
    </w:p>
  </w:footnote>
  <w:footnote w:id="83">
    <w:p w14:paraId="63B22C11" w14:textId="5EC7C28E" w:rsidR="004D1373" w:rsidRDefault="004D1373">
      <w:pPr>
        <w:pStyle w:val="FootnoteText"/>
      </w:pPr>
      <w:r w:rsidRPr="00B103F8">
        <w:rPr>
          <w:rStyle w:val="FootnoteReference"/>
          <w:sz w:val="20"/>
        </w:rPr>
        <w:footnoteRef/>
      </w:r>
      <w:r>
        <w:t xml:space="preserve"> </w:t>
      </w:r>
      <w:r w:rsidR="00F87471">
        <w:tab/>
      </w:r>
      <w:r w:rsidR="00F97BFF">
        <w:t>AADA</w:t>
      </w:r>
      <w:r w:rsidR="00A92127" w:rsidRPr="48886819">
        <w:t xml:space="preserve">, </w:t>
      </w:r>
      <w:r w:rsidR="00A92127" w:rsidRPr="0033383B">
        <w:rPr>
          <w:rStyle w:val="Emphasis"/>
          <w:rFonts w:eastAsia="Calibri Light"/>
        </w:rPr>
        <w:t>Submission to the Independent Review of the ASBFEO</w:t>
      </w:r>
      <w:r w:rsidR="00A92127" w:rsidRPr="0033383B">
        <w:rPr>
          <w:rFonts w:eastAsia="Calibri Light"/>
        </w:rPr>
        <w:t xml:space="preserve"> January 2025</w:t>
      </w:r>
      <w:r w:rsidR="00A92127" w:rsidRPr="48886819">
        <w:t>, p</w:t>
      </w:r>
      <w:r w:rsidR="00F87471">
        <w:t xml:space="preserve"> </w:t>
      </w:r>
      <w:r w:rsidR="00A92127">
        <w:t>2</w:t>
      </w:r>
      <w:r w:rsidR="001B4F5C">
        <w:t>.</w:t>
      </w:r>
    </w:p>
  </w:footnote>
  <w:footnote w:id="84">
    <w:p w14:paraId="035078B9" w14:textId="76A7003B" w:rsidR="00C4627D" w:rsidRDefault="00C4627D" w:rsidP="00C4627D">
      <w:pPr>
        <w:pStyle w:val="FootnoteText"/>
      </w:pPr>
      <w:r>
        <w:rPr>
          <w:rStyle w:val="FootnoteReference"/>
        </w:rPr>
        <w:footnoteRef/>
      </w:r>
      <w:r>
        <w:t xml:space="preserve"> </w:t>
      </w:r>
      <w:r w:rsidR="00F87471">
        <w:tab/>
      </w:r>
      <w:r w:rsidRPr="48886819">
        <w:t>A</w:t>
      </w:r>
      <w:r w:rsidR="00F97BFF">
        <w:t>ADA</w:t>
      </w:r>
      <w:r w:rsidRPr="48886819">
        <w:t xml:space="preserve">, </w:t>
      </w:r>
      <w:r w:rsidRPr="0033383B">
        <w:rPr>
          <w:rStyle w:val="Emphasis"/>
          <w:rFonts w:eastAsia="Calibri Light"/>
        </w:rPr>
        <w:t xml:space="preserve">Submission to the Independent Review of the ASBFEO </w:t>
      </w:r>
      <w:r w:rsidRPr="0033383B">
        <w:rPr>
          <w:rFonts w:eastAsia="Calibri Light"/>
        </w:rPr>
        <w:t>January 2025</w:t>
      </w:r>
      <w:r w:rsidRPr="48886819">
        <w:t>, p</w:t>
      </w:r>
      <w:r w:rsidR="00F87471">
        <w:t xml:space="preserve"> </w:t>
      </w:r>
      <w:r>
        <w:t>1</w:t>
      </w:r>
      <w:r w:rsidR="00E459CE">
        <w:t>.</w:t>
      </w:r>
    </w:p>
  </w:footnote>
  <w:footnote w:id="85">
    <w:p w14:paraId="333AFBDB" w14:textId="48B56C94" w:rsidR="00A42D68" w:rsidRPr="0033383B" w:rsidRDefault="00B103F8" w:rsidP="0033383B">
      <w:pPr>
        <w:pStyle w:val="FootnoteText"/>
      </w:pPr>
      <w:r w:rsidRPr="00B103F8">
        <w:rPr>
          <w:rStyle w:val="FootnoteReference"/>
          <w:sz w:val="20"/>
        </w:rPr>
        <w:footnoteRef/>
      </w:r>
      <w:r w:rsidR="00A42D68" w:rsidRPr="0033383B">
        <w:t xml:space="preserve"> </w:t>
      </w:r>
      <w:r w:rsidR="00F87471" w:rsidRPr="0033383B">
        <w:tab/>
      </w:r>
      <w:r w:rsidR="00A42D68" w:rsidRPr="0033383B">
        <w:t>A</w:t>
      </w:r>
      <w:r w:rsidR="00F97BFF" w:rsidRPr="0033383B">
        <w:t>ADA</w:t>
      </w:r>
      <w:r w:rsidR="00A42D68" w:rsidRPr="0033383B">
        <w:t xml:space="preserve">, </w:t>
      </w:r>
      <w:r w:rsidR="0033383B" w:rsidRPr="0033383B">
        <w:rPr>
          <w:rStyle w:val="Emphasis"/>
          <w:rFonts w:eastAsia="Calibri Light"/>
        </w:rPr>
        <w:t xml:space="preserve">Submission to the Independent Review of the ASBFEO </w:t>
      </w:r>
      <w:r w:rsidR="00A42D68" w:rsidRPr="0033383B">
        <w:rPr>
          <w:rFonts w:eastAsia="Calibri Light"/>
        </w:rPr>
        <w:t>January 2025</w:t>
      </w:r>
      <w:r w:rsidR="00A42D68" w:rsidRPr="0033383B">
        <w:t>, p</w:t>
      </w:r>
      <w:r w:rsidR="00F87471" w:rsidRPr="0033383B">
        <w:t xml:space="preserve"> </w:t>
      </w:r>
      <w:r w:rsidR="00A42D68" w:rsidRPr="0033383B">
        <w:t>2</w:t>
      </w:r>
      <w:r w:rsidR="00E459CE" w:rsidRPr="0033383B">
        <w:t>.</w:t>
      </w:r>
    </w:p>
  </w:footnote>
  <w:footnote w:id="86">
    <w:p w14:paraId="1921A404" w14:textId="67DF827E" w:rsidR="00CA2511" w:rsidRDefault="00CA2511">
      <w:pPr>
        <w:pStyle w:val="FootnoteText"/>
      </w:pPr>
      <w:r w:rsidRPr="00B103F8">
        <w:rPr>
          <w:rStyle w:val="FootnoteReference"/>
          <w:sz w:val="20"/>
        </w:rPr>
        <w:footnoteRef/>
      </w:r>
      <w:r>
        <w:t xml:space="preserve"> </w:t>
      </w:r>
      <w:r w:rsidR="00F87471">
        <w:tab/>
      </w:r>
      <w:r>
        <w:t xml:space="preserve">MTAA, </w:t>
      </w:r>
      <w:r w:rsidRPr="0033383B">
        <w:rPr>
          <w:rStyle w:val="Emphasis"/>
          <w:rFonts w:eastAsia="Calibri Light"/>
        </w:rPr>
        <w:t xml:space="preserve">Submission to the Independent Review of the ASBFEO </w:t>
      </w:r>
      <w:r w:rsidRPr="0033383B">
        <w:rPr>
          <w:rFonts w:eastAsia="Calibri Light"/>
        </w:rPr>
        <w:t>January 2025</w:t>
      </w:r>
      <w:r>
        <w:t>,</w:t>
      </w:r>
      <w:r w:rsidR="00260B8F">
        <w:t xml:space="preserve"> </w:t>
      </w:r>
      <w:r w:rsidR="00B034F4">
        <w:t>p</w:t>
      </w:r>
      <w:r w:rsidR="00F87471">
        <w:t xml:space="preserve"> </w:t>
      </w:r>
      <w:r w:rsidR="00B034F4">
        <w:t>2</w:t>
      </w:r>
      <w:r w:rsidR="00E459CE">
        <w:t>.</w:t>
      </w:r>
    </w:p>
  </w:footnote>
  <w:footnote w:id="87">
    <w:p w14:paraId="0AE92B68" w14:textId="7F25E528" w:rsidR="00B87DCC" w:rsidRDefault="00B87DCC" w:rsidP="005A0861">
      <w:pPr>
        <w:pStyle w:val="FootnoteText"/>
      </w:pPr>
      <w:r w:rsidRPr="00B103F8">
        <w:rPr>
          <w:rStyle w:val="FootnoteReference"/>
          <w:sz w:val="20"/>
        </w:rPr>
        <w:footnoteRef/>
      </w:r>
      <w:r w:rsidR="00F87471">
        <w:t xml:space="preserve"> </w:t>
      </w:r>
      <w:r w:rsidR="00F87471">
        <w:tab/>
      </w:r>
      <w:r w:rsidRPr="48886819">
        <w:t>A</w:t>
      </w:r>
      <w:r>
        <w:t>ADA</w:t>
      </w:r>
      <w:r w:rsidRPr="48886819">
        <w:t xml:space="preserve">, </w:t>
      </w:r>
      <w:r w:rsidRPr="0033383B">
        <w:rPr>
          <w:rStyle w:val="Emphasis"/>
          <w:rFonts w:eastAsia="Calibri Light"/>
        </w:rPr>
        <w:t>Submission to the Independent Review of the ASBFEO</w:t>
      </w:r>
      <w:r w:rsidRPr="0033383B">
        <w:rPr>
          <w:rFonts w:eastAsia="Calibri Light"/>
        </w:rPr>
        <w:t xml:space="preserve"> January 2025</w:t>
      </w:r>
      <w:r w:rsidRPr="48886819">
        <w:t>, p</w:t>
      </w:r>
      <w:r w:rsidR="00F87471">
        <w:t xml:space="preserve"> </w:t>
      </w:r>
      <w:r>
        <w:t>2</w:t>
      </w:r>
      <w:r w:rsidR="00E459CE">
        <w:t>.</w:t>
      </w:r>
    </w:p>
  </w:footnote>
  <w:footnote w:id="88">
    <w:p w14:paraId="584EB110" w14:textId="6FF7A9F8" w:rsidR="00331F05" w:rsidRDefault="00331F05">
      <w:pPr>
        <w:pStyle w:val="FootnoteText"/>
      </w:pPr>
      <w:r w:rsidRPr="00B103F8">
        <w:rPr>
          <w:rStyle w:val="FootnoteReference"/>
          <w:sz w:val="20"/>
        </w:rPr>
        <w:footnoteRef/>
      </w:r>
      <w:r>
        <w:t xml:space="preserve"> </w:t>
      </w:r>
      <w:r w:rsidR="00F87471">
        <w:tab/>
      </w:r>
      <w:r w:rsidR="00E83210">
        <w:t xml:space="preserve">MTAA, </w:t>
      </w:r>
      <w:r w:rsidR="00E83210" w:rsidRPr="0033383B">
        <w:rPr>
          <w:rStyle w:val="Emphasis"/>
          <w:rFonts w:eastAsia="Calibri Light"/>
        </w:rPr>
        <w:t xml:space="preserve">Submission to the Independent Review of the ASBFEO </w:t>
      </w:r>
      <w:r w:rsidR="00E83210" w:rsidRPr="0033383B">
        <w:rPr>
          <w:rFonts w:eastAsia="Calibri Light"/>
        </w:rPr>
        <w:t>January 2025</w:t>
      </w:r>
      <w:r w:rsidR="00E83210">
        <w:t>,</w:t>
      </w:r>
      <w:r w:rsidR="00F87471">
        <w:t xml:space="preserve"> </w:t>
      </w:r>
      <w:r w:rsidR="00E83210">
        <w:t>p</w:t>
      </w:r>
      <w:r w:rsidR="00F87471">
        <w:t xml:space="preserve"> </w:t>
      </w:r>
      <w:r w:rsidR="00E83210">
        <w:t>3</w:t>
      </w:r>
      <w:r w:rsidR="00E459CE">
        <w:t>.</w:t>
      </w:r>
    </w:p>
  </w:footnote>
  <w:footnote w:id="89">
    <w:p w14:paraId="0832928E" w14:textId="1734301B" w:rsidR="00622838" w:rsidRDefault="00622838">
      <w:pPr>
        <w:pStyle w:val="FootnoteText"/>
      </w:pPr>
      <w:r>
        <w:rPr>
          <w:rStyle w:val="FootnoteReference"/>
        </w:rPr>
        <w:footnoteRef/>
      </w:r>
      <w:r>
        <w:t xml:space="preserve"> </w:t>
      </w:r>
      <w:r w:rsidR="00C46793">
        <w:tab/>
      </w:r>
      <w:r w:rsidR="001C4DCE" w:rsidRPr="009D6CB7">
        <w:t>Competition and Consumer (Industry Codes—Franchising) Regulation 2014 (</w:t>
      </w:r>
      <w:proofErr w:type="spellStart"/>
      <w:r w:rsidR="001C4DCE" w:rsidRPr="009D6CB7">
        <w:t>Cth</w:t>
      </w:r>
      <w:proofErr w:type="spellEnd"/>
      <w:r w:rsidR="001C4DCE" w:rsidRPr="009D6CB7">
        <w:t xml:space="preserve">), </w:t>
      </w:r>
      <w:r w:rsidR="001C4DCE">
        <w:t>Section 6</w:t>
      </w:r>
      <w:r w:rsidR="00E459CE">
        <w:t>.</w:t>
      </w:r>
    </w:p>
  </w:footnote>
  <w:footnote w:id="90">
    <w:p w14:paraId="4C669252" w14:textId="6DB79716" w:rsidR="007209D0" w:rsidRDefault="007209D0">
      <w:pPr>
        <w:pStyle w:val="FootnoteText"/>
      </w:pPr>
      <w:r>
        <w:rPr>
          <w:rStyle w:val="FootnoteReference"/>
        </w:rPr>
        <w:footnoteRef/>
      </w:r>
      <w:r>
        <w:t xml:space="preserve"> </w:t>
      </w:r>
      <w:r w:rsidR="00C46793">
        <w:tab/>
      </w:r>
      <w:r w:rsidR="00C957F2" w:rsidRPr="00941030">
        <w:t>Fair Trading (Franchising Industry Dispute Resolution Code) Regulations 2015 (SA)</w:t>
      </w:r>
      <w:r w:rsidR="008640E2">
        <w:t>.</w:t>
      </w:r>
    </w:p>
  </w:footnote>
  <w:footnote w:id="91">
    <w:p w14:paraId="0070E304" w14:textId="6EE36C39" w:rsidR="001C4DCE" w:rsidRDefault="001C4DCE">
      <w:pPr>
        <w:pStyle w:val="FootnoteText"/>
      </w:pPr>
      <w:r>
        <w:rPr>
          <w:rStyle w:val="FootnoteReference"/>
        </w:rPr>
        <w:footnoteRef/>
      </w:r>
      <w:r>
        <w:t xml:space="preserve"> </w:t>
      </w:r>
      <w:r w:rsidR="00C46793">
        <w:tab/>
      </w:r>
      <w:r w:rsidR="002D2D8D" w:rsidRPr="00941030">
        <w:t xml:space="preserve">Australian Small Business and Family Enterprise Ombudsman, </w:t>
      </w:r>
      <w:r w:rsidR="002D2D8D" w:rsidRPr="009F1D35">
        <w:rPr>
          <w:rStyle w:val="Emphasis"/>
          <w:rFonts w:eastAsia="Calibri Light"/>
        </w:rPr>
        <w:t>Submission to the Independent Review of the ASBFEO January 2025</w:t>
      </w:r>
      <w:r w:rsidR="002D2D8D" w:rsidRPr="00941030">
        <w:t>, p</w:t>
      </w:r>
      <w:r w:rsidR="00CE468F">
        <w:t xml:space="preserve"> </w:t>
      </w:r>
      <w:r w:rsidR="002D2D8D" w:rsidRPr="00941030">
        <w:t>14</w:t>
      </w:r>
      <w:r w:rsidR="008640E2">
        <w:t>.</w:t>
      </w:r>
    </w:p>
  </w:footnote>
  <w:footnote w:id="92">
    <w:p w14:paraId="40C3F84B" w14:textId="7AFFF4A7" w:rsidR="004C313F" w:rsidRDefault="004C313F">
      <w:pPr>
        <w:pStyle w:val="FootnoteText"/>
      </w:pPr>
      <w:r w:rsidRPr="00B103F8">
        <w:rPr>
          <w:rStyle w:val="FootnoteReference"/>
          <w:szCs w:val="18"/>
        </w:rPr>
        <w:footnoteRef/>
      </w:r>
      <w:r>
        <w:t xml:space="preserve"> </w:t>
      </w:r>
      <w:r w:rsidR="00C46793">
        <w:tab/>
      </w:r>
      <w:r w:rsidRPr="35790144">
        <w:t>A</w:t>
      </w:r>
      <w:r>
        <w:t>ADA,</w:t>
      </w:r>
      <w:r w:rsidRPr="35790144">
        <w:t xml:space="preserve"> </w:t>
      </w:r>
      <w:r w:rsidRPr="009F1D35">
        <w:rPr>
          <w:rStyle w:val="Emphasis"/>
          <w:rFonts w:eastAsia="Calibri Light"/>
        </w:rPr>
        <w:t>Submission to the Independent Review of the ASBFEO January 2025</w:t>
      </w:r>
      <w:r w:rsidRPr="35790144">
        <w:t>, p</w:t>
      </w:r>
      <w:r w:rsidR="00CE468F">
        <w:t xml:space="preserve"> </w:t>
      </w:r>
      <w:r w:rsidRPr="35790144">
        <w:t>2</w:t>
      </w:r>
      <w:r w:rsidR="008640E2">
        <w:t>.</w:t>
      </w:r>
    </w:p>
  </w:footnote>
  <w:footnote w:id="93">
    <w:p w14:paraId="4B4D9906" w14:textId="7572375B" w:rsidR="004C313F" w:rsidRDefault="004C313F">
      <w:pPr>
        <w:pStyle w:val="FootnoteText"/>
      </w:pPr>
      <w:r>
        <w:rPr>
          <w:rStyle w:val="FootnoteReference"/>
        </w:rPr>
        <w:footnoteRef/>
      </w:r>
      <w:r>
        <w:t xml:space="preserve"> </w:t>
      </w:r>
      <w:r w:rsidR="00C46793">
        <w:tab/>
      </w:r>
      <w:r w:rsidR="00C41B5A" w:rsidRPr="35790144">
        <w:t>A</w:t>
      </w:r>
      <w:r w:rsidR="00C41B5A">
        <w:t>CCI</w:t>
      </w:r>
      <w:r w:rsidR="00C41B5A" w:rsidRPr="35790144">
        <w:t xml:space="preserve">, </w:t>
      </w:r>
      <w:r w:rsidR="00C41B5A" w:rsidRPr="001D725D">
        <w:rPr>
          <w:rStyle w:val="Emphasis"/>
          <w:rFonts w:eastAsia="Calibri Light"/>
        </w:rPr>
        <w:t xml:space="preserve">Submission to the Independent Review of the ASBFEO </w:t>
      </w:r>
      <w:r w:rsidR="00C41B5A" w:rsidRPr="001D725D">
        <w:rPr>
          <w:rFonts w:eastAsia="Calibri Light"/>
        </w:rPr>
        <w:t>January 2025</w:t>
      </w:r>
      <w:r w:rsidR="00C41B5A" w:rsidRPr="35790144">
        <w:t>, p</w:t>
      </w:r>
      <w:r w:rsidR="00CE468F">
        <w:t xml:space="preserve"> </w:t>
      </w:r>
      <w:r w:rsidR="00C41B5A" w:rsidRPr="35790144">
        <w:t>3</w:t>
      </w:r>
      <w:r w:rsidR="008640E2">
        <w:t>.</w:t>
      </w:r>
    </w:p>
  </w:footnote>
  <w:footnote w:id="94">
    <w:p w14:paraId="19253EED" w14:textId="1F66F4B3" w:rsidR="00373DB2" w:rsidRDefault="00373DB2">
      <w:pPr>
        <w:pStyle w:val="FootnoteText"/>
      </w:pPr>
      <w:r>
        <w:rPr>
          <w:rStyle w:val="FootnoteReference"/>
        </w:rPr>
        <w:footnoteRef/>
      </w:r>
      <w:r w:rsidR="00943102">
        <w:tab/>
      </w:r>
      <w:r w:rsidRPr="35790144">
        <w:t>A</w:t>
      </w:r>
      <w:r>
        <w:t>ADA,</w:t>
      </w:r>
      <w:r w:rsidRPr="35790144">
        <w:t xml:space="preserve"> </w:t>
      </w:r>
      <w:r w:rsidRPr="001D725D">
        <w:rPr>
          <w:rStyle w:val="Emphasis"/>
          <w:rFonts w:eastAsia="Calibri Light"/>
        </w:rPr>
        <w:t xml:space="preserve">Submission to the Independent Review of the ASBFEO </w:t>
      </w:r>
      <w:r w:rsidRPr="001D725D">
        <w:rPr>
          <w:rFonts w:eastAsia="Calibri Light"/>
        </w:rPr>
        <w:t>January 2025</w:t>
      </w:r>
      <w:r w:rsidRPr="35790144">
        <w:t>, p</w:t>
      </w:r>
      <w:r w:rsidR="00A86C01">
        <w:t xml:space="preserve"> 2</w:t>
      </w:r>
      <w:r w:rsidR="008711F9">
        <w:t>.</w:t>
      </w:r>
    </w:p>
  </w:footnote>
  <w:footnote w:id="95">
    <w:p w14:paraId="59FF2EC1" w14:textId="51402053" w:rsidR="00A240FA" w:rsidRDefault="00A240FA" w:rsidP="00A240FA">
      <w:pPr>
        <w:pStyle w:val="FootnoteText"/>
      </w:pPr>
      <w:r>
        <w:rPr>
          <w:rStyle w:val="FootnoteReference"/>
        </w:rPr>
        <w:footnoteRef/>
      </w:r>
      <w:r>
        <w:tab/>
      </w:r>
      <w:r w:rsidRPr="47CF6FE8">
        <w:t xml:space="preserve">Dr Michael Schaper, </w:t>
      </w:r>
      <w:r w:rsidRPr="004D1FDF">
        <w:rPr>
          <w:i/>
          <w:iCs/>
        </w:rPr>
        <w:t>Independent Review of the Franchising Code of Conduct</w:t>
      </w:r>
      <w:r w:rsidRPr="47CF6FE8">
        <w:t xml:space="preserve">, December 2023, </w:t>
      </w:r>
      <w:r>
        <w:t>Recommendation 19, p 10</w:t>
      </w:r>
      <w:r w:rsidR="00FB5E6E">
        <w:t>.</w:t>
      </w:r>
    </w:p>
  </w:footnote>
  <w:footnote w:id="96">
    <w:p w14:paraId="6B902B3C" w14:textId="2D724E8A" w:rsidR="00A240FA" w:rsidRDefault="00A240FA" w:rsidP="00A240FA">
      <w:pPr>
        <w:pStyle w:val="FootnoteText"/>
      </w:pPr>
      <w:r>
        <w:rPr>
          <w:rStyle w:val="FootnoteReference"/>
        </w:rPr>
        <w:footnoteRef/>
      </w:r>
      <w:r>
        <w:tab/>
        <w:t xml:space="preserve">MTAA, </w:t>
      </w:r>
      <w:r w:rsidRPr="00652287">
        <w:rPr>
          <w:rStyle w:val="Emphasis"/>
          <w:rFonts w:eastAsia="Calibri Light"/>
        </w:rPr>
        <w:t>Submission to the Independent Review of the ASBFEO</w:t>
      </w:r>
      <w:r w:rsidRPr="00652287">
        <w:rPr>
          <w:rFonts w:eastAsia="Calibri Light"/>
        </w:rPr>
        <w:t xml:space="preserve"> January 2025</w:t>
      </w:r>
      <w:r>
        <w:t>, p</w:t>
      </w:r>
      <w:r w:rsidR="00FB5E6E">
        <w:t xml:space="preserve"> </w:t>
      </w:r>
      <w:r>
        <w:t>5</w:t>
      </w:r>
      <w:r w:rsidR="00FB5E6E">
        <w:t>.</w:t>
      </w:r>
    </w:p>
  </w:footnote>
  <w:footnote w:id="97">
    <w:p w14:paraId="43C42D40" w14:textId="05CE6803" w:rsidR="00640C44" w:rsidRDefault="00640C44">
      <w:pPr>
        <w:pStyle w:val="FootnoteText"/>
      </w:pPr>
      <w:r>
        <w:rPr>
          <w:rStyle w:val="FootnoteReference"/>
        </w:rPr>
        <w:footnoteRef/>
      </w:r>
      <w:r>
        <w:t xml:space="preserve"> </w:t>
      </w:r>
      <w:r w:rsidR="001C4F29">
        <w:tab/>
      </w:r>
      <w:r w:rsidRPr="00640C44">
        <w:t>IPA</w:t>
      </w:r>
      <w:r w:rsidR="00713C08">
        <w:t xml:space="preserve">, </w:t>
      </w:r>
      <w:r w:rsidRPr="00C02E58">
        <w:rPr>
          <w:rStyle w:val="Emphasis"/>
        </w:rPr>
        <w:t>Submission to the Independent Review of the ASBFEO</w:t>
      </w:r>
      <w:r w:rsidRPr="00640C44">
        <w:rPr>
          <w:i/>
          <w:iCs/>
        </w:rPr>
        <w:t xml:space="preserve"> Review</w:t>
      </w:r>
      <w:r w:rsidRPr="00640C44">
        <w:t>, January 2025, p 2.</w:t>
      </w:r>
    </w:p>
  </w:footnote>
  <w:footnote w:id="98">
    <w:p w14:paraId="6B90AB88" w14:textId="0DBEC586" w:rsidR="00142D3F" w:rsidRDefault="00142D3F">
      <w:pPr>
        <w:pStyle w:val="FootnoteText"/>
      </w:pPr>
      <w:r>
        <w:rPr>
          <w:rStyle w:val="FootnoteReference"/>
        </w:rPr>
        <w:footnoteRef/>
      </w:r>
      <w:r>
        <w:t xml:space="preserve"> </w:t>
      </w:r>
      <w:r w:rsidR="001C4F29">
        <w:tab/>
      </w:r>
      <w:proofErr w:type="spellStart"/>
      <w:r w:rsidRPr="00142D3F">
        <w:t>AusIndustr</w:t>
      </w:r>
      <w:r>
        <w:t>y</w:t>
      </w:r>
      <w:proofErr w:type="spellEnd"/>
      <w:r>
        <w:t>,</w:t>
      </w:r>
      <w:r w:rsidRPr="00142D3F">
        <w:t xml:space="preserve"> </w:t>
      </w:r>
      <w:hyperlink r:id="rId35" w:history="1">
        <w:r w:rsidRPr="00142D3F">
          <w:rPr>
            <w:rStyle w:val="Hyperlink"/>
          </w:rPr>
          <w:t>Expertise and Advice</w:t>
        </w:r>
      </w:hyperlink>
      <w:r w:rsidRPr="00142D3F">
        <w:t>, [business.gov.au website],</w:t>
      </w:r>
      <w:r>
        <w:t xml:space="preserve"> (n.d.)</w:t>
      </w:r>
      <w:r w:rsidRPr="00142D3F">
        <w:t xml:space="preserve"> accessed 9 May 2025</w:t>
      </w:r>
      <w:r w:rsidR="003A2E69">
        <w:t>.</w:t>
      </w:r>
    </w:p>
  </w:footnote>
  <w:footnote w:id="99">
    <w:p w14:paraId="471D3E00" w14:textId="770F29FD" w:rsidR="00A63D13" w:rsidRDefault="00A63D13">
      <w:pPr>
        <w:pStyle w:val="FootnoteText"/>
      </w:pPr>
      <w:r>
        <w:rPr>
          <w:rStyle w:val="FootnoteReference"/>
        </w:rPr>
        <w:footnoteRef/>
      </w:r>
      <w:r>
        <w:t xml:space="preserve"> </w:t>
      </w:r>
      <w:r w:rsidR="001C4F29">
        <w:tab/>
      </w:r>
      <w:r w:rsidRPr="00A63D13">
        <w:t xml:space="preserve">Treasury, </w:t>
      </w:r>
      <w:hyperlink r:id="rId36" w:history="1">
        <w:r w:rsidRPr="00A63D13">
          <w:rPr>
            <w:rStyle w:val="Hyperlink"/>
          </w:rPr>
          <w:t>Small Business</w:t>
        </w:r>
      </w:hyperlink>
      <w:r w:rsidRPr="00A63D13">
        <w:t xml:space="preserve">, Treasury website, </w:t>
      </w:r>
      <w:r>
        <w:t>(</w:t>
      </w:r>
      <w:r w:rsidRPr="00A63D13">
        <w:t>n.d.</w:t>
      </w:r>
      <w:r>
        <w:t>)</w:t>
      </w:r>
      <w:r w:rsidRPr="00A63D13">
        <w:t>, accessed 9 May 2025</w:t>
      </w:r>
      <w:r w:rsidR="003A2E69">
        <w:t>.</w:t>
      </w:r>
    </w:p>
  </w:footnote>
  <w:footnote w:id="100">
    <w:p w14:paraId="177578B4" w14:textId="1858968D" w:rsidR="003A5754" w:rsidRDefault="003A5754">
      <w:pPr>
        <w:pStyle w:val="FootnoteText"/>
      </w:pPr>
      <w:r>
        <w:rPr>
          <w:rStyle w:val="FootnoteReference"/>
        </w:rPr>
        <w:footnoteRef/>
      </w:r>
      <w:r>
        <w:t xml:space="preserve"> </w:t>
      </w:r>
      <w:r w:rsidR="001C4F29">
        <w:tab/>
      </w:r>
      <w:hyperlink r:id="rId37" w:history="1">
        <w:r w:rsidR="00DF5495" w:rsidRPr="00D026BD">
          <w:rPr>
            <w:rStyle w:val="Hyperlink"/>
          </w:rPr>
          <w:t>ASBFEO Act 2015</w:t>
        </w:r>
      </w:hyperlink>
      <w:r w:rsidRPr="003A5754">
        <w:t>, section 33</w:t>
      </w:r>
      <w:r w:rsidR="003A2E69">
        <w:t>.</w:t>
      </w:r>
    </w:p>
  </w:footnote>
  <w:footnote w:id="101">
    <w:p w14:paraId="064EF849" w14:textId="3A879D91" w:rsidR="00676621" w:rsidRDefault="00676621">
      <w:pPr>
        <w:pStyle w:val="FootnoteText"/>
      </w:pPr>
      <w:r>
        <w:rPr>
          <w:rStyle w:val="FootnoteReference"/>
        </w:rPr>
        <w:footnoteRef/>
      </w:r>
      <w:r>
        <w:t xml:space="preserve"> </w:t>
      </w:r>
      <w:r w:rsidR="001C4F29">
        <w:tab/>
      </w:r>
      <w:r w:rsidRPr="00676621">
        <w:t xml:space="preserve">ASBFEO, </w:t>
      </w:r>
      <w:r w:rsidRPr="00C02E58">
        <w:rPr>
          <w:rStyle w:val="Emphasis"/>
        </w:rPr>
        <w:t>Submission to the Independent Review of the ASBFEO</w:t>
      </w:r>
      <w:r w:rsidRPr="00676621">
        <w:t>, January 2025, pp 27</w:t>
      </w:r>
      <w:r w:rsidR="00E63606" w:rsidRPr="00E63606">
        <w:t>–</w:t>
      </w:r>
      <w:r w:rsidRPr="00676621">
        <w:t>28</w:t>
      </w:r>
      <w:r w:rsidR="000046F9">
        <w:t>.</w:t>
      </w:r>
    </w:p>
  </w:footnote>
  <w:footnote w:id="102">
    <w:p w14:paraId="5CF47381" w14:textId="3041416D" w:rsidR="00CA28E6" w:rsidRDefault="00CA28E6">
      <w:pPr>
        <w:pStyle w:val="FootnoteText"/>
      </w:pPr>
      <w:r>
        <w:rPr>
          <w:rStyle w:val="FootnoteReference"/>
        </w:rPr>
        <w:footnoteRef/>
      </w:r>
      <w:r>
        <w:t xml:space="preserve"> </w:t>
      </w:r>
      <w:r w:rsidR="001C4F29">
        <w:tab/>
      </w:r>
      <w:r w:rsidR="009A2B0C" w:rsidRPr="009A2B0C">
        <w:t xml:space="preserve">Consult Australia, </w:t>
      </w:r>
      <w:r w:rsidR="009A2B0C" w:rsidRPr="00C02E58">
        <w:rPr>
          <w:rStyle w:val="Emphasis"/>
        </w:rPr>
        <w:t>Submission to the Independent Review of the ASBFEO</w:t>
      </w:r>
      <w:r w:rsidR="009A2B0C" w:rsidRPr="009A2B0C">
        <w:rPr>
          <w:i/>
          <w:iCs/>
        </w:rPr>
        <w:t xml:space="preserve">, </w:t>
      </w:r>
      <w:r w:rsidR="009A2B0C" w:rsidRPr="009A2B0C">
        <w:t xml:space="preserve">January 2025, p 3; NANA </w:t>
      </w:r>
      <w:r w:rsidR="009A2B0C" w:rsidRPr="00C02E58">
        <w:rPr>
          <w:rStyle w:val="Emphasis"/>
        </w:rPr>
        <w:t>Submission to the Independent Review of the ASBFEO</w:t>
      </w:r>
      <w:r w:rsidR="009A2B0C" w:rsidRPr="009A2B0C">
        <w:t xml:space="preserve"> Review, January 2025 p 3</w:t>
      </w:r>
      <w:r w:rsidR="000046F9">
        <w:t>.</w:t>
      </w:r>
    </w:p>
  </w:footnote>
  <w:footnote w:id="103">
    <w:p w14:paraId="1D5CCECE" w14:textId="6659E3E3" w:rsidR="00AE500B" w:rsidRDefault="00AE500B">
      <w:pPr>
        <w:pStyle w:val="FootnoteText"/>
      </w:pPr>
      <w:r>
        <w:rPr>
          <w:rStyle w:val="FootnoteReference"/>
        </w:rPr>
        <w:footnoteRef/>
      </w:r>
      <w:r>
        <w:t xml:space="preserve"> </w:t>
      </w:r>
      <w:r w:rsidR="001C4F29">
        <w:tab/>
      </w:r>
      <w:r w:rsidRPr="00AE500B">
        <w:t>SBDC</w:t>
      </w:r>
      <w:r w:rsidR="00DF1472">
        <w:t xml:space="preserve"> </w:t>
      </w:r>
      <w:r w:rsidR="001C3D94">
        <w:t>(WA)</w:t>
      </w:r>
      <w:r w:rsidRPr="00AE500B">
        <w:t xml:space="preserve">, </w:t>
      </w:r>
      <w:r w:rsidRPr="00C02E58">
        <w:rPr>
          <w:rStyle w:val="Emphasis"/>
        </w:rPr>
        <w:t>Submission to the Independent Review of the ASBFEO</w:t>
      </w:r>
      <w:r w:rsidRPr="00AE500B">
        <w:rPr>
          <w:i/>
          <w:iCs/>
        </w:rPr>
        <w:t>,</w:t>
      </w:r>
      <w:r w:rsidRPr="00AE500B">
        <w:t xml:space="preserve"> January 2025, p 4</w:t>
      </w:r>
      <w:r w:rsidR="000046F9">
        <w:t>.</w:t>
      </w:r>
    </w:p>
  </w:footnote>
  <w:footnote w:id="104">
    <w:p w14:paraId="0D954FBB" w14:textId="133D8EE7" w:rsidR="00033CF9" w:rsidRDefault="00033CF9">
      <w:pPr>
        <w:pStyle w:val="FootnoteText"/>
      </w:pPr>
      <w:r>
        <w:rPr>
          <w:rStyle w:val="FootnoteReference"/>
        </w:rPr>
        <w:footnoteRef/>
      </w:r>
      <w:r>
        <w:t xml:space="preserve"> </w:t>
      </w:r>
      <w:r w:rsidR="001C4F29">
        <w:tab/>
      </w:r>
      <w:r w:rsidRPr="00033CF9">
        <w:t>CPA</w:t>
      </w:r>
      <w:r w:rsidR="00237F30">
        <w:t xml:space="preserve"> Australia</w:t>
      </w:r>
      <w:r w:rsidRPr="00033CF9">
        <w:t xml:space="preserve"> and CA ANZ, </w:t>
      </w:r>
      <w:r w:rsidRPr="00C02E58">
        <w:rPr>
          <w:rStyle w:val="Emphasis"/>
        </w:rPr>
        <w:t>Submission to the Independent Review of the ASBFEO</w:t>
      </w:r>
      <w:r w:rsidRPr="00033CF9">
        <w:rPr>
          <w:i/>
          <w:iCs/>
        </w:rPr>
        <w:t xml:space="preserve">, </w:t>
      </w:r>
      <w:r w:rsidRPr="00033CF9">
        <w:t>January 2025, p 4.</w:t>
      </w:r>
    </w:p>
  </w:footnote>
  <w:footnote w:id="105">
    <w:p w14:paraId="399564A1" w14:textId="4C010124" w:rsidR="006F5AA3" w:rsidRDefault="006F5AA3">
      <w:pPr>
        <w:pStyle w:val="FootnoteText"/>
      </w:pPr>
      <w:r>
        <w:rPr>
          <w:rStyle w:val="FootnoteReference"/>
        </w:rPr>
        <w:footnoteRef/>
      </w:r>
      <w:r>
        <w:t xml:space="preserve"> </w:t>
      </w:r>
      <w:r w:rsidR="001C4F29">
        <w:tab/>
      </w:r>
      <w:r w:rsidRPr="006F5AA3">
        <w:t xml:space="preserve">Fair Work Ombudsman, </w:t>
      </w:r>
      <w:hyperlink r:id="rId38" w:history="1">
        <w:r w:rsidRPr="00BD521F">
          <w:rPr>
            <w:rStyle w:val="Hyperlink"/>
          </w:rPr>
          <w:t>Office of the Fair Work Ombudsman Annual Report 2023–24</w:t>
        </w:r>
      </w:hyperlink>
      <w:r w:rsidRPr="006F5AA3">
        <w:t xml:space="preserve">, p. 63, </w:t>
      </w:r>
      <w:r w:rsidR="00D64103" w:rsidRPr="00D64103">
        <w:t>accessed 13</w:t>
      </w:r>
      <w:r w:rsidR="00E63606">
        <w:t> </w:t>
      </w:r>
      <w:r w:rsidR="00D64103" w:rsidRPr="00D64103">
        <w:t>May 2025</w:t>
      </w:r>
      <w:r w:rsidR="000046F9">
        <w:t>.</w:t>
      </w:r>
    </w:p>
  </w:footnote>
  <w:footnote w:id="106">
    <w:p w14:paraId="2E7AD572" w14:textId="4003075D" w:rsidR="00AE3C74" w:rsidRDefault="00AE3C74" w:rsidP="0049452F">
      <w:pPr>
        <w:pStyle w:val="FootnoteText"/>
      </w:pPr>
      <w:r>
        <w:rPr>
          <w:rStyle w:val="FootnoteReference"/>
        </w:rPr>
        <w:footnoteRef/>
      </w:r>
      <w:r>
        <w:t xml:space="preserve"> </w:t>
      </w:r>
      <w:r w:rsidR="001C4F29">
        <w:tab/>
      </w:r>
      <w:hyperlink r:id="rId39" w:history="1">
        <w:r w:rsidRPr="0049452F">
          <w:rPr>
            <w:rStyle w:val="Hyperlink"/>
          </w:rPr>
          <w:t>Inspector</w:t>
        </w:r>
        <w:r w:rsidR="003A0D5E">
          <w:rPr>
            <w:rStyle w:val="Hyperlink"/>
          </w:rPr>
          <w:noBreakHyphen/>
        </w:r>
        <w:r w:rsidRPr="0049452F">
          <w:rPr>
            <w:rStyle w:val="Hyperlink"/>
          </w:rPr>
          <w:t>General of Taxation Act 2003</w:t>
        </w:r>
      </w:hyperlink>
      <w:r w:rsidRPr="00AE3C74">
        <w:t>, section 36A</w:t>
      </w:r>
      <w:r w:rsidR="000046F9">
        <w:t>.</w:t>
      </w:r>
    </w:p>
  </w:footnote>
  <w:footnote w:id="107">
    <w:p w14:paraId="3AE8F3CE" w14:textId="60F086D9" w:rsidR="002B78EB" w:rsidRDefault="002B78EB">
      <w:pPr>
        <w:pStyle w:val="FootnoteText"/>
      </w:pPr>
      <w:r>
        <w:rPr>
          <w:rStyle w:val="FootnoteReference"/>
        </w:rPr>
        <w:footnoteRef/>
      </w:r>
      <w:r>
        <w:t xml:space="preserve"> </w:t>
      </w:r>
      <w:r w:rsidR="00214D63">
        <w:tab/>
      </w:r>
      <w:r w:rsidRPr="002B78EB">
        <w:t xml:space="preserve">ITECA; </w:t>
      </w:r>
      <w:r w:rsidRPr="00D145DE">
        <w:rPr>
          <w:rStyle w:val="Emphasis"/>
        </w:rPr>
        <w:t>Submission to the Independent Review of the ASBFEO,</w:t>
      </w:r>
      <w:r w:rsidRPr="002B78EB">
        <w:rPr>
          <w:i/>
          <w:iCs/>
        </w:rPr>
        <w:t xml:space="preserve"> </w:t>
      </w:r>
      <w:r w:rsidRPr="002B78EB">
        <w:t>January 2025,</w:t>
      </w:r>
      <w:r w:rsidRPr="002B78EB">
        <w:rPr>
          <w:i/>
          <w:iCs/>
        </w:rPr>
        <w:t xml:space="preserve"> </w:t>
      </w:r>
      <w:r w:rsidRPr="002B78EB">
        <w:t xml:space="preserve">p 2; ACCI; </w:t>
      </w:r>
      <w:r w:rsidRPr="00D145DE">
        <w:rPr>
          <w:rStyle w:val="Emphasis"/>
        </w:rPr>
        <w:t>Submission to the Independent Review of the ASBFEO</w:t>
      </w:r>
      <w:r w:rsidRPr="002B78EB">
        <w:rPr>
          <w:i/>
          <w:iCs/>
        </w:rPr>
        <w:t xml:space="preserve">, </w:t>
      </w:r>
      <w:r w:rsidRPr="002B78EB">
        <w:t xml:space="preserve">January 2025, p 2; CAFBA; </w:t>
      </w:r>
      <w:r w:rsidRPr="00D145DE">
        <w:rPr>
          <w:rStyle w:val="Emphasis"/>
        </w:rPr>
        <w:t>Submission to the Independent Review of the ASBFEO,</w:t>
      </w:r>
      <w:r w:rsidRPr="002B78EB">
        <w:rPr>
          <w:i/>
          <w:iCs/>
        </w:rPr>
        <w:t xml:space="preserve"> </w:t>
      </w:r>
      <w:r w:rsidRPr="002B78EB">
        <w:t xml:space="preserve">January 2025, p 4; Tas SB Council; </w:t>
      </w:r>
      <w:r w:rsidRPr="00D145DE">
        <w:rPr>
          <w:rStyle w:val="Emphasis"/>
        </w:rPr>
        <w:t>Submission to the Independent Review of the ASBFEO</w:t>
      </w:r>
      <w:r w:rsidRPr="002B78EB">
        <w:rPr>
          <w:i/>
          <w:iCs/>
        </w:rPr>
        <w:t xml:space="preserve">, </w:t>
      </w:r>
      <w:r w:rsidRPr="002B78EB">
        <w:t xml:space="preserve">January 2025, p 2; Bookkeepers; </w:t>
      </w:r>
      <w:r w:rsidRPr="00D145DE">
        <w:rPr>
          <w:rStyle w:val="Emphasis"/>
        </w:rPr>
        <w:t>Submission to the Independent Review of the ASBFEO,</w:t>
      </w:r>
      <w:r w:rsidRPr="002B78EB">
        <w:rPr>
          <w:i/>
          <w:iCs/>
        </w:rPr>
        <w:t xml:space="preserve"> </w:t>
      </w:r>
      <w:r w:rsidRPr="002B78EB">
        <w:t xml:space="preserve">January 2025, p 2; NANA; </w:t>
      </w:r>
      <w:r w:rsidRPr="00D145DE">
        <w:rPr>
          <w:rStyle w:val="Emphasis"/>
        </w:rPr>
        <w:t>Submission to the Independent Review of the ASBFEO</w:t>
      </w:r>
      <w:r w:rsidRPr="002B78EB">
        <w:rPr>
          <w:i/>
          <w:iCs/>
        </w:rPr>
        <w:t xml:space="preserve">, </w:t>
      </w:r>
      <w:r w:rsidRPr="002B78EB">
        <w:t>January 2025, p 3; Pinter &amp; Partners</w:t>
      </w:r>
      <w:r w:rsidRPr="002B78EB">
        <w:rPr>
          <w:i/>
          <w:iCs/>
        </w:rPr>
        <w:t xml:space="preserve"> </w:t>
      </w:r>
      <w:r w:rsidRPr="00D145DE">
        <w:rPr>
          <w:rStyle w:val="Emphasis"/>
        </w:rPr>
        <w:t>Submission to the Independent Review of the ASBFEO</w:t>
      </w:r>
      <w:r w:rsidRPr="002B78EB">
        <w:rPr>
          <w:i/>
          <w:iCs/>
        </w:rPr>
        <w:t xml:space="preserve">, </w:t>
      </w:r>
      <w:r w:rsidRPr="002B78EB">
        <w:t xml:space="preserve">January 2025, p 2; SB Matters </w:t>
      </w:r>
      <w:r w:rsidRPr="00D145DE">
        <w:rPr>
          <w:rStyle w:val="Emphasis"/>
        </w:rPr>
        <w:t xml:space="preserve">Submission to the Independent Review of the ASBFEO, </w:t>
      </w:r>
      <w:r w:rsidRPr="002B78EB">
        <w:t>January 2025, pp 3</w:t>
      </w:r>
      <w:r w:rsidR="00E63606" w:rsidRPr="00E63606">
        <w:t>–</w:t>
      </w:r>
      <w:r w:rsidRPr="002B78EB">
        <w:t>5.</w:t>
      </w:r>
    </w:p>
  </w:footnote>
  <w:footnote w:id="108">
    <w:p w14:paraId="07F97700" w14:textId="6E2A7FAC" w:rsidR="00B72876" w:rsidRDefault="00B72876">
      <w:pPr>
        <w:pStyle w:val="FootnoteText"/>
      </w:pPr>
      <w:r>
        <w:rPr>
          <w:rStyle w:val="FootnoteReference"/>
        </w:rPr>
        <w:footnoteRef/>
      </w:r>
      <w:r>
        <w:t xml:space="preserve"> </w:t>
      </w:r>
      <w:r w:rsidR="00AA72B9">
        <w:tab/>
      </w:r>
      <w:r w:rsidRPr="00B72876">
        <w:t xml:space="preserve">Small Business Association of Australia, </w:t>
      </w:r>
      <w:r w:rsidRPr="00D145DE">
        <w:rPr>
          <w:rStyle w:val="Emphasis"/>
        </w:rPr>
        <w:t>Submission to the Independent Review of the ASBFEO</w:t>
      </w:r>
      <w:r w:rsidRPr="00B72876">
        <w:rPr>
          <w:i/>
          <w:iCs/>
        </w:rPr>
        <w:t xml:space="preserve">, </w:t>
      </w:r>
      <w:r w:rsidRPr="00B72876">
        <w:t>January</w:t>
      </w:r>
      <w:r w:rsidR="00D145DE">
        <w:t> </w:t>
      </w:r>
      <w:r w:rsidRPr="00B72876">
        <w:t>2025, p 6.</w:t>
      </w:r>
    </w:p>
  </w:footnote>
  <w:footnote w:id="109">
    <w:p w14:paraId="2EDC9D59" w14:textId="12E97F18" w:rsidR="009C657D" w:rsidRDefault="009C657D" w:rsidP="009C657D">
      <w:pPr>
        <w:pStyle w:val="FootnoteText"/>
      </w:pPr>
      <w:r>
        <w:rPr>
          <w:rStyle w:val="FootnoteReference"/>
        </w:rPr>
        <w:footnoteRef/>
      </w:r>
      <w:r>
        <w:t xml:space="preserve"> </w:t>
      </w:r>
      <w:r w:rsidR="00AA72B9">
        <w:tab/>
      </w:r>
      <w:r w:rsidRPr="009C657D">
        <w:t xml:space="preserve">COSBOA; </w:t>
      </w:r>
      <w:r w:rsidRPr="00D145DE">
        <w:rPr>
          <w:rStyle w:val="Emphasis"/>
        </w:rPr>
        <w:t>Submission to the Independent Review of the ASBFEO</w:t>
      </w:r>
      <w:r w:rsidRPr="009C657D">
        <w:rPr>
          <w:i/>
          <w:iCs/>
        </w:rPr>
        <w:t xml:space="preserve">, </w:t>
      </w:r>
      <w:r w:rsidRPr="009C657D">
        <w:t>January 2025, p</w:t>
      </w:r>
      <w:r w:rsidR="00072EFA">
        <w:t xml:space="preserve"> </w:t>
      </w:r>
      <w:r w:rsidRPr="009C657D">
        <w:t>5</w:t>
      </w:r>
      <w:r w:rsidR="00072EFA">
        <w:t>.</w:t>
      </w:r>
    </w:p>
  </w:footnote>
  <w:footnote w:id="110">
    <w:p w14:paraId="220DCB83" w14:textId="4AF00484" w:rsidR="00C332CA" w:rsidRDefault="00C332CA">
      <w:pPr>
        <w:pStyle w:val="FootnoteText"/>
      </w:pPr>
      <w:r>
        <w:rPr>
          <w:rStyle w:val="FootnoteReference"/>
        </w:rPr>
        <w:footnoteRef/>
      </w:r>
      <w:r>
        <w:t xml:space="preserve"> </w:t>
      </w:r>
      <w:r w:rsidR="00AA72B9">
        <w:tab/>
      </w:r>
      <w:r w:rsidRPr="00C332CA">
        <w:t xml:space="preserve">ASBFEO, </w:t>
      </w:r>
      <w:r w:rsidRPr="00D145DE">
        <w:rPr>
          <w:rStyle w:val="Emphasis"/>
        </w:rPr>
        <w:t>ASBFEO Communication and Engagement Strategy</w:t>
      </w:r>
      <w:r w:rsidRPr="00C332CA">
        <w:rPr>
          <w:i/>
          <w:iCs/>
        </w:rPr>
        <w:t xml:space="preserve"> </w:t>
      </w:r>
      <w:r w:rsidRPr="00C332CA">
        <w:t>[unpublished document] ASBFEO, Canberra 2021</w:t>
      </w:r>
      <w:r w:rsidR="00072EFA">
        <w:t>.</w:t>
      </w:r>
    </w:p>
  </w:footnote>
  <w:footnote w:id="111">
    <w:p w14:paraId="422FB4AE" w14:textId="34093BBD" w:rsidR="00016931" w:rsidRDefault="00B103F8" w:rsidP="00016931">
      <w:pPr>
        <w:pStyle w:val="FootnoteText"/>
      </w:pPr>
      <w:r w:rsidRPr="00B103F8">
        <w:rPr>
          <w:rStyle w:val="FootnoteReference"/>
        </w:rPr>
        <w:footnoteRef/>
      </w:r>
      <w:r w:rsidR="00016931">
        <w:t xml:space="preserve"> </w:t>
      </w:r>
      <w:r w:rsidR="00016931">
        <w:tab/>
      </w:r>
      <w:r w:rsidR="00016931" w:rsidRPr="001E34F8">
        <w:t xml:space="preserve">ASBFEO, </w:t>
      </w:r>
      <w:hyperlink r:id="rId40" w:history="1">
        <w:r w:rsidR="00016931" w:rsidRPr="001E34F8">
          <w:rPr>
            <w:rStyle w:val="Hyperlink"/>
          </w:rPr>
          <w:t>Media Releases</w:t>
        </w:r>
      </w:hyperlink>
      <w:r w:rsidR="00016931" w:rsidRPr="001E34F8">
        <w:t>, ASBFEO website (n.d.) accessed 13 May 2025</w:t>
      </w:r>
      <w:r w:rsidR="00016931">
        <w:t>.</w:t>
      </w:r>
    </w:p>
  </w:footnote>
  <w:footnote w:id="112">
    <w:p w14:paraId="17E448A7" w14:textId="60921FC1" w:rsidR="00D9121E" w:rsidRDefault="00B103F8" w:rsidP="00AE2AA6">
      <w:pPr>
        <w:pStyle w:val="FootnoteText"/>
        <w:ind w:left="408" w:hanging="408"/>
      </w:pPr>
      <w:r w:rsidRPr="00B103F8">
        <w:rPr>
          <w:rStyle w:val="FootnoteReference"/>
        </w:rPr>
        <w:footnoteRef/>
      </w:r>
      <w:r w:rsidR="00AE2AA6">
        <w:t xml:space="preserve"> </w:t>
      </w:r>
      <w:r w:rsidR="00AE2AA6">
        <w:tab/>
      </w:r>
      <w:r w:rsidR="006805EB" w:rsidRPr="006805EB">
        <w:t xml:space="preserve">ASBFEO, </w:t>
      </w:r>
      <w:hyperlink r:id="rId41" w:history="1">
        <w:r w:rsidR="006805EB" w:rsidRPr="006805EB">
          <w:rPr>
            <w:rStyle w:val="Hyperlink"/>
          </w:rPr>
          <w:t>Op</w:t>
        </w:r>
        <w:r w:rsidR="003A0D5E">
          <w:rPr>
            <w:rStyle w:val="Hyperlink"/>
          </w:rPr>
          <w:noBreakHyphen/>
        </w:r>
        <w:r w:rsidR="006805EB" w:rsidRPr="006805EB">
          <w:rPr>
            <w:rStyle w:val="Hyperlink"/>
          </w:rPr>
          <w:t>eds</w:t>
        </w:r>
      </w:hyperlink>
      <w:r w:rsidR="006805EB" w:rsidRPr="006805EB">
        <w:t>, ASBFEO website (n.d.) accessed 13 May 2025</w:t>
      </w:r>
      <w:r w:rsidR="00AE2FC6">
        <w:t>.</w:t>
      </w:r>
    </w:p>
  </w:footnote>
  <w:footnote w:id="113">
    <w:p w14:paraId="5C437288" w14:textId="48B16B35" w:rsidR="00145A04" w:rsidRDefault="00145A04">
      <w:pPr>
        <w:pStyle w:val="FootnoteText"/>
      </w:pPr>
      <w:r>
        <w:rPr>
          <w:rStyle w:val="FootnoteReference"/>
        </w:rPr>
        <w:footnoteRef/>
      </w:r>
      <w:r>
        <w:t xml:space="preserve"> </w:t>
      </w:r>
      <w:r w:rsidR="005729CA">
        <w:tab/>
      </w:r>
      <w:r w:rsidRPr="00145A04">
        <w:t xml:space="preserve">Consult Australia, </w:t>
      </w:r>
      <w:r w:rsidRPr="00646B2F">
        <w:rPr>
          <w:rStyle w:val="Emphasis"/>
        </w:rPr>
        <w:t>Submission to the Independent Review of the ASBFEO</w:t>
      </w:r>
      <w:r w:rsidRPr="00145A04">
        <w:t>, January 2025 page 3.</w:t>
      </w:r>
    </w:p>
  </w:footnote>
  <w:footnote w:id="114">
    <w:p w14:paraId="6BF193A3" w14:textId="5FC1F66A" w:rsidR="008B0E37" w:rsidRDefault="008B0E37">
      <w:pPr>
        <w:pStyle w:val="FootnoteText"/>
      </w:pPr>
      <w:r>
        <w:rPr>
          <w:rStyle w:val="FootnoteReference"/>
        </w:rPr>
        <w:footnoteRef/>
      </w:r>
      <w:r>
        <w:t xml:space="preserve"> </w:t>
      </w:r>
      <w:r w:rsidR="005729CA">
        <w:tab/>
      </w:r>
      <w:r w:rsidRPr="008B0E37">
        <w:t>SBDC</w:t>
      </w:r>
      <w:r w:rsidR="00C41689">
        <w:t xml:space="preserve"> </w:t>
      </w:r>
      <w:r w:rsidR="001C3D94">
        <w:t>(WA)</w:t>
      </w:r>
      <w:r w:rsidRPr="008B0E37">
        <w:t xml:space="preserve">, </w:t>
      </w:r>
      <w:r w:rsidRPr="00646B2F">
        <w:rPr>
          <w:rStyle w:val="Emphasis"/>
        </w:rPr>
        <w:t>Submission to the Independent Review of the ASBFEO</w:t>
      </w:r>
      <w:r w:rsidRPr="008B0E37">
        <w:rPr>
          <w:i/>
          <w:iCs/>
        </w:rPr>
        <w:t>,</w:t>
      </w:r>
      <w:r w:rsidRPr="008B0E37">
        <w:t xml:space="preserve"> January 2025, p 3</w:t>
      </w:r>
      <w:r w:rsidR="00F024C3">
        <w:t>.</w:t>
      </w:r>
    </w:p>
  </w:footnote>
  <w:footnote w:id="115">
    <w:p w14:paraId="05788A61" w14:textId="0F2A7CD6" w:rsidR="00062A94" w:rsidRDefault="00B103F8">
      <w:pPr>
        <w:pStyle w:val="FootnoteText"/>
      </w:pPr>
      <w:r w:rsidRPr="00B103F8">
        <w:rPr>
          <w:rStyle w:val="FootnoteReference"/>
        </w:rPr>
        <w:footnoteRef/>
      </w:r>
      <w:r w:rsidR="00062A94">
        <w:t xml:space="preserve"> </w:t>
      </w:r>
      <w:r w:rsidR="0024451F">
        <w:tab/>
      </w:r>
      <w:r w:rsidR="00E74D7B" w:rsidRPr="00D45895">
        <w:t>CPA</w:t>
      </w:r>
      <w:r w:rsidR="00237F30">
        <w:t xml:space="preserve"> Australia</w:t>
      </w:r>
      <w:r w:rsidR="00E74D7B" w:rsidRPr="00D45895">
        <w:t>,</w:t>
      </w:r>
      <w:r w:rsidR="004B173E" w:rsidRPr="00D45895">
        <w:t xml:space="preserve"> </w:t>
      </w:r>
      <w:hyperlink r:id="rId42" w:history="1">
        <w:r w:rsidR="004B173E" w:rsidRPr="00437AB8">
          <w:rPr>
            <w:rStyle w:val="Hyperlink"/>
          </w:rPr>
          <w:t>CPA Australia</w:t>
        </w:r>
        <w:r w:rsidR="00E74D7B" w:rsidRPr="00437AB8">
          <w:rPr>
            <w:rStyle w:val="Hyperlink"/>
          </w:rPr>
          <w:t xml:space="preserve"> Asia</w:t>
        </w:r>
        <w:r w:rsidR="003A0D5E">
          <w:rPr>
            <w:rStyle w:val="Hyperlink"/>
          </w:rPr>
          <w:noBreakHyphen/>
        </w:r>
        <w:r w:rsidR="00E74D7B" w:rsidRPr="00437AB8">
          <w:rPr>
            <w:rStyle w:val="Hyperlink"/>
          </w:rPr>
          <w:t>Pacific Small Business Survey</w:t>
        </w:r>
        <w:r w:rsidR="004B173E" w:rsidRPr="00437AB8">
          <w:rPr>
            <w:rStyle w:val="Hyperlink"/>
          </w:rPr>
          <w:t xml:space="preserve"> 2023</w:t>
        </w:r>
        <w:r w:rsidR="00437AB8" w:rsidRPr="00437AB8">
          <w:rPr>
            <w:rStyle w:val="Hyperlink"/>
            <w:rFonts w:ascii="Arial" w:hAnsi="Arial" w:cs="Arial"/>
            <w:sz w:val="22"/>
            <w:shd w:val="clear" w:color="auto" w:fill="FFFFFF"/>
          </w:rPr>
          <w:t xml:space="preserve"> </w:t>
        </w:r>
        <w:r w:rsidR="00437AB8" w:rsidRPr="00437AB8">
          <w:rPr>
            <w:rStyle w:val="Hyperlink"/>
          </w:rPr>
          <w:t>–</w:t>
        </w:r>
        <w:r w:rsidR="004B173E" w:rsidRPr="00437AB8">
          <w:rPr>
            <w:rStyle w:val="Hyperlink"/>
          </w:rPr>
          <w:t>2024</w:t>
        </w:r>
        <w:r w:rsidR="00634B85" w:rsidRPr="00437AB8">
          <w:rPr>
            <w:rStyle w:val="Hyperlink"/>
          </w:rPr>
          <w:t xml:space="preserve">, </w:t>
        </w:r>
        <w:r w:rsidR="00634B85" w:rsidRPr="00437AB8">
          <w:rPr>
            <w:rStyle w:val="Hyperlink"/>
            <w:i/>
            <w:iCs/>
          </w:rPr>
          <w:t xml:space="preserve">Australian </w:t>
        </w:r>
        <w:r w:rsidR="002F3F58" w:rsidRPr="00437AB8">
          <w:rPr>
            <w:rStyle w:val="Hyperlink"/>
            <w:i/>
            <w:iCs/>
          </w:rPr>
          <w:t>market results</w:t>
        </w:r>
      </w:hyperlink>
      <w:r w:rsidR="00F86A9A">
        <w:t xml:space="preserve"> [unpublished]</w:t>
      </w:r>
      <w:r w:rsidR="00D10E87" w:rsidRPr="004C749D">
        <w:t xml:space="preserve">, </w:t>
      </w:r>
      <w:r w:rsidR="00436E53" w:rsidRPr="004C749D">
        <w:t>202</w:t>
      </w:r>
      <w:r w:rsidR="00845500" w:rsidRPr="004C749D">
        <w:t>4</w:t>
      </w:r>
      <w:r w:rsidR="00F024C3">
        <w:t>.</w:t>
      </w:r>
    </w:p>
  </w:footnote>
  <w:footnote w:id="116">
    <w:p w14:paraId="121601C4" w14:textId="6092C7B3" w:rsidR="00B22EB7" w:rsidRDefault="00B22EB7" w:rsidP="00B22EB7">
      <w:pPr>
        <w:pStyle w:val="FootnoteText"/>
      </w:pPr>
      <w:r>
        <w:rPr>
          <w:rStyle w:val="FootnoteReference"/>
        </w:rPr>
        <w:footnoteRef/>
      </w:r>
      <w:r>
        <w:t xml:space="preserve"> </w:t>
      </w:r>
      <w:r w:rsidR="00512017">
        <w:tab/>
      </w:r>
      <w:r w:rsidRPr="00B22EB7">
        <w:t xml:space="preserve">ASBFEO, </w:t>
      </w:r>
      <w:r w:rsidRPr="00E0155D">
        <w:rPr>
          <w:rStyle w:val="Emphasis"/>
        </w:rPr>
        <w:t>ASBFEO Communication and Engagement Strategy</w:t>
      </w:r>
      <w:r w:rsidRPr="00B22EB7">
        <w:rPr>
          <w:i/>
          <w:iCs/>
        </w:rPr>
        <w:t xml:space="preserve"> </w:t>
      </w:r>
      <w:r w:rsidRPr="00B22EB7">
        <w:t>[unpublished document] ASBFEO, Canberra</w:t>
      </w:r>
      <w:r w:rsidR="005144E2">
        <w:t> </w:t>
      </w:r>
      <w:r w:rsidRPr="00B22EB7">
        <w:t>2021</w:t>
      </w:r>
      <w:r w:rsidR="0049572B">
        <w:t>.</w:t>
      </w:r>
    </w:p>
  </w:footnote>
  <w:footnote w:id="117">
    <w:p w14:paraId="179AEBBE" w14:textId="7C4B18A6" w:rsidR="005F1145" w:rsidRDefault="00B103F8" w:rsidP="00512017">
      <w:pPr>
        <w:ind w:left="408" w:hanging="408"/>
      </w:pPr>
      <w:r w:rsidRPr="00B103F8">
        <w:rPr>
          <w:rStyle w:val="FootnoteReference"/>
        </w:rPr>
        <w:footnoteRef/>
      </w:r>
      <w:r w:rsidR="005F1145">
        <w:t xml:space="preserve"> </w:t>
      </w:r>
      <w:r w:rsidR="00512017">
        <w:tab/>
      </w:r>
      <w:r w:rsidR="005F1145" w:rsidRPr="0024451F">
        <w:rPr>
          <w:sz w:val="20"/>
          <w:szCs w:val="18"/>
        </w:rPr>
        <w:t xml:space="preserve">ASBFEO, </w:t>
      </w:r>
      <w:hyperlink r:id="rId43" w:history="1">
        <w:r w:rsidR="005F1145" w:rsidRPr="0024451F">
          <w:rPr>
            <w:rStyle w:val="Hyperlink"/>
            <w:sz w:val="20"/>
            <w:szCs w:val="18"/>
          </w:rPr>
          <w:t>Quarterly Report Q3, 2024 (1 July to 30 September 2024)</w:t>
        </w:r>
      </w:hyperlink>
      <w:r w:rsidR="005F1145" w:rsidRPr="0024451F">
        <w:rPr>
          <w:sz w:val="20"/>
          <w:szCs w:val="18"/>
        </w:rPr>
        <w:t xml:space="preserve"> ABFEO, p 1, accessed 13 May 2025</w:t>
      </w:r>
      <w:r w:rsidR="006F7D95" w:rsidRPr="0024451F">
        <w:rPr>
          <w:sz w:val="20"/>
          <w:szCs w:val="18"/>
        </w:rPr>
        <w:t xml:space="preserve">; ASBFEO, </w:t>
      </w:r>
      <w:hyperlink r:id="rId44" w:history="1">
        <w:r w:rsidR="006F7D95" w:rsidRPr="0024451F">
          <w:rPr>
            <w:rStyle w:val="Hyperlink"/>
            <w:sz w:val="20"/>
            <w:szCs w:val="18"/>
          </w:rPr>
          <w:t>Quarterly Report Q1, 2024 (1 January to 31 March 2024)</w:t>
        </w:r>
      </w:hyperlink>
      <w:r w:rsidR="006F7D95" w:rsidRPr="0024451F">
        <w:rPr>
          <w:sz w:val="20"/>
          <w:szCs w:val="18"/>
        </w:rPr>
        <w:t xml:space="preserve"> ABFEO, p 1, accessed 13 May 2025</w:t>
      </w:r>
      <w:r w:rsidR="00DE1156" w:rsidRPr="0024451F">
        <w:rPr>
          <w:sz w:val="20"/>
          <w:szCs w:val="18"/>
        </w:rPr>
        <w:t xml:space="preserve">; ASBFEO, </w:t>
      </w:r>
      <w:hyperlink r:id="rId45" w:history="1">
        <w:r w:rsidR="00DE1156" w:rsidRPr="0024451F">
          <w:rPr>
            <w:rStyle w:val="Hyperlink"/>
            <w:sz w:val="20"/>
            <w:szCs w:val="18"/>
          </w:rPr>
          <w:t>Quarterly Report Q3, 2023 (1 July to 30 September 2023</w:t>
        </w:r>
      </w:hyperlink>
      <w:r w:rsidR="00DE1156" w:rsidRPr="0024451F">
        <w:rPr>
          <w:sz w:val="20"/>
          <w:szCs w:val="18"/>
        </w:rPr>
        <w:t>) ABFEO, p 1, accessed 13 May 2025</w:t>
      </w:r>
      <w:r w:rsidR="00841BBE" w:rsidRPr="0024451F">
        <w:rPr>
          <w:sz w:val="20"/>
          <w:szCs w:val="18"/>
        </w:rPr>
        <w:t xml:space="preserve">; </w:t>
      </w:r>
      <w:r w:rsidR="00512581" w:rsidRPr="0024451F">
        <w:rPr>
          <w:rFonts w:eastAsia="Aptos" w:cstheme="minorHAnsi"/>
          <w:sz w:val="20"/>
        </w:rPr>
        <w:t xml:space="preserve">B Billson </w:t>
      </w:r>
      <w:r w:rsidR="003A0D5E">
        <w:rPr>
          <w:rFonts w:eastAsia="Aptos" w:cstheme="minorHAnsi"/>
          <w:sz w:val="20"/>
        </w:rPr>
        <w:t>‘</w:t>
      </w:r>
      <w:r w:rsidR="00512581" w:rsidRPr="0024451F">
        <w:rPr>
          <w:rFonts w:eastAsia="Aptos" w:cstheme="minorHAnsi"/>
          <w:sz w:val="20"/>
        </w:rPr>
        <w:t>Keeping small businesses afloat comes down to us all</w:t>
      </w:r>
      <w:r w:rsidR="003A0D5E">
        <w:rPr>
          <w:rFonts w:eastAsia="Aptos" w:cstheme="minorHAnsi"/>
          <w:sz w:val="20"/>
        </w:rPr>
        <w:t>’</w:t>
      </w:r>
      <w:r w:rsidR="00512581" w:rsidRPr="0024451F">
        <w:rPr>
          <w:rFonts w:eastAsia="Aptos" w:cstheme="minorHAnsi"/>
          <w:sz w:val="20"/>
        </w:rPr>
        <w:t xml:space="preserve"> </w:t>
      </w:r>
      <w:r w:rsidR="00512581" w:rsidRPr="0024451F">
        <w:rPr>
          <w:rFonts w:eastAsia="Aptos" w:cstheme="minorHAnsi"/>
          <w:i/>
          <w:sz w:val="20"/>
        </w:rPr>
        <w:t>The Canberra Times</w:t>
      </w:r>
      <w:r w:rsidR="00512581" w:rsidRPr="0024451F">
        <w:rPr>
          <w:rFonts w:eastAsia="Aptos" w:cstheme="minorHAnsi"/>
          <w:sz w:val="20"/>
        </w:rPr>
        <w:t xml:space="preserve"> </w:t>
      </w:r>
      <w:r w:rsidR="00D0000D" w:rsidRPr="0024451F">
        <w:rPr>
          <w:rFonts w:eastAsia="Aptos" w:cstheme="minorHAnsi"/>
          <w:sz w:val="20"/>
        </w:rPr>
        <w:t xml:space="preserve">[paywall] </w:t>
      </w:r>
      <w:r w:rsidR="00512581" w:rsidRPr="0024451F">
        <w:rPr>
          <w:rFonts w:eastAsia="Aptos" w:cstheme="minorHAnsi"/>
          <w:sz w:val="20"/>
        </w:rPr>
        <w:t>31 June 2024, accessed 13 May 2025</w:t>
      </w:r>
      <w:r w:rsidR="00294D13" w:rsidRPr="0024451F">
        <w:rPr>
          <w:rFonts w:eastAsia="Aptos" w:cstheme="minorHAnsi"/>
          <w:sz w:val="20"/>
        </w:rPr>
        <w:t>;</w:t>
      </w:r>
      <w:r w:rsidR="00841BBE" w:rsidRPr="0024451F">
        <w:rPr>
          <w:sz w:val="20"/>
          <w:szCs w:val="18"/>
        </w:rPr>
        <w:t xml:space="preserve">S Austin, </w:t>
      </w:r>
      <w:hyperlink r:id="rId46" w:history="1">
        <w:r w:rsidR="00841BBE" w:rsidRPr="0024451F">
          <w:rPr>
            <w:rStyle w:val="Hyperlink"/>
            <w:i/>
            <w:sz w:val="20"/>
            <w:szCs w:val="18"/>
          </w:rPr>
          <w:t>Steve Austin interviews the Hon Bruce Billson: payment surcharges and need for least</w:t>
        </w:r>
        <w:r w:rsidR="003A0D5E">
          <w:rPr>
            <w:rStyle w:val="Hyperlink"/>
            <w:i/>
            <w:sz w:val="20"/>
            <w:szCs w:val="18"/>
          </w:rPr>
          <w:noBreakHyphen/>
        </w:r>
        <w:r w:rsidR="00841BBE" w:rsidRPr="0024451F">
          <w:rPr>
            <w:rStyle w:val="Hyperlink"/>
            <w:i/>
            <w:sz w:val="20"/>
            <w:szCs w:val="18"/>
          </w:rPr>
          <w:t>cost routing to cut fees</w:t>
        </w:r>
      </w:hyperlink>
      <w:r w:rsidR="00841BBE" w:rsidRPr="0024451F">
        <w:rPr>
          <w:i/>
          <w:sz w:val="20"/>
          <w:szCs w:val="18"/>
        </w:rPr>
        <w:t xml:space="preserve"> </w:t>
      </w:r>
      <w:r w:rsidR="00841BBE" w:rsidRPr="0024451F">
        <w:rPr>
          <w:sz w:val="20"/>
          <w:szCs w:val="18"/>
        </w:rPr>
        <w:t>[interview transcript], ABC Radio Brisbane, 17 October 2024, accessed 13 May 2025</w:t>
      </w:r>
      <w:r w:rsidR="002861DA" w:rsidRPr="0024451F">
        <w:rPr>
          <w:sz w:val="20"/>
          <w:szCs w:val="18"/>
        </w:rPr>
        <w:t xml:space="preserve">; W </w:t>
      </w:r>
      <w:proofErr w:type="spellStart"/>
      <w:r w:rsidR="002861DA" w:rsidRPr="0024451F">
        <w:rPr>
          <w:sz w:val="20"/>
          <w:szCs w:val="18"/>
        </w:rPr>
        <w:t>Goodings</w:t>
      </w:r>
      <w:proofErr w:type="spellEnd"/>
      <w:r w:rsidR="002861DA" w:rsidRPr="0024451F">
        <w:rPr>
          <w:sz w:val="20"/>
          <w:szCs w:val="18"/>
        </w:rPr>
        <w:t xml:space="preserve">, </w:t>
      </w:r>
      <w:hyperlink r:id="rId47" w:history="1">
        <w:r w:rsidR="002861DA" w:rsidRPr="0024451F">
          <w:rPr>
            <w:rStyle w:val="Hyperlink"/>
            <w:sz w:val="20"/>
            <w:szCs w:val="18"/>
          </w:rPr>
          <w:t>W</w:t>
        </w:r>
        <w:r w:rsidR="002861DA" w:rsidRPr="0024451F">
          <w:rPr>
            <w:rStyle w:val="Hyperlink"/>
            <w:i/>
            <w:sz w:val="20"/>
            <w:szCs w:val="18"/>
          </w:rPr>
          <w:t xml:space="preserve">ill </w:t>
        </w:r>
        <w:proofErr w:type="spellStart"/>
        <w:r w:rsidR="002861DA" w:rsidRPr="0024451F">
          <w:rPr>
            <w:rStyle w:val="Hyperlink"/>
            <w:i/>
            <w:sz w:val="20"/>
            <w:szCs w:val="18"/>
          </w:rPr>
          <w:t>Goodings</w:t>
        </w:r>
        <w:proofErr w:type="spellEnd"/>
        <w:r w:rsidR="002861DA" w:rsidRPr="0024451F">
          <w:rPr>
            <w:rStyle w:val="Hyperlink"/>
            <w:i/>
            <w:sz w:val="20"/>
            <w:szCs w:val="18"/>
          </w:rPr>
          <w:t xml:space="preserve"> &amp; David Penberthy interviews the Hon Bruce Billson: payment surcharges and need for least</w:t>
        </w:r>
        <w:r w:rsidR="003A0D5E">
          <w:rPr>
            <w:rStyle w:val="Hyperlink"/>
            <w:i/>
            <w:sz w:val="20"/>
            <w:szCs w:val="18"/>
          </w:rPr>
          <w:noBreakHyphen/>
        </w:r>
        <w:r w:rsidR="002861DA" w:rsidRPr="0024451F">
          <w:rPr>
            <w:rStyle w:val="Hyperlink"/>
            <w:i/>
            <w:sz w:val="20"/>
            <w:szCs w:val="18"/>
          </w:rPr>
          <w:t>cost routing to cut payment fees</w:t>
        </w:r>
      </w:hyperlink>
      <w:r w:rsidR="002861DA" w:rsidRPr="0024451F">
        <w:rPr>
          <w:sz w:val="20"/>
          <w:szCs w:val="18"/>
        </w:rPr>
        <w:t xml:space="preserve"> [interview transcript], Radio 5AAA, Adelaide, 16 October 2024, accessed 13 May 2025.</w:t>
      </w:r>
    </w:p>
  </w:footnote>
  <w:footnote w:id="118">
    <w:p w14:paraId="2ABFDA06" w14:textId="6A62FC1F" w:rsidR="00D14CA4" w:rsidRDefault="00D14CA4">
      <w:pPr>
        <w:pStyle w:val="FootnoteText"/>
      </w:pPr>
      <w:r>
        <w:rPr>
          <w:rStyle w:val="FootnoteReference"/>
        </w:rPr>
        <w:footnoteRef/>
      </w:r>
      <w:r>
        <w:t xml:space="preserve"> </w:t>
      </w:r>
      <w:r w:rsidR="00CD4184">
        <w:tab/>
      </w:r>
      <w:r w:rsidRPr="00D14CA4">
        <w:t xml:space="preserve">Small Biz Matters, </w:t>
      </w:r>
      <w:r w:rsidRPr="003D0AD3">
        <w:rPr>
          <w:rStyle w:val="Emphasis"/>
        </w:rPr>
        <w:t>Submission to the Independent Review of the ASBFEO</w:t>
      </w:r>
      <w:r>
        <w:t>,</w:t>
      </w:r>
      <w:r w:rsidRPr="00D14CA4">
        <w:t xml:space="preserve"> </w:t>
      </w:r>
      <w:r>
        <w:t xml:space="preserve">January 2025, </w:t>
      </w:r>
      <w:r w:rsidRPr="00D14CA4">
        <w:t>p 6</w:t>
      </w:r>
      <w:r w:rsidR="005213FA">
        <w:t>.</w:t>
      </w:r>
    </w:p>
  </w:footnote>
  <w:footnote w:id="119">
    <w:p w14:paraId="23B35099" w14:textId="223881C8" w:rsidR="000B516C" w:rsidRDefault="000B516C">
      <w:pPr>
        <w:pStyle w:val="FootnoteText"/>
      </w:pPr>
      <w:r>
        <w:rPr>
          <w:rStyle w:val="FootnoteReference"/>
        </w:rPr>
        <w:footnoteRef/>
      </w:r>
      <w:r>
        <w:t xml:space="preserve"> </w:t>
      </w:r>
      <w:r w:rsidR="00CD4184">
        <w:tab/>
      </w:r>
      <w:r>
        <w:t xml:space="preserve">ACCI, </w:t>
      </w:r>
      <w:r w:rsidRPr="003D0AD3">
        <w:rPr>
          <w:rStyle w:val="Emphasis"/>
          <w:rFonts w:eastAsia="Calibri Light"/>
        </w:rPr>
        <w:t>Submission to the Independent Review of the ASBFEO</w:t>
      </w:r>
      <w:r w:rsidRPr="003D0AD3">
        <w:rPr>
          <w:rFonts w:eastAsia="Calibri Light"/>
        </w:rPr>
        <w:t xml:space="preserve"> January 2025</w:t>
      </w:r>
      <w:r w:rsidRPr="35790144">
        <w:t>,</w:t>
      </w:r>
      <w:r w:rsidR="005213FA">
        <w:t xml:space="preserve"> </w:t>
      </w:r>
      <w:r w:rsidRPr="35790144">
        <w:t>p</w:t>
      </w:r>
      <w:r w:rsidR="005213FA">
        <w:t xml:space="preserve"> </w:t>
      </w:r>
      <w:r w:rsidRPr="35790144">
        <w:t>3</w:t>
      </w:r>
      <w:r w:rsidR="005213FA">
        <w:t>.</w:t>
      </w:r>
    </w:p>
  </w:footnote>
  <w:footnote w:id="120">
    <w:p w14:paraId="298849A3" w14:textId="6857AED4" w:rsidR="0071237C" w:rsidRDefault="00B103F8">
      <w:pPr>
        <w:pStyle w:val="FootnoteText"/>
      </w:pPr>
      <w:r w:rsidRPr="00B103F8">
        <w:rPr>
          <w:rStyle w:val="FootnoteReference"/>
        </w:rPr>
        <w:footnoteRef/>
      </w:r>
      <w:r w:rsidR="0071237C">
        <w:t xml:space="preserve"> </w:t>
      </w:r>
      <w:r w:rsidR="00CD4184">
        <w:tab/>
      </w:r>
      <w:r w:rsidR="0071237C">
        <w:rPr>
          <w:rFonts w:ascii="Calibri" w:eastAsia="Calibri" w:hAnsi="Calibri" w:cs="Calibri"/>
        </w:rPr>
        <w:t xml:space="preserve">FBA, </w:t>
      </w:r>
      <w:r w:rsidR="0071237C" w:rsidRPr="00A258F7">
        <w:rPr>
          <w:rStyle w:val="Emphasis"/>
        </w:rPr>
        <w:t>S</w:t>
      </w:r>
      <w:r w:rsidR="0071237C" w:rsidRPr="00A258F7">
        <w:rPr>
          <w:rStyle w:val="Emphasis"/>
          <w:rFonts w:eastAsia="Calibri"/>
        </w:rPr>
        <w:t xml:space="preserve">ubmission to the Independent Review of the </w:t>
      </w:r>
      <w:r w:rsidR="0071237C" w:rsidRPr="00A258F7">
        <w:rPr>
          <w:rStyle w:val="Emphasis"/>
        </w:rPr>
        <w:t>ASBFEO Review</w:t>
      </w:r>
      <w:r w:rsidR="0071237C" w:rsidRPr="00A258F7">
        <w:rPr>
          <w:rStyle w:val="Emphasis"/>
          <w:rFonts w:eastAsia="Calibri"/>
        </w:rPr>
        <w:t xml:space="preserve"> </w:t>
      </w:r>
      <w:r w:rsidR="0071237C">
        <w:rPr>
          <w:rFonts w:ascii="Calibri" w:eastAsia="Calibri" w:hAnsi="Calibri" w:cs="Calibri"/>
        </w:rPr>
        <w:t xml:space="preserve">January 2025, p </w:t>
      </w:r>
      <w:r w:rsidR="00C43916">
        <w:rPr>
          <w:rFonts w:ascii="Calibri" w:eastAsia="Calibri" w:hAnsi="Calibri" w:cs="Calibri"/>
        </w:rPr>
        <w:t>5.</w:t>
      </w:r>
    </w:p>
  </w:footnote>
  <w:footnote w:id="121">
    <w:p w14:paraId="0AFB1B57" w14:textId="09C6F8C0" w:rsidR="007321F5" w:rsidRDefault="007321F5" w:rsidP="007321F5">
      <w:pPr>
        <w:pStyle w:val="FootnoteText"/>
      </w:pPr>
      <w:r>
        <w:rPr>
          <w:rStyle w:val="FootnoteReference"/>
        </w:rPr>
        <w:footnoteRef/>
      </w:r>
      <w:r>
        <w:t xml:space="preserve"> </w:t>
      </w:r>
      <w:r w:rsidR="00CD4184">
        <w:tab/>
      </w:r>
      <w:r>
        <w:t xml:space="preserve">ACCI, </w:t>
      </w:r>
      <w:r w:rsidRPr="00A258F7">
        <w:rPr>
          <w:rStyle w:val="Emphasis"/>
          <w:rFonts w:eastAsia="Calibri Light"/>
        </w:rPr>
        <w:t>Submission to the Independent Review of the ASBFEO</w:t>
      </w:r>
      <w:r w:rsidR="00C443FA" w:rsidRPr="00A258F7">
        <w:rPr>
          <w:rFonts w:eastAsia="Calibri Light"/>
        </w:rPr>
        <w:t>,</w:t>
      </w:r>
      <w:r w:rsidRPr="00A258F7">
        <w:rPr>
          <w:rFonts w:eastAsia="Calibri Light"/>
        </w:rPr>
        <w:t xml:space="preserve"> January 2025</w:t>
      </w:r>
      <w:r w:rsidRPr="35790144">
        <w:t>, p</w:t>
      </w:r>
      <w:r w:rsidR="00285953">
        <w:t xml:space="preserve"> </w:t>
      </w:r>
      <w:r w:rsidRPr="35790144">
        <w:t>3</w:t>
      </w:r>
      <w:r w:rsidR="0028595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71899" w14:textId="77777777" w:rsidR="00FE44F8" w:rsidRPr="00420CD3" w:rsidRDefault="00FE44F8" w:rsidP="00FE44F8">
    <w:pPr>
      <w:pStyle w:val="HeaderEven"/>
    </w:pPr>
    <w:r>
      <w:t>Independent Review of Australian Small Business and Family Enterprise Ombudsman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861C" w14:textId="10A6889A" w:rsidR="00D93778" w:rsidRDefault="00D93778" w:rsidP="005349BC">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DEE4D" w14:textId="77777777" w:rsidR="000127B3" w:rsidRDefault="000127B3" w:rsidP="005349BC">
    <w:pPr>
      <w:pStyle w:val="HeaderOdd"/>
    </w:pPr>
    <w:r>
      <w:t>Independent Review of Australian Small Business and Family Enterprise Ombudsman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E621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6C117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2BA34F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526D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E2C6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CDC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FCBA1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FC8A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7210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703C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5"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9" w15:restartNumberingAfterBreak="0">
    <w:nsid w:val="799D4C74"/>
    <w:multiLevelType w:val="multilevel"/>
    <w:tmpl w:val="6604458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D6B5224"/>
    <w:multiLevelType w:val="multilevel"/>
    <w:tmpl w:val="89064A82"/>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16cid:durableId="747112092">
    <w:abstractNumId w:val="14"/>
  </w:num>
  <w:num w:numId="2" w16cid:durableId="125392115">
    <w:abstractNumId w:val="10"/>
  </w:num>
  <w:num w:numId="3" w16cid:durableId="1138493796">
    <w:abstractNumId w:val="16"/>
  </w:num>
  <w:num w:numId="4" w16cid:durableId="697198535">
    <w:abstractNumId w:val="11"/>
  </w:num>
  <w:num w:numId="5" w16cid:durableId="1530605932">
    <w:abstractNumId w:val="17"/>
  </w:num>
  <w:num w:numId="6" w16cid:durableId="1077706018">
    <w:abstractNumId w:val="15"/>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1334606905">
    <w:abstractNumId w:val="12"/>
  </w:num>
  <w:num w:numId="8" w16cid:durableId="732696603">
    <w:abstractNumId w:val="13"/>
  </w:num>
  <w:num w:numId="9" w16cid:durableId="157624863">
    <w:abstractNumId w:val="15"/>
  </w:num>
  <w:num w:numId="10" w16cid:durableId="1455251550">
    <w:abstractNumId w:val="20"/>
  </w:num>
  <w:num w:numId="11" w16cid:durableId="1065297974">
    <w:abstractNumId w:val="18"/>
  </w:num>
  <w:num w:numId="12" w16cid:durableId="1338461793">
    <w:abstractNumId w:val="19"/>
  </w:num>
  <w:num w:numId="13" w16cid:durableId="12229061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42568801">
    <w:abstractNumId w:val="9"/>
  </w:num>
  <w:num w:numId="15" w16cid:durableId="1215891889">
    <w:abstractNumId w:val="7"/>
  </w:num>
  <w:num w:numId="16" w16cid:durableId="1235437067">
    <w:abstractNumId w:val="6"/>
  </w:num>
  <w:num w:numId="17" w16cid:durableId="1254624973">
    <w:abstractNumId w:val="5"/>
  </w:num>
  <w:num w:numId="18" w16cid:durableId="701828382">
    <w:abstractNumId w:val="4"/>
  </w:num>
  <w:num w:numId="19" w16cid:durableId="225067653">
    <w:abstractNumId w:val="8"/>
  </w:num>
  <w:num w:numId="20" w16cid:durableId="1914778497">
    <w:abstractNumId w:val="3"/>
  </w:num>
  <w:num w:numId="21" w16cid:durableId="1914193558">
    <w:abstractNumId w:val="2"/>
  </w:num>
  <w:num w:numId="22" w16cid:durableId="1176306427">
    <w:abstractNumId w:val="1"/>
  </w:num>
  <w:num w:numId="23" w16cid:durableId="710419325">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79D"/>
    <w:rsid w:val="000001C9"/>
    <w:rsid w:val="00000249"/>
    <w:rsid w:val="000002A9"/>
    <w:rsid w:val="00000312"/>
    <w:rsid w:val="000003D9"/>
    <w:rsid w:val="0000042B"/>
    <w:rsid w:val="000006DF"/>
    <w:rsid w:val="000008C4"/>
    <w:rsid w:val="000009B2"/>
    <w:rsid w:val="000009F5"/>
    <w:rsid w:val="00000B05"/>
    <w:rsid w:val="00000B22"/>
    <w:rsid w:val="00000C4E"/>
    <w:rsid w:val="0000109D"/>
    <w:rsid w:val="000011CC"/>
    <w:rsid w:val="0000145C"/>
    <w:rsid w:val="000014D0"/>
    <w:rsid w:val="000015C1"/>
    <w:rsid w:val="000017F4"/>
    <w:rsid w:val="000019A1"/>
    <w:rsid w:val="00001C8D"/>
    <w:rsid w:val="00001E41"/>
    <w:rsid w:val="0000205B"/>
    <w:rsid w:val="00002193"/>
    <w:rsid w:val="0000229F"/>
    <w:rsid w:val="000022FB"/>
    <w:rsid w:val="00002548"/>
    <w:rsid w:val="0000269B"/>
    <w:rsid w:val="0000269E"/>
    <w:rsid w:val="00002E0B"/>
    <w:rsid w:val="00002E84"/>
    <w:rsid w:val="00002EBB"/>
    <w:rsid w:val="00002FF6"/>
    <w:rsid w:val="00003288"/>
    <w:rsid w:val="00003316"/>
    <w:rsid w:val="0000335C"/>
    <w:rsid w:val="000034EE"/>
    <w:rsid w:val="000035D1"/>
    <w:rsid w:val="000039EC"/>
    <w:rsid w:val="00003C78"/>
    <w:rsid w:val="00003F83"/>
    <w:rsid w:val="00003FB1"/>
    <w:rsid w:val="0000412E"/>
    <w:rsid w:val="000044E7"/>
    <w:rsid w:val="000044E8"/>
    <w:rsid w:val="0000455B"/>
    <w:rsid w:val="0000456B"/>
    <w:rsid w:val="000046F9"/>
    <w:rsid w:val="0000475F"/>
    <w:rsid w:val="0000486F"/>
    <w:rsid w:val="00004A2A"/>
    <w:rsid w:val="00004B84"/>
    <w:rsid w:val="00004D33"/>
    <w:rsid w:val="00004D4C"/>
    <w:rsid w:val="00004D92"/>
    <w:rsid w:val="00004FB0"/>
    <w:rsid w:val="0000502F"/>
    <w:rsid w:val="00005036"/>
    <w:rsid w:val="000050C9"/>
    <w:rsid w:val="00005128"/>
    <w:rsid w:val="0000538F"/>
    <w:rsid w:val="00005438"/>
    <w:rsid w:val="00005442"/>
    <w:rsid w:val="0000599C"/>
    <w:rsid w:val="00005AD3"/>
    <w:rsid w:val="00005C19"/>
    <w:rsid w:val="00005D67"/>
    <w:rsid w:val="00005E34"/>
    <w:rsid w:val="00005F86"/>
    <w:rsid w:val="00005FDA"/>
    <w:rsid w:val="0000613C"/>
    <w:rsid w:val="000062FE"/>
    <w:rsid w:val="0000646F"/>
    <w:rsid w:val="00006473"/>
    <w:rsid w:val="000065B7"/>
    <w:rsid w:val="00006747"/>
    <w:rsid w:val="00006AF2"/>
    <w:rsid w:val="00006E33"/>
    <w:rsid w:val="00006EFF"/>
    <w:rsid w:val="000070F8"/>
    <w:rsid w:val="000071C7"/>
    <w:rsid w:val="000071F0"/>
    <w:rsid w:val="00007200"/>
    <w:rsid w:val="00007273"/>
    <w:rsid w:val="000072AB"/>
    <w:rsid w:val="000074B8"/>
    <w:rsid w:val="0000761E"/>
    <w:rsid w:val="000076EB"/>
    <w:rsid w:val="00007911"/>
    <w:rsid w:val="00007D4E"/>
    <w:rsid w:val="00007E8D"/>
    <w:rsid w:val="0001002E"/>
    <w:rsid w:val="000101D0"/>
    <w:rsid w:val="0001063B"/>
    <w:rsid w:val="0001063C"/>
    <w:rsid w:val="0001079C"/>
    <w:rsid w:val="00010AFA"/>
    <w:rsid w:val="00010B90"/>
    <w:rsid w:val="00010F7D"/>
    <w:rsid w:val="00011121"/>
    <w:rsid w:val="000111A1"/>
    <w:rsid w:val="00011365"/>
    <w:rsid w:val="00011725"/>
    <w:rsid w:val="00011732"/>
    <w:rsid w:val="00011A21"/>
    <w:rsid w:val="00011A59"/>
    <w:rsid w:val="00011F83"/>
    <w:rsid w:val="000120F7"/>
    <w:rsid w:val="000120FE"/>
    <w:rsid w:val="0001210D"/>
    <w:rsid w:val="000124FC"/>
    <w:rsid w:val="00012528"/>
    <w:rsid w:val="00012634"/>
    <w:rsid w:val="000126EE"/>
    <w:rsid w:val="000127B3"/>
    <w:rsid w:val="00012A11"/>
    <w:rsid w:val="00012A15"/>
    <w:rsid w:val="00012BD0"/>
    <w:rsid w:val="00012BE5"/>
    <w:rsid w:val="00012C45"/>
    <w:rsid w:val="00012C62"/>
    <w:rsid w:val="00012ECB"/>
    <w:rsid w:val="00013471"/>
    <w:rsid w:val="000134E8"/>
    <w:rsid w:val="0001396A"/>
    <w:rsid w:val="00013AFA"/>
    <w:rsid w:val="00013B39"/>
    <w:rsid w:val="00013C6F"/>
    <w:rsid w:val="00013EEF"/>
    <w:rsid w:val="000141C2"/>
    <w:rsid w:val="000142E8"/>
    <w:rsid w:val="0001433D"/>
    <w:rsid w:val="00014387"/>
    <w:rsid w:val="000143CA"/>
    <w:rsid w:val="00014690"/>
    <w:rsid w:val="000146EE"/>
    <w:rsid w:val="00014775"/>
    <w:rsid w:val="00014935"/>
    <w:rsid w:val="00014E25"/>
    <w:rsid w:val="00014E6C"/>
    <w:rsid w:val="000150D8"/>
    <w:rsid w:val="000153C2"/>
    <w:rsid w:val="000159EC"/>
    <w:rsid w:val="000159EF"/>
    <w:rsid w:val="00015AC8"/>
    <w:rsid w:val="00015AF2"/>
    <w:rsid w:val="00015CAC"/>
    <w:rsid w:val="00015E31"/>
    <w:rsid w:val="00015EDE"/>
    <w:rsid w:val="000160A5"/>
    <w:rsid w:val="0001615E"/>
    <w:rsid w:val="000162E5"/>
    <w:rsid w:val="00016325"/>
    <w:rsid w:val="000165F3"/>
    <w:rsid w:val="00016655"/>
    <w:rsid w:val="000166D5"/>
    <w:rsid w:val="000166DA"/>
    <w:rsid w:val="000166EC"/>
    <w:rsid w:val="000167BC"/>
    <w:rsid w:val="00016931"/>
    <w:rsid w:val="00016A99"/>
    <w:rsid w:val="00016BCE"/>
    <w:rsid w:val="00016F5A"/>
    <w:rsid w:val="00017192"/>
    <w:rsid w:val="00017217"/>
    <w:rsid w:val="00017461"/>
    <w:rsid w:val="0001757C"/>
    <w:rsid w:val="000176A2"/>
    <w:rsid w:val="000176E6"/>
    <w:rsid w:val="000178CA"/>
    <w:rsid w:val="0001794F"/>
    <w:rsid w:val="00017C09"/>
    <w:rsid w:val="00017F29"/>
    <w:rsid w:val="00020022"/>
    <w:rsid w:val="000207CC"/>
    <w:rsid w:val="00020951"/>
    <w:rsid w:val="00020A0F"/>
    <w:rsid w:val="00020C52"/>
    <w:rsid w:val="00020D1B"/>
    <w:rsid w:val="00020F88"/>
    <w:rsid w:val="00020FDF"/>
    <w:rsid w:val="000210FC"/>
    <w:rsid w:val="000212B7"/>
    <w:rsid w:val="000212BB"/>
    <w:rsid w:val="000213BA"/>
    <w:rsid w:val="00021556"/>
    <w:rsid w:val="0002165E"/>
    <w:rsid w:val="000217B9"/>
    <w:rsid w:val="0002191F"/>
    <w:rsid w:val="000219C4"/>
    <w:rsid w:val="00021A7F"/>
    <w:rsid w:val="00021ABD"/>
    <w:rsid w:val="00021AD8"/>
    <w:rsid w:val="00021BB1"/>
    <w:rsid w:val="00021DEA"/>
    <w:rsid w:val="00021F01"/>
    <w:rsid w:val="000220F2"/>
    <w:rsid w:val="000222C4"/>
    <w:rsid w:val="000224EC"/>
    <w:rsid w:val="0002264E"/>
    <w:rsid w:val="00022AA4"/>
    <w:rsid w:val="00022AC5"/>
    <w:rsid w:val="00022BA9"/>
    <w:rsid w:val="00022C1E"/>
    <w:rsid w:val="00022CFA"/>
    <w:rsid w:val="00022D23"/>
    <w:rsid w:val="00022E54"/>
    <w:rsid w:val="00022F46"/>
    <w:rsid w:val="00023169"/>
    <w:rsid w:val="000238F7"/>
    <w:rsid w:val="00023AD9"/>
    <w:rsid w:val="00023C11"/>
    <w:rsid w:val="00023C43"/>
    <w:rsid w:val="00023DC0"/>
    <w:rsid w:val="00023E79"/>
    <w:rsid w:val="00023FF3"/>
    <w:rsid w:val="000246B6"/>
    <w:rsid w:val="000248BE"/>
    <w:rsid w:val="00024A3B"/>
    <w:rsid w:val="00024AC8"/>
    <w:rsid w:val="00024C16"/>
    <w:rsid w:val="00024C52"/>
    <w:rsid w:val="0002544D"/>
    <w:rsid w:val="00025498"/>
    <w:rsid w:val="000254FD"/>
    <w:rsid w:val="00025501"/>
    <w:rsid w:val="00025584"/>
    <w:rsid w:val="000255C4"/>
    <w:rsid w:val="00025609"/>
    <w:rsid w:val="00025691"/>
    <w:rsid w:val="00025731"/>
    <w:rsid w:val="00025884"/>
    <w:rsid w:val="00025A35"/>
    <w:rsid w:val="00025C52"/>
    <w:rsid w:val="00025F41"/>
    <w:rsid w:val="00025FC7"/>
    <w:rsid w:val="0002620D"/>
    <w:rsid w:val="00026592"/>
    <w:rsid w:val="00026887"/>
    <w:rsid w:val="000269AF"/>
    <w:rsid w:val="00026A4B"/>
    <w:rsid w:val="00026B01"/>
    <w:rsid w:val="00026E63"/>
    <w:rsid w:val="000271CD"/>
    <w:rsid w:val="00027539"/>
    <w:rsid w:val="00027576"/>
    <w:rsid w:val="000277F8"/>
    <w:rsid w:val="00027899"/>
    <w:rsid w:val="00027976"/>
    <w:rsid w:val="00027A2D"/>
    <w:rsid w:val="00027B4F"/>
    <w:rsid w:val="00027C98"/>
    <w:rsid w:val="00027DEB"/>
    <w:rsid w:val="0003006E"/>
    <w:rsid w:val="00030207"/>
    <w:rsid w:val="0003025E"/>
    <w:rsid w:val="000303A9"/>
    <w:rsid w:val="00030484"/>
    <w:rsid w:val="000305FC"/>
    <w:rsid w:val="0003080C"/>
    <w:rsid w:val="00030A67"/>
    <w:rsid w:val="00030A8A"/>
    <w:rsid w:val="00030BC9"/>
    <w:rsid w:val="00030C05"/>
    <w:rsid w:val="00030F71"/>
    <w:rsid w:val="00030F99"/>
    <w:rsid w:val="0003100A"/>
    <w:rsid w:val="000310A9"/>
    <w:rsid w:val="000313C4"/>
    <w:rsid w:val="000314FB"/>
    <w:rsid w:val="0003151A"/>
    <w:rsid w:val="00031A54"/>
    <w:rsid w:val="000321DF"/>
    <w:rsid w:val="000324AE"/>
    <w:rsid w:val="0003264F"/>
    <w:rsid w:val="00032971"/>
    <w:rsid w:val="000329B3"/>
    <w:rsid w:val="00032AF4"/>
    <w:rsid w:val="00032E01"/>
    <w:rsid w:val="00033088"/>
    <w:rsid w:val="00033206"/>
    <w:rsid w:val="00033476"/>
    <w:rsid w:val="00033673"/>
    <w:rsid w:val="00033A60"/>
    <w:rsid w:val="00033BCB"/>
    <w:rsid w:val="00033C83"/>
    <w:rsid w:val="00033CF9"/>
    <w:rsid w:val="00033E8C"/>
    <w:rsid w:val="00033F3E"/>
    <w:rsid w:val="00033FB3"/>
    <w:rsid w:val="0003427B"/>
    <w:rsid w:val="00034993"/>
    <w:rsid w:val="00034BC3"/>
    <w:rsid w:val="00034C53"/>
    <w:rsid w:val="00034CE8"/>
    <w:rsid w:val="00034F78"/>
    <w:rsid w:val="00034FE1"/>
    <w:rsid w:val="00035189"/>
    <w:rsid w:val="0003540B"/>
    <w:rsid w:val="0003550B"/>
    <w:rsid w:val="000357B6"/>
    <w:rsid w:val="00035AD5"/>
    <w:rsid w:val="00035BF1"/>
    <w:rsid w:val="00035C91"/>
    <w:rsid w:val="00035D42"/>
    <w:rsid w:val="00035DCA"/>
    <w:rsid w:val="00036342"/>
    <w:rsid w:val="000363E5"/>
    <w:rsid w:val="000364E9"/>
    <w:rsid w:val="000364F2"/>
    <w:rsid w:val="000366E0"/>
    <w:rsid w:val="0003671A"/>
    <w:rsid w:val="0003694E"/>
    <w:rsid w:val="0003699B"/>
    <w:rsid w:val="00036BB6"/>
    <w:rsid w:val="00036C57"/>
    <w:rsid w:val="00036C61"/>
    <w:rsid w:val="00036D7B"/>
    <w:rsid w:val="000370A9"/>
    <w:rsid w:val="000374E1"/>
    <w:rsid w:val="000375AE"/>
    <w:rsid w:val="0003760C"/>
    <w:rsid w:val="000379AA"/>
    <w:rsid w:val="00037A05"/>
    <w:rsid w:val="00037A85"/>
    <w:rsid w:val="00037A8E"/>
    <w:rsid w:val="00037B54"/>
    <w:rsid w:val="00037C20"/>
    <w:rsid w:val="00037CB8"/>
    <w:rsid w:val="00040549"/>
    <w:rsid w:val="000405F6"/>
    <w:rsid w:val="000406C7"/>
    <w:rsid w:val="000406DE"/>
    <w:rsid w:val="0004080F"/>
    <w:rsid w:val="00040997"/>
    <w:rsid w:val="000409DA"/>
    <w:rsid w:val="00040B22"/>
    <w:rsid w:val="00040B70"/>
    <w:rsid w:val="00040D02"/>
    <w:rsid w:val="00040E0B"/>
    <w:rsid w:val="00041AB4"/>
    <w:rsid w:val="00041F2E"/>
    <w:rsid w:val="00042123"/>
    <w:rsid w:val="00042222"/>
    <w:rsid w:val="00042235"/>
    <w:rsid w:val="0004226A"/>
    <w:rsid w:val="00042528"/>
    <w:rsid w:val="00042535"/>
    <w:rsid w:val="000425FB"/>
    <w:rsid w:val="00042665"/>
    <w:rsid w:val="0004273A"/>
    <w:rsid w:val="0004274D"/>
    <w:rsid w:val="00042813"/>
    <w:rsid w:val="0004282A"/>
    <w:rsid w:val="00042AAF"/>
    <w:rsid w:val="00042C9E"/>
    <w:rsid w:val="00043028"/>
    <w:rsid w:val="0004333C"/>
    <w:rsid w:val="00043348"/>
    <w:rsid w:val="0004340F"/>
    <w:rsid w:val="000434AC"/>
    <w:rsid w:val="000434EA"/>
    <w:rsid w:val="00043A31"/>
    <w:rsid w:val="00043ABD"/>
    <w:rsid w:val="00043B5A"/>
    <w:rsid w:val="00043E42"/>
    <w:rsid w:val="00043ECC"/>
    <w:rsid w:val="00044417"/>
    <w:rsid w:val="0004451B"/>
    <w:rsid w:val="0004451C"/>
    <w:rsid w:val="00044640"/>
    <w:rsid w:val="0004474D"/>
    <w:rsid w:val="0004483F"/>
    <w:rsid w:val="000448D9"/>
    <w:rsid w:val="00044AD9"/>
    <w:rsid w:val="00044B01"/>
    <w:rsid w:val="00044D5E"/>
    <w:rsid w:val="00044F8D"/>
    <w:rsid w:val="00045088"/>
    <w:rsid w:val="00045375"/>
    <w:rsid w:val="000454BA"/>
    <w:rsid w:val="000458FB"/>
    <w:rsid w:val="00045AA8"/>
    <w:rsid w:val="00045C93"/>
    <w:rsid w:val="00046519"/>
    <w:rsid w:val="0004656B"/>
    <w:rsid w:val="000465AB"/>
    <w:rsid w:val="00046620"/>
    <w:rsid w:val="000469E8"/>
    <w:rsid w:val="00046B34"/>
    <w:rsid w:val="00046BF2"/>
    <w:rsid w:val="00046CB4"/>
    <w:rsid w:val="00046DC9"/>
    <w:rsid w:val="00046F21"/>
    <w:rsid w:val="0004729E"/>
    <w:rsid w:val="00047699"/>
    <w:rsid w:val="00047A44"/>
    <w:rsid w:val="00047E89"/>
    <w:rsid w:val="00047F4B"/>
    <w:rsid w:val="0005017B"/>
    <w:rsid w:val="0005047F"/>
    <w:rsid w:val="000504F5"/>
    <w:rsid w:val="000505FC"/>
    <w:rsid w:val="00050621"/>
    <w:rsid w:val="00050635"/>
    <w:rsid w:val="000507BA"/>
    <w:rsid w:val="0005082B"/>
    <w:rsid w:val="00050928"/>
    <w:rsid w:val="00050A5B"/>
    <w:rsid w:val="00050B02"/>
    <w:rsid w:val="00050C8C"/>
    <w:rsid w:val="00050CCA"/>
    <w:rsid w:val="00050D03"/>
    <w:rsid w:val="00050DF0"/>
    <w:rsid w:val="00050FB2"/>
    <w:rsid w:val="0005101B"/>
    <w:rsid w:val="000510D7"/>
    <w:rsid w:val="0005110F"/>
    <w:rsid w:val="000511E0"/>
    <w:rsid w:val="00051259"/>
    <w:rsid w:val="0005138B"/>
    <w:rsid w:val="00051493"/>
    <w:rsid w:val="00051517"/>
    <w:rsid w:val="00051A47"/>
    <w:rsid w:val="00051AB5"/>
    <w:rsid w:val="00051BC3"/>
    <w:rsid w:val="00051D13"/>
    <w:rsid w:val="00051DC3"/>
    <w:rsid w:val="0005206E"/>
    <w:rsid w:val="0005217E"/>
    <w:rsid w:val="000521B4"/>
    <w:rsid w:val="0005229C"/>
    <w:rsid w:val="000522B7"/>
    <w:rsid w:val="0005245E"/>
    <w:rsid w:val="0005255E"/>
    <w:rsid w:val="000525D3"/>
    <w:rsid w:val="0005266A"/>
    <w:rsid w:val="00052850"/>
    <w:rsid w:val="00052ACF"/>
    <w:rsid w:val="00052BB6"/>
    <w:rsid w:val="00052BF5"/>
    <w:rsid w:val="00052D4C"/>
    <w:rsid w:val="00052E03"/>
    <w:rsid w:val="00052F3F"/>
    <w:rsid w:val="00052F60"/>
    <w:rsid w:val="000533B2"/>
    <w:rsid w:val="0005343C"/>
    <w:rsid w:val="00053686"/>
    <w:rsid w:val="00053717"/>
    <w:rsid w:val="00053B53"/>
    <w:rsid w:val="00053DB6"/>
    <w:rsid w:val="00053EBC"/>
    <w:rsid w:val="000540E9"/>
    <w:rsid w:val="000545E8"/>
    <w:rsid w:val="00054928"/>
    <w:rsid w:val="00054A96"/>
    <w:rsid w:val="00054D5C"/>
    <w:rsid w:val="00054DBE"/>
    <w:rsid w:val="00054DDD"/>
    <w:rsid w:val="00055147"/>
    <w:rsid w:val="00055248"/>
    <w:rsid w:val="00055450"/>
    <w:rsid w:val="000554D2"/>
    <w:rsid w:val="00055841"/>
    <w:rsid w:val="00055859"/>
    <w:rsid w:val="00055C65"/>
    <w:rsid w:val="00055DCA"/>
    <w:rsid w:val="0005605C"/>
    <w:rsid w:val="000560BC"/>
    <w:rsid w:val="000560D4"/>
    <w:rsid w:val="00056294"/>
    <w:rsid w:val="00056880"/>
    <w:rsid w:val="00056959"/>
    <w:rsid w:val="00056A41"/>
    <w:rsid w:val="00056AF9"/>
    <w:rsid w:val="00056B53"/>
    <w:rsid w:val="00056E06"/>
    <w:rsid w:val="00056E1C"/>
    <w:rsid w:val="00056EEE"/>
    <w:rsid w:val="0005712A"/>
    <w:rsid w:val="00057187"/>
    <w:rsid w:val="0005727F"/>
    <w:rsid w:val="000574E2"/>
    <w:rsid w:val="00057891"/>
    <w:rsid w:val="00057C9E"/>
    <w:rsid w:val="00057D0D"/>
    <w:rsid w:val="00057D16"/>
    <w:rsid w:val="00057F2D"/>
    <w:rsid w:val="00057FCE"/>
    <w:rsid w:val="0006004C"/>
    <w:rsid w:val="00060083"/>
    <w:rsid w:val="00060130"/>
    <w:rsid w:val="000602BE"/>
    <w:rsid w:val="000603C3"/>
    <w:rsid w:val="000604EB"/>
    <w:rsid w:val="00060737"/>
    <w:rsid w:val="0006080D"/>
    <w:rsid w:val="00060882"/>
    <w:rsid w:val="00060911"/>
    <w:rsid w:val="00060E29"/>
    <w:rsid w:val="00061001"/>
    <w:rsid w:val="00061021"/>
    <w:rsid w:val="00061308"/>
    <w:rsid w:val="0006133F"/>
    <w:rsid w:val="0006134F"/>
    <w:rsid w:val="000616DA"/>
    <w:rsid w:val="0006183A"/>
    <w:rsid w:val="0006194B"/>
    <w:rsid w:val="000619E0"/>
    <w:rsid w:val="00061A42"/>
    <w:rsid w:val="00061B28"/>
    <w:rsid w:val="00061D38"/>
    <w:rsid w:val="00061FD4"/>
    <w:rsid w:val="000621C3"/>
    <w:rsid w:val="0006231C"/>
    <w:rsid w:val="00062374"/>
    <w:rsid w:val="0006269F"/>
    <w:rsid w:val="000626D0"/>
    <w:rsid w:val="00062A94"/>
    <w:rsid w:val="00062CC8"/>
    <w:rsid w:val="00062F65"/>
    <w:rsid w:val="00063130"/>
    <w:rsid w:val="00063505"/>
    <w:rsid w:val="00063593"/>
    <w:rsid w:val="0006368E"/>
    <w:rsid w:val="0006386E"/>
    <w:rsid w:val="00063A0E"/>
    <w:rsid w:val="00063AAC"/>
    <w:rsid w:val="00063B63"/>
    <w:rsid w:val="00063D09"/>
    <w:rsid w:val="00063D79"/>
    <w:rsid w:val="00063F9D"/>
    <w:rsid w:val="00064009"/>
    <w:rsid w:val="000640D8"/>
    <w:rsid w:val="000642CC"/>
    <w:rsid w:val="000642E7"/>
    <w:rsid w:val="00064425"/>
    <w:rsid w:val="000644DD"/>
    <w:rsid w:val="000645B8"/>
    <w:rsid w:val="000646AE"/>
    <w:rsid w:val="000647FC"/>
    <w:rsid w:val="00064802"/>
    <w:rsid w:val="000649AC"/>
    <w:rsid w:val="000649DB"/>
    <w:rsid w:val="00064B51"/>
    <w:rsid w:val="00064EFA"/>
    <w:rsid w:val="00065015"/>
    <w:rsid w:val="0006524B"/>
    <w:rsid w:val="00065353"/>
    <w:rsid w:val="00065357"/>
    <w:rsid w:val="00065580"/>
    <w:rsid w:val="00065605"/>
    <w:rsid w:val="0006562C"/>
    <w:rsid w:val="0006567F"/>
    <w:rsid w:val="00065701"/>
    <w:rsid w:val="00065746"/>
    <w:rsid w:val="000658A6"/>
    <w:rsid w:val="000658C0"/>
    <w:rsid w:val="00065922"/>
    <w:rsid w:val="00065952"/>
    <w:rsid w:val="00065CDA"/>
    <w:rsid w:val="00065CDD"/>
    <w:rsid w:val="00065CFD"/>
    <w:rsid w:val="0006616C"/>
    <w:rsid w:val="00066377"/>
    <w:rsid w:val="000665B9"/>
    <w:rsid w:val="000667B9"/>
    <w:rsid w:val="00066991"/>
    <w:rsid w:val="00066A26"/>
    <w:rsid w:val="00066C2D"/>
    <w:rsid w:val="00066C74"/>
    <w:rsid w:val="00066DC4"/>
    <w:rsid w:val="00066FC8"/>
    <w:rsid w:val="0006702C"/>
    <w:rsid w:val="0006709E"/>
    <w:rsid w:val="0006725E"/>
    <w:rsid w:val="000675C4"/>
    <w:rsid w:val="000675D1"/>
    <w:rsid w:val="00067A23"/>
    <w:rsid w:val="00067B56"/>
    <w:rsid w:val="00067CBE"/>
    <w:rsid w:val="00067E5F"/>
    <w:rsid w:val="00067F92"/>
    <w:rsid w:val="00070034"/>
    <w:rsid w:val="0007006C"/>
    <w:rsid w:val="00070114"/>
    <w:rsid w:val="00070522"/>
    <w:rsid w:val="000705FF"/>
    <w:rsid w:val="0007082E"/>
    <w:rsid w:val="000708BA"/>
    <w:rsid w:val="00070984"/>
    <w:rsid w:val="00070DBE"/>
    <w:rsid w:val="0007121D"/>
    <w:rsid w:val="000714A4"/>
    <w:rsid w:val="000715E3"/>
    <w:rsid w:val="00071624"/>
    <w:rsid w:val="00071765"/>
    <w:rsid w:val="00071875"/>
    <w:rsid w:val="00071962"/>
    <w:rsid w:val="00071983"/>
    <w:rsid w:val="00071BA3"/>
    <w:rsid w:val="00071E58"/>
    <w:rsid w:val="00071F2F"/>
    <w:rsid w:val="000721B8"/>
    <w:rsid w:val="0007238D"/>
    <w:rsid w:val="00072746"/>
    <w:rsid w:val="0007279D"/>
    <w:rsid w:val="00072922"/>
    <w:rsid w:val="00072EFA"/>
    <w:rsid w:val="000730CF"/>
    <w:rsid w:val="000732C3"/>
    <w:rsid w:val="00073521"/>
    <w:rsid w:val="000735FC"/>
    <w:rsid w:val="000736D4"/>
    <w:rsid w:val="000737A9"/>
    <w:rsid w:val="0007388E"/>
    <w:rsid w:val="00073BDD"/>
    <w:rsid w:val="000741AA"/>
    <w:rsid w:val="0007426A"/>
    <w:rsid w:val="00074928"/>
    <w:rsid w:val="00074B3D"/>
    <w:rsid w:val="00074BA6"/>
    <w:rsid w:val="00074C75"/>
    <w:rsid w:val="00074D19"/>
    <w:rsid w:val="00074DF8"/>
    <w:rsid w:val="00074E67"/>
    <w:rsid w:val="00074E73"/>
    <w:rsid w:val="00074FDD"/>
    <w:rsid w:val="000750A1"/>
    <w:rsid w:val="000751F9"/>
    <w:rsid w:val="00075468"/>
    <w:rsid w:val="0007553D"/>
    <w:rsid w:val="000756D9"/>
    <w:rsid w:val="00075767"/>
    <w:rsid w:val="00075814"/>
    <w:rsid w:val="00075D05"/>
    <w:rsid w:val="00075F01"/>
    <w:rsid w:val="0007607F"/>
    <w:rsid w:val="0007615C"/>
    <w:rsid w:val="0007654F"/>
    <w:rsid w:val="000765A8"/>
    <w:rsid w:val="00076A84"/>
    <w:rsid w:val="00076B6F"/>
    <w:rsid w:val="000771AE"/>
    <w:rsid w:val="00077222"/>
    <w:rsid w:val="00077258"/>
    <w:rsid w:val="000772E3"/>
    <w:rsid w:val="000775DE"/>
    <w:rsid w:val="0007772B"/>
    <w:rsid w:val="000777D7"/>
    <w:rsid w:val="0007793C"/>
    <w:rsid w:val="00077A87"/>
    <w:rsid w:val="00077AF3"/>
    <w:rsid w:val="00077C0F"/>
    <w:rsid w:val="00077D0F"/>
    <w:rsid w:val="00077D51"/>
    <w:rsid w:val="00077E0D"/>
    <w:rsid w:val="00077E3A"/>
    <w:rsid w:val="00080049"/>
    <w:rsid w:val="000800EE"/>
    <w:rsid w:val="0008042F"/>
    <w:rsid w:val="000807D9"/>
    <w:rsid w:val="000808D7"/>
    <w:rsid w:val="000808E8"/>
    <w:rsid w:val="00080950"/>
    <w:rsid w:val="0008098D"/>
    <w:rsid w:val="000809AA"/>
    <w:rsid w:val="000809E9"/>
    <w:rsid w:val="00080BB1"/>
    <w:rsid w:val="00080F1E"/>
    <w:rsid w:val="00080F20"/>
    <w:rsid w:val="00080F34"/>
    <w:rsid w:val="00080F5B"/>
    <w:rsid w:val="00080FFD"/>
    <w:rsid w:val="00081402"/>
    <w:rsid w:val="00081403"/>
    <w:rsid w:val="0008154A"/>
    <w:rsid w:val="000815C3"/>
    <w:rsid w:val="000818D5"/>
    <w:rsid w:val="00081BA1"/>
    <w:rsid w:val="00081BB2"/>
    <w:rsid w:val="00081FFF"/>
    <w:rsid w:val="000820BC"/>
    <w:rsid w:val="0008210E"/>
    <w:rsid w:val="000822BE"/>
    <w:rsid w:val="00082325"/>
    <w:rsid w:val="000825D0"/>
    <w:rsid w:val="0008299F"/>
    <w:rsid w:val="00082A6D"/>
    <w:rsid w:val="00082D4C"/>
    <w:rsid w:val="00082DA8"/>
    <w:rsid w:val="00082DD1"/>
    <w:rsid w:val="00082E0A"/>
    <w:rsid w:val="00082E4D"/>
    <w:rsid w:val="00082EFE"/>
    <w:rsid w:val="00082F54"/>
    <w:rsid w:val="00083075"/>
    <w:rsid w:val="000831FD"/>
    <w:rsid w:val="00083358"/>
    <w:rsid w:val="00083669"/>
    <w:rsid w:val="000838B5"/>
    <w:rsid w:val="0008390D"/>
    <w:rsid w:val="00083E08"/>
    <w:rsid w:val="00083EEA"/>
    <w:rsid w:val="000841C6"/>
    <w:rsid w:val="0008435B"/>
    <w:rsid w:val="000843A2"/>
    <w:rsid w:val="000845D6"/>
    <w:rsid w:val="00084640"/>
    <w:rsid w:val="00084671"/>
    <w:rsid w:val="00084680"/>
    <w:rsid w:val="000846E2"/>
    <w:rsid w:val="000847C8"/>
    <w:rsid w:val="00084A9D"/>
    <w:rsid w:val="00084BAD"/>
    <w:rsid w:val="00084BFD"/>
    <w:rsid w:val="00085122"/>
    <w:rsid w:val="000852AC"/>
    <w:rsid w:val="0008540D"/>
    <w:rsid w:val="00085844"/>
    <w:rsid w:val="00085875"/>
    <w:rsid w:val="000858E9"/>
    <w:rsid w:val="00085901"/>
    <w:rsid w:val="00085D02"/>
    <w:rsid w:val="00085D14"/>
    <w:rsid w:val="00085F2B"/>
    <w:rsid w:val="0008629B"/>
    <w:rsid w:val="000862B2"/>
    <w:rsid w:val="000863AA"/>
    <w:rsid w:val="000868E4"/>
    <w:rsid w:val="00086936"/>
    <w:rsid w:val="000871EA"/>
    <w:rsid w:val="00087783"/>
    <w:rsid w:val="00087AA3"/>
    <w:rsid w:val="00087B2C"/>
    <w:rsid w:val="00087C07"/>
    <w:rsid w:val="00087C3E"/>
    <w:rsid w:val="00087CEB"/>
    <w:rsid w:val="00087D4C"/>
    <w:rsid w:val="00087ED6"/>
    <w:rsid w:val="00087FAF"/>
    <w:rsid w:val="00090016"/>
    <w:rsid w:val="000900C1"/>
    <w:rsid w:val="00090313"/>
    <w:rsid w:val="00090324"/>
    <w:rsid w:val="00090724"/>
    <w:rsid w:val="00090861"/>
    <w:rsid w:val="00090904"/>
    <w:rsid w:val="00090972"/>
    <w:rsid w:val="0009098B"/>
    <w:rsid w:val="00090B20"/>
    <w:rsid w:val="00090B3C"/>
    <w:rsid w:val="00090BD1"/>
    <w:rsid w:val="00090C2C"/>
    <w:rsid w:val="00090F74"/>
    <w:rsid w:val="00090F8C"/>
    <w:rsid w:val="000911E3"/>
    <w:rsid w:val="000913BE"/>
    <w:rsid w:val="00091420"/>
    <w:rsid w:val="000916EE"/>
    <w:rsid w:val="00091887"/>
    <w:rsid w:val="0009193F"/>
    <w:rsid w:val="00091AC2"/>
    <w:rsid w:val="00091B80"/>
    <w:rsid w:val="00091DC1"/>
    <w:rsid w:val="00091ED2"/>
    <w:rsid w:val="00091FF2"/>
    <w:rsid w:val="000921AF"/>
    <w:rsid w:val="0009264D"/>
    <w:rsid w:val="00092839"/>
    <w:rsid w:val="0009285A"/>
    <w:rsid w:val="00092B77"/>
    <w:rsid w:val="00092D3C"/>
    <w:rsid w:val="00092DC5"/>
    <w:rsid w:val="00092DCF"/>
    <w:rsid w:val="00092E56"/>
    <w:rsid w:val="00092EF7"/>
    <w:rsid w:val="00092F09"/>
    <w:rsid w:val="000931E3"/>
    <w:rsid w:val="000931F3"/>
    <w:rsid w:val="00093530"/>
    <w:rsid w:val="00093662"/>
    <w:rsid w:val="000939C8"/>
    <w:rsid w:val="00093E40"/>
    <w:rsid w:val="000940CB"/>
    <w:rsid w:val="00094221"/>
    <w:rsid w:val="00094381"/>
    <w:rsid w:val="000944B9"/>
    <w:rsid w:val="0009451C"/>
    <w:rsid w:val="00094657"/>
    <w:rsid w:val="0009468F"/>
    <w:rsid w:val="0009493D"/>
    <w:rsid w:val="00094AA8"/>
    <w:rsid w:val="00094B61"/>
    <w:rsid w:val="00094BC2"/>
    <w:rsid w:val="00094C3D"/>
    <w:rsid w:val="00095165"/>
    <w:rsid w:val="00095269"/>
    <w:rsid w:val="000952A2"/>
    <w:rsid w:val="000952BA"/>
    <w:rsid w:val="0009566F"/>
    <w:rsid w:val="00095987"/>
    <w:rsid w:val="000959B6"/>
    <w:rsid w:val="00095A03"/>
    <w:rsid w:val="00095A9E"/>
    <w:rsid w:val="00095B43"/>
    <w:rsid w:val="00095C65"/>
    <w:rsid w:val="00095F18"/>
    <w:rsid w:val="000960D5"/>
    <w:rsid w:val="00096146"/>
    <w:rsid w:val="00096172"/>
    <w:rsid w:val="000961A0"/>
    <w:rsid w:val="00096778"/>
    <w:rsid w:val="0009680A"/>
    <w:rsid w:val="00096871"/>
    <w:rsid w:val="0009689B"/>
    <w:rsid w:val="000968BD"/>
    <w:rsid w:val="000968CC"/>
    <w:rsid w:val="000969EA"/>
    <w:rsid w:val="00096AF8"/>
    <w:rsid w:val="00096BAB"/>
    <w:rsid w:val="00096E8A"/>
    <w:rsid w:val="000972F5"/>
    <w:rsid w:val="00097374"/>
    <w:rsid w:val="00097598"/>
    <w:rsid w:val="0009774C"/>
    <w:rsid w:val="00097791"/>
    <w:rsid w:val="000978F0"/>
    <w:rsid w:val="00097934"/>
    <w:rsid w:val="000979FB"/>
    <w:rsid w:val="00097C17"/>
    <w:rsid w:val="00097D45"/>
    <w:rsid w:val="00097EBF"/>
    <w:rsid w:val="000A002B"/>
    <w:rsid w:val="000A03D7"/>
    <w:rsid w:val="000A0403"/>
    <w:rsid w:val="000A04ED"/>
    <w:rsid w:val="000A063B"/>
    <w:rsid w:val="000A0838"/>
    <w:rsid w:val="000A0E2E"/>
    <w:rsid w:val="000A0F1B"/>
    <w:rsid w:val="000A15EE"/>
    <w:rsid w:val="000A179C"/>
    <w:rsid w:val="000A17F5"/>
    <w:rsid w:val="000A182C"/>
    <w:rsid w:val="000A1A3B"/>
    <w:rsid w:val="000A1AED"/>
    <w:rsid w:val="000A1C15"/>
    <w:rsid w:val="000A20C5"/>
    <w:rsid w:val="000A2258"/>
    <w:rsid w:val="000A2309"/>
    <w:rsid w:val="000A26F2"/>
    <w:rsid w:val="000A29CF"/>
    <w:rsid w:val="000A29D4"/>
    <w:rsid w:val="000A2A6E"/>
    <w:rsid w:val="000A2AD3"/>
    <w:rsid w:val="000A2B00"/>
    <w:rsid w:val="000A2BE6"/>
    <w:rsid w:val="000A2D0A"/>
    <w:rsid w:val="000A2DE4"/>
    <w:rsid w:val="000A2EDC"/>
    <w:rsid w:val="000A30D0"/>
    <w:rsid w:val="000A3228"/>
    <w:rsid w:val="000A3675"/>
    <w:rsid w:val="000A36B3"/>
    <w:rsid w:val="000A3B15"/>
    <w:rsid w:val="000A3B41"/>
    <w:rsid w:val="000A3D0C"/>
    <w:rsid w:val="000A3E2C"/>
    <w:rsid w:val="000A3F94"/>
    <w:rsid w:val="000A3FA6"/>
    <w:rsid w:val="000A425A"/>
    <w:rsid w:val="000A4291"/>
    <w:rsid w:val="000A4521"/>
    <w:rsid w:val="000A457B"/>
    <w:rsid w:val="000A47BE"/>
    <w:rsid w:val="000A48C3"/>
    <w:rsid w:val="000A4AB1"/>
    <w:rsid w:val="000A4B27"/>
    <w:rsid w:val="000A4C81"/>
    <w:rsid w:val="000A4D26"/>
    <w:rsid w:val="000A4F00"/>
    <w:rsid w:val="000A509C"/>
    <w:rsid w:val="000A50A6"/>
    <w:rsid w:val="000A5240"/>
    <w:rsid w:val="000A52F9"/>
    <w:rsid w:val="000A553B"/>
    <w:rsid w:val="000A567B"/>
    <w:rsid w:val="000A58F1"/>
    <w:rsid w:val="000A591F"/>
    <w:rsid w:val="000A5ABA"/>
    <w:rsid w:val="000A5BF5"/>
    <w:rsid w:val="000A5D99"/>
    <w:rsid w:val="000A5FAA"/>
    <w:rsid w:val="000A61BA"/>
    <w:rsid w:val="000A6406"/>
    <w:rsid w:val="000A6424"/>
    <w:rsid w:val="000A6429"/>
    <w:rsid w:val="000A64C9"/>
    <w:rsid w:val="000A673D"/>
    <w:rsid w:val="000A6AC6"/>
    <w:rsid w:val="000A6BD9"/>
    <w:rsid w:val="000A6C12"/>
    <w:rsid w:val="000A6F0D"/>
    <w:rsid w:val="000A728B"/>
    <w:rsid w:val="000A782A"/>
    <w:rsid w:val="000A78EE"/>
    <w:rsid w:val="000A7A4E"/>
    <w:rsid w:val="000A7A96"/>
    <w:rsid w:val="000A7E72"/>
    <w:rsid w:val="000A7FAB"/>
    <w:rsid w:val="000B0274"/>
    <w:rsid w:val="000B093F"/>
    <w:rsid w:val="000B0A87"/>
    <w:rsid w:val="000B0B72"/>
    <w:rsid w:val="000B0D9F"/>
    <w:rsid w:val="000B0DB2"/>
    <w:rsid w:val="000B109A"/>
    <w:rsid w:val="000B129F"/>
    <w:rsid w:val="000B1300"/>
    <w:rsid w:val="000B145C"/>
    <w:rsid w:val="000B14EF"/>
    <w:rsid w:val="000B15D8"/>
    <w:rsid w:val="000B1645"/>
    <w:rsid w:val="000B176F"/>
    <w:rsid w:val="000B1AAB"/>
    <w:rsid w:val="000B1D08"/>
    <w:rsid w:val="000B1D2E"/>
    <w:rsid w:val="000B2181"/>
    <w:rsid w:val="000B2224"/>
    <w:rsid w:val="000B24D9"/>
    <w:rsid w:val="000B263B"/>
    <w:rsid w:val="000B299A"/>
    <w:rsid w:val="000B29A7"/>
    <w:rsid w:val="000B2A4A"/>
    <w:rsid w:val="000B2AF5"/>
    <w:rsid w:val="000B2BFA"/>
    <w:rsid w:val="000B2C4F"/>
    <w:rsid w:val="000B2F42"/>
    <w:rsid w:val="000B302A"/>
    <w:rsid w:val="000B341E"/>
    <w:rsid w:val="000B34D0"/>
    <w:rsid w:val="000B3CB2"/>
    <w:rsid w:val="000B3E95"/>
    <w:rsid w:val="000B41B1"/>
    <w:rsid w:val="000B41BE"/>
    <w:rsid w:val="000B439A"/>
    <w:rsid w:val="000B44E6"/>
    <w:rsid w:val="000B4614"/>
    <w:rsid w:val="000B461B"/>
    <w:rsid w:val="000B479B"/>
    <w:rsid w:val="000B4ADC"/>
    <w:rsid w:val="000B4AF0"/>
    <w:rsid w:val="000B4B2A"/>
    <w:rsid w:val="000B4BEB"/>
    <w:rsid w:val="000B4C22"/>
    <w:rsid w:val="000B4E54"/>
    <w:rsid w:val="000B4ECB"/>
    <w:rsid w:val="000B4EEB"/>
    <w:rsid w:val="000B4FC8"/>
    <w:rsid w:val="000B516C"/>
    <w:rsid w:val="000B5291"/>
    <w:rsid w:val="000B5335"/>
    <w:rsid w:val="000B5510"/>
    <w:rsid w:val="000B5565"/>
    <w:rsid w:val="000B5D2B"/>
    <w:rsid w:val="000B5FA0"/>
    <w:rsid w:val="000B6255"/>
    <w:rsid w:val="000B647C"/>
    <w:rsid w:val="000B6891"/>
    <w:rsid w:val="000B693F"/>
    <w:rsid w:val="000B6BCA"/>
    <w:rsid w:val="000B6D16"/>
    <w:rsid w:val="000B6D38"/>
    <w:rsid w:val="000B6DB0"/>
    <w:rsid w:val="000B6DBC"/>
    <w:rsid w:val="000B6EF9"/>
    <w:rsid w:val="000B73AC"/>
    <w:rsid w:val="000B73F8"/>
    <w:rsid w:val="000B7659"/>
    <w:rsid w:val="000B77E9"/>
    <w:rsid w:val="000B7855"/>
    <w:rsid w:val="000B79A5"/>
    <w:rsid w:val="000B7B57"/>
    <w:rsid w:val="000B7C17"/>
    <w:rsid w:val="000B7D83"/>
    <w:rsid w:val="000B7FE7"/>
    <w:rsid w:val="000B7FEE"/>
    <w:rsid w:val="000C003C"/>
    <w:rsid w:val="000C0074"/>
    <w:rsid w:val="000C00CB"/>
    <w:rsid w:val="000C027D"/>
    <w:rsid w:val="000C0298"/>
    <w:rsid w:val="000C02B7"/>
    <w:rsid w:val="000C034C"/>
    <w:rsid w:val="000C047B"/>
    <w:rsid w:val="000C091D"/>
    <w:rsid w:val="000C0C70"/>
    <w:rsid w:val="000C0D75"/>
    <w:rsid w:val="000C0EF1"/>
    <w:rsid w:val="000C118E"/>
    <w:rsid w:val="000C1270"/>
    <w:rsid w:val="000C161D"/>
    <w:rsid w:val="000C17DF"/>
    <w:rsid w:val="000C1A07"/>
    <w:rsid w:val="000C1B9C"/>
    <w:rsid w:val="000C1C5F"/>
    <w:rsid w:val="000C1C71"/>
    <w:rsid w:val="000C1CC5"/>
    <w:rsid w:val="000C1DC8"/>
    <w:rsid w:val="000C1DF2"/>
    <w:rsid w:val="000C229A"/>
    <w:rsid w:val="000C22AD"/>
    <w:rsid w:val="000C22CE"/>
    <w:rsid w:val="000C22EA"/>
    <w:rsid w:val="000C2538"/>
    <w:rsid w:val="000C26CA"/>
    <w:rsid w:val="000C26E0"/>
    <w:rsid w:val="000C279B"/>
    <w:rsid w:val="000C27EB"/>
    <w:rsid w:val="000C2871"/>
    <w:rsid w:val="000C3147"/>
    <w:rsid w:val="000C31D9"/>
    <w:rsid w:val="000C3215"/>
    <w:rsid w:val="000C338F"/>
    <w:rsid w:val="000C33B4"/>
    <w:rsid w:val="000C3554"/>
    <w:rsid w:val="000C371F"/>
    <w:rsid w:val="000C3745"/>
    <w:rsid w:val="000C3872"/>
    <w:rsid w:val="000C39B7"/>
    <w:rsid w:val="000C3A56"/>
    <w:rsid w:val="000C3DB6"/>
    <w:rsid w:val="000C3EED"/>
    <w:rsid w:val="000C3FCC"/>
    <w:rsid w:val="000C418C"/>
    <w:rsid w:val="000C4219"/>
    <w:rsid w:val="000C428F"/>
    <w:rsid w:val="000C4367"/>
    <w:rsid w:val="000C43F6"/>
    <w:rsid w:val="000C442F"/>
    <w:rsid w:val="000C4644"/>
    <w:rsid w:val="000C4707"/>
    <w:rsid w:val="000C478D"/>
    <w:rsid w:val="000C486D"/>
    <w:rsid w:val="000C4906"/>
    <w:rsid w:val="000C49F1"/>
    <w:rsid w:val="000C4B4E"/>
    <w:rsid w:val="000C4C66"/>
    <w:rsid w:val="000C4DA2"/>
    <w:rsid w:val="000C4F35"/>
    <w:rsid w:val="000C4FE8"/>
    <w:rsid w:val="000C5106"/>
    <w:rsid w:val="000C541F"/>
    <w:rsid w:val="000C56C8"/>
    <w:rsid w:val="000C571D"/>
    <w:rsid w:val="000C599A"/>
    <w:rsid w:val="000C59D7"/>
    <w:rsid w:val="000C5DA4"/>
    <w:rsid w:val="000C5E4A"/>
    <w:rsid w:val="000C5F0A"/>
    <w:rsid w:val="000C5F40"/>
    <w:rsid w:val="000C601B"/>
    <w:rsid w:val="000C6248"/>
    <w:rsid w:val="000C6413"/>
    <w:rsid w:val="000C641B"/>
    <w:rsid w:val="000C6582"/>
    <w:rsid w:val="000C65D2"/>
    <w:rsid w:val="000C69B5"/>
    <w:rsid w:val="000C6A30"/>
    <w:rsid w:val="000C6A5A"/>
    <w:rsid w:val="000C6CFB"/>
    <w:rsid w:val="000C6D04"/>
    <w:rsid w:val="000C7153"/>
    <w:rsid w:val="000C726A"/>
    <w:rsid w:val="000C72F2"/>
    <w:rsid w:val="000C73B6"/>
    <w:rsid w:val="000C7754"/>
    <w:rsid w:val="000C7827"/>
    <w:rsid w:val="000C78CA"/>
    <w:rsid w:val="000C7A27"/>
    <w:rsid w:val="000C7A80"/>
    <w:rsid w:val="000C7C4B"/>
    <w:rsid w:val="000C7D68"/>
    <w:rsid w:val="000C7EDC"/>
    <w:rsid w:val="000C7F6B"/>
    <w:rsid w:val="000D0035"/>
    <w:rsid w:val="000D01C1"/>
    <w:rsid w:val="000D02E7"/>
    <w:rsid w:val="000D0507"/>
    <w:rsid w:val="000D06F3"/>
    <w:rsid w:val="000D08D0"/>
    <w:rsid w:val="000D0A77"/>
    <w:rsid w:val="000D0B99"/>
    <w:rsid w:val="000D0DFA"/>
    <w:rsid w:val="000D0E45"/>
    <w:rsid w:val="000D13E9"/>
    <w:rsid w:val="000D1607"/>
    <w:rsid w:val="000D16BF"/>
    <w:rsid w:val="000D1AD9"/>
    <w:rsid w:val="000D1ECE"/>
    <w:rsid w:val="000D1F80"/>
    <w:rsid w:val="000D1FB8"/>
    <w:rsid w:val="000D20EE"/>
    <w:rsid w:val="000D221B"/>
    <w:rsid w:val="000D240E"/>
    <w:rsid w:val="000D2686"/>
    <w:rsid w:val="000D294E"/>
    <w:rsid w:val="000D2B06"/>
    <w:rsid w:val="000D2E1C"/>
    <w:rsid w:val="000D2F53"/>
    <w:rsid w:val="000D305A"/>
    <w:rsid w:val="000D30D6"/>
    <w:rsid w:val="000D3164"/>
    <w:rsid w:val="000D3216"/>
    <w:rsid w:val="000D342B"/>
    <w:rsid w:val="000D3474"/>
    <w:rsid w:val="000D368F"/>
    <w:rsid w:val="000D3B5F"/>
    <w:rsid w:val="000D3BF1"/>
    <w:rsid w:val="000D3C35"/>
    <w:rsid w:val="000D4374"/>
    <w:rsid w:val="000D465A"/>
    <w:rsid w:val="000D4748"/>
    <w:rsid w:val="000D48EA"/>
    <w:rsid w:val="000D4A36"/>
    <w:rsid w:val="000D4DD5"/>
    <w:rsid w:val="000D4DF7"/>
    <w:rsid w:val="000D5391"/>
    <w:rsid w:val="000D593A"/>
    <w:rsid w:val="000D594E"/>
    <w:rsid w:val="000D5A7E"/>
    <w:rsid w:val="000D6223"/>
    <w:rsid w:val="000D62BD"/>
    <w:rsid w:val="000D62BE"/>
    <w:rsid w:val="000D62F4"/>
    <w:rsid w:val="000D62FF"/>
    <w:rsid w:val="000D631D"/>
    <w:rsid w:val="000D6404"/>
    <w:rsid w:val="000D692F"/>
    <w:rsid w:val="000D6989"/>
    <w:rsid w:val="000D6B80"/>
    <w:rsid w:val="000D6DCE"/>
    <w:rsid w:val="000D6FBB"/>
    <w:rsid w:val="000D7243"/>
    <w:rsid w:val="000D7376"/>
    <w:rsid w:val="000D7402"/>
    <w:rsid w:val="000D76E3"/>
    <w:rsid w:val="000D7D0D"/>
    <w:rsid w:val="000D7D11"/>
    <w:rsid w:val="000D7F43"/>
    <w:rsid w:val="000D7FB1"/>
    <w:rsid w:val="000D7FC5"/>
    <w:rsid w:val="000E00EA"/>
    <w:rsid w:val="000E00EB"/>
    <w:rsid w:val="000E023A"/>
    <w:rsid w:val="000E06DE"/>
    <w:rsid w:val="000E073B"/>
    <w:rsid w:val="000E0823"/>
    <w:rsid w:val="000E08F9"/>
    <w:rsid w:val="000E0B0A"/>
    <w:rsid w:val="000E0B68"/>
    <w:rsid w:val="000E0B74"/>
    <w:rsid w:val="000E0B80"/>
    <w:rsid w:val="000E0F11"/>
    <w:rsid w:val="000E0F68"/>
    <w:rsid w:val="000E13CE"/>
    <w:rsid w:val="000E146E"/>
    <w:rsid w:val="000E162F"/>
    <w:rsid w:val="000E178A"/>
    <w:rsid w:val="000E19CB"/>
    <w:rsid w:val="000E1ADB"/>
    <w:rsid w:val="000E1C4D"/>
    <w:rsid w:val="000E2011"/>
    <w:rsid w:val="000E212B"/>
    <w:rsid w:val="000E246B"/>
    <w:rsid w:val="000E26CA"/>
    <w:rsid w:val="000E278C"/>
    <w:rsid w:val="000E27F6"/>
    <w:rsid w:val="000E29C6"/>
    <w:rsid w:val="000E2B26"/>
    <w:rsid w:val="000E2B63"/>
    <w:rsid w:val="000E2E39"/>
    <w:rsid w:val="000E33EA"/>
    <w:rsid w:val="000E3615"/>
    <w:rsid w:val="000E362D"/>
    <w:rsid w:val="000E4400"/>
    <w:rsid w:val="000E444E"/>
    <w:rsid w:val="000E466D"/>
    <w:rsid w:val="000E46BE"/>
    <w:rsid w:val="000E478F"/>
    <w:rsid w:val="000E4AE4"/>
    <w:rsid w:val="000E4B6F"/>
    <w:rsid w:val="000E4B8F"/>
    <w:rsid w:val="000E4BD0"/>
    <w:rsid w:val="000E4CD6"/>
    <w:rsid w:val="000E4CDA"/>
    <w:rsid w:val="000E4FF4"/>
    <w:rsid w:val="000E5048"/>
    <w:rsid w:val="000E510C"/>
    <w:rsid w:val="000E5143"/>
    <w:rsid w:val="000E5468"/>
    <w:rsid w:val="000E5471"/>
    <w:rsid w:val="000E59FC"/>
    <w:rsid w:val="000E5A07"/>
    <w:rsid w:val="000E5EE7"/>
    <w:rsid w:val="000E5FBA"/>
    <w:rsid w:val="000E61F2"/>
    <w:rsid w:val="000E661A"/>
    <w:rsid w:val="000E6730"/>
    <w:rsid w:val="000E6BD5"/>
    <w:rsid w:val="000E6C9D"/>
    <w:rsid w:val="000E6D67"/>
    <w:rsid w:val="000E6E67"/>
    <w:rsid w:val="000E707B"/>
    <w:rsid w:val="000E70CF"/>
    <w:rsid w:val="000E7170"/>
    <w:rsid w:val="000E727D"/>
    <w:rsid w:val="000E7284"/>
    <w:rsid w:val="000E7300"/>
    <w:rsid w:val="000E740A"/>
    <w:rsid w:val="000E771C"/>
    <w:rsid w:val="000E7901"/>
    <w:rsid w:val="000E7959"/>
    <w:rsid w:val="000E7B50"/>
    <w:rsid w:val="000E7C45"/>
    <w:rsid w:val="000E7D78"/>
    <w:rsid w:val="000E7E07"/>
    <w:rsid w:val="000F029B"/>
    <w:rsid w:val="000F03A3"/>
    <w:rsid w:val="000F05D3"/>
    <w:rsid w:val="000F0BDD"/>
    <w:rsid w:val="000F0EEC"/>
    <w:rsid w:val="000F1013"/>
    <w:rsid w:val="000F103B"/>
    <w:rsid w:val="000F14A9"/>
    <w:rsid w:val="000F183F"/>
    <w:rsid w:val="000F19AB"/>
    <w:rsid w:val="000F19DE"/>
    <w:rsid w:val="000F1DCD"/>
    <w:rsid w:val="000F1F7C"/>
    <w:rsid w:val="000F206C"/>
    <w:rsid w:val="000F2336"/>
    <w:rsid w:val="000F24E1"/>
    <w:rsid w:val="000F2616"/>
    <w:rsid w:val="000F2B40"/>
    <w:rsid w:val="000F2C57"/>
    <w:rsid w:val="000F2C65"/>
    <w:rsid w:val="000F2FF4"/>
    <w:rsid w:val="000F3198"/>
    <w:rsid w:val="000F3204"/>
    <w:rsid w:val="000F32A2"/>
    <w:rsid w:val="000F3444"/>
    <w:rsid w:val="000F35B4"/>
    <w:rsid w:val="000F375C"/>
    <w:rsid w:val="000F389D"/>
    <w:rsid w:val="000F3B00"/>
    <w:rsid w:val="000F3FD0"/>
    <w:rsid w:val="000F44A8"/>
    <w:rsid w:val="000F47F2"/>
    <w:rsid w:val="000F4A5E"/>
    <w:rsid w:val="000F4A6C"/>
    <w:rsid w:val="000F4B62"/>
    <w:rsid w:val="000F4BAD"/>
    <w:rsid w:val="000F4CBD"/>
    <w:rsid w:val="000F4D1C"/>
    <w:rsid w:val="000F4D7D"/>
    <w:rsid w:val="000F4EA1"/>
    <w:rsid w:val="000F510C"/>
    <w:rsid w:val="000F5218"/>
    <w:rsid w:val="000F53D9"/>
    <w:rsid w:val="000F56B7"/>
    <w:rsid w:val="000F574E"/>
    <w:rsid w:val="000F576B"/>
    <w:rsid w:val="000F579E"/>
    <w:rsid w:val="000F58E9"/>
    <w:rsid w:val="000F594A"/>
    <w:rsid w:val="000F5B33"/>
    <w:rsid w:val="000F5D75"/>
    <w:rsid w:val="000F5E20"/>
    <w:rsid w:val="000F5F1B"/>
    <w:rsid w:val="000F5F83"/>
    <w:rsid w:val="000F6052"/>
    <w:rsid w:val="000F6115"/>
    <w:rsid w:val="000F61C9"/>
    <w:rsid w:val="000F6233"/>
    <w:rsid w:val="000F635B"/>
    <w:rsid w:val="000F63A4"/>
    <w:rsid w:val="000F63BC"/>
    <w:rsid w:val="000F65C6"/>
    <w:rsid w:val="000F65CE"/>
    <w:rsid w:val="000F69AF"/>
    <w:rsid w:val="000F6BA5"/>
    <w:rsid w:val="000F6C16"/>
    <w:rsid w:val="000F6C32"/>
    <w:rsid w:val="000F6C39"/>
    <w:rsid w:val="000F6EA2"/>
    <w:rsid w:val="000F7030"/>
    <w:rsid w:val="000F71B7"/>
    <w:rsid w:val="000F73DB"/>
    <w:rsid w:val="000F742B"/>
    <w:rsid w:val="000F798D"/>
    <w:rsid w:val="000F7BF0"/>
    <w:rsid w:val="000F7C48"/>
    <w:rsid w:val="000F7C84"/>
    <w:rsid w:val="000F7D89"/>
    <w:rsid w:val="0010015D"/>
    <w:rsid w:val="00100199"/>
    <w:rsid w:val="001002DD"/>
    <w:rsid w:val="00100481"/>
    <w:rsid w:val="0010058A"/>
    <w:rsid w:val="001005E0"/>
    <w:rsid w:val="00100615"/>
    <w:rsid w:val="0010066B"/>
    <w:rsid w:val="00100891"/>
    <w:rsid w:val="00100A22"/>
    <w:rsid w:val="00100A66"/>
    <w:rsid w:val="00100BC4"/>
    <w:rsid w:val="00100C26"/>
    <w:rsid w:val="00100F87"/>
    <w:rsid w:val="00101060"/>
    <w:rsid w:val="001010D2"/>
    <w:rsid w:val="001011E0"/>
    <w:rsid w:val="0010135D"/>
    <w:rsid w:val="001014B7"/>
    <w:rsid w:val="001016A5"/>
    <w:rsid w:val="0010181C"/>
    <w:rsid w:val="00101A47"/>
    <w:rsid w:val="00101BAF"/>
    <w:rsid w:val="00101BCB"/>
    <w:rsid w:val="00101BDE"/>
    <w:rsid w:val="00101C02"/>
    <w:rsid w:val="00101CD5"/>
    <w:rsid w:val="00101CD7"/>
    <w:rsid w:val="0010234A"/>
    <w:rsid w:val="00102381"/>
    <w:rsid w:val="00102532"/>
    <w:rsid w:val="00102533"/>
    <w:rsid w:val="00102574"/>
    <w:rsid w:val="00102764"/>
    <w:rsid w:val="00102774"/>
    <w:rsid w:val="001027CB"/>
    <w:rsid w:val="00102996"/>
    <w:rsid w:val="00102A90"/>
    <w:rsid w:val="00102B3A"/>
    <w:rsid w:val="00102DC1"/>
    <w:rsid w:val="00102ED3"/>
    <w:rsid w:val="00102F06"/>
    <w:rsid w:val="00102FB1"/>
    <w:rsid w:val="00102FE8"/>
    <w:rsid w:val="001030EF"/>
    <w:rsid w:val="00103111"/>
    <w:rsid w:val="00103190"/>
    <w:rsid w:val="0010329A"/>
    <w:rsid w:val="001033A1"/>
    <w:rsid w:val="00103532"/>
    <w:rsid w:val="0010353E"/>
    <w:rsid w:val="00103582"/>
    <w:rsid w:val="00103764"/>
    <w:rsid w:val="00103799"/>
    <w:rsid w:val="0010392C"/>
    <w:rsid w:val="00103959"/>
    <w:rsid w:val="00104174"/>
    <w:rsid w:val="001041B6"/>
    <w:rsid w:val="001042D7"/>
    <w:rsid w:val="0010439D"/>
    <w:rsid w:val="00104463"/>
    <w:rsid w:val="001044C6"/>
    <w:rsid w:val="001045AE"/>
    <w:rsid w:val="0010461B"/>
    <w:rsid w:val="00104888"/>
    <w:rsid w:val="00104975"/>
    <w:rsid w:val="00104A00"/>
    <w:rsid w:val="00104AA0"/>
    <w:rsid w:val="00104B72"/>
    <w:rsid w:val="00104FE7"/>
    <w:rsid w:val="00105011"/>
    <w:rsid w:val="00105242"/>
    <w:rsid w:val="001057B8"/>
    <w:rsid w:val="0010585A"/>
    <w:rsid w:val="0010589A"/>
    <w:rsid w:val="001058C9"/>
    <w:rsid w:val="001059DA"/>
    <w:rsid w:val="00105A9B"/>
    <w:rsid w:val="00105F95"/>
    <w:rsid w:val="00105FE3"/>
    <w:rsid w:val="001060BB"/>
    <w:rsid w:val="00106151"/>
    <w:rsid w:val="00106326"/>
    <w:rsid w:val="00106415"/>
    <w:rsid w:val="001066BF"/>
    <w:rsid w:val="00106748"/>
    <w:rsid w:val="001067D5"/>
    <w:rsid w:val="001069B0"/>
    <w:rsid w:val="00106A85"/>
    <w:rsid w:val="00106CA5"/>
    <w:rsid w:val="00106DB0"/>
    <w:rsid w:val="00106E31"/>
    <w:rsid w:val="00106E6F"/>
    <w:rsid w:val="00106F77"/>
    <w:rsid w:val="001071F0"/>
    <w:rsid w:val="00107299"/>
    <w:rsid w:val="001073FA"/>
    <w:rsid w:val="00107494"/>
    <w:rsid w:val="00107601"/>
    <w:rsid w:val="00107644"/>
    <w:rsid w:val="00107699"/>
    <w:rsid w:val="00107754"/>
    <w:rsid w:val="00107821"/>
    <w:rsid w:val="001078F7"/>
    <w:rsid w:val="00107F34"/>
    <w:rsid w:val="0011001C"/>
    <w:rsid w:val="001100A5"/>
    <w:rsid w:val="00110113"/>
    <w:rsid w:val="001101C6"/>
    <w:rsid w:val="00110322"/>
    <w:rsid w:val="00110568"/>
    <w:rsid w:val="0011066F"/>
    <w:rsid w:val="001106FB"/>
    <w:rsid w:val="001108B0"/>
    <w:rsid w:val="00110A95"/>
    <w:rsid w:val="00110AC0"/>
    <w:rsid w:val="00110AD9"/>
    <w:rsid w:val="00110C30"/>
    <w:rsid w:val="00110C9F"/>
    <w:rsid w:val="00110DBA"/>
    <w:rsid w:val="00111323"/>
    <w:rsid w:val="001113B1"/>
    <w:rsid w:val="001113DA"/>
    <w:rsid w:val="00111720"/>
    <w:rsid w:val="001119AD"/>
    <w:rsid w:val="00111A5E"/>
    <w:rsid w:val="00111CE1"/>
    <w:rsid w:val="00111CEF"/>
    <w:rsid w:val="00111D78"/>
    <w:rsid w:val="00111F1A"/>
    <w:rsid w:val="001120E6"/>
    <w:rsid w:val="00112413"/>
    <w:rsid w:val="00112479"/>
    <w:rsid w:val="00112504"/>
    <w:rsid w:val="0011256F"/>
    <w:rsid w:val="001125A8"/>
    <w:rsid w:val="00112850"/>
    <w:rsid w:val="00112917"/>
    <w:rsid w:val="00112EA0"/>
    <w:rsid w:val="00112EEC"/>
    <w:rsid w:val="001132BE"/>
    <w:rsid w:val="00113475"/>
    <w:rsid w:val="00113575"/>
    <w:rsid w:val="0011378E"/>
    <w:rsid w:val="00113957"/>
    <w:rsid w:val="001139AF"/>
    <w:rsid w:val="00113B03"/>
    <w:rsid w:val="00113B78"/>
    <w:rsid w:val="00113DB0"/>
    <w:rsid w:val="00113DB3"/>
    <w:rsid w:val="00113E22"/>
    <w:rsid w:val="00113FAB"/>
    <w:rsid w:val="0011478D"/>
    <w:rsid w:val="001148D8"/>
    <w:rsid w:val="00114BAC"/>
    <w:rsid w:val="001150D0"/>
    <w:rsid w:val="001151FD"/>
    <w:rsid w:val="00115353"/>
    <w:rsid w:val="00115362"/>
    <w:rsid w:val="00115426"/>
    <w:rsid w:val="00115593"/>
    <w:rsid w:val="001157B0"/>
    <w:rsid w:val="00115AB2"/>
    <w:rsid w:val="00115ECA"/>
    <w:rsid w:val="00115EE7"/>
    <w:rsid w:val="001160C9"/>
    <w:rsid w:val="00116476"/>
    <w:rsid w:val="00116584"/>
    <w:rsid w:val="0011678E"/>
    <w:rsid w:val="00116839"/>
    <w:rsid w:val="001169EE"/>
    <w:rsid w:val="00116A26"/>
    <w:rsid w:val="00116C6E"/>
    <w:rsid w:val="0011719C"/>
    <w:rsid w:val="001173D7"/>
    <w:rsid w:val="00117578"/>
    <w:rsid w:val="00117597"/>
    <w:rsid w:val="00117598"/>
    <w:rsid w:val="001176EF"/>
    <w:rsid w:val="0011783F"/>
    <w:rsid w:val="0011793D"/>
    <w:rsid w:val="00117CB0"/>
    <w:rsid w:val="00117DD2"/>
    <w:rsid w:val="00117E1F"/>
    <w:rsid w:val="00117E7A"/>
    <w:rsid w:val="00117EE2"/>
    <w:rsid w:val="00120178"/>
    <w:rsid w:val="00120241"/>
    <w:rsid w:val="001202AB"/>
    <w:rsid w:val="0012054A"/>
    <w:rsid w:val="00120A2A"/>
    <w:rsid w:val="00120A56"/>
    <w:rsid w:val="00120A67"/>
    <w:rsid w:val="0012152C"/>
    <w:rsid w:val="001216B3"/>
    <w:rsid w:val="0012172B"/>
    <w:rsid w:val="001218F8"/>
    <w:rsid w:val="001219EC"/>
    <w:rsid w:val="00121AA3"/>
    <w:rsid w:val="00121AD0"/>
    <w:rsid w:val="00121E88"/>
    <w:rsid w:val="00122151"/>
    <w:rsid w:val="001224BF"/>
    <w:rsid w:val="00122963"/>
    <w:rsid w:val="00122A17"/>
    <w:rsid w:val="00122BBE"/>
    <w:rsid w:val="00122C1F"/>
    <w:rsid w:val="00122EAB"/>
    <w:rsid w:val="0012343D"/>
    <w:rsid w:val="00123485"/>
    <w:rsid w:val="001237E7"/>
    <w:rsid w:val="0012389F"/>
    <w:rsid w:val="00123AC0"/>
    <w:rsid w:val="00123B5D"/>
    <w:rsid w:val="00123BAC"/>
    <w:rsid w:val="00123CCC"/>
    <w:rsid w:val="00123D48"/>
    <w:rsid w:val="00123DB5"/>
    <w:rsid w:val="00123E88"/>
    <w:rsid w:val="00123EA5"/>
    <w:rsid w:val="0012431B"/>
    <w:rsid w:val="001243F2"/>
    <w:rsid w:val="001245FA"/>
    <w:rsid w:val="0012478A"/>
    <w:rsid w:val="00124880"/>
    <w:rsid w:val="00124CF3"/>
    <w:rsid w:val="0012514F"/>
    <w:rsid w:val="001252AB"/>
    <w:rsid w:val="00125428"/>
    <w:rsid w:val="0012560B"/>
    <w:rsid w:val="001256FC"/>
    <w:rsid w:val="0012573F"/>
    <w:rsid w:val="00125AC9"/>
    <w:rsid w:val="00125CF4"/>
    <w:rsid w:val="00125D4D"/>
    <w:rsid w:val="00125E7C"/>
    <w:rsid w:val="00125F0E"/>
    <w:rsid w:val="00125FAC"/>
    <w:rsid w:val="00125FDD"/>
    <w:rsid w:val="00126116"/>
    <w:rsid w:val="0012627E"/>
    <w:rsid w:val="00126770"/>
    <w:rsid w:val="001269FC"/>
    <w:rsid w:val="00126A87"/>
    <w:rsid w:val="00126C0F"/>
    <w:rsid w:val="00126ED9"/>
    <w:rsid w:val="001276A4"/>
    <w:rsid w:val="001278B9"/>
    <w:rsid w:val="001278CE"/>
    <w:rsid w:val="00127C3C"/>
    <w:rsid w:val="00127F23"/>
    <w:rsid w:val="00130305"/>
    <w:rsid w:val="0013063A"/>
    <w:rsid w:val="001308C8"/>
    <w:rsid w:val="00130970"/>
    <w:rsid w:val="00130CF8"/>
    <w:rsid w:val="00130D6C"/>
    <w:rsid w:val="00130F9F"/>
    <w:rsid w:val="0013103F"/>
    <w:rsid w:val="00131125"/>
    <w:rsid w:val="0013156D"/>
    <w:rsid w:val="001315BF"/>
    <w:rsid w:val="001316BF"/>
    <w:rsid w:val="00131895"/>
    <w:rsid w:val="001318B4"/>
    <w:rsid w:val="00131A3E"/>
    <w:rsid w:val="00131AE9"/>
    <w:rsid w:val="00131B86"/>
    <w:rsid w:val="00131D3B"/>
    <w:rsid w:val="00131D88"/>
    <w:rsid w:val="00131D89"/>
    <w:rsid w:val="00131DC3"/>
    <w:rsid w:val="00131DEA"/>
    <w:rsid w:val="00131E59"/>
    <w:rsid w:val="00131EC6"/>
    <w:rsid w:val="00131F48"/>
    <w:rsid w:val="0013226D"/>
    <w:rsid w:val="00132276"/>
    <w:rsid w:val="0013230B"/>
    <w:rsid w:val="00132989"/>
    <w:rsid w:val="00132A65"/>
    <w:rsid w:val="00132A7C"/>
    <w:rsid w:val="00132B61"/>
    <w:rsid w:val="00132BBF"/>
    <w:rsid w:val="00132EF4"/>
    <w:rsid w:val="00132FB0"/>
    <w:rsid w:val="0013319A"/>
    <w:rsid w:val="001331D4"/>
    <w:rsid w:val="00133367"/>
    <w:rsid w:val="001333C5"/>
    <w:rsid w:val="001333CA"/>
    <w:rsid w:val="00133401"/>
    <w:rsid w:val="00133441"/>
    <w:rsid w:val="00133768"/>
    <w:rsid w:val="00133811"/>
    <w:rsid w:val="00133B3D"/>
    <w:rsid w:val="00133CA0"/>
    <w:rsid w:val="00133DC6"/>
    <w:rsid w:val="00133F34"/>
    <w:rsid w:val="001342D1"/>
    <w:rsid w:val="00134350"/>
    <w:rsid w:val="001344E4"/>
    <w:rsid w:val="0013455D"/>
    <w:rsid w:val="00134668"/>
    <w:rsid w:val="001346D2"/>
    <w:rsid w:val="001347A9"/>
    <w:rsid w:val="00134871"/>
    <w:rsid w:val="00134C54"/>
    <w:rsid w:val="00134CC4"/>
    <w:rsid w:val="001351EE"/>
    <w:rsid w:val="001355B1"/>
    <w:rsid w:val="001355CD"/>
    <w:rsid w:val="00135CF6"/>
    <w:rsid w:val="00135E4C"/>
    <w:rsid w:val="00136065"/>
    <w:rsid w:val="001360DC"/>
    <w:rsid w:val="001361A9"/>
    <w:rsid w:val="0013649D"/>
    <w:rsid w:val="00136B7B"/>
    <w:rsid w:val="00136EEF"/>
    <w:rsid w:val="001370AC"/>
    <w:rsid w:val="001371A4"/>
    <w:rsid w:val="00137253"/>
    <w:rsid w:val="0013739D"/>
    <w:rsid w:val="001373BE"/>
    <w:rsid w:val="001373F5"/>
    <w:rsid w:val="0013742E"/>
    <w:rsid w:val="00137474"/>
    <w:rsid w:val="001376FE"/>
    <w:rsid w:val="0013789D"/>
    <w:rsid w:val="001379C1"/>
    <w:rsid w:val="00137A8D"/>
    <w:rsid w:val="00137C59"/>
    <w:rsid w:val="00137EC4"/>
    <w:rsid w:val="001400D7"/>
    <w:rsid w:val="00140218"/>
    <w:rsid w:val="00140382"/>
    <w:rsid w:val="001406C0"/>
    <w:rsid w:val="0014078F"/>
    <w:rsid w:val="0014083F"/>
    <w:rsid w:val="0014089A"/>
    <w:rsid w:val="00140CF8"/>
    <w:rsid w:val="00140D0D"/>
    <w:rsid w:val="00140D6D"/>
    <w:rsid w:val="00140F2E"/>
    <w:rsid w:val="00141145"/>
    <w:rsid w:val="00141377"/>
    <w:rsid w:val="0014143A"/>
    <w:rsid w:val="0014151B"/>
    <w:rsid w:val="00141570"/>
    <w:rsid w:val="001415C3"/>
    <w:rsid w:val="001415D4"/>
    <w:rsid w:val="0014176E"/>
    <w:rsid w:val="001417A7"/>
    <w:rsid w:val="00141AFC"/>
    <w:rsid w:val="00141C10"/>
    <w:rsid w:val="00141D1C"/>
    <w:rsid w:val="00141D27"/>
    <w:rsid w:val="00141E5D"/>
    <w:rsid w:val="001421A1"/>
    <w:rsid w:val="00142206"/>
    <w:rsid w:val="001422E3"/>
    <w:rsid w:val="00142609"/>
    <w:rsid w:val="0014264E"/>
    <w:rsid w:val="00142A72"/>
    <w:rsid w:val="00142B7C"/>
    <w:rsid w:val="00142D3F"/>
    <w:rsid w:val="00142F3A"/>
    <w:rsid w:val="00142F7F"/>
    <w:rsid w:val="00143038"/>
    <w:rsid w:val="0014312A"/>
    <w:rsid w:val="001431BE"/>
    <w:rsid w:val="00143216"/>
    <w:rsid w:val="0014325E"/>
    <w:rsid w:val="00143466"/>
    <w:rsid w:val="00143795"/>
    <w:rsid w:val="0014392F"/>
    <w:rsid w:val="00143B44"/>
    <w:rsid w:val="00143BAE"/>
    <w:rsid w:val="00143E95"/>
    <w:rsid w:val="00143F04"/>
    <w:rsid w:val="00144190"/>
    <w:rsid w:val="00144331"/>
    <w:rsid w:val="0014438D"/>
    <w:rsid w:val="0014454F"/>
    <w:rsid w:val="0014488D"/>
    <w:rsid w:val="00144959"/>
    <w:rsid w:val="00144984"/>
    <w:rsid w:val="00144B5F"/>
    <w:rsid w:val="00144B70"/>
    <w:rsid w:val="00144BFC"/>
    <w:rsid w:val="00144CE8"/>
    <w:rsid w:val="00144E03"/>
    <w:rsid w:val="00144E27"/>
    <w:rsid w:val="0014534A"/>
    <w:rsid w:val="00145433"/>
    <w:rsid w:val="001456CB"/>
    <w:rsid w:val="001456DB"/>
    <w:rsid w:val="0014599C"/>
    <w:rsid w:val="00145A04"/>
    <w:rsid w:val="00145C04"/>
    <w:rsid w:val="00145CC4"/>
    <w:rsid w:val="00145DFE"/>
    <w:rsid w:val="00145FC9"/>
    <w:rsid w:val="001460EA"/>
    <w:rsid w:val="001460EB"/>
    <w:rsid w:val="00146505"/>
    <w:rsid w:val="001466DE"/>
    <w:rsid w:val="00146849"/>
    <w:rsid w:val="001468E8"/>
    <w:rsid w:val="00146AF3"/>
    <w:rsid w:val="00146CEB"/>
    <w:rsid w:val="00147253"/>
    <w:rsid w:val="001474CC"/>
    <w:rsid w:val="0014752E"/>
    <w:rsid w:val="001475D9"/>
    <w:rsid w:val="001475E2"/>
    <w:rsid w:val="00147857"/>
    <w:rsid w:val="001478A6"/>
    <w:rsid w:val="00147B9A"/>
    <w:rsid w:val="00147BA0"/>
    <w:rsid w:val="00147C56"/>
    <w:rsid w:val="00147D7A"/>
    <w:rsid w:val="00147FA0"/>
    <w:rsid w:val="0015038D"/>
    <w:rsid w:val="00150623"/>
    <w:rsid w:val="00150688"/>
    <w:rsid w:val="001506BB"/>
    <w:rsid w:val="00150AD0"/>
    <w:rsid w:val="00150ED3"/>
    <w:rsid w:val="001510BB"/>
    <w:rsid w:val="0015131D"/>
    <w:rsid w:val="001513D2"/>
    <w:rsid w:val="001515FD"/>
    <w:rsid w:val="0015179B"/>
    <w:rsid w:val="001517DB"/>
    <w:rsid w:val="00151989"/>
    <w:rsid w:val="001521CA"/>
    <w:rsid w:val="00152418"/>
    <w:rsid w:val="0015258E"/>
    <w:rsid w:val="00152607"/>
    <w:rsid w:val="00152B6D"/>
    <w:rsid w:val="00152BA2"/>
    <w:rsid w:val="00152CDC"/>
    <w:rsid w:val="00152E34"/>
    <w:rsid w:val="00152F90"/>
    <w:rsid w:val="0015306E"/>
    <w:rsid w:val="001530DD"/>
    <w:rsid w:val="00153188"/>
    <w:rsid w:val="00153201"/>
    <w:rsid w:val="0015324B"/>
    <w:rsid w:val="001532A3"/>
    <w:rsid w:val="00153360"/>
    <w:rsid w:val="00153367"/>
    <w:rsid w:val="0015363E"/>
    <w:rsid w:val="0015372E"/>
    <w:rsid w:val="001541C8"/>
    <w:rsid w:val="001542E6"/>
    <w:rsid w:val="0015459E"/>
    <w:rsid w:val="00154641"/>
    <w:rsid w:val="0015476E"/>
    <w:rsid w:val="001547D2"/>
    <w:rsid w:val="0015492C"/>
    <w:rsid w:val="0015499E"/>
    <w:rsid w:val="00154A88"/>
    <w:rsid w:val="00155012"/>
    <w:rsid w:val="00155125"/>
    <w:rsid w:val="001553CC"/>
    <w:rsid w:val="001555BD"/>
    <w:rsid w:val="0015567B"/>
    <w:rsid w:val="0015574C"/>
    <w:rsid w:val="0015583A"/>
    <w:rsid w:val="00155996"/>
    <w:rsid w:val="00155AF0"/>
    <w:rsid w:val="00155E97"/>
    <w:rsid w:val="00156287"/>
    <w:rsid w:val="001562B3"/>
    <w:rsid w:val="00156373"/>
    <w:rsid w:val="001563BA"/>
    <w:rsid w:val="001563E9"/>
    <w:rsid w:val="00156555"/>
    <w:rsid w:val="0015657E"/>
    <w:rsid w:val="001566AE"/>
    <w:rsid w:val="001568FA"/>
    <w:rsid w:val="001569A7"/>
    <w:rsid w:val="001569DC"/>
    <w:rsid w:val="00156AA3"/>
    <w:rsid w:val="00156AFC"/>
    <w:rsid w:val="00156B61"/>
    <w:rsid w:val="00156F52"/>
    <w:rsid w:val="00157015"/>
    <w:rsid w:val="001571DB"/>
    <w:rsid w:val="0015723D"/>
    <w:rsid w:val="00157376"/>
    <w:rsid w:val="001574C0"/>
    <w:rsid w:val="00157861"/>
    <w:rsid w:val="00157DC0"/>
    <w:rsid w:val="00157F46"/>
    <w:rsid w:val="00160177"/>
    <w:rsid w:val="001605BB"/>
    <w:rsid w:val="00160613"/>
    <w:rsid w:val="00160686"/>
    <w:rsid w:val="001606A0"/>
    <w:rsid w:val="001606CF"/>
    <w:rsid w:val="00160835"/>
    <w:rsid w:val="00160854"/>
    <w:rsid w:val="00160A17"/>
    <w:rsid w:val="00160A2C"/>
    <w:rsid w:val="00160B3D"/>
    <w:rsid w:val="0016128D"/>
    <w:rsid w:val="00161522"/>
    <w:rsid w:val="001616AD"/>
    <w:rsid w:val="00161A4B"/>
    <w:rsid w:val="00161E16"/>
    <w:rsid w:val="00161F21"/>
    <w:rsid w:val="001622C1"/>
    <w:rsid w:val="00162451"/>
    <w:rsid w:val="001628A9"/>
    <w:rsid w:val="00162991"/>
    <w:rsid w:val="00162A9E"/>
    <w:rsid w:val="00162B2B"/>
    <w:rsid w:val="00162CD8"/>
    <w:rsid w:val="00162CE2"/>
    <w:rsid w:val="00162EA2"/>
    <w:rsid w:val="00163097"/>
    <w:rsid w:val="0016309B"/>
    <w:rsid w:val="001630CE"/>
    <w:rsid w:val="001630DD"/>
    <w:rsid w:val="0016319A"/>
    <w:rsid w:val="00163475"/>
    <w:rsid w:val="001638F0"/>
    <w:rsid w:val="00163902"/>
    <w:rsid w:val="0016392F"/>
    <w:rsid w:val="00163AE2"/>
    <w:rsid w:val="00163B71"/>
    <w:rsid w:val="00163C3F"/>
    <w:rsid w:val="00163CE6"/>
    <w:rsid w:val="00163F46"/>
    <w:rsid w:val="00164144"/>
    <w:rsid w:val="00164477"/>
    <w:rsid w:val="00164484"/>
    <w:rsid w:val="00164599"/>
    <w:rsid w:val="001646C1"/>
    <w:rsid w:val="001647D0"/>
    <w:rsid w:val="00164B7B"/>
    <w:rsid w:val="00164C54"/>
    <w:rsid w:val="00164E3B"/>
    <w:rsid w:val="00165176"/>
    <w:rsid w:val="0016517C"/>
    <w:rsid w:val="00165464"/>
    <w:rsid w:val="001656B8"/>
    <w:rsid w:val="001657E3"/>
    <w:rsid w:val="00165874"/>
    <w:rsid w:val="0016587F"/>
    <w:rsid w:val="00165A07"/>
    <w:rsid w:val="00165B41"/>
    <w:rsid w:val="00165C2A"/>
    <w:rsid w:val="00165F16"/>
    <w:rsid w:val="00165F73"/>
    <w:rsid w:val="00166016"/>
    <w:rsid w:val="0016645D"/>
    <w:rsid w:val="001666DB"/>
    <w:rsid w:val="00166788"/>
    <w:rsid w:val="00166921"/>
    <w:rsid w:val="00166A41"/>
    <w:rsid w:val="00166E8C"/>
    <w:rsid w:val="00166F4D"/>
    <w:rsid w:val="00166FC6"/>
    <w:rsid w:val="00166FDB"/>
    <w:rsid w:val="001670B5"/>
    <w:rsid w:val="001671DF"/>
    <w:rsid w:val="00167396"/>
    <w:rsid w:val="0016744D"/>
    <w:rsid w:val="0016757A"/>
    <w:rsid w:val="00167628"/>
    <w:rsid w:val="00167796"/>
    <w:rsid w:val="00167A80"/>
    <w:rsid w:val="00167D6F"/>
    <w:rsid w:val="00167DF3"/>
    <w:rsid w:val="00170017"/>
    <w:rsid w:val="00170410"/>
    <w:rsid w:val="00170523"/>
    <w:rsid w:val="001705D6"/>
    <w:rsid w:val="00170626"/>
    <w:rsid w:val="001706C8"/>
    <w:rsid w:val="00170760"/>
    <w:rsid w:val="00170765"/>
    <w:rsid w:val="001707C3"/>
    <w:rsid w:val="0017085C"/>
    <w:rsid w:val="0017089D"/>
    <w:rsid w:val="0017090C"/>
    <w:rsid w:val="0017090E"/>
    <w:rsid w:val="00170AB3"/>
    <w:rsid w:val="00170AB5"/>
    <w:rsid w:val="00170CA8"/>
    <w:rsid w:val="00170E9B"/>
    <w:rsid w:val="00170FF6"/>
    <w:rsid w:val="00170FFF"/>
    <w:rsid w:val="0017101B"/>
    <w:rsid w:val="00171095"/>
    <w:rsid w:val="001711EF"/>
    <w:rsid w:val="00171230"/>
    <w:rsid w:val="001712BD"/>
    <w:rsid w:val="001713E9"/>
    <w:rsid w:val="00171551"/>
    <w:rsid w:val="001715BE"/>
    <w:rsid w:val="001716AE"/>
    <w:rsid w:val="0017191B"/>
    <w:rsid w:val="00171928"/>
    <w:rsid w:val="00171A01"/>
    <w:rsid w:val="00171A5D"/>
    <w:rsid w:val="00171A85"/>
    <w:rsid w:val="00171ADA"/>
    <w:rsid w:val="00171B11"/>
    <w:rsid w:val="00171C6D"/>
    <w:rsid w:val="00171CB8"/>
    <w:rsid w:val="00171D7D"/>
    <w:rsid w:val="00171E62"/>
    <w:rsid w:val="00171ECB"/>
    <w:rsid w:val="00171F58"/>
    <w:rsid w:val="00172066"/>
    <w:rsid w:val="0017235B"/>
    <w:rsid w:val="0017256D"/>
    <w:rsid w:val="001725CC"/>
    <w:rsid w:val="001726A2"/>
    <w:rsid w:val="001728FB"/>
    <w:rsid w:val="001729F6"/>
    <w:rsid w:val="00172A05"/>
    <w:rsid w:val="00172E5E"/>
    <w:rsid w:val="00172F85"/>
    <w:rsid w:val="00173041"/>
    <w:rsid w:val="0017307B"/>
    <w:rsid w:val="001731ED"/>
    <w:rsid w:val="001731F9"/>
    <w:rsid w:val="00173889"/>
    <w:rsid w:val="00173890"/>
    <w:rsid w:val="00173899"/>
    <w:rsid w:val="001738F0"/>
    <w:rsid w:val="001738F2"/>
    <w:rsid w:val="00173FFF"/>
    <w:rsid w:val="001741CD"/>
    <w:rsid w:val="00174324"/>
    <w:rsid w:val="00174433"/>
    <w:rsid w:val="0017470E"/>
    <w:rsid w:val="001749BE"/>
    <w:rsid w:val="001749E3"/>
    <w:rsid w:val="00174B2A"/>
    <w:rsid w:val="00174C84"/>
    <w:rsid w:val="00174E18"/>
    <w:rsid w:val="00174EF6"/>
    <w:rsid w:val="0017503E"/>
    <w:rsid w:val="00175194"/>
    <w:rsid w:val="001751A8"/>
    <w:rsid w:val="00175217"/>
    <w:rsid w:val="001753DA"/>
    <w:rsid w:val="00175431"/>
    <w:rsid w:val="00175517"/>
    <w:rsid w:val="00175549"/>
    <w:rsid w:val="001755B1"/>
    <w:rsid w:val="00175B22"/>
    <w:rsid w:val="00175C2F"/>
    <w:rsid w:val="00175E25"/>
    <w:rsid w:val="00175F2D"/>
    <w:rsid w:val="001765DC"/>
    <w:rsid w:val="001767BE"/>
    <w:rsid w:val="001767F6"/>
    <w:rsid w:val="0017683A"/>
    <w:rsid w:val="00176A3E"/>
    <w:rsid w:val="00176C39"/>
    <w:rsid w:val="0017719C"/>
    <w:rsid w:val="0017731F"/>
    <w:rsid w:val="00177355"/>
    <w:rsid w:val="00177476"/>
    <w:rsid w:val="00177500"/>
    <w:rsid w:val="00177580"/>
    <w:rsid w:val="0017772B"/>
    <w:rsid w:val="0017791E"/>
    <w:rsid w:val="00177A7C"/>
    <w:rsid w:val="00177A93"/>
    <w:rsid w:val="00177C48"/>
    <w:rsid w:val="00177F17"/>
    <w:rsid w:val="00180171"/>
    <w:rsid w:val="00180396"/>
    <w:rsid w:val="00180594"/>
    <w:rsid w:val="001805A8"/>
    <w:rsid w:val="001806E5"/>
    <w:rsid w:val="001807BC"/>
    <w:rsid w:val="001807D5"/>
    <w:rsid w:val="00180A69"/>
    <w:rsid w:val="00180ACF"/>
    <w:rsid w:val="00180B02"/>
    <w:rsid w:val="00180E18"/>
    <w:rsid w:val="00180FB0"/>
    <w:rsid w:val="0018102C"/>
    <w:rsid w:val="00181042"/>
    <w:rsid w:val="00181094"/>
    <w:rsid w:val="0018114A"/>
    <w:rsid w:val="00181331"/>
    <w:rsid w:val="001814CE"/>
    <w:rsid w:val="001816B6"/>
    <w:rsid w:val="001817DA"/>
    <w:rsid w:val="0018182E"/>
    <w:rsid w:val="00181ADC"/>
    <w:rsid w:val="00181AE6"/>
    <w:rsid w:val="00181B3D"/>
    <w:rsid w:val="00181C7F"/>
    <w:rsid w:val="00181D3C"/>
    <w:rsid w:val="00181F6C"/>
    <w:rsid w:val="00181F83"/>
    <w:rsid w:val="0018201D"/>
    <w:rsid w:val="00182153"/>
    <w:rsid w:val="001821AE"/>
    <w:rsid w:val="00182421"/>
    <w:rsid w:val="00182584"/>
    <w:rsid w:val="00182928"/>
    <w:rsid w:val="00182B58"/>
    <w:rsid w:val="00182B65"/>
    <w:rsid w:val="00182C76"/>
    <w:rsid w:val="00182E8F"/>
    <w:rsid w:val="00182E9A"/>
    <w:rsid w:val="001830CA"/>
    <w:rsid w:val="00183135"/>
    <w:rsid w:val="0018316B"/>
    <w:rsid w:val="001831C0"/>
    <w:rsid w:val="001831D2"/>
    <w:rsid w:val="00183244"/>
    <w:rsid w:val="00183781"/>
    <w:rsid w:val="00183A6C"/>
    <w:rsid w:val="00183AC1"/>
    <w:rsid w:val="00183B61"/>
    <w:rsid w:val="00183C6A"/>
    <w:rsid w:val="00183FA0"/>
    <w:rsid w:val="001840CD"/>
    <w:rsid w:val="00184688"/>
    <w:rsid w:val="001846EA"/>
    <w:rsid w:val="00184852"/>
    <w:rsid w:val="00184B58"/>
    <w:rsid w:val="00184F31"/>
    <w:rsid w:val="0018527E"/>
    <w:rsid w:val="001852EF"/>
    <w:rsid w:val="00185626"/>
    <w:rsid w:val="001859AE"/>
    <w:rsid w:val="00185A11"/>
    <w:rsid w:val="00185A50"/>
    <w:rsid w:val="00185B3A"/>
    <w:rsid w:val="00185C0B"/>
    <w:rsid w:val="00185C36"/>
    <w:rsid w:val="00185D96"/>
    <w:rsid w:val="00185DA5"/>
    <w:rsid w:val="00185E29"/>
    <w:rsid w:val="00185F9A"/>
    <w:rsid w:val="00186018"/>
    <w:rsid w:val="00186383"/>
    <w:rsid w:val="00186446"/>
    <w:rsid w:val="001865B7"/>
    <w:rsid w:val="00186A16"/>
    <w:rsid w:val="00186AF3"/>
    <w:rsid w:val="00186EFE"/>
    <w:rsid w:val="00187208"/>
    <w:rsid w:val="00187251"/>
    <w:rsid w:val="0018738C"/>
    <w:rsid w:val="001873DD"/>
    <w:rsid w:val="00187434"/>
    <w:rsid w:val="001874F1"/>
    <w:rsid w:val="0018750A"/>
    <w:rsid w:val="0018751C"/>
    <w:rsid w:val="001875CC"/>
    <w:rsid w:val="001875CE"/>
    <w:rsid w:val="00187785"/>
    <w:rsid w:val="0018793A"/>
    <w:rsid w:val="00187A90"/>
    <w:rsid w:val="00187B05"/>
    <w:rsid w:val="00187CCC"/>
    <w:rsid w:val="00187DBE"/>
    <w:rsid w:val="00187E43"/>
    <w:rsid w:val="0019011C"/>
    <w:rsid w:val="00190231"/>
    <w:rsid w:val="00190290"/>
    <w:rsid w:val="00190463"/>
    <w:rsid w:val="001904B5"/>
    <w:rsid w:val="00190647"/>
    <w:rsid w:val="00190809"/>
    <w:rsid w:val="00190CC9"/>
    <w:rsid w:val="00190EA2"/>
    <w:rsid w:val="00190FA2"/>
    <w:rsid w:val="0019101A"/>
    <w:rsid w:val="00191066"/>
    <w:rsid w:val="001912C5"/>
    <w:rsid w:val="00191410"/>
    <w:rsid w:val="001916A1"/>
    <w:rsid w:val="001917BE"/>
    <w:rsid w:val="00191975"/>
    <w:rsid w:val="00191CFE"/>
    <w:rsid w:val="00191F73"/>
    <w:rsid w:val="0019218C"/>
    <w:rsid w:val="00192409"/>
    <w:rsid w:val="001924A8"/>
    <w:rsid w:val="0019255F"/>
    <w:rsid w:val="00192686"/>
    <w:rsid w:val="00192777"/>
    <w:rsid w:val="00192874"/>
    <w:rsid w:val="00192BAF"/>
    <w:rsid w:val="00192C09"/>
    <w:rsid w:val="00192C45"/>
    <w:rsid w:val="00192D86"/>
    <w:rsid w:val="00192FCD"/>
    <w:rsid w:val="001930AB"/>
    <w:rsid w:val="00193109"/>
    <w:rsid w:val="00193124"/>
    <w:rsid w:val="00193151"/>
    <w:rsid w:val="001931E7"/>
    <w:rsid w:val="00193625"/>
    <w:rsid w:val="0019379D"/>
    <w:rsid w:val="0019392C"/>
    <w:rsid w:val="00193992"/>
    <w:rsid w:val="00193A23"/>
    <w:rsid w:val="00193AB3"/>
    <w:rsid w:val="00193B66"/>
    <w:rsid w:val="00193D1A"/>
    <w:rsid w:val="00193E6E"/>
    <w:rsid w:val="00194454"/>
    <w:rsid w:val="00194506"/>
    <w:rsid w:val="001945D0"/>
    <w:rsid w:val="001946D8"/>
    <w:rsid w:val="00194797"/>
    <w:rsid w:val="0019492B"/>
    <w:rsid w:val="00194974"/>
    <w:rsid w:val="00194A8B"/>
    <w:rsid w:val="00194D09"/>
    <w:rsid w:val="00194FC8"/>
    <w:rsid w:val="0019537B"/>
    <w:rsid w:val="001954D6"/>
    <w:rsid w:val="001956A8"/>
    <w:rsid w:val="00195792"/>
    <w:rsid w:val="001958C9"/>
    <w:rsid w:val="00195A9D"/>
    <w:rsid w:val="00195B6D"/>
    <w:rsid w:val="00195C5E"/>
    <w:rsid w:val="00195C8E"/>
    <w:rsid w:val="00195CA1"/>
    <w:rsid w:val="00195CBF"/>
    <w:rsid w:val="00195CE1"/>
    <w:rsid w:val="00195DCF"/>
    <w:rsid w:val="00195E5C"/>
    <w:rsid w:val="00195EE5"/>
    <w:rsid w:val="001960BC"/>
    <w:rsid w:val="00196649"/>
    <w:rsid w:val="001968C8"/>
    <w:rsid w:val="001968D1"/>
    <w:rsid w:val="00196A6A"/>
    <w:rsid w:val="00196B1A"/>
    <w:rsid w:val="00196B62"/>
    <w:rsid w:val="00196B9A"/>
    <w:rsid w:val="00196E2B"/>
    <w:rsid w:val="00196F72"/>
    <w:rsid w:val="0019710E"/>
    <w:rsid w:val="00197154"/>
    <w:rsid w:val="00197175"/>
    <w:rsid w:val="001972D0"/>
    <w:rsid w:val="001972D2"/>
    <w:rsid w:val="001972E2"/>
    <w:rsid w:val="00197341"/>
    <w:rsid w:val="001973FB"/>
    <w:rsid w:val="00197707"/>
    <w:rsid w:val="00197762"/>
    <w:rsid w:val="00197892"/>
    <w:rsid w:val="001978F0"/>
    <w:rsid w:val="00197983"/>
    <w:rsid w:val="00197A05"/>
    <w:rsid w:val="00197D70"/>
    <w:rsid w:val="001A024C"/>
    <w:rsid w:val="001A02E1"/>
    <w:rsid w:val="001A054A"/>
    <w:rsid w:val="001A0739"/>
    <w:rsid w:val="001A08A8"/>
    <w:rsid w:val="001A08DB"/>
    <w:rsid w:val="001A0C5D"/>
    <w:rsid w:val="001A0C7E"/>
    <w:rsid w:val="001A0E4E"/>
    <w:rsid w:val="001A0E76"/>
    <w:rsid w:val="001A0E95"/>
    <w:rsid w:val="001A0F6A"/>
    <w:rsid w:val="001A1009"/>
    <w:rsid w:val="001A1392"/>
    <w:rsid w:val="001A16E0"/>
    <w:rsid w:val="001A1739"/>
    <w:rsid w:val="001A1765"/>
    <w:rsid w:val="001A17A0"/>
    <w:rsid w:val="001A1A71"/>
    <w:rsid w:val="001A1A85"/>
    <w:rsid w:val="001A1BF5"/>
    <w:rsid w:val="001A1CBF"/>
    <w:rsid w:val="001A1D76"/>
    <w:rsid w:val="001A2044"/>
    <w:rsid w:val="001A2238"/>
    <w:rsid w:val="001A22E7"/>
    <w:rsid w:val="001A2314"/>
    <w:rsid w:val="001A237C"/>
    <w:rsid w:val="001A26B4"/>
    <w:rsid w:val="001A26CB"/>
    <w:rsid w:val="001A26E8"/>
    <w:rsid w:val="001A2827"/>
    <w:rsid w:val="001A2898"/>
    <w:rsid w:val="001A28D1"/>
    <w:rsid w:val="001A2935"/>
    <w:rsid w:val="001A2A5F"/>
    <w:rsid w:val="001A2EF4"/>
    <w:rsid w:val="001A2F27"/>
    <w:rsid w:val="001A3078"/>
    <w:rsid w:val="001A307A"/>
    <w:rsid w:val="001A307E"/>
    <w:rsid w:val="001A348A"/>
    <w:rsid w:val="001A38A7"/>
    <w:rsid w:val="001A3AD6"/>
    <w:rsid w:val="001A3C46"/>
    <w:rsid w:val="001A3E20"/>
    <w:rsid w:val="001A3EB3"/>
    <w:rsid w:val="001A3F97"/>
    <w:rsid w:val="001A4113"/>
    <w:rsid w:val="001A4285"/>
    <w:rsid w:val="001A42A5"/>
    <w:rsid w:val="001A43BC"/>
    <w:rsid w:val="001A448F"/>
    <w:rsid w:val="001A4534"/>
    <w:rsid w:val="001A4660"/>
    <w:rsid w:val="001A4B83"/>
    <w:rsid w:val="001A4D2C"/>
    <w:rsid w:val="001A4DF0"/>
    <w:rsid w:val="001A4E07"/>
    <w:rsid w:val="001A4E59"/>
    <w:rsid w:val="001A50E4"/>
    <w:rsid w:val="001A5383"/>
    <w:rsid w:val="001A546E"/>
    <w:rsid w:val="001A555C"/>
    <w:rsid w:val="001A5685"/>
    <w:rsid w:val="001A5767"/>
    <w:rsid w:val="001A58EB"/>
    <w:rsid w:val="001A5B67"/>
    <w:rsid w:val="001A5F0F"/>
    <w:rsid w:val="001A5F1C"/>
    <w:rsid w:val="001A5F90"/>
    <w:rsid w:val="001A624A"/>
    <w:rsid w:val="001A62B6"/>
    <w:rsid w:val="001A64D1"/>
    <w:rsid w:val="001A6A3C"/>
    <w:rsid w:val="001A6ABC"/>
    <w:rsid w:val="001A6DB3"/>
    <w:rsid w:val="001A72C8"/>
    <w:rsid w:val="001A735B"/>
    <w:rsid w:val="001A7579"/>
    <w:rsid w:val="001A76C7"/>
    <w:rsid w:val="001A7B30"/>
    <w:rsid w:val="001A7C44"/>
    <w:rsid w:val="001A7F90"/>
    <w:rsid w:val="001B0154"/>
    <w:rsid w:val="001B0165"/>
    <w:rsid w:val="001B05D6"/>
    <w:rsid w:val="001B05FF"/>
    <w:rsid w:val="001B0612"/>
    <w:rsid w:val="001B0836"/>
    <w:rsid w:val="001B0882"/>
    <w:rsid w:val="001B09BF"/>
    <w:rsid w:val="001B0C7D"/>
    <w:rsid w:val="001B0E3B"/>
    <w:rsid w:val="001B0E81"/>
    <w:rsid w:val="001B0F3E"/>
    <w:rsid w:val="001B114E"/>
    <w:rsid w:val="001B11FD"/>
    <w:rsid w:val="001B136E"/>
    <w:rsid w:val="001B1635"/>
    <w:rsid w:val="001B186F"/>
    <w:rsid w:val="001B197C"/>
    <w:rsid w:val="001B19C0"/>
    <w:rsid w:val="001B1AD5"/>
    <w:rsid w:val="001B1C3A"/>
    <w:rsid w:val="001B1C66"/>
    <w:rsid w:val="001B1CC0"/>
    <w:rsid w:val="001B1DF0"/>
    <w:rsid w:val="001B2173"/>
    <w:rsid w:val="001B21B9"/>
    <w:rsid w:val="001B2226"/>
    <w:rsid w:val="001B23ED"/>
    <w:rsid w:val="001B2554"/>
    <w:rsid w:val="001B2700"/>
    <w:rsid w:val="001B2862"/>
    <w:rsid w:val="001B2A56"/>
    <w:rsid w:val="001B2CB6"/>
    <w:rsid w:val="001B2F9A"/>
    <w:rsid w:val="001B30C2"/>
    <w:rsid w:val="001B3266"/>
    <w:rsid w:val="001B3366"/>
    <w:rsid w:val="001B35FD"/>
    <w:rsid w:val="001B3A7D"/>
    <w:rsid w:val="001B3CEE"/>
    <w:rsid w:val="001B3D03"/>
    <w:rsid w:val="001B3E6E"/>
    <w:rsid w:val="001B3F5C"/>
    <w:rsid w:val="001B41BE"/>
    <w:rsid w:val="001B41C4"/>
    <w:rsid w:val="001B436D"/>
    <w:rsid w:val="001B4435"/>
    <w:rsid w:val="001B46BD"/>
    <w:rsid w:val="001B484B"/>
    <w:rsid w:val="001B493D"/>
    <w:rsid w:val="001B4980"/>
    <w:rsid w:val="001B49FD"/>
    <w:rsid w:val="001B4A8B"/>
    <w:rsid w:val="001B4AEF"/>
    <w:rsid w:val="001B4CB0"/>
    <w:rsid w:val="001B4E70"/>
    <w:rsid w:val="001B4F5C"/>
    <w:rsid w:val="001B5132"/>
    <w:rsid w:val="001B5382"/>
    <w:rsid w:val="001B5470"/>
    <w:rsid w:val="001B5974"/>
    <w:rsid w:val="001B5AC8"/>
    <w:rsid w:val="001B5AD8"/>
    <w:rsid w:val="001B5BFC"/>
    <w:rsid w:val="001B5C09"/>
    <w:rsid w:val="001B5EAC"/>
    <w:rsid w:val="001B5F5B"/>
    <w:rsid w:val="001B5FAB"/>
    <w:rsid w:val="001B602A"/>
    <w:rsid w:val="001B6067"/>
    <w:rsid w:val="001B61E7"/>
    <w:rsid w:val="001B650C"/>
    <w:rsid w:val="001B655A"/>
    <w:rsid w:val="001B65C6"/>
    <w:rsid w:val="001B66EE"/>
    <w:rsid w:val="001B671C"/>
    <w:rsid w:val="001B6780"/>
    <w:rsid w:val="001B67A7"/>
    <w:rsid w:val="001B6872"/>
    <w:rsid w:val="001B691E"/>
    <w:rsid w:val="001B6D72"/>
    <w:rsid w:val="001B6E5C"/>
    <w:rsid w:val="001B7071"/>
    <w:rsid w:val="001B71D8"/>
    <w:rsid w:val="001B753D"/>
    <w:rsid w:val="001B763A"/>
    <w:rsid w:val="001B7693"/>
    <w:rsid w:val="001B7977"/>
    <w:rsid w:val="001B79D7"/>
    <w:rsid w:val="001B7B18"/>
    <w:rsid w:val="001B7E61"/>
    <w:rsid w:val="001B7F22"/>
    <w:rsid w:val="001B7FB3"/>
    <w:rsid w:val="001B7FC0"/>
    <w:rsid w:val="001C02D5"/>
    <w:rsid w:val="001C03A2"/>
    <w:rsid w:val="001C0464"/>
    <w:rsid w:val="001C0900"/>
    <w:rsid w:val="001C0C0E"/>
    <w:rsid w:val="001C0DCD"/>
    <w:rsid w:val="001C0FA8"/>
    <w:rsid w:val="001C19D7"/>
    <w:rsid w:val="001C1B32"/>
    <w:rsid w:val="001C1BD1"/>
    <w:rsid w:val="001C1DA9"/>
    <w:rsid w:val="001C1FC6"/>
    <w:rsid w:val="001C205F"/>
    <w:rsid w:val="001C2105"/>
    <w:rsid w:val="001C234C"/>
    <w:rsid w:val="001C24AA"/>
    <w:rsid w:val="001C2819"/>
    <w:rsid w:val="001C292C"/>
    <w:rsid w:val="001C2935"/>
    <w:rsid w:val="001C2C60"/>
    <w:rsid w:val="001C2C6E"/>
    <w:rsid w:val="001C2D42"/>
    <w:rsid w:val="001C2DF1"/>
    <w:rsid w:val="001C302C"/>
    <w:rsid w:val="001C3197"/>
    <w:rsid w:val="001C31B4"/>
    <w:rsid w:val="001C330D"/>
    <w:rsid w:val="001C34AB"/>
    <w:rsid w:val="001C3587"/>
    <w:rsid w:val="001C358D"/>
    <w:rsid w:val="001C3604"/>
    <w:rsid w:val="001C362B"/>
    <w:rsid w:val="001C3797"/>
    <w:rsid w:val="001C3807"/>
    <w:rsid w:val="001C3912"/>
    <w:rsid w:val="001C3A0D"/>
    <w:rsid w:val="001C3B37"/>
    <w:rsid w:val="001C3BD1"/>
    <w:rsid w:val="001C3D94"/>
    <w:rsid w:val="001C40A0"/>
    <w:rsid w:val="001C4211"/>
    <w:rsid w:val="001C45B5"/>
    <w:rsid w:val="001C4687"/>
    <w:rsid w:val="001C473D"/>
    <w:rsid w:val="001C4889"/>
    <w:rsid w:val="001C497E"/>
    <w:rsid w:val="001C4A33"/>
    <w:rsid w:val="001C4A87"/>
    <w:rsid w:val="001C4BAA"/>
    <w:rsid w:val="001C4D65"/>
    <w:rsid w:val="001C4DCE"/>
    <w:rsid w:val="001C4EBD"/>
    <w:rsid w:val="001C4F29"/>
    <w:rsid w:val="001C5065"/>
    <w:rsid w:val="001C50E0"/>
    <w:rsid w:val="001C5155"/>
    <w:rsid w:val="001C548D"/>
    <w:rsid w:val="001C54CD"/>
    <w:rsid w:val="001C56A7"/>
    <w:rsid w:val="001C573A"/>
    <w:rsid w:val="001C591B"/>
    <w:rsid w:val="001C5C62"/>
    <w:rsid w:val="001C5EAB"/>
    <w:rsid w:val="001C5EC8"/>
    <w:rsid w:val="001C6543"/>
    <w:rsid w:val="001C6647"/>
    <w:rsid w:val="001C6798"/>
    <w:rsid w:val="001C6C35"/>
    <w:rsid w:val="001C6C97"/>
    <w:rsid w:val="001C6E0F"/>
    <w:rsid w:val="001C72A4"/>
    <w:rsid w:val="001C731F"/>
    <w:rsid w:val="001C7535"/>
    <w:rsid w:val="001C7695"/>
    <w:rsid w:val="001C7827"/>
    <w:rsid w:val="001C7838"/>
    <w:rsid w:val="001C79D4"/>
    <w:rsid w:val="001C7A0B"/>
    <w:rsid w:val="001C7AD6"/>
    <w:rsid w:val="001C7B65"/>
    <w:rsid w:val="001C7B85"/>
    <w:rsid w:val="001C7BF5"/>
    <w:rsid w:val="001C7DCD"/>
    <w:rsid w:val="001C7E29"/>
    <w:rsid w:val="001C7E9F"/>
    <w:rsid w:val="001D0064"/>
    <w:rsid w:val="001D013A"/>
    <w:rsid w:val="001D0300"/>
    <w:rsid w:val="001D0434"/>
    <w:rsid w:val="001D07B6"/>
    <w:rsid w:val="001D088A"/>
    <w:rsid w:val="001D0B71"/>
    <w:rsid w:val="001D0DC5"/>
    <w:rsid w:val="001D0E4A"/>
    <w:rsid w:val="001D0EC5"/>
    <w:rsid w:val="001D100A"/>
    <w:rsid w:val="001D116D"/>
    <w:rsid w:val="001D123C"/>
    <w:rsid w:val="001D13AF"/>
    <w:rsid w:val="001D145A"/>
    <w:rsid w:val="001D14F8"/>
    <w:rsid w:val="001D1534"/>
    <w:rsid w:val="001D18F1"/>
    <w:rsid w:val="001D1C30"/>
    <w:rsid w:val="001D1C9A"/>
    <w:rsid w:val="001D1E11"/>
    <w:rsid w:val="001D1E1C"/>
    <w:rsid w:val="001D1E2D"/>
    <w:rsid w:val="001D1EB8"/>
    <w:rsid w:val="001D1F16"/>
    <w:rsid w:val="001D1F2E"/>
    <w:rsid w:val="001D2204"/>
    <w:rsid w:val="001D22A4"/>
    <w:rsid w:val="001D2444"/>
    <w:rsid w:val="001D257A"/>
    <w:rsid w:val="001D25D1"/>
    <w:rsid w:val="001D2879"/>
    <w:rsid w:val="001D28CE"/>
    <w:rsid w:val="001D2B95"/>
    <w:rsid w:val="001D2D48"/>
    <w:rsid w:val="001D2DBA"/>
    <w:rsid w:val="001D2EEF"/>
    <w:rsid w:val="001D2FA7"/>
    <w:rsid w:val="001D3235"/>
    <w:rsid w:val="001D347D"/>
    <w:rsid w:val="001D3553"/>
    <w:rsid w:val="001D3BF5"/>
    <w:rsid w:val="001D3C9A"/>
    <w:rsid w:val="001D4038"/>
    <w:rsid w:val="001D426B"/>
    <w:rsid w:val="001D43C1"/>
    <w:rsid w:val="001D45E0"/>
    <w:rsid w:val="001D4814"/>
    <w:rsid w:val="001D481A"/>
    <w:rsid w:val="001D49C6"/>
    <w:rsid w:val="001D4AC1"/>
    <w:rsid w:val="001D4BE4"/>
    <w:rsid w:val="001D4E43"/>
    <w:rsid w:val="001D4F46"/>
    <w:rsid w:val="001D4F52"/>
    <w:rsid w:val="001D5105"/>
    <w:rsid w:val="001D5376"/>
    <w:rsid w:val="001D539C"/>
    <w:rsid w:val="001D54A5"/>
    <w:rsid w:val="001D5647"/>
    <w:rsid w:val="001D5A5A"/>
    <w:rsid w:val="001D5BDA"/>
    <w:rsid w:val="001D5D9A"/>
    <w:rsid w:val="001D5DFD"/>
    <w:rsid w:val="001D5E0B"/>
    <w:rsid w:val="001D5E4D"/>
    <w:rsid w:val="001D5F8B"/>
    <w:rsid w:val="001D5FCC"/>
    <w:rsid w:val="001D61A2"/>
    <w:rsid w:val="001D621B"/>
    <w:rsid w:val="001D62E2"/>
    <w:rsid w:val="001D638C"/>
    <w:rsid w:val="001D6404"/>
    <w:rsid w:val="001D64D6"/>
    <w:rsid w:val="001D675B"/>
    <w:rsid w:val="001D6B92"/>
    <w:rsid w:val="001D71A2"/>
    <w:rsid w:val="001D71EB"/>
    <w:rsid w:val="001D723F"/>
    <w:rsid w:val="001D725D"/>
    <w:rsid w:val="001D7639"/>
    <w:rsid w:val="001D766E"/>
    <w:rsid w:val="001D7763"/>
    <w:rsid w:val="001D7794"/>
    <w:rsid w:val="001D7954"/>
    <w:rsid w:val="001D7B90"/>
    <w:rsid w:val="001D7BF1"/>
    <w:rsid w:val="001D7EC3"/>
    <w:rsid w:val="001D7F73"/>
    <w:rsid w:val="001E00A2"/>
    <w:rsid w:val="001E0464"/>
    <w:rsid w:val="001E05C2"/>
    <w:rsid w:val="001E062E"/>
    <w:rsid w:val="001E07F5"/>
    <w:rsid w:val="001E0817"/>
    <w:rsid w:val="001E095E"/>
    <w:rsid w:val="001E0965"/>
    <w:rsid w:val="001E0992"/>
    <w:rsid w:val="001E0A6E"/>
    <w:rsid w:val="001E0AA0"/>
    <w:rsid w:val="001E0D66"/>
    <w:rsid w:val="001E10D0"/>
    <w:rsid w:val="001E15A1"/>
    <w:rsid w:val="001E1631"/>
    <w:rsid w:val="001E17CD"/>
    <w:rsid w:val="001E191C"/>
    <w:rsid w:val="001E20D2"/>
    <w:rsid w:val="001E2285"/>
    <w:rsid w:val="001E2316"/>
    <w:rsid w:val="001E2379"/>
    <w:rsid w:val="001E283A"/>
    <w:rsid w:val="001E29FF"/>
    <w:rsid w:val="001E2B01"/>
    <w:rsid w:val="001E2C91"/>
    <w:rsid w:val="001E3162"/>
    <w:rsid w:val="001E3163"/>
    <w:rsid w:val="001E3418"/>
    <w:rsid w:val="001E34F8"/>
    <w:rsid w:val="001E3521"/>
    <w:rsid w:val="001E3773"/>
    <w:rsid w:val="001E3DD6"/>
    <w:rsid w:val="001E4331"/>
    <w:rsid w:val="001E446D"/>
    <w:rsid w:val="001E44D5"/>
    <w:rsid w:val="001E47DE"/>
    <w:rsid w:val="001E49FC"/>
    <w:rsid w:val="001E4AA7"/>
    <w:rsid w:val="001E4AB4"/>
    <w:rsid w:val="001E4B91"/>
    <w:rsid w:val="001E4C08"/>
    <w:rsid w:val="001E4C7F"/>
    <w:rsid w:val="001E5213"/>
    <w:rsid w:val="001E52B1"/>
    <w:rsid w:val="001E5338"/>
    <w:rsid w:val="001E540F"/>
    <w:rsid w:val="001E5457"/>
    <w:rsid w:val="001E54FA"/>
    <w:rsid w:val="001E55F7"/>
    <w:rsid w:val="001E5C37"/>
    <w:rsid w:val="001E5CB0"/>
    <w:rsid w:val="001E5E85"/>
    <w:rsid w:val="001E636C"/>
    <w:rsid w:val="001E63B2"/>
    <w:rsid w:val="001E66CE"/>
    <w:rsid w:val="001E697D"/>
    <w:rsid w:val="001E6CDA"/>
    <w:rsid w:val="001E6DEF"/>
    <w:rsid w:val="001E6E23"/>
    <w:rsid w:val="001E6F30"/>
    <w:rsid w:val="001E6FAC"/>
    <w:rsid w:val="001E703B"/>
    <w:rsid w:val="001E7069"/>
    <w:rsid w:val="001E71EB"/>
    <w:rsid w:val="001E71EF"/>
    <w:rsid w:val="001E724D"/>
    <w:rsid w:val="001E767D"/>
    <w:rsid w:val="001E789B"/>
    <w:rsid w:val="001E791A"/>
    <w:rsid w:val="001E79FA"/>
    <w:rsid w:val="001E7A17"/>
    <w:rsid w:val="001E7AF7"/>
    <w:rsid w:val="001E7B90"/>
    <w:rsid w:val="001E7C30"/>
    <w:rsid w:val="001E7D32"/>
    <w:rsid w:val="001E7E89"/>
    <w:rsid w:val="001E7F10"/>
    <w:rsid w:val="001E7FA8"/>
    <w:rsid w:val="001F0274"/>
    <w:rsid w:val="001F0358"/>
    <w:rsid w:val="001F0425"/>
    <w:rsid w:val="001F0689"/>
    <w:rsid w:val="001F06F0"/>
    <w:rsid w:val="001F0998"/>
    <w:rsid w:val="001F0A31"/>
    <w:rsid w:val="001F0B01"/>
    <w:rsid w:val="001F0C6B"/>
    <w:rsid w:val="001F0E33"/>
    <w:rsid w:val="001F0EC5"/>
    <w:rsid w:val="001F0F27"/>
    <w:rsid w:val="001F1039"/>
    <w:rsid w:val="001F12BE"/>
    <w:rsid w:val="001F1358"/>
    <w:rsid w:val="001F1515"/>
    <w:rsid w:val="001F1562"/>
    <w:rsid w:val="001F1660"/>
    <w:rsid w:val="001F16E1"/>
    <w:rsid w:val="001F1729"/>
    <w:rsid w:val="001F1934"/>
    <w:rsid w:val="001F19A5"/>
    <w:rsid w:val="001F19DA"/>
    <w:rsid w:val="001F1A56"/>
    <w:rsid w:val="001F1ACE"/>
    <w:rsid w:val="001F1B26"/>
    <w:rsid w:val="001F1B27"/>
    <w:rsid w:val="001F1DB4"/>
    <w:rsid w:val="001F1F2A"/>
    <w:rsid w:val="001F216B"/>
    <w:rsid w:val="001F21D3"/>
    <w:rsid w:val="001F2604"/>
    <w:rsid w:val="001F28EE"/>
    <w:rsid w:val="001F2B22"/>
    <w:rsid w:val="001F2C3B"/>
    <w:rsid w:val="001F2E8B"/>
    <w:rsid w:val="001F2FF0"/>
    <w:rsid w:val="001F3026"/>
    <w:rsid w:val="001F305D"/>
    <w:rsid w:val="001F3351"/>
    <w:rsid w:val="001F33C0"/>
    <w:rsid w:val="001F349F"/>
    <w:rsid w:val="001F3AB4"/>
    <w:rsid w:val="001F3B18"/>
    <w:rsid w:val="001F3C96"/>
    <w:rsid w:val="001F3D38"/>
    <w:rsid w:val="001F3DAA"/>
    <w:rsid w:val="001F3E13"/>
    <w:rsid w:val="001F3E2F"/>
    <w:rsid w:val="001F4370"/>
    <w:rsid w:val="001F4608"/>
    <w:rsid w:val="001F46BA"/>
    <w:rsid w:val="001F46EE"/>
    <w:rsid w:val="001F4842"/>
    <w:rsid w:val="001F4B43"/>
    <w:rsid w:val="001F4C05"/>
    <w:rsid w:val="001F4CCD"/>
    <w:rsid w:val="001F4E29"/>
    <w:rsid w:val="001F4E7A"/>
    <w:rsid w:val="001F4F73"/>
    <w:rsid w:val="001F52A3"/>
    <w:rsid w:val="001F557B"/>
    <w:rsid w:val="001F58C1"/>
    <w:rsid w:val="001F5CB8"/>
    <w:rsid w:val="001F5ED5"/>
    <w:rsid w:val="001F5F50"/>
    <w:rsid w:val="001F6006"/>
    <w:rsid w:val="001F6107"/>
    <w:rsid w:val="001F618F"/>
    <w:rsid w:val="001F61AA"/>
    <w:rsid w:val="001F6265"/>
    <w:rsid w:val="001F62DC"/>
    <w:rsid w:val="001F64CE"/>
    <w:rsid w:val="001F6568"/>
    <w:rsid w:val="001F6582"/>
    <w:rsid w:val="001F6876"/>
    <w:rsid w:val="001F68CC"/>
    <w:rsid w:val="001F68FB"/>
    <w:rsid w:val="001F69F4"/>
    <w:rsid w:val="001F6A9D"/>
    <w:rsid w:val="001F6CB6"/>
    <w:rsid w:val="001F6E4F"/>
    <w:rsid w:val="001F6FA7"/>
    <w:rsid w:val="001F6FF4"/>
    <w:rsid w:val="001F70DF"/>
    <w:rsid w:val="001F732E"/>
    <w:rsid w:val="001F7542"/>
    <w:rsid w:val="001F7584"/>
    <w:rsid w:val="001F75CA"/>
    <w:rsid w:val="001F78B6"/>
    <w:rsid w:val="001F78EF"/>
    <w:rsid w:val="001F7AD1"/>
    <w:rsid w:val="001F7B70"/>
    <w:rsid w:val="001F7CCF"/>
    <w:rsid w:val="0020006A"/>
    <w:rsid w:val="002002B3"/>
    <w:rsid w:val="002003BB"/>
    <w:rsid w:val="002005C6"/>
    <w:rsid w:val="002006C9"/>
    <w:rsid w:val="00200741"/>
    <w:rsid w:val="00200940"/>
    <w:rsid w:val="00200B79"/>
    <w:rsid w:val="00200BCD"/>
    <w:rsid w:val="00200BD5"/>
    <w:rsid w:val="00200C25"/>
    <w:rsid w:val="00200C79"/>
    <w:rsid w:val="00200CC8"/>
    <w:rsid w:val="00200FC1"/>
    <w:rsid w:val="00200FEC"/>
    <w:rsid w:val="002014CD"/>
    <w:rsid w:val="002015B9"/>
    <w:rsid w:val="00201889"/>
    <w:rsid w:val="00201B11"/>
    <w:rsid w:val="00201B80"/>
    <w:rsid w:val="00201D62"/>
    <w:rsid w:val="00201D8A"/>
    <w:rsid w:val="00202162"/>
    <w:rsid w:val="00202187"/>
    <w:rsid w:val="002023CE"/>
    <w:rsid w:val="002023F5"/>
    <w:rsid w:val="00202908"/>
    <w:rsid w:val="00202CA3"/>
    <w:rsid w:val="00202DA3"/>
    <w:rsid w:val="00202E22"/>
    <w:rsid w:val="00202E31"/>
    <w:rsid w:val="002032B8"/>
    <w:rsid w:val="0020340F"/>
    <w:rsid w:val="002034C2"/>
    <w:rsid w:val="00203564"/>
    <w:rsid w:val="00203594"/>
    <w:rsid w:val="002036AD"/>
    <w:rsid w:val="002036B8"/>
    <w:rsid w:val="0020373A"/>
    <w:rsid w:val="002038B2"/>
    <w:rsid w:val="00203C52"/>
    <w:rsid w:val="002045DB"/>
    <w:rsid w:val="00204B1F"/>
    <w:rsid w:val="00204CCA"/>
    <w:rsid w:val="00204D34"/>
    <w:rsid w:val="00204E9F"/>
    <w:rsid w:val="002050F5"/>
    <w:rsid w:val="0020522C"/>
    <w:rsid w:val="0020587B"/>
    <w:rsid w:val="0020594B"/>
    <w:rsid w:val="00205A87"/>
    <w:rsid w:val="00205AE1"/>
    <w:rsid w:val="00205B29"/>
    <w:rsid w:val="00205DF7"/>
    <w:rsid w:val="002060D0"/>
    <w:rsid w:val="0020612A"/>
    <w:rsid w:val="00206156"/>
    <w:rsid w:val="002063B3"/>
    <w:rsid w:val="00206795"/>
    <w:rsid w:val="002067E3"/>
    <w:rsid w:val="00206838"/>
    <w:rsid w:val="00206A3A"/>
    <w:rsid w:val="00206B8F"/>
    <w:rsid w:val="00206E9B"/>
    <w:rsid w:val="00207317"/>
    <w:rsid w:val="002073CF"/>
    <w:rsid w:val="002074B5"/>
    <w:rsid w:val="0020782F"/>
    <w:rsid w:val="002079CC"/>
    <w:rsid w:val="00207ABA"/>
    <w:rsid w:val="00207BB0"/>
    <w:rsid w:val="00207D32"/>
    <w:rsid w:val="00207DD6"/>
    <w:rsid w:val="00207E42"/>
    <w:rsid w:val="002101ED"/>
    <w:rsid w:val="0021022C"/>
    <w:rsid w:val="0021033A"/>
    <w:rsid w:val="002103E0"/>
    <w:rsid w:val="002103FF"/>
    <w:rsid w:val="002104FE"/>
    <w:rsid w:val="0021070E"/>
    <w:rsid w:val="00210D22"/>
    <w:rsid w:val="00210FBD"/>
    <w:rsid w:val="00211054"/>
    <w:rsid w:val="002111BC"/>
    <w:rsid w:val="00211331"/>
    <w:rsid w:val="002113B4"/>
    <w:rsid w:val="002114FC"/>
    <w:rsid w:val="00211652"/>
    <w:rsid w:val="002116FB"/>
    <w:rsid w:val="0021174A"/>
    <w:rsid w:val="00211764"/>
    <w:rsid w:val="00211830"/>
    <w:rsid w:val="00211AD8"/>
    <w:rsid w:val="00211B22"/>
    <w:rsid w:val="002121D5"/>
    <w:rsid w:val="002122BE"/>
    <w:rsid w:val="00212346"/>
    <w:rsid w:val="00212374"/>
    <w:rsid w:val="002123A8"/>
    <w:rsid w:val="00212635"/>
    <w:rsid w:val="00212791"/>
    <w:rsid w:val="00212ADB"/>
    <w:rsid w:val="00212CA4"/>
    <w:rsid w:val="00212E8D"/>
    <w:rsid w:val="00212EC6"/>
    <w:rsid w:val="002130C4"/>
    <w:rsid w:val="00213106"/>
    <w:rsid w:val="002132BE"/>
    <w:rsid w:val="002136F5"/>
    <w:rsid w:val="00213780"/>
    <w:rsid w:val="002138DD"/>
    <w:rsid w:val="00213906"/>
    <w:rsid w:val="00213B9C"/>
    <w:rsid w:val="00213D49"/>
    <w:rsid w:val="00213D69"/>
    <w:rsid w:val="00214182"/>
    <w:rsid w:val="002141DB"/>
    <w:rsid w:val="00214278"/>
    <w:rsid w:val="00214323"/>
    <w:rsid w:val="00214533"/>
    <w:rsid w:val="00214BFC"/>
    <w:rsid w:val="00214C57"/>
    <w:rsid w:val="00214CEB"/>
    <w:rsid w:val="00214D63"/>
    <w:rsid w:val="00214FE2"/>
    <w:rsid w:val="00215006"/>
    <w:rsid w:val="0021502F"/>
    <w:rsid w:val="0021505B"/>
    <w:rsid w:val="0021512C"/>
    <w:rsid w:val="002151D8"/>
    <w:rsid w:val="00215283"/>
    <w:rsid w:val="00215286"/>
    <w:rsid w:val="00215334"/>
    <w:rsid w:val="0021537F"/>
    <w:rsid w:val="00215418"/>
    <w:rsid w:val="002154F5"/>
    <w:rsid w:val="00215633"/>
    <w:rsid w:val="00215AF8"/>
    <w:rsid w:val="00215B98"/>
    <w:rsid w:val="002163F3"/>
    <w:rsid w:val="002164CB"/>
    <w:rsid w:val="002164FA"/>
    <w:rsid w:val="0021687E"/>
    <w:rsid w:val="00216A15"/>
    <w:rsid w:val="00216B29"/>
    <w:rsid w:val="00216B79"/>
    <w:rsid w:val="00216C87"/>
    <w:rsid w:val="00216D37"/>
    <w:rsid w:val="00216DA0"/>
    <w:rsid w:val="0021713C"/>
    <w:rsid w:val="002175E8"/>
    <w:rsid w:val="0021781B"/>
    <w:rsid w:val="00217834"/>
    <w:rsid w:val="00217847"/>
    <w:rsid w:val="002178B1"/>
    <w:rsid w:val="00217BEE"/>
    <w:rsid w:val="00217C1A"/>
    <w:rsid w:val="00217F37"/>
    <w:rsid w:val="00217FA1"/>
    <w:rsid w:val="0022007D"/>
    <w:rsid w:val="0022057C"/>
    <w:rsid w:val="0022095B"/>
    <w:rsid w:val="002209C5"/>
    <w:rsid w:val="00220A7A"/>
    <w:rsid w:val="00220AD7"/>
    <w:rsid w:val="00220C22"/>
    <w:rsid w:val="00221276"/>
    <w:rsid w:val="00221317"/>
    <w:rsid w:val="00221322"/>
    <w:rsid w:val="00221564"/>
    <w:rsid w:val="00221728"/>
    <w:rsid w:val="00221A54"/>
    <w:rsid w:val="00221E10"/>
    <w:rsid w:val="00221EC0"/>
    <w:rsid w:val="00221EFA"/>
    <w:rsid w:val="00221F2D"/>
    <w:rsid w:val="00221F41"/>
    <w:rsid w:val="0022205A"/>
    <w:rsid w:val="00222158"/>
    <w:rsid w:val="00222164"/>
    <w:rsid w:val="0022217F"/>
    <w:rsid w:val="002221BE"/>
    <w:rsid w:val="00222230"/>
    <w:rsid w:val="002222BF"/>
    <w:rsid w:val="002223F5"/>
    <w:rsid w:val="00222635"/>
    <w:rsid w:val="0022267A"/>
    <w:rsid w:val="002227FC"/>
    <w:rsid w:val="00222A25"/>
    <w:rsid w:val="00222B52"/>
    <w:rsid w:val="00222EFB"/>
    <w:rsid w:val="00223311"/>
    <w:rsid w:val="0022361F"/>
    <w:rsid w:val="00223696"/>
    <w:rsid w:val="0022383C"/>
    <w:rsid w:val="00223940"/>
    <w:rsid w:val="00223C96"/>
    <w:rsid w:val="00223FDC"/>
    <w:rsid w:val="00224046"/>
    <w:rsid w:val="0022416F"/>
    <w:rsid w:val="002246B3"/>
    <w:rsid w:val="002248A7"/>
    <w:rsid w:val="00224A2D"/>
    <w:rsid w:val="00224A6B"/>
    <w:rsid w:val="00224D1E"/>
    <w:rsid w:val="00224EE2"/>
    <w:rsid w:val="00224F6B"/>
    <w:rsid w:val="0022513C"/>
    <w:rsid w:val="002251AE"/>
    <w:rsid w:val="00225450"/>
    <w:rsid w:val="00225623"/>
    <w:rsid w:val="002259A4"/>
    <w:rsid w:val="00225B94"/>
    <w:rsid w:val="00225F30"/>
    <w:rsid w:val="00225F37"/>
    <w:rsid w:val="0022603D"/>
    <w:rsid w:val="002261DD"/>
    <w:rsid w:val="00226325"/>
    <w:rsid w:val="00226398"/>
    <w:rsid w:val="002264FD"/>
    <w:rsid w:val="002267ED"/>
    <w:rsid w:val="00226ADA"/>
    <w:rsid w:val="00226C5F"/>
    <w:rsid w:val="00226C8C"/>
    <w:rsid w:val="00226CD2"/>
    <w:rsid w:val="00226DCA"/>
    <w:rsid w:val="00226E91"/>
    <w:rsid w:val="00227232"/>
    <w:rsid w:val="002275BB"/>
    <w:rsid w:val="00227665"/>
    <w:rsid w:val="00227822"/>
    <w:rsid w:val="00227AE8"/>
    <w:rsid w:val="00227F27"/>
    <w:rsid w:val="00227FBB"/>
    <w:rsid w:val="00227FEB"/>
    <w:rsid w:val="00230191"/>
    <w:rsid w:val="00230229"/>
    <w:rsid w:val="0023090D"/>
    <w:rsid w:val="0023093B"/>
    <w:rsid w:val="002309D8"/>
    <w:rsid w:val="00230A06"/>
    <w:rsid w:val="00230A90"/>
    <w:rsid w:val="00230B72"/>
    <w:rsid w:val="00230BFB"/>
    <w:rsid w:val="00230C74"/>
    <w:rsid w:val="00230D36"/>
    <w:rsid w:val="00230EC8"/>
    <w:rsid w:val="00231049"/>
    <w:rsid w:val="002310C9"/>
    <w:rsid w:val="00231147"/>
    <w:rsid w:val="002314D2"/>
    <w:rsid w:val="00231564"/>
    <w:rsid w:val="002315E0"/>
    <w:rsid w:val="00231A2E"/>
    <w:rsid w:val="00231A55"/>
    <w:rsid w:val="00231C41"/>
    <w:rsid w:val="00231D90"/>
    <w:rsid w:val="00232022"/>
    <w:rsid w:val="0023238F"/>
    <w:rsid w:val="00232420"/>
    <w:rsid w:val="00232CE4"/>
    <w:rsid w:val="00232D1D"/>
    <w:rsid w:val="00232EAA"/>
    <w:rsid w:val="00232EE3"/>
    <w:rsid w:val="00232FB8"/>
    <w:rsid w:val="0023304C"/>
    <w:rsid w:val="0023305C"/>
    <w:rsid w:val="002336FC"/>
    <w:rsid w:val="00233A64"/>
    <w:rsid w:val="00233A9B"/>
    <w:rsid w:val="00233AC6"/>
    <w:rsid w:val="00233CD8"/>
    <w:rsid w:val="00233F9A"/>
    <w:rsid w:val="00234267"/>
    <w:rsid w:val="00234329"/>
    <w:rsid w:val="002343E4"/>
    <w:rsid w:val="0023443E"/>
    <w:rsid w:val="002345D7"/>
    <w:rsid w:val="00234752"/>
    <w:rsid w:val="00234EFA"/>
    <w:rsid w:val="00235191"/>
    <w:rsid w:val="00235395"/>
    <w:rsid w:val="0023548F"/>
    <w:rsid w:val="00235508"/>
    <w:rsid w:val="0023553B"/>
    <w:rsid w:val="0023563B"/>
    <w:rsid w:val="00235730"/>
    <w:rsid w:val="002358CB"/>
    <w:rsid w:val="0023591C"/>
    <w:rsid w:val="00235A1F"/>
    <w:rsid w:val="00235C36"/>
    <w:rsid w:val="00235CF5"/>
    <w:rsid w:val="00235CFE"/>
    <w:rsid w:val="00235DB2"/>
    <w:rsid w:val="00235E27"/>
    <w:rsid w:val="00235E2C"/>
    <w:rsid w:val="00235E82"/>
    <w:rsid w:val="00235ECD"/>
    <w:rsid w:val="00235F4D"/>
    <w:rsid w:val="0023600C"/>
    <w:rsid w:val="00236100"/>
    <w:rsid w:val="00236183"/>
    <w:rsid w:val="00236427"/>
    <w:rsid w:val="002365AF"/>
    <w:rsid w:val="0023666B"/>
    <w:rsid w:val="0023683A"/>
    <w:rsid w:val="00236864"/>
    <w:rsid w:val="002369B6"/>
    <w:rsid w:val="00236B84"/>
    <w:rsid w:val="00237087"/>
    <w:rsid w:val="002371B5"/>
    <w:rsid w:val="00237319"/>
    <w:rsid w:val="002373EF"/>
    <w:rsid w:val="00237466"/>
    <w:rsid w:val="00237792"/>
    <w:rsid w:val="002378BA"/>
    <w:rsid w:val="002378FE"/>
    <w:rsid w:val="00237BB6"/>
    <w:rsid w:val="00237BE0"/>
    <w:rsid w:val="00237CFA"/>
    <w:rsid w:val="00237D1E"/>
    <w:rsid w:val="00237D4C"/>
    <w:rsid w:val="00237E91"/>
    <w:rsid w:val="00237F30"/>
    <w:rsid w:val="002401AD"/>
    <w:rsid w:val="002406B2"/>
    <w:rsid w:val="0024091D"/>
    <w:rsid w:val="00240A0F"/>
    <w:rsid w:val="00240D2A"/>
    <w:rsid w:val="00240D40"/>
    <w:rsid w:val="00240DBB"/>
    <w:rsid w:val="002410B4"/>
    <w:rsid w:val="0024137A"/>
    <w:rsid w:val="002413B6"/>
    <w:rsid w:val="002413F2"/>
    <w:rsid w:val="0024164B"/>
    <w:rsid w:val="00241881"/>
    <w:rsid w:val="00241A4D"/>
    <w:rsid w:val="00241E7F"/>
    <w:rsid w:val="00242139"/>
    <w:rsid w:val="0024238F"/>
    <w:rsid w:val="00242433"/>
    <w:rsid w:val="002424CC"/>
    <w:rsid w:val="00242589"/>
    <w:rsid w:val="002426E1"/>
    <w:rsid w:val="002426E2"/>
    <w:rsid w:val="002426F3"/>
    <w:rsid w:val="0024273C"/>
    <w:rsid w:val="0024294C"/>
    <w:rsid w:val="00242BD0"/>
    <w:rsid w:val="00242D0F"/>
    <w:rsid w:val="00242D17"/>
    <w:rsid w:val="00242D5C"/>
    <w:rsid w:val="0024304A"/>
    <w:rsid w:val="00243236"/>
    <w:rsid w:val="00243310"/>
    <w:rsid w:val="00243376"/>
    <w:rsid w:val="0024359D"/>
    <w:rsid w:val="00243626"/>
    <w:rsid w:val="002437AA"/>
    <w:rsid w:val="002437D1"/>
    <w:rsid w:val="002437F0"/>
    <w:rsid w:val="00243B14"/>
    <w:rsid w:val="00243D20"/>
    <w:rsid w:val="00243D8B"/>
    <w:rsid w:val="00243E0A"/>
    <w:rsid w:val="0024423F"/>
    <w:rsid w:val="00244487"/>
    <w:rsid w:val="0024451F"/>
    <w:rsid w:val="0024452C"/>
    <w:rsid w:val="002445F9"/>
    <w:rsid w:val="00244611"/>
    <w:rsid w:val="002446A0"/>
    <w:rsid w:val="002446FF"/>
    <w:rsid w:val="0024495A"/>
    <w:rsid w:val="00244B17"/>
    <w:rsid w:val="002451DE"/>
    <w:rsid w:val="00245368"/>
    <w:rsid w:val="002453C6"/>
    <w:rsid w:val="00245593"/>
    <w:rsid w:val="0024578F"/>
    <w:rsid w:val="002457AD"/>
    <w:rsid w:val="00245894"/>
    <w:rsid w:val="0024595E"/>
    <w:rsid w:val="00245ADC"/>
    <w:rsid w:val="00245E26"/>
    <w:rsid w:val="00245EC5"/>
    <w:rsid w:val="00245F42"/>
    <w:rsid w:val="0024608E"/>
    <w:rsid w:val="0024616B"/>
    <w:rsid w:val="002461BA"/>
    <w:rsid w:val="0024626D"/>
    <w:rsid w:val="00246328"/>
    <w:rsid w:val="0024637D"/>
    <w:rsid w:val="0024684E"/>
    <w:rsid w:val="00246A0D"/>
    <w:rsid w:val="00246A69"/>
    <w:rsid w:val="00246DDA"/>
    <w:rsid w:val="00246FAE"/>
    <w:rsid w:val="002471BA"/>
    <w:rsid w:val="002472BA"/>
    <w:rsid w:val="002479E7"/>
    <w:rsid w:val="00247E70"/>
    <w:rsid w:val="0025019E"/>
    <w:rsid w:val="0025021A"/>
    <w:rsid w:val="0025022C"/>
    <w:rsid w:val="00250257"/>
    <w:rsid w:val="00250324"/>
    <w:rsid w:val="00250481"/>
    <w:rsid w:val="00250849"/>
    <w:rsid w:val="00250A24"/>
    <w:rsid w:val="00250A7D"/>
    <w:rsid w:val="00250AEE"/>
    <w:rsid w:val="00250AF6"/>
    <w:rsid w:val="00250CC2"/>
    <w:rsid w:val="00250DA7"/>
    <w:rsid w:val="00250E98"/>
    <w:rsid w:val="00250F87"/>
    <w:rsid w:val="00250FE2"/>
    <w:rsid w:val="00250FEE"/>
    <w:rsid w:val="0025133E"/>
    <w:rsid w:val="00251358"/>
    <w:rsid w:val="0025143E"/>
    <w:rsid w:val="0025178D"/>
    <w:rsid w:val="0025197D"/>
    <w:rsid w:val="00251A38"/>
    <w:rsid w:val="00251ADD"/>
    <w:rsid w:val="00251C06"/>
    <w:rsid w:val="00251C91"/>
    <w:rsid w:val="00251F87"/>
    <w:rsid w:val="002523CA"/>
    <w:rsid w:val="00252524"/>
    <w:rsid w:val="002525AB"/>
    <w:rsid w:val="0025267F"/>
    <w:rsid w:val="002526CB"/>
    <w:rsid w:val="002528E7"/>
    <w:rsid w:val="0025295C"/>
    <w:rsid w:val="002529E4"/>
    <w:rsid w:val="00252BA4"/>
    <w:rsid w:val="00252E69"/>
    <w:rsid w:val="002531CE"/>
    <w:rsid w:val="00253242"/>
    <w:rsid w:val="002533B2"/>
    <w:rsid w:val="002534DB"/>
    <w:rsid w:val="002535ED"/>
    <w:rsid w:val="0025384C"/>
    <w:rsid w:val="00253878"/>
    <w:rsid w:val="00253ACD"/>
    <w:rsid w:val="00253B63"/>
    <w:rsid w:val="00253F28"/>
    <w:rsid w:val="00253F55"/>
    <w:rsid w:val="0025415A"/>
    <w:rsid w:val="002543D8"/>
    <w:rsid w:val="002548D1"/>
    <w:rsid w:val="00254AB6"/>
    <w:rsid w:val="00254C62"/>
    <w:rsid w:val="00254E31"/>
    <w:rsid w:val="00254E72"/>
    <w:rsid w:val="00254F3A"/>
    <w:rsid w:val="0025515B"/>
    <w:rsid w:val="0025532B"/>
    <w:rsid w:val="0025575F"/>
    <w:rsid w:val="0025584F"/>
    <w:rsid w:val="00255885"/>
    <w:rsid w:val="00255941"/>
    <w:rsid w:val="00255A2F"/>
    <w:rsid w:val="00255A4A"/>
    <w:rsid w:val="00255BCD"/>
    <w:rsid w:val="00255CC8"/>
    <w:rsid w:val="00255D86"/>
    <w:rsid w:val="00255D9F"/>
    <w:rsid w:val="00255F01"/>
    <w:rsid w:val="002560C1"/>
    <w:rsid w:val="002560D7"/>
    <w:rsid w:val="002562B6"/>
    <w:rsid w:val="0025632D"/>
    <w:rsid w:val="0025652F"/>
    <w:rsid w:val="002565EC"/>
    <w:rsid w:val="002566FF"/>
    <w:rsid w:val="00256877"/>
    <w:rsid w:val="002568E2"/>
    <w:rsid w:val="00256AA0"/>
    <w:rsid w:val="00256B80"/>
    <w:rsid w:val="00256CFA"/>
    <w:rsid w:val="00256D51"/>
    <w:rsid w:val="00256E0E"/>
    <w:rsid w:val="00256E5A"/>
    <w:rsid w:val="00256F20"/>
    <w:rsid w:val="00257175"/>
    <w:rsid w:val="002571E6"/>
    <w:rsid w:val="00257276"/>
    <w:rsid w:val="0025735C"/>
    <w:rsid w:val="00257436"/>
    <w:rsid w:val="002575E9"/>
    <w:rsid w:val="002576DF"/>
    <w:rsid w:val="00257709"/>
    <w:rsid w:val="002579BF"/>
    <w:rsid w:val="00257B86"/>
    <w:rsid w:val="00257CE1"/>
    <w:rsid w:val="00257E8B"/>
    <w:rsid w:val="002608F1"/>
    <w:rsid w:val="002609AA"/>
    <w:rsid w:val="00260B8F"/>
    <w:rsid w:val="00260D8C"/>
    <w:rsid w:val="00260DDC"/>
    <w:rsid w:val="00260FCA"/>
    <w:rsid w:val="0026100B"/>
    <w:rsid w:val="00261173"/>
    <w:rsid w:val="0026130B"/>
    <w:rsid w:val="002613BC"/>
    <w:rsid w:val="00261604"/>
    <w:rsid w:val="00261787"/>
    <w:rsid w:val="002617CA"/>
    <w:rsid w:val="00261ABD"/>
    <w:rsid w:val="00261BD9"/>
    <w:rsid w:val="00261C03"/>
    <w:rsid w:val="00261C4F"/>
    <w:rsid w:val="00261D4A"/>
    <w:rsid w:val="00261D52"/>
    <w:rsid w:val="00261F82"/>
    <w:rsid w:val="002620F2"/>
    <w:rsid w:val="002621B6"/>
    <w:rsid w:val="002625FD"/>
    <w:rsid w:val="00262719"/>
    <w:rsid w:val="00262796"/>
    <w:rsid w:val="0026285B"/>
    <w:rsid w:val="00262A52"/>
    <w:rsid w:val="00262B31"/>
    <w:rsid w:val="00262BD4"/>
    <w:rsid w:val="00262C08"/>
    <w:rsid w:val="002632B8"/>
    <w:rsid w:val="002635B3"/>
    <w:rsid w:val="00263B6C"/>
    <w:rsid w:val="00263B75"/>
    <w:rsid w:val="00263BCA"/>
    <w:rsid w:val="00263C1C"/>
    <w:rsid w:val="00263C32"/>
    <w:rsid w:val="00263C97"/>
    <w:rsid w:val="00263EB1"/>
    <w:rsid w:val="00264220"/>
    <w:rsid w:val="00264432"/>
    <w:rsid w:val="002645EC"/>
    <w:rsid w:val="002645ED"/>
    <w:rsid w:val="00264718"/>
    <w:rsid w:val="0026496B"/>
    <w:rsid w:val="00264EAF"/>
    <w:rsid w:val="00264F0C"/>
    <w:rsid w:val="00264F16"/>
    <w:rsid w:val="00265004"/>
    <w:rsid w:val="00265051"/>
    <w:rsid w:val="002651C7"/>
    <w:rsid w:val="002654E7"/>
    <w:rsid w:val="00265707"/>
    <w:rsid w:val="00265870"/>
    <w:rsid w:val="0026598C"/>
    <w:rsid w:val="002659EF"/>
    <w:rsid w:val="00265A3B"/>
    <w:rsid w:val="00265E43"/>
    <w:rsid w:val="00265E44"/>
    <w:rsid w:val="00265EF1"/>
    <w:rsid w:val="0026608A"/>
    <w:rsid w:val="00266091"/>
    <w:rsid w:val="00266155"/>
    <w:rsid w:val="002661D4"/>
    <w:rsid w:val="002662BF"/>
    <w:rsid w:val="002663D9"/>
    <w:rsid w:val="002665EF"/>
    <w:rsid w:val="002666E4"/>
    <w:rsid w:val="002667E6"/>
    <w:rsid w:val="0026698A"/>
    <w:rsid w:val="00266E40"/>
    <w:rsid w:val="00266EA6"/>
    <w:rsid w:val="0026702D"/>
    <w:rsid w:val="0026711E"/>
    <w:rsid w:val="00267317"/>
    <w:rsid w:val="002679AD"/>
    <w:rsid w:val="00267C07"/>
    <w:rsid w:val="00267FA8"/>
    <w:rsid w:val="00270003"/>
    <w:rsid w:val="00270032"/>
    <w:rsid w:val="00270162"/>
    <w:rsid w:val="00270479"/>
    <w:rsid w:val="00270491"/>
    <w:rsid w:val="00270523"/>
    <w:rsid w:val="00270822"/>
    <w:rsid w:val="002708A9"/>
    <w:rsid w:val="00270952"/>
    <w:rsid w:val="00270B17"/>
    <w:rsid w:val="00270CDE"/>
    <w:rsid w:val="00270F48"/>
    <w:rsid w:val="0027100E"/>
    <w:rsid w:val="00271271"/>
    <w:rsid w:val="00271330"/>
    <w:rsid w:val="00271373"/>
    <w:rsid w:val="00271389"/>
    <w:rsid w:val="002713C4"/>
    <w:rsid w:val="00271443"/>
    <w:rsid w:val="002715B6"/>
    <w:rsid w:val="0027175B"/>
    <w:rsid w:val="002719CE"/>
    <w:rsid w:val="00271B3A"/>
    <w:rsid w:val="00271B6A"/>
    <w:rsid w:val="00271B89"/>
    <w:rsid w:val="00271D14"/>
    <w:rsid w:val="0027206E"/>
    <w:rsid w:val="0027218F"/>
    <w:rsid w:val="002721F1"/>
    <w:rsid w:val="0027227D"/>
    <w:rsid w:val="00272320"/>
    <w:rsid w:val="00272504"/>
    <w:rsid w:val="00272939"/>
    <w:rsid w:val="00272AA1"/>
    <w:rsid w:val="00272AC4"/>
    <w:rsid w:val="00272BE0"/>
    <w:rsid w:val="00272D60"/>
    <w:rsid w:val="00272D7B"/>
    <w:rsid w:val="002730AF"/>
    <w:rsid w:val="00273226"/>
    <w:rsid w:val="0027327F"/>
    <w:rsid w:val="002732E9"/>
    <w:rsid w:val="00273553"/>
    <w:rsid w:val="0027365F"/>
    <w:rsid w:val="002736DB"/>
    <w:rsid w:val="002737B2"/>
    <w:rsid w:val="00273913"/>
    <w:rsid w:val="00273B3C"/>
    <w:rsid w:val="00273CB7"/>
    <w:rsid w:val="00273CFE"/>
    <w:rsid w:val="00273DA6"/>
    <w:rsid w:val="00273EFE"/>
    <w:rsid w:val="00274335"/>
    <w:rsid w:val="00274368"/>
    <w:rsid w:val="002744D9"/>
    <w:rsid w:val="002746BA"/>
    <w:rsid w:val="002747E8"/>
    <w:rsid w:val="0027481C"/>
    <w:rsid w:val="002748AD"/>
    <w:rsid w:val="0027495B"/>
    <w:rsid w:val="0027496B"/>
    <w:rsid w:val="00274A14"/>
    <w:rsid w:val="00274C8A"/>
    <w:rsid w:val="00274E60"/>
    <w:rsid w:val="00274F5E"/>
    <w:rsid w:val="00275375"/>
    <w:rsid w:val="002754BE"/>
    <w:rsid w:val="0027554E"/>
    <w:rsid w:val="0027571E"/>
    <w:rsid w:val="0027590B"/>
    <w:rsid w:val="00275AA1"/>
    <w:rsid w:val="00275C41"/>
    <w:rsid w:val="00275C7F"/>
    <w:rsid w:val="00275C8A"/>
    <w:rsid w:val="00275EA7"/>
    <w:rsid w:val="00276007"/>
    <w:rsid w:val="002760C3"/>
    <w:rsid w:val="00276519"/>
    <w:rsid w:val="00276531"/>
    <w:rsid w:val="00276A77"/>
    <w:rsid w:val="00276CE1"/>
    <w:rsid w:val="00276F9A"/>
    <w:rsid w:val="002775C4"/>
    <w:rsid w:val="002776DC"/>
    <w:rsid w:val="00277724"/>
    <w:rsid w:val="002777B7"/>
    <w:rsid w:val="002778A3"/>
    <w:rsid w:val="00277A6A"/>
    <w:rsid w:val="00277B4B"/>
    <w:rsid w:val="00277D74"/>
    <w:rsid w:val="00277EB0"/>
    <w:rsid w:val="002801BB"/>
    <w:rsid w:val="00280586"/>
    <w:rsid w:val="00280813"/>
    <w:rsid w:val="00280B21"/>
    <w:rsid w:val="00280C7E"/>
    <w:rsid w:val="00280DBC"/>
    <w:rsid w:val="00280DD9"/>
    <w:rsid w:val="00280E54"/>
    <w:rsid w:val="0028103A"/>
    <w:rsid w:val="00281260"/>
    <w:rsid w:val="0028126D"/>
    <w:rsid w:val="0028131D"/>
    <w:rsid w:val="002813EF"/>
    <w:rsid w:val="0028142E"/>
    <w:rsid w:val="0028159C"/>
    <w:rsid w:val="002816B3"/>
    <w:rsid w:val="00281A14"/>
    <w:rsid w:val="00281A20"/>
    <w:rsid w:val="00281A36"/>
    <w:rsid w:val="00281BCC"/>
    <w:rsid w:val="00281CB7"/>
    <w:rsid w:val="00281D25"/>
    <w:rsid w:val="00281E8D"/>
    <w:rsid w:val="00281ECA"/>
    <w:rsid w:val="00281F73"/>
    <w:rsid w:val="00282382"/>
    <w:rsid w:val="002824C4"/>
    <w:rsid w:val="002824D0"/>
    <w:rsid w:val="00282537"/>
    <w:rsid w:val="00282717"/>
    <w:rsid w:val="002827F9"/>
    <w:rsid w:val="00282917"/>
    <w:rsid w:val="00282991"/>
    <w:rsid w:val="00282A02"/>
    <w:rsid w:val="00282CA6"/>
    <w:rsid w:val="00282CE9"/>
    <w:rsid w:val="00282F74"/>
    <w:rsid w:val="002830C0"/>
    <w:rsid w:val="00283222"/>
    <w:rsid w:val="00283272"/>
    <w:rsid w:val="002832BA"/>
    <w:rsid w:val="002834FF"/>
    <w:rsid w:val="00283583"/>
    <w:rsid w:val="002835F6"/>
    <w:rsid w:val="00283611"/>
    <w:rsid w:val="00283800"/>
    <w:rsid w:val="00283811"/>
    <w:rsid w:val="00283B3C"/>
    <w:rsid w:val="00283B99"/>
    <w:rsid w:val="00283BEE"/>
    <w:rsid w:val="00283E81"/>
    <w:rsid w:val="00283EAD"/>
    <w:rsid w:val="00283F80"/>
    <w:rsid w:val="002840CD"/>
    <w:rsid w:val="00284290"/>
    <w:rsid w:val="0028489F"/>
    <w:rsid w:val="002848E4"/>
    <w:rsid w:val="00284D46"/>
    <w:rsid w:val="00284DB5"/>
    <w:rsid w:val="002850D8"/>
    <w:rsid w:val="00285121"/>
    <w:rsid w:val="00285295"/>
    <w:rsid w:val="002853C9"/>
    <w:rsid w:val="00285479"/>
    <w:rsid w:val="00285953"/>
    <w:rsid w:val="00285969"/>
    <w:rsid w:val="0028598F"/>
    <w:rsid w:val="00285D2C"/>
    <w:rsid w:val="00285DF9"/>
    <w:rsid w:val="002860F5"/>
    <w:rsid w:val="002861DA"/>
    <w:rsid w:val="002862EF"/>
    <w:rsid w:val="0028632D"/>
    <w:rsid w:val="00286350"/>
    <w:rsid w:val="002863AF"/>
    <w:rsid w:val="00286446"/>
    <w:rsid w:val="00286478"/>
    <w:rsid w:val="00286600"/>
    <w:rsid w:val="00286804"/>
    <w:rsid w:val="002868EB"/>
    <w:rsid w:val="0028696A"/>
    <w:rsid w:val="00286A3D"/>
    <w:rsid w:val="00286C1B"/>
    <w:rsid w:val="00286D86"/>
    <w:rsid w:val="00286E4F"/>
    <w:rsid w:val="00286EB1"/>
    <w:rsid w:val="00286F76"/>
    <w:rsid w:val="00287509"/>
    <w:rsid w:val="002875B4"/>
    <w:rsid w:val="00287770"/>
    <w:rsid w:val="00287C27"/>
    <w:rsid w:val="00287D05"/>
    <w:rsid w:val="00287D63"/>
    <w:rsid w:val="00287E09"/>
    <w:rsid w:val="002900B5"/>
    <w:rsid w:val="002900ED"/>
    <w:rsid w:val="00290599"/>
    <w:rsid w:val="002906BD"/>
    <w:rsid w:val="00290950"/>
    <w:rsid w:val="00290E4F"/>
    <w:rsid w:val="00290F39"/>
    <w:rsid w:val="00290F5A"/>
    <w:rsid w:val="00291086"/>
    <w:rsid w:val="002910B1"/>
    <w:rsid w:val="002912DE"/>
    <w:rsid w:val="002912DF"/>
    <w:rsid w:val="00291352"/>
    <w:rsid w:val="00291393"/>
    <w:rsid w:val="002913A2"/>
    <w:rsid w:val="0029145E"/>
    <w:rsid w:val="0029155D"/>
    <w:rsid w:val="002915E0"/>
    <w:rsid w:val="00291935"/>
    <w:rsid w:val="00291AA0"/>
    <w:rsid w:val="00291D0A"/>
    <w:rsid w:val="00291DC7"/>
    <w:rsid w:val="00291DE5"/>
    <w:rsid w:val="00292045"/>
    <w:rsid w:val="0029255B"/>
    <w:rsid w:val="002926BF"/>
    <w:rsid w:val="0029279E"/>
    <w:rsid w:val="002930D3"/>
    <w:rsid w:val="0029316D"/>
    <w:rsid w:val="00293399"/>
    <w:rsid w:val="00293417"/>
    <w:rsid w:val="00293546"/>
    <w:rsid w:val="002936C6"/>
    <w:rsid w:val="00293711"/>
    <w:rsid w:val="00293756"/>
    <w:rsid w:val="002937C3"/>
    <w:rsid w:val="00293888"/>
    <w:rsid w:val="002938E4"/>
    <w:rsid w:val="00293B73"/>
    <w:rsid w:val="00293D69"/>
    <w:rsid w:val="00294239"/>
    <w:rsid w:val="0029433D"/>
    <w:rsid w:val="00294547"/>
    <w:rsid w:val="002946A2"/>
    <w:rsid w:val="00294783"/>
    <w:rsid w:val="002947CA"/>
    <w:rsid w:val="002948AD"/>
    <w:rsid w:val="00294A32"/>
    <w:rsid w:val="00294C16"/>
    <w:rsid w:val="00294CF7"/>
    <w:rsid w:val="00294D13"/>
    <w:rsid w:val="00294F73"/>
    <w:rsid w:val="002951CD"/>
    <w:rsid w:val="00295270"/>
    <w:rsid w:val="002952F4"/>
    <w:rsid w:val="002953D8"/>
    <w:rsid w:val="0029549F"/>
    <w:rsid w:val="002954FB"/>
    <w:rsid w:val="0029561A"/>
    <w:rsid w:val="00295692"/>
    <w:rsid w:val="0029586D"/>
    <w:rsid w:val="00295B30"/>
    <w:rsid w:val="00295B85"/>
    <w:rsid w:val="00295EF9"/>
    <w:rsid w:val="00295EFE"/>
    <w:rsid w:val="00295FAD"/>
    <w:rsid w:val="00296052"/>
    <w:rsid w:val="0029620B"/>
    <w:rsid w:val="0029631B"/>
    <w:rsid w:val="002963DC"/>
    <w:rsid w:val="00296420"/>
    <w:rsid w:val="002964D8"/>
    <w:rsid w:val="0029656A"/>
    <w:rsid w:val="00296ACB"/>
    <w:rsid w:val="00296BB1"/>
    <w:rsid w:val="00296CEF"/>
    <w:rsid w:val="00296DD9"/>
    <w:rsid w:val="00297175"/>
    <w:rsid w:val="002971B3"/>
    <w:rsid w:val="00297216"/>
    <w:rsid w:val="002973AE"/>
    <w:rsid w:val="00297417"/>
    <w:rsid w:val="0029748F"/>
    <w:rsid w:val="00297530"/>
    <w:rsid w:val="00297655"/>
    <w:rsid w:val="002976FD"/>
    <w:rsid w:val="0029789E"/>
    <w:rsid w:val="00297948"/>
    <w:rsid w:val="00297B0F"/>
    <w:rsid w:val="00297E24"/>
    <w:rsid w:val="002A015C"/>
    <w:rsid w:val="002A03FA"/>
    <w:rsid w:val="002A07F0"/>
    <w:rsid w:val="002A089E"/>
    <w:rsid w:val="002A08E2"/>
    <w:rsid w:val="002A0A84"/>
    <w:rsid w:val="002A0D09"/>
    <w:rsid w:val="002A0FF8"/>
    <w:rsid w:val="002A1232"/>
    <w:rsid w:val="002A123E"/>
    <w:rsid w:val="002A131C"/>
    <w:rsid w:val="002A1510"/>
    <w:rsid w:val="002A18A4"/>
    <w:rsid w:val="002A196B"/>
    <w:rsid w:val="002A1A0A"/>
    <w:rsid w:val="002A1B5A"/>
    <w:rsid w:val="002A1CC2"/>
    <w:rsid w:val="002A1E85"/>
    <w:rsid w:val="002A2395"/>
    <w:rsid w:val="002A250B"/>
    <w:rsid w:val="002A2541"/>
    <w:rsid w:val="002A25B8"/>
    <w:rsid w:val="002A27F4"/>
    <w:rsid w:val="002A28E2"/>
    <w:rsid w:val="002A2A89"/>
    <w:rsid w:val="002A2CA2"/>
    <w:rsid w:val="002A2CCC"/>
    <w:rsid w:val="002A2D26"/>
    <w:rsid w:val="002A2D94"/>
    <w:rsid w:val="002A3746"/>
    <w:rsid w:val="002A37A0"/>
    <w:rsid w:val="002A3825"/>
    <w:rsid w:val="002A3EE4"/>
    <w:rsid w:val="002A42A2"/>
    <w:rsid w:val="002A4301"/>
    <w:rsid w:val="002A439D"/>
    <w:rsid w:val="002A43B7"/>
    <w:rsid w:val="002A4483"/>
    <w:rsid w:val="002A46C6"/>
    <w:rsid w:val="002A48BA"/>
    <w:rsid w:val="002A48E0"/>
    <w:rsid w:val="002A4B00"/>
    <w:rsid w:val="002A4B97"/>
    <w:rsid w:val="002A4BCF"/>
    <w:rsid w:val="002A4DBB"/>
    <w:rsid w:val="002A5001"/>
    <w:rsid w:val="002A5189"/>
    <w:rsid w:val="002A53BC"/>
    <w:rsid w:val="002A54C7"/>
    <w:rsid w:val="002A5548"/>
    <w:rsid w:val="002A56F6"/>
    <w:rsid w:val="002A5779"/>
    <w:rsid w:val="002A5888"/>
    <w:rsid w:val="002A58FB"/>
    <w:rsid w:val="002A59F9"/>
    <w:rsid w:val="002A5B38"/>
    <w:rsid w:val="002A5CA4"/>
    <w:rsid w:val="002A5D67"/>
    <w:rsid w:val="002A5E0B"/>
    <w:rsid w:val="002A5E54"/>
    <w:rsid w:val="002A5F15"/>
    <w:rsid w:val="002A5F60"/>
    <w:rsid w:val="002A5F71"/>
    <w:rsid w:val="002A608D"/>
    <w:rsid w:val="002A64A0"/>
    <w:rsid w:val="002A658D"/>
    <w:rsid w:val="002A664B"/>
    <w:rsid w:val="002A6692"/>
    <w:rsid w:val="002A66EB"/>
    <w:rsid w:val="002A66FF"/>
    <w:rsid w:val="002A6765"/>
    <w:rsid w:val="002A683B"/>
    <w:rsid w:val="002A68E5"/>
    <w:rsid w:val="002A6A23"/>
    <w:rsid w:val="002A6A63"/>
    <w:rsid w:val="002A6BB9"/>
    <w:rsid w:val="002A7015"/>
    <w:rsid w:val="002A7330"/>
    <w:rsid w:val="002A73BE"/>
    <w:rsid w:val="002A7453"/>
    <w:rsid w:val="002A74EF"/>
    <w:rsid w:val="002A75DB"/>
    <w:rsid w:val="002A77A5"/>
    <w:rsid w:val="002A7A31"/>
    <w:rsid w:val="002A7BF7"/>
    <w:rsid w:val="002A7C8A"/>
    <w:rsid w:val="002A7DD0"/>
    <w:rsid w:val="002A7ED2"/>
    <w:rsid w:val="002A7F5E"/>
    <w:rsid w:val="002A7F86"/>
    <w:rsid w:val="002B0015"/>
    <w:rsid w:val="002B006E"/>
    <w:rsid w:val="002B014B"/>
    <w:rsid w:val="002B0280"/>
    <w:rsid w:val="002B02A2"/>
    <w:rsid w:val="002B03CA"/>
    <w:rsid w:val="002B0507"/>
    <w:rsid w:val="002B059E"/>
    <w:rsid w:val="002B07BA"/>
    <w:rsid w:val="002B0AEA"/>
    <w:rsid w:val="002B0B85"/>
    <w:rsid w:val="002B0BA1"/>
    <w:rsid w:val="002B0BEA"/>
    <w:rsid w:val="002B0CCA"/>
    <w:rsid w:val="002B0DAC"/>
    <w:rsid w:val="002B0F51"/>
    <w:rsid w:val="002B1062"/>
    <w:rsid w:val="002B114D"/>
    <w:rsid w:val="002B1349"/>
    <w:rsid w:val="002B145A"/>
    <w:rsid w:val="002B175D"/>
    <w:rsid w:val="002B17FF"/>
    <w:rsid w:val="002B18F1"/>
    <w:rsid w:val="002B1CC9"/>
    <w:rsid w:val="002B2082"/>
    <w:rsid w:val="002B2198"/>
    <w:rsid w:val="002B23CA"/>
    <w:rsid w:val="002B23FD"/>
    <w:rsid w:val="002B25D8"/>
    <w:rsid w:val="002B262A"/>
    <w:rsid w:val="002B2748"/>
    <w:rsid w:val="002B2952"/>
    <w:rsid w:val="002B2B35"/>
    <w:rsid w:val="002B2C40"/>
    <w:rsid w:val="002B2D32"/>
    <w:rsid w:val="002B2D93"/>
    <w:rsid w:val="002B2FDC"/>
    <w:rsid w:val="002B33F6"/>
    <w:rsid w:val="002B3412"/>
    <w:rsid w:val="002B3425"/>
    <w:rsid w:val="002B3468"/>
    <w:rsid w:val="002B3730"/>
    <w:rsid w:val="002B3829"/>
    <w:rsid w:val="002B3F40"/>
    <w:rsid w:val="002B41E5"/>
    <w:rsid w:val="002B461C"/>
    <w:rsid w:val="002B46D1"/>
    <w:rsid w:val="002B49AB"/>
    <w:rsid w:val="002B4B25"/>
    <w:rsid w:val="002B4D5D"/>
    <w:rsid w:val="002B502B"/>
    <w:rsid w:val="002B5064"/>
    <w:rsid w:val="002B5252"/>
    <w:rsid w:val="002B5322"/>
    <w:rsid w:val="002B58B9"/>
    <w:rsid w:val="002B5D53"/>
    <w:rsid w:val="002B5DE3"/>
    <w:rsid w:val="002B61FD"/>
    <w:rsid w:val="002B623B"/>
    <w:rsid w:val="002B637D"/>
    <w:rsid w:val="002B64EF"/>
    <w:rsid w:val="002B6673"/>
    <w:rsid w:val="002B68F8"/>
    <w:rsid w:val="002B692F"/>
    <w:rsid w:val="002B6A93"/>
    <w:rsid w:val="002B6B82"/>
    <w:rsid w:val="002B6CE3"/>
    <w:rsid w:val="002B6D96"/>
    <w:rsid w:val="002B6DA8"/>
    <w:rsid w:val="002B6EC7"/>
    <w:rsid w:val="002B7085"/>
    <w:rsid w:val="002B7158"/>
    <w:rsid w:val="002B763C"/>
    <w:rsid w:val="002B78EB"/>
    <w:rsid w:val="002B7964"/>
    <w:rsid w:val="002B7B48"/>
    <w:rsid w:val="002B7BC8"/>
    <w:rsid w:val="002B7C2D"/>
    <w:rsid w:val="002B7F3C"/>
    <w:rsid w:val="002B7FA9"/>
    <w:rsid w:val="002C01EF"/>
    <w:rsid w:val="002C0326"/>
    <w:rsid w:val="002C06C0"/>
    <w:rsid w:val="002C0789"/>
    <w:rsid w:val="002C0AD6"/>
    <w:rsid w:val="002C0B72"/>
    <w:rsid w:val="002C0B83"/>
    <w:rsid w:val="002C0C38"/>
    <w:rsid w:val="002C0D63"/>
    <w:rsid w:val="002C0EF8"/>
    <w:rsid w:val="002C0F0B"/>
    <w:rsid w:val="002C0F9F"/>
    <w:rsid w:val="002C100E"/>
    <w:rsid w:val="002C13AB"/>
    <w:rsid w:val="002C1404"/>
    <w:rsid w:val="002C16C7"/>
    <w:rsid w:val="002C16E9"/>
    <w:rsid w:val="002C1786"/>
    <w:rsid w:val="002C17CF"/>
    <w:rsid w:val="002C1888"/>
    <w:rsid w:val="002C1914"/>
    <w:rsid w:val="002C1932"/>
    <w:rsid w:val="002C1A03"/>
    <w:rsid w:val="002C1AAC"/>
    <w:rsid w:val="002C1AF4"/>
    <w:rsid w:val="002C1BA5"/>
    <w:rsid w:val="002C1CDC"/>
    <w:rsid w:val="002C1F5A"/>
    <w:rsid w:val="002C22EF"/>
    <w:rsid w:val="002C23E4"/>
    <w:rsid w:val="002C2402"/>
    <w:rsid w:val="002C2475"/>
    <w:rsid w:val="002C26C7"/>
    <w:rsid w:val="002C272E"/>
    <w:rsid w:val="002C2951"/>
    <w:rsid w:val="002C2A1E"/>
    <w:rsid w:val="002C2A93"/>
    <w:rsid w:val="002C2D73"/>
    <w:rsid w:val="002C30A0"/>
    <w:rsid w:val="002C31AA"/>
    <w:rsid w:val="002C327C"/>
    <w:rsid w:val="002C3611"/>
    <w:rsid w:val="002C3672"/>
    <w:rsid w:val="002C36AD"/>
    <w:rsid w:val="002C36FF"/>
    <w:rsid w:val="002C39E9"/>
    <w:rsid w:val="002C3AC2"/>
    <w:rsid w:val="002C3D13"/>
    <w:rsid w:val="002C410A"/>
    <w:rsid w:val="002C41D3"/>
    <w:rsid w:val="002C41F3"/>
    <w:rsid w:val="002C42B1"/>
    <w:rsid w:val="002C42B4"/>
    <w:rsid w:val="002C448E"/>
    <w:rsid w:val="002C47E8"/>
    <w:rsid w:val="002C4A0C"/>
    <w:rsid w:val="002C4A93"/>
    <w:rsid w:val="002C4D25"/>
    <w:rsid w:val="002C4E3B"/>
    <w:rsid w:val="002C531E"/>
    <w:rsid w:val="002C535C"/>
    <w:rsid w:val="002C55C8"/>
    <w:rsid w:val="002C56AA"/>
    <w:rsid w:val="002C57F3"/>
    <w:rsid w:val="002C5856"/>
    <w:rsid w:val="002C5A19"/>
    <w:rsid w:val="002C5B88"/>
    <w:rsid w:val="002C5C19"/>
    <w:rsid w:val="002C5E29"/>
    <w:rsid w:val="002C5F7B"/>
    <w:rsid w:val="002C5FC3"/>
    <w:rsid w:val="002C61B0"/>
    <w:rsid w:val="002C641E"/>
    <w:rsid w:val="002C646F"/>
    <w:rsid w:val="002C665E"/>
    <w:rsid w:val="002C68A0"/>
    <w:rsid w:val="002C6A2C"/>
    <w:rsid w:val="002C6AE5"/>
    <w:rsid w:val="002C6CDC"/>
    <w:rsid w:val="002C6E17"/>
    <w:rsid w:val="002C6E44"/>
    <w:rsid w:val="002C710A"/>
    <w:rsid w:val="002C7194"/>
    <w:rsid w:val="002C73A6"/>
    <w:rsid w:val="002C75C5"/>
    <w:rsid w:val="002C76C2"/>
    <w:rsid w:val="002C76DC"/>
    <w:rsid w:val="002C79BE"/>
    <w:rsid w:val="002C79E1"/>
    <w:rsid w:val="002C7D69"/>
    <w:rsid w:val="002C7E51"/>
    <w:rsid w:val="002C7FBF"/>
    <w:rsid w:val="002D00C3"/>
    <w:rsid w:val="002D0203"/>
    <w:rsid w:val="002D0258"/>
    <w:rsid w:val="002D03AA"/>
    <w:rsid w:val="002D050B"/>
    <w:rsid w:val="002D059A"/>
    <w:rsid w:val="002D059E"/>
    <w:rsid w:val="002D0617"/>
    <w:rsid w:val="002D091E"/>
    <w:rsid w:val="002D0955"/>
    <w:rsid w:val="002D0B88"/>
    <w:rsid w:val="002D0C8F"/>
    <w:rsid w:val="002D0D43"/>
    <w:rsid w:val="002D0ED2"/>
    <w:rsid w:val="002D1077"/>
    <w:rsid w:val="002D1268"/>
    <w:rsid w:val="002D15EE"/>
    <w:rsid w:val="002D1965"/>
    <w:rsid w:val="002D19BE"/>
    <w:rsid w:val="002D1BE8"/>
    <w:rsid w:val="002D1D7A"/>
    <w:rsid w:val="002D1DAC"/>
    <w:rsid w:val="002D1E89"/>
    <w:rsid w:val="002D1E8F"/>
    <w:rsid w:val="002D2002"/>
    <w:rsid w:val="002D217A"/>
    <w:rsid w:val="002D227C"/>
    <w:rsid w:val="002D2564"/>
    <w:rsid w:val="002D258A"/>
    <w:rsid w:val="002D260C"/>
    <w:rsid w:val="002D2918"/>
    <w:rsid w:val="002D2977"/>
    <w:rsid w:val="002D2C9E"/>
    <w:rsid w:val="002D2D66"/>
    <w:rsid w:val="002D2D8D"/>
    <w:rsid w:val="002D2F35"/>
    <w:rsid w:val="002D3355"/>
    <w:rsid w:val="002D3365"/>
    <w:rsid w:val="002D33B5"/>
    <w:rsid w:val="002D3912"/>
    <w:rsid w:val="002D3C54"/>
    <w:rsid w:val="002D3ED8"/>
    <w:rsid w:val="002D4006"/>
    <w:rsid w:val="002D481C"/>
    <w:rsid w:val="002D4B83"/>
    <w:rsid w:val="002D4C77"/>
    <w:rsid w:val="002D4DC2"/>
    <w:rsid w:val="002D4F4E"/>
    <w:rsid w:val="002D511D"/>
    <w:rsid w:val="002D56A4"/>
    <w:rsid w:val="002D5AA0"/>
    <w:rsid w:val="002D5AA7"/>
    <w:rsid w:val="002D5B3A"/>
    <w:rsid w:val="002D5CD7"/>
    <w:rsid w:val="002D618A"/>
    <w:rsid w:val="002D630C"/>
    <w:rsid w:val="002D6799"/>
    <w:rsid w:val="002D690E"/>
    <w:rsid w:val="002D6E9E"/>
    <w:rsid w:val="002D6EE7"/>
    <w:rsid w:val="002D72B4"/>
    <w:rsid w:val="002D74DD"/>
    <w:rsid w:val="002D76EC"/>
    <w:rsid w:val="002D7715"/>
    <w:rsid w:val="002D771B"/>
    <w:rsid w:val="002D7724"/>
    <w:rsid w:val="002D774A"/>
    <w:rsid w:val="002D7B01"/>
    <w:rsid w:val="002D7B87"/>
    <w:rsid w:val="002D7E62"/>
    <w:rsid w:val="002D7F3E"/>
    <w:rsid w:val="002E00CB"/>
    <w:rsid w:val="002E019D"/>
    <w:rsid w:val="002E0392"/>
    <w:rsid w:val="002E057A"/>
    <w:rsid w:val="002E05B3"/>
    <w:rsid w:val="002E073F"/>
    <w:rsid w:val="002E07C2"/>
    <w:rsid w:val="002E0A9D"/>
    <w:rsid w:val="002E0CD5"/>
    <w:rsid w:val="002E0D03"/>
    <w:rsid w:val="002E0E6C"/>
    <w:rsid w:val="002E0FC9"/>
    <w:rsid w:val="002E107F"/>
    <w:rsid w:val="002E10D7"/>
    <w:rsid w:val="002E117E"/>
    <w:rsid w:val="002E145C"/>
    <w:rsid w:val="002E1603"/>
    <w:rsid w:val="002E162E"/>
    <w:rsid w:val="002E1657"/>
    <w:rsid w:val="002E18E1"/>
    <w:rsid w:val="002E1C19"/>
    <w:rsid w:val="002E1CD8"/>
    <w:rsid w:val="002E1E52"/>
    <w:rsid w:val="002E1F85"/>
    <w:rsid w:val="002E1FB6"/>
    <w:rsid w:val="002E20BA"/>
    <w:rsid w:val="002E2127"/>
    <w:rsid w:val="002E21F1"/>
    <w:rsid w:val="002E2372"/>
    <w:rsid w:val="002E237F"/>
    <w:rsid w:val="002E240A"/>
    <w:rsid w:val="002E2444"/>
    <w:rsid w:val="002E24E7"/>
    <w:rsid w:val="002E2510"/>
    <w:rsid w:val="002E288C"/>
    <w:rsid w:val="002E2B30"/>
    <w:rsid w:val="002E3023"/>
    <w:rsid w:val="002E30C0"/>
    <w:rsid w:val="002E3118"/>
    <w:rsid w:val="002E3719"/>
    <w:rsid w:val="002E3763"/>
    <w:rsid w:val="002E3952"/>
    <w:rsid w:val="002E3A7F"/>
    <w:rsid w:val="002E3FF0"/>
    <w:rsid w:val="002E4228"/>
    <w:rsid w:val="002E438C"/>
    <w:rsid w:val="002E4513"/>
    <w:rsid w:val="002E454C"/>
    <w:rsid w:val="002E458A"/>
    <w:rsid w:val="002E46F6"/>
    <w:rsid w:val="002E4723"/>
    <w:rsid w:val="002E4943"/>
    <w:rsid w:val="002E4E8A"/>
    <w:rsid w:val="002E52F2"/>
    <w:rsid w:val="002E57F1"/>
    <w:rsid w:val="002E58C4"/>
    <w:rsid w:val="002E5B6D"/>
    <w:rsid w:val="002E616A"/>
    <w:rsid w:val="002E6250"/>
    <w:rsid w:val="002E6497"/>
    <w:rsid w:val="002E64D4"/>
    <w:rsid w:val="002E65A5"/>
    <w:rsid w:val="002E6CCC"/>
    <w:rsid w:val="002E6F3E"/>
    <w:rsid w:val="002E6FB6"/>
    <w:rsid w:val="002E70B9"/>
    <w:rsid w:val="002E7103"/>
    <w:rsid w:val="002E726D"/>
    <w:rsid w:val="002E7371"/>
    <w:rsid w:val="002E74D5"/>
    <w:rsid w:val="002E7656"/>
    <w:rsid w:val="002E7A51"/>
    <w:rsid w:val="002F00F4"/>
    <w:rsid w:val="002F03F4"/>
    <w:rsid w:val="002F06FF"/>
    <w:rsid w:val="002F087D"/>
    <w:rsid w:val="002F08AE"/>
    <w:rsid w:val="002F08E7"/>
    <w:rsid w:val="002F0BC1"/>
    <w:rsid w:val="002F0C14"/>
    <w:rsid w:val="002F0E4A"/>
    <w:rsid w:val="002F0F28"/>
    <w:rsid w:val="002F11A9"/>
    <w:rsid w:val="002F11AE"/>
    <w:rsid w:val="002F13DE"/>
    <w:rsid w:val="002F16D5"/>
    <w:rsid w:val="002F1E7B"/>
    <w:rsid w:val="002F1ED4"/>
    <w:rsid w:val="002F215F"/>
    <w:rsid w:val="002F2458"/>
    <w:rsid w:val="002F2580"/>
    <w:rsid w:val="002F2623"/>
    <w:rsid w:val="002F26A5"/>
    <w:rsid w:val="002F2748"/>
    <w:rsid w:val="002F2973"/>
    <w:rsid w:val="002F2C11"/>
    <w:rsid w:val="002F2E0D"/>
    <w:rsid w:val="002F2F36"/>
    <w:rsid w:val="002F317C"/>
    <w:rsid w:val="002F3424"/>
    <w:rsid w:val="002F34A6"/>
    <w:rsid w:val="002F3523"/>
    <w:rsid w:val="002F36A1"/>
    <w:rsid w:val="002F388A"/>
    <w:rsid w:val="002F38A7"/>
    <w:rsid w:val="002F3C6F"/>
    <w:rsid w:val="002F3DB9"/>
    <w:rsid w:val="002F3F58"/>
    <w:rsid w:val="002F3F7E"/>
    <w:rsid w:val="002F3FFE"/>
    <w:rsid w:val="002F41D3"/>
    <w:rsid w:val="002F42B8"/>
    <w:rsid w:val="002F42DE"/>
    <w:rsid w:val="002F4479"/>
    <w:rsid w:val="002F44E1"/>
    <w:rsid w:val="002F4605"/>
    <w:rsid w:val="002F460C"/>
    <w:rsid w:val="002F4738"/>
    <w:rsid w:val="002F4A11"/>
    <w:rsid w:val="002F4A17"/>
    <w:rsid w:val="002F4AAF"/>
    <w:rsid w:val="002F4ACF"/>
    <w:rsid w:val="002F4BBF"/>
    <w:rsid w:val="002F4BDB"/>
    <w:rsid w:val="002F4CA0"/>
    <w:rsid w:val="002F50F9"/>
    <w:rsid w:val="002F511E"/>
    <w:rsid w:val="002F5125"/>
    <w:rsid w:val="002F51B2"/>
    <w:rsid w:val="002F52D9"/>
    <w:rsid w:val="002F5324"/>
    <w:rsid w:val="002F5383"/>
    <w:rsid w:val="002F53E9"/>
    <w:rsid w:val="002F5528"/>
    <w:rsid w:val="002F5643"/>
    <w:rsid w:val="002F59D2"/>
    <w:rsid w:val="002F5A16"/>
    <w:rsid w:val="002F5B7D"/>
    <w:rsid w:val="002F5B9B"/>
    <w:rsid w:val="002F5C9A"/>
    <w:rsid w:val="002F5D1C"/>
    <w:rsid w:val="002F5DD9"/>
    <w:rsid w:val="002F5F42"/>
    <w:rsid w:val="002F6014"/>
    <w:rsid w:val="002F617F"/>
    <w:rsid w:val="002F635E"/>
    <w:rsid w:val="002F6527"/>
    <w:rsid w:val="002F65C4"/>
    <w:rsid w:val="002F65ED"/>
    <w:rsid w:val="002F6878"/>
    <w:rsid w:val="002F697D"/>
    <w:rsid w:val="002F6AB0"/>
    <w:rsid w:val="002F6CFA"/>
    <w:rsid w:val="002F7217"/>
    <w:rsid w:val="002F7223"/>
    <w:rsid w:val="002F7465"/>
    <w:rsid w:val="002F7712"/>
    <w:rsid w:val="002F7716"/>
    <w:rsid w:val="002F7792"/>
    <w:rsid w:val="002F7896"/>
    <w:rsid w:val="002F7A80"/>
    <w:rsid w:val="002F7B51"/>
    <w:rsid w:val="002F7F55"/>
    <w:rsid w:val="002F7FEF"/>
    <w:rsid w:val="0030005C"/>
    <w:rsid w:val="00300109"/>
    <w:rsid w:val="003002D0"/>
    <w:rsid w:val="00300319"/>
    <w:rsid w:val="00300441"/>
    <w:rsid w:val="00300B2A"/>
    <w:rsid w:val="00300CB2"/>
    <w:rsid w:val="00300D7C"/>
    <w:rsid w:val="00300DDF"/>
    <w:rsid w:val="00300EF9"/>
    <w:rsid w:val="00300EFE"/>
    <w:rsid w:val="00300FAB"/>
    <w:rsid w:val="0030107D"/>
    <w:rsid w:val="00301141"/>
    <w:rsid w:val="003011F9"/>
    <w:rsid w:val="00301211"/>
    <w:rsid w:val="003013E2"/>
    <w:rsid w:val="003015CE"/>
    <w:rsid w:val="00301755"/>
    <w:rsid w:val="003017D4"/>
    <w:rsid w:val="003017FB"/>
    <w:rsid w:val="0030183A"/>
    <w:rsid w:val="00301938"/>
    <w:rsid w:val="00301A9F"/>
    <w:rsid w:val="00301B9A"/>
    <w:rsid w:val="00301DA5"/>
    <w:rsid w:val="003020C4"/>
    <w:rsid w:val="0030215A"/>
    <w:rsid w:val="00302269"/>
    <w:rsid w:val="003024E9"/>
    <w:rsid w:val="003027DA"/>
    <w:rsid w:val="003027FE"/>
    <w:rsid w:val="00302BAE"/>
    <w:rsid w:val="00302E81"/>
    <w:rsid w:val="00302F42"/>
    <w:rsid w:val="0030361F"/>
    <w:rsid w:val="0030368A"/>
    <w:rsid w:val="003036B5"/>
    <w:rsid w:val="003036BF"/>
    <w:rsid w:val="00303868"/>
    <w:rsid w:val="00303A80"/>
    <w:rsid w:val="00303C83"/>
    <w:rsid w:val="00303D22"/>
    <w:rsid w:val="00304415"/>
    <w:rsid w:val="0030468E"/>
    <w:rsid w:val="003047CB"/>
    <w:rsid w:val="00304951"/>
    <w:rsid w:val="00304B30"/>
    <w:rsid w:val="00304BE0"/>
    <w:rsid w:val="00304E36"/>
    <w:rsid w:val="003056BB"/>
    <w:rsid w:val="003056E5"/>
    <w:rsid w:val="00305847"/>
    <w:rsid w:val="003058B3"/>
    <w:rsid w:val="00305B60"/>
    <w:rsid w:val="00305CCA"/>
    <w:rsid w:val="0030600E"/>
    <w:rsid w:val="00306329"/>
    <w:rsid w:val="0030665E"/>
    <w:rsid w:val="003066B8"/>
    <w:rsid w:val="003067BB"/>
    <w:rsid w:val="00306894"/>
    <w:rsid w:val="003068C1"/>
    <w:rsid w:val="00306AB0"/>
    <w:rsid w:val="00306BC5"/>
    <w:rsid w:val="00306C0B"/>
    <w:rsid w:val="00306DE9"/>
    <w:rsid w:val="0030707F"/>
    <w:rsid w:val="00307089"/>
    <w:rsid w:val="003072DE"/>
    <w:rsid w:val="003074FE"/>
    <w:rsid w:val="003077B0"/>
    <w:rsid w:val="0030785A"/>
    <w:rsid w:val="003078A5"/>
    <w:rsid w:val="00307949"/>
    <w:rsid w:val="00307B24"/>
    <w:rsid w:val="00307B7E"/>
    <w:rsid w:val="00307EEA"/>
    <w:rsid w:val="00310066"/>
    <w:rsid w:val="0031073D"/>
    <w:rsid w:val="00310A89"/>
    <w:rsid w:val="00310CBE"/>
    <w:rsid w:val="00310DB8"/>
    <w:rsid w:val="00310EA6"/>
    <w:rsid w:val="0031105C"/>
    <w:rsid w:val="00311176"/>
    <w:rsid w:val="00311273"/>
    <w:rsid w:val="00311744"/>
    <w:rsid w:val="003118B2"/>
    <w:rsid w:val="00311A06"/>
    <w:rsid w:val="00311B9A"/>
    <w:rsid w:val="00311BA6"/>
    <w:rsid w:val="00311CEF"/>
    <w:rsid w:val="00311CF8"/>
    <w:rsid w:val="00311D95"/>
    <w:rsid w:val="003122C0"/>
    <w:rsid w:val="003122F4"/>
    <w:rsid w:val="00312359"/>
    <w:rsid w:val="003126AB"/>
    <w:rsid w:val="00312706"/>
    <w:rsid w:val="003127A4"/>
    <w:rsid w:val="00312BA3"/>
    <w:rsid w:val="00312D09"/>
    <w:rsid w:val="00312E28"/>
    <w:rsid w:val="00312F78"/>
    <w:rsid w:val="0031301D"/>
    <w:rsid w:val="0031331B"/>
    <w:rsid w:val="00313746"/>
    <w:rsid w:val="0031385E"/>
    <w:rsid w:val="00313A19"/>
    <w:rsid w:val="00313B44"/>
    <w:rsid w:val="00313BBD"/>
    <w:rsid w:val="00313BD5"/>
    <w:rsid w:val="00313CA5"/>
    <w:rsid w:val="00313D55"/>
    <w:rsid w:val="00313E82"/>
    <w:rsid w:val="00313FFB"/>
    <w:rsid w:val="0031422D"/>
    <w:rsid w:val="0031429D"/>
    <w:rsid w:val="003143D4"/>
    <w:rsid w:val="003149B5"/>
    <w:rsid w:val="00314A84"/>
    <w:rsid w:val="00314D44"/>
    <w:rsid w:val="00314DDE"/>
    <w:rsid w:val="00314DE5"/>
    <w:rsid w:val="00314FA9"/>
    <w:rsid w:val="003150DA"/>
    <w:rsid w:val="003150E6"/>
    <w:rsid w:val="00315395"/>
    <w:rsid w:val="003154D4"/>
    <w:rsid w:val="003156E6"/>
    <w:rsid w:val="0031574B"/>
    <w:rsid w:val="003157C7"/>
    <w:rsid w:val="003157F3"/>
    <w:rsid w:val="003157FB"/>
    <w:rsid w:val="00315A30"/>
    <w:rsid w:val="00315D4A"/>
    <w:rsid w:val="00315D98"/>
    <w:rsid w:val="003160C7"/>
    <w:rsid w:val="00316243"/>
    <w:rsid w:val="003162F8"/>
    <w:rsid w:val="003166D4"/>
    <w:rsid w:val="00316729"/>
    <w:rsid w:val="00316855"/>
    <w:rsid w:val="00316A4C"/>
    <w:rsid w:val="00316A96"/>
    <w:rsid w:val="00316FAF"/>
    <w:rsid w:val="00316FC7"/>
    <w:rsid w:val="00317293"/>
    <w:rsid w:val="0031749E"/>
    <w:rsid w:val="0031751C"/>
    <w:rsid w:val="00317630"/>
    <w:rsid w:val="00317A76"/>
    <w:rsid w:val="00317BB8"/>
    <w:rsid w:val="00317CFF"/>
    <w:rsid w:val="00317F48"/>
    <w:rsid w:val="003200F8"/>
    <w:rsid w:val="00320169"/>
    <w:rsid w:val="0032022A"/>
    <w:rsid w:val="00320342"/>
    <w:rsid w:val="003204D8"/>
    <w:rsid w:val="0032070B"/>
    <w:rsid w:val="00320C11"/>
    <w:rsid w:val="00320CA0"/>
    <w:rsid w:val="00320DDF"/>
    <w:rsid w:val="00320E0F"/>
    <w:rsid w:val="00321000"/>
    <w:rsid w:val="0032105E"/>
    <w:rsid w:val="00321555"/>
    <w:rsid w:val="00321573"/>
    <w:rsid w:val="0032157D"/>
    <w:rsid w:val="0032169A"/>
    <w:rsid w:val="003216DC"/>
    <w:rsid w:val="00321E11"/>
    <w:rsid w:val="00321E41"/>
    <w:rsid w:val="00321E8B"/>
    <w:rsid w:val="00321F09"/>
    <w:rsid w:val="00321FB6"/>
    <w:rsid w:val="00321FC4"/>
    <w:rsid w:val="00322137"/>
    <w:rsid w:val="00322261"/>
    <w:rsid w:val="0032235C"/>
    <w:rsid w:val="0032252D"/>
    <w:rsid w:val="0032266A"/>
    <w:rsid w:val="003227A5"/>
    <w:rsid w:val="003229D1"/>
    <w:rsid w:val="00322A31"/>
    <w:rsid w:val="00322B3E"/>
    <w:rsid w:val="00322DE7"/>
    <w:rsid w:val="00322E66"/>
    <w:rsid w:val="00322FBE"/>
    <w:rsid w:val="0032305C"/>
    <w:rsid w:val="00323278"/>
    <w:rsid w:val="003236E5"/>
    <w:rsid w:val="0032381C"/>
    <w:rsid w:val="00323843"/>
    <w:rsid w:val="00323861"/>
    <w:rsid w:val="00323883"/>
    <w:rsid w:val="00323917"/>
    <w:rsid w:val="00323D35"/>
    <w:rsid w:val="00323D55"/>
    <w:rsid w:val="00323D83"/>
    <w:rsid w:val="00323E87"/>
    <w:rsid w:val="003243F5"/>
    <w:rsid w:val="003246C1"/>
    <w:rsid w:val="003249BA"/>
    <w:rsid w:val="00324C07"/>
    <w:rsid w:val="00324D8B"/>
    <w:rsid w:val="0032505E"/>
    <w:rsid w:val="003252AE"/>
    <w:rsid w:val="003253F9"/>
    <w:rsid w:val="00325474"/>
    <w:rsid w:val="003257D8"/>
    <w:rsid w:val="003258C0"/>
    <w:rsid w:val="003258D4"/>
    <w:rsid w:val="003259A3"/>
    <w:rsid w:val="00325AB3"/>
    <w:rsid w:val="00325C65"/>
    <w:rsid w:val="00325C8F"/>
    <w:rsid w:val="00325CFC"/>
    <w:rsid w:val="00325DAF"/>
    <w:rsid w:val="00325F7B"/>
    <w:rsid w:val="0032600A"/>
    <w:rsid w:val="0032621F"/>
    <w:rsid w:val="00326466"/>
    <w:rsid w:val="003264DC"/>
    <w:rsid w:val="0032678B"/>
    <w:rsid w:val="003267F1"/>
    <w:rsid w:val="003268D5"/>
    <w:rsid w:val="00326920"/>
    <w:rsid w:val="0032693D"/>
    <w:rsid w:val="0032696A"/>
    <w:rsid w:val="00326F68"/>
    <w:rsid w:val="00327131"/>
    <w:rsid w:val="0032730E"/>
    <w:rsid w:val="00327994"/>
    <w:rsid w:val="00327B06"/>
    <w:rsid w:val="00327C67"/>
    <w:rsid w:val="00327DD4"/>
    <w:rsid w:val="00327E6D"/>
    <w:rsid w:val="00327F91"/>
    <w:rsid w:val="003301B2"/>
    <w:rsid w:val="00330559"/>
    <w:rsid w:val="00330624"/>
    <w:rsid w:val="003309AA"/>
    <w:rsid w:val="003309D9"/>
    <w:rsid w:val="003309EB"/>
    <w:rsid w:val="003312C1"/>
    <w:rsid w:val="0033147D"/>
    <w:rsid w:val="0033150B"/>
    <w:rsid w:val="0033150F"/>
    <w:rsid w:val="00331540"/>
    <w:rsid w:val="0033189B"/>
    <w:rsid w:val="00331918"/>
    <w:rsid w:val="003319D9"/>
    <w:rsid w:val="00331A2A"/>
    <w:rsid w:val="00331C60"/>
    <w:rsid w:val="00331D73"/>
    <w:rsid w:val="00331F05"/>
    <w:rsid w:val="00332043"/>
    <w:rsid w:val="00332187"/>
    <w:rsid w:val="003321E4"/>
    <w:rsid w:val="003324C5"/>
    <w:rsid w:val="003324CB"/>
    <w:rsid w:val="003324EF"/>
    <w:rsid w:val="0033254F"/>
    <w:rsid w:val="003325D2"/>
    <w:rsid w:val="003327CA"/>
    <w:rsid w:val="0033293D"/>
    <w:rsid w:val="00332BAB"/>
    <w:rsid w:val="00332E11"/>
    <w:rsid w:val="00332EDD"/>
    <w:rsid w:val="00332F4E"/>
    <w:rsid w:val="003331C5"/>
    <w:rsid w:val="0033322B"/>
    <w:rsid w:val="003334DB"/>
    <w:rsid w:val="00333632"/>
    <w:rsid w:val="00333834"/>
    <w:rsid w:val="0033383B"/>
    <w:rsid w:val="00333942"/>
    <w:rsid w:val="00333C06"/>
    <w:rsid w:val="00333D14"/>
    <w:rsid w:val="00333D9E"/>
    <w:rsid w:val="00333F5B"/>
    <w:rsid w:val="00333F70"/>
    <w:rsid w:val="00334176"/>
    <w:rsid w:val="00334298"/>
    <w:rsid w:val="003342CF"/>
    <w:rsid w:val="0033448C"/>
    <w:rsid w:val="003344C8"/>
    <w:rsid w:val="003344D2"/>
    <w:rsid w:val="00334789"/>
    <w:rsid w:val="003347E6"/>
    <w:rsid w:val="003348D5"/>
    <w:rsid w:val="00334A0C"/>
    <w:rsid w:val="00334E19"/>
    <w:rsid w:val="0033512D"/>
    <w:rsid w:val="00335158"/>
    <w:rsid w:val="00335310"/>
    <w:rsid w:val="003353C0"/>
    <w:rsid w:val="003353C7"/>
    <w:rsid w:val="00335477"/>
    <w:rsid w:val="003354B9"/>
    <w:rsid w:val="00335AFD"/>
    <w:rsid w:val="00335BCD"/>
    <w:rsid w:val="00335C74"/>
    <w:rsid w:val="00335D9B"/>
    <w:rsid w:val="003367BE"/>
    <w:rsid w:val="003368E8"/>
    <w:rsid w:val="00336B8C"/>
    <w:rsid w:val="00336BD3"/>
    <w:rsid w:val="00336D48"/>
    <w:rsid w:val="00336DAA"/>
    <w:rsid w:val="00336FD7"/>
    <w:rsid w:val="00337160"/>
    <w:rsid w:val="003374F8"/>
    <w:rsid w:val="0033755F"/>
    <w:rsid w:val="0033760A"/>
    <w:rsid w:val="00337718"/>
    <w:rsid w:val="0033778B"/>
    <w:rsid w:val="003377DF"/>
    <w:rsid w:val="00337C18"/>
    <w:rsid w:val="00337CDF"/>
    <w:rsid w:val="00337FF3"/>
    <w:rsid w:val="00340239"/>
    <w:rsid w:val="00340374"/>
    <w:rsid w:val="003405C8"/>
    <w:rsid w:val="00340714"/>
    <w:rsid w:val="00340DA8"/>
    <w:rsid w:val="00340E17"/>
    <w:rsid w:val="00340E3E"/>
    <w:rsid w:val="00340FD6"/>
    <w:rsid w:val="00341144"/>
    <w:rsid w:val="003414EA"/>
    <w:rsid w:val="003414EF"/>
    <w:rsid w:val="003417FB"/>
    <w:rsid w:val="0034188A"/>
    <w:rsid w:val="00341973"/>
    <w:rsid w:val="00341CC9"/>
    <w:rsid w:val="00341DD7"/>
    <w:rsid w:val="00341FB5"/>
    <w:rsid w:val="003420FA"/>
    <w:rsid w:val="00342275"/>
    <w:rsid w:val="00342539"/>
    <w:rsid w:val="00342662"/>
    <w:rsid w:val="0034286A"/>
    <w:rsid w:val="003428E4"/>
    <w:rsid w:val="00342B2E"/>
    <w:rsid w:val="0034331B"/>
    <w:rsid w:val="00343342"/>
    <w:rsid w:val="0034344D"/>
    <w:rsid w:val="003434B6"/>
    <w:rsid w:val="00343555"/>
    <w:rsid w:val="003435CC"/>
    <w:rsid w:val="0034381F"/>
    <w:rsid w:val="00343A34"/>
    <w:rsid w:val="00343B71"/>
    <w:rsid w:val="00343B85"/>
    <w:rsid w:val="00343C31"/>
    <w:rsid w:val="00343F6F"/>
    <w:rsid w:val="00344180"/>
    <w:rsid w:val="0034420C"/>
    <w:rsid w:val="003448F6"/>
    <w:rsid w:val="003449A8"/>
    <w:rsid w:val="00344AAD"/>
    <w:rsid w:val="00344B02"/>
    <w:rsid w:val="00344B0B"/>
    <w:rsid w:val="00344E5E"/>
    <w:rsid w:val="00345101"/>
    <w:rsid w:val="0034517D"/>
    <w:rsid w:val="00345184"/>
    <w:rsid w:val="0034518E"/>
    <w:rsid w:val="003451A7"/>
    <w:rsid w:val="0034549A"/>
    <w:rsid w:val="003455D1"/>
    <w:rsid w:val="003458C0"/>
    <w:rsid w:val="00345CAF"/>
    <w:rsid w:val="00345F23"/>
    <w:rsid w:val="00345FD4"/>
    <w:rsid w:val="003461D3"/>
    <w:rsid w:val="003464AC"/>
    <w:rsid w:val="003464B9"/>
    <w:rsid w:val="003464F3"/>
    <w:rsid w:val="0034654D"/>
    <w:rsid w:val="003465FD"/>
    <w:rsid w:val="00346743"/>
    <w:rsid w:val="00346765"/>
    <w:rsid w:val="0034690C"/>
    <w:rsid w:val="00346A89"/>
    <w:rsid w:val="00346DBB"/>
    <w:rsid w:val="003470B4"/>
    <w:rsid w:val="0034751B"/>
    <w:rsid w:val="00347692"/>
    <w:rsid w:val="0034777C"/>
    <w:rsid w:val="00347A14"/>
    <w:rsid w:val="00347BB5"/>
    <w:rsid w:val="00347D0C"/>
    <w:rsid w:val="00347E3D"/>
    <w:rsid w:val="00350388"/>
    <w:rsid w:val="00350538"/>
    <w:rsid w:val="0035056F"/>
    <w:rsid w:val="00350759"/>
    <w:rsid w:val="003507AC"/>
    <w:rsid w:val="00350BAE"/>
    <w:rsid w:val="00350BD7"/>
    <w:rsid w:val="00350CD9"/>
    <w:rsid w:val="00350DA6"/>
    <w:rsid w:val="00351003"/>
    <w:rsid w:val="003510D0"/>
    <w:rsid w:val="00351241"/>
    <w:rsid w:val="00351438"/>
    <w:rsid w:val="00351517"/>
    <w:rsid w:val="0035171C"/>
    <w:rsid w:val="003518E3"/>
    <w:rsid w:val="00351916"/>
    <w:rsid w:val="00351A73"/>
    <w:rsid w:val="00351AE5"/>
    <w:rsid w:val="00351B46"/>
    <w:rsid w:val="00351B4C"/>
    <w:rsid w:val="00351CAE"/>
    <w:rsid w:val="00352169"/>
    <w:rsid w:val="00352239"/>
    <w:rsid w:val="003522E6"/>
    <w:rsid w:val="003523EE"/>
    <w:rsid w:val="00352570"/>
    <w:rsid w:val="003525A8"/>
    <w:rsid w:val="0035278A"/>
    <w:rsid w:val="003527C4"/>
    <w:rsid w:val="0035297B"/>
    <w:rsid w:val="00352CC1"/>
    <w:rsid w:val="00352CED"/>
    <w:rsid w:val="00352D20"/>
    <w:rsid w:val="00352E66"/>
    <w:rsid w:val="00352FE0"/>
    <w:rsid w:val="0035319B"/>
    <w:rsid w:val="003532F5"/>
    <w:rsid w:val="00353441"/>
    <w:rsid w:val="003535AA"/>
    <w:rsid w:val="0035377B"/>
    <w:rsid w:val="00353A2D"/>
    <w:rsid w:val="00353B50"/>
    <w:rsid w:val="00353C50"/>
    <w:rsid w:val="00353F2F"/>
    <w:rsid w:val="00354242"/>
    <w:rsid w:val="003542D6"/>
    <w:rsid w:val="003542F6"/>
    <w:rsid w:val="00354323"/>
    <w:rsid w:val="003545F9"/>
    <w:rsid w:val="003546BB"/>
    <w:rsid w:val="00354BDF"/>
    <w:rsid w:val="00354C9B"/>
    <w:rsid w:val="00354D08"/>
    <w:rsid w:val="00354D27"/>
    <w:rsid w:val="00354E5E"/>
    <w:rsid w:val="00354F82"/>
    <w:rsid w:val="00354FC3"/>
    <w:rsid w:val="0035500E"/>
    <w:rsid w:val="003551E0"/>
    <w:rsid w:val="0035529C"/>
    <w:rsid w:val="00355436"/>
    <w:rsid w:val="00355764"/>
    <w:rsid w:val="0035578C"/>
    <w:rsid w:val="00355A75"/>
    <w:rsid w:val="00355DF5"/>
    <w:rsid w:val="00355E07"/>
    <w:rsid w:val="00355E90"/>
    <w:rsid w:val="00355F32"/>
    <w:rsid w:val="003565AA"/>
    <w:rsid w:val="003567EC"/>
    <w:rsid w:val="00356B7B"/>
    <w:rsid w:val="00356EA3"/>
    <w:rsid w:val="00356FA6"/>
    <w:rsid w:val="00356FDA"/>
    <w:rsid w:val="00356FEC"/>
    <w:rsid w:val="003571C4"/>
    <w:rsid w:val="00357308"/>
    <w:rsid w:val="0035738A"/>
    <w:rsid w:val="0035757F"/>
    <w:rsid w:val="003577C9"/>
    <w:rsid w:val="00357821"/>
    <w:rsid w:val="00357C5F"/>
    <w:rsid w:val="00360083"/>
    <w:rsid w:val="003600B8"/>
    <w:rsid w:val="003601B9"/>
    <w:rsid w:val="003601DF"/>
    <w:rsid w:val="0036062E"/>
    <w:rsid w:val="003606CF"/>
    <w:rsid w:val="00360AD0"/>
    <w:rsid w:val="00360C9D"/>
    <w:rsid w:val="00360FB2"/>
    <w:rsid w:val="00360FC5"/>
    <w:rsid w:val="003611FB"/>
    <w:rsid w:val="003612CA"/>
    <w:rsid w:val="00361438"/>
    <w:rsid w:val="00361717"/>
    <w:rsid w:val="003617F7"/>
    <w:rsid w:val="00361868"/>
    <w:rsid w:val="00361BF4"/>
    <w:rsid w:val="00361E41"/>
    <w:rsid w:val="00361EA1"/>
    <w:rsid w:val="00362121"/>
    <w:rsid w:val="0036235A"/>
    <w:rsid w:val="003624C2"/>
    <w:rsid w:val="00362589"/>
    <w:rsid w:val="00362622"/>
    <w:rsid w:val="00362674"/>
    <w:rsid w:val="003626C4"/>
    <w:rsid w:val="003627C1"/>
    <w:rsid w:val="0036280F"/>
    <w:rsid w:val="00362AD8"/>
    <w:rsid w:val="00362BB3"/>
    <w:rsid w:val="00362BD3"/>
    <w:rsid w:val="00362FD1"/>
    <w:rsid w:val="0036304B"/>
    <w:rsid w:val="0036381A"/>
    <w:rsid w:val="00363919"/>
    <w:rsid w:val="00363B3A"/>
    <w:rsid w:val="00363DF9"/>
    <w:rsid w:val="00363F00"/>
    <w:rsid w:val="003640FF"/>
    <w:rsid w:val="003646B9"/>
    <w:rsid w:val="00364C19"/>
    <w:rsid w:val="00364CA6"/>
    <w:rsid w:val="00365198"/>
    <w:rsid w:val="00365264"/>
    <w:rsid w:val="00365276"/>
    <w:rsid w:val="00365291"/>
    <w:rsid w:val="003652B2"/>
    <w:rsid w:val="003654F0"/>
    <w:rsid w:val="003655B2"/>
    <w:rsid w:val="00365689"/>
    <w:rsid w:val="003658EB"/>
    <w:rsid w:val="00365B49"/>
    <w:rsid w:val="00365CDB"/>
    <w:rsid w:val="00365D28"/>
    <w:rsid w:val="00365D4D"/>
    <w:rsid w:val="00365E21"/>
    <w:rsid w:val="00366069"/>
    <w:rsid w:val="003660D5"/>
    <w:rsid w:val="0036622E"/>
    <w:rsid w:val="003664FB"/>
    <w:rsid w:val="0036659D"/>
    <w:rsid w:val="003665BD"/>
    <w:rsid w:val="0036670A"/>
    <w:rsid w:val="00366A9A"/>
    <w:rsid w:val="00366AA4"/>
    <w:rsid w:val="00366BDD"/>
    <w:rsid w:val="00366E68"/>
    <w:rsid w:val="00367222"/>
    <w:rsid w:val="00367530"/>
    <w:rsid w:val="00367609"/>
    <w:rsid w:val="003679B4"/>
    <w:rsid w:val="00367A12"/>
    <w:rsid w:val="00367AC4"/>
    <w:rsid w:val="00367DAD"/>
    <w:rsid w:val="00367DFC"/>
    <w:rsid w:val="00367E00"/>
    <w:rsid w:val="003700FA"/>
    <w:rsid w:val="003703D9"/>
    <w:rsid w:val="00370538"/>
    <w:rsid w:val="00370707"/>
    <w:rsid w:val="003707CE"/>
    <w:rsid w:val="003708EE"/>
    <w:rsid w:val="00370944"/>
    <w:rsid w:val="00370A84"/>
    <w:rsid w:val="00370C5C"/>
    <w:rsid w:val="00370F8E"/>
    <w:rsid w:val="0037111A"/>
    <w:rsid w:val="0037118A"/>
    <w:rsid w:val="00371337"/>
    <w:rsid w:val="003713AF"/>
    <w:rsid w:val="003713B9"/>
    <w:rsid w:val="00371532"/>
    <w:rsid w:val="0037172E"/>
    <w:rsid w:val="00371BA6"/>
    <w:rsid w:val="00371C89"/>
    <w:rsid w:val="00371E75"/>
    <w:rsid w:val="00371FD1"/>
    <w:rsid w:val="003722C9"/>
    <w:rsid w:val="00372778"/>
    <w:rsid w:val="00372B18"/>
    <w:rsid w:val="00372BB8"/>
    <w:rsid w:val="00372CBD"/>
    <w:rsid w:val="00372D01"/>
    <w:rsid w:val="00372D99"/>
    <w:rsid w:val="00372EC4"/>
    <w:rsid w:val="003730F4"/>
    <w:rsid w:val="003732AF"/>
    <w:rsid w:val="00373422"/>
    <w:rsid w:val="0037350F"/>
    <w:rsid w:val="003737DD"/>
    <w:rsid w:val="003738F5"/>
    <w:rsid w:val="00373A22"/>
    <w:rsid w:val="00373A95"/>
    <w:rsid w:val="00373BAB"/>
    <w:rsid w:val="00373C1F"/>
    <w:rsid w:val="00373CAF"/>
    <w:rsid w:val="00373CDA"/>
    <w:rsid w:val="00373D0E"/>
    <w:rsid w:val="00373DB2"/>
    <w:rsid w:val="00373F13"/>
    <w:rsid w:val="00373FB8"/>
    <w:rsid w:val="00374012"/>
    <w:rsid w:val="003743A3"/>
    <w:rsid w:val="003744B0"/>
    <w:rsid w:val="003746BD"/>
    <w:rsid w:val="0037471E"/>
    <w:rsid w:val="00374D42"/>
    <w:rsid w:val="00374E36"/>
    <w:rsid w:val="003753D1"/>
    <w:rsid w:val="00375655"/>
    <w:rsid w:val="00375B1A"/>
    <w:rsid w:val="00375BD2"/>
    <w:rsid w:val="00375C2C"/>
    <w:rsid w:val="00375C56"/>
    <w:rsid w:val="00375F84"/>
    <w:rsid w:val="00375FCA"/>
    <w:rsid w:val="00375FD8"/>
    <w:rsid w:val="00376073"/>
    <w:rsid w:val="003760F3"/>
    <w:rsid w:val="0037644D"/>
    <w:rsid w:val="00376482"/>
    <w:rsid w:val="00376667"/>
    <w:rsid w:val="003766A8"/>
    <w:rsid w:val="00376722"/>
    <w:rsid w:val="00376746"/>
    <w:rsid w:val="00376AD2"/>
    <w:rsid w:val="00376B49"/>
    <w:rsid w:val="00376B99"/>
    <w:rsid w:val="00376BF1"/>
    <w:rsid w:val="00376FEC"/>
    <w:rsid w:val="003770FA"/>
    <w:rsid w:val="00377116"/>
    <w:rsid w:val="00377167"/>
    <w:rsid w:val="00377480"/>
    <w:rsid w:val="00377782"/>
    <w:rsid w:val="0037798F"/>
    <w:rsid w:val="00377E5B"/>
    <w:rsid w:val="00380099"/>
    <w:rsid w:val="003800D5"/>
    <w:rsid w:val="00380577"/>
    <w:rsid w:val="003806D2"/>
    <w:rsid w:val="00380770"/>
    <w:rsid w:val="003809C1"/>
    <w:rsid w:val="00380D04"/>
    <w:rsid w:val="00380D97"/>
    <w:rsid w:val="00380F47"/>
    <w:rsid w:val="0038121B"/>
    <w:rsid w:val="003813AC"/>
    <w:rsid w:val="003813AF"/>
    <w:rsid w:val="00381409"/>
    <w:rsid w:val="0038162D"/>
    <w:rsid w:val="00381752"/>
    <w:rsid w:val="00381785"/>
    <w:rsid w:val="003819C2"/>
    <w:rsid w:val="00381A69"/>
    <w:rsid w:val="00381AFB"/>
    <w:rsid w:val="00381EFC"/>
    <w:rsid w:val="00381F99"/>
    <w:rsid w:val="003820DA"/>
    <w:rsid w:val="003822D5"/>
    <w:rsid w:val="00382700"/>
    <w:rsid w:val="00382896"/>
    <w:rsid w:val="00382A10"/>
    <w:rsid w:val="00382BC3"/>
    <w:rsid w:val="00382BF8"/>
    <w:rsid w:val="00382DDA"/>
    <w:rsid w:val="00382EF7"/>
    <w:rsid w:val="00382F0C"/>
    <w:rsid w:val="0038312B"/>
    <w:rsid w:val="00383447"/>
    <w:rsid w:val="0038347D"/>
    <w:rsid w:val="003834CE"/>
    <w:rsid w:val="0038390C"/>
    <w:rsid w:val="0038391E"/>
    <w:rsid w:val="00383B95"/>
    <w:rsid w:val="00383CB3"/>
    <w:rsid w:val="00384041"/>
    <w:rsid w:val="003841BA"/>
    <w:rsid w:val="00384744"/>
    <w:rsid w:val="00385093"/>
    <w:rsid w:val="003850F7"/>
    <w:rsid w:val="003851B1"/>
    <w:rsid w:val="003852CE"/>
    <w:rsid w:val="003853A8"/>
    <w:rsid w:val="00385409"/>
    <w:rsid w:val="0038541A"/>
    <w:rsid w:val="00385727"/>
    <w:rsid w:val="00385803"/>
    <w:rsid w:val="0038580B"/>
    <w:rsid w:val="003858A6"/>
    <w:rsid w:val="00385AF8"/>
    <w:rsid w:val="00385B42"/>
    <w:rsid w:val="00385C7E"/>
    <w:rsid w:val="00385D0A"/>
    <w:rsid w:val="00385E58"/>
    <w:rsid w:val="003860D4"/>
    <w:rsid w:val="003860E6"/>
    <w:rsid w:val="0038616E"/>
    <w:rsid w:val="003861A5"/>
    <w:rsid w:val="003864B3"/>
    <w:rsid w:val="003864E8"/>
    <w:rsid w:val="003865E1"/>
    <w:rsid w:val="0038672F"/>
    <w:rsid w:val="00386A73"/>
    <w:rsid w:val="00386CD8"/>
    <w:rsid w:val="00386CF3"/>
    <w:rsid w:val="00386D52"/>
    <w:rsid w:val="00386DDD"/>
    <w:rsid w:val="00386E6C"/>
    <w:rsid w:val="00386F57"/>
    <w:rsid w:val="003870F7"/>
    <w:rsid w:val="0038771A"/>
    <w:rsid w:val="0038775C"/>
    <w:rsid w:val="00387B90"/>
    <w:rsid w:val="00387CAD"/>
    <w:rsid w:val="00387D2A"/>
    <w:rsid w:val="00387E71"/>
    <w:rsid w:val="00387E83"/>
    <w:rsid w:val="00390113"/>
    <w:rsid w:val="00390128"/>
    <w:rsid w:val="003906AE"/>
    <w:rsid w:val="0039078D"/>
    <w:rsid w:val="003907FB"/>
    <w:rsid w:val="00390951"/>
    <w:rsid w:val="00390C33"/>
    <w:rsid w:val="00390E99"/>
    <w:rsid w:val="00391132"/>
    <w:rsid w:val="00391446"/>
    <w:rsid w:val="0039150C"/>
    <w:rsid w:val="00391A71"/>
    <w:rsid w:val="00391CF0"/>
    <w:rsid w:val="00391DD8"/>
    <w:rsid w:val="003920CC"/>
    <w:rsid w:val="00392571"/>
    <w:rsid w:val="00392784"/>
    <w:rsid w:val="003927EB"/>
    <w:rsid w:val="00392A76"/>
    <w:rsid w:val="00392C2E"/>
    <w:rsid w:val="00392C8D"/>
    <w:rsid w:val="00392D89"/>
    <w:rsid w:val="00392DCC"/>
    <w:rsid w:val="003931F9"/>
    <w:rsid w:val="00393397"/>
    <w:rsid w:val="003933EF"/>
    <w:rsid w:val="00393411"/>
    <w:rsid w:val="00393606"/>
    <w:rsid w:val="003937DA"/>
    <w:rsid w:val="003938F2"/>
    <w:rsid w:val="003939C2"/>
    <w:rsid w:val="00393A3F"/>
    <w:rsid w:val="00393FFD"/>
    <w:rsid w:val="00394122"/>
    <w:rsid w:val="003946B0"/>
    <w:rsid w:val="003946EA"/>
    <w:rsid w:val="00394704"/>
    <w:rsid w:val="00394718"/>
    <w:rsid w:val="0039477F"/>
    <w:rsid w:val="00394A7A"/>
    <w:rsid w:val="00394B48"/>
    <w:rsid w:val="0039501C"/>
    <w:rsid w:val="00395068"/>
    <w:rsid w:val="003950A0"/>
    <w:rsid w:val="00395152"/>
    <w:rsid w:val="00395167"/>
    <w:rsid w:val="003953AA"/>
    <w:rsid w:val="003954ED"/>
    <w:rsid w:val="00395522"/>
    <w:rsid w:val="0039558E"/>
    <w:rsid w:val="0039590F"/>
    <w:rsid w:val="003959C8"/>
    <w:rsid w:val="00395BE3"/>
    <w:rsid w:val="003960C2"/>
    <w:rsid w:val="00396320"/>
    <w:rsid w:val="00396353"/>
    <w:rsid w:val="00396637"/>
    <w:rsid w:val="00396638"/>
    <w:rsid w:val="0039663F"/>
    <w:rsid w:val="0039670B"/>
    <w:rsid w:val="0039672D"/>
    <w:rsid w:val="003967C6"/>
    <w:rsid w:val="0039693B"/>
    <w:rsid w:val="00396991"/>
    <w:rsid w:val="00396A1D"/>
    <w:rsid w:val="00396F96"/>
    <w:rsid w:val="00397018"/>
    <w:rsid w:val="0039707D"/>
    <w:rsid w:val="003972AF"/>
    <w:rsid w:val="003979AD"/>
    <w:rsid w:val="00397B0D"/>
    <w:rsid w:val="00397BA6"/>
    <w:rsid w:val="00397BB5"/>
    <w:rsid w:val="00397CFF"/>
    <w:rsid w:val="00397DDB"/>
    <w:rsid w:val="00397E65"/>
    <w:rsid w:val="00397EA9"/>
    <w:rsid w:val="003A032B"/>
    <w:rsid w:val="003A056B"/>
    <w:rsid w:val="003A05F7"/>
    <w:rsid w:val="003A0641"/>
    <w:rsid w:val="003A087C"/>
    <w:rsid w:val="003A08B5"/>
    <w:rsid w:val="003A08F6"/>
    <w:rsid w:val="003A0A67"/>
    <w:rsid w:val="003A0D5E"/>
    <w:rsid w:val="003A0E78"/>
    <w:rsid w:val="003A148E"/>
    <w:rsid w:val="003A14D6"/>
    <w:rsid w:val="003A1566"/>
    <w:rsid w:val="003A1717"/>
    <w:rsid w:val="003A1A25"/>
    <w:rsid w:val="003A1CA9"/>
    <w:rsid w:val="003A1DDE"/>
    <w:rsid w:val="003A1ECD"/>
    <w:rsid w:val="003A21CD"/>
    <w:rsid w:val="003A2279"/>
    <w:rsid w:val="003A22FE"/>
    <w:rsid w:val="003A2305"/>
    <w:rsid w:val="003A231D"/>
    <w:rsid w:val="003A2B27"/>
    <w:rsid w:val="003A2B36"/>
    <w:rsid w:val="003A2E69"/>
    <w:rsid w:val="003A2E8F"/>
    <w:rsid w:val="003A2EA8"/>
    <w:rsid w:val="003A30EF"/>
    <w:rsid w:val="003A3297"/>
    <w:rsid w:val="003A330E"/>
    <w:rsid w:val="003A34D6"/>
    <w:rsid w:val="003A3678"/>
    <w:rsid w:val="003A372C"/>
    <w:rsid w:val="003A38D5"/>
    <w:rsid w:val="003A38EF"/>
    <w:rsid w:val="003A3951"/>
    <w:rsid w:val="003A396C"/>
    <w:rsid w:val="003A3978"/>
    <w:rsid w:val="003A3A89"/>
    <w:rsid w:val="003A3CA3"/>
    <w:rsid w:val="003A407A"/>
    <w:rsid w:val="003A434D"/>
    <w:rsid w:val="003A4564"/>
    <w:rsid w:val="003A4785"/>
    <w:rsid w:val="003A48F3"/>
    <w:rsid w:val="003A499E"/>
    <w:rsid w:val="003A4B26"/>
    <w:rsid w:val="003A5079"/>
    <w:rsid w:val="003A548D"/>
    <w:rsid w:val="003A550E"/>
    <w:rsid w:val="003A55DA"/>
    <w:rsid w:val="003A5754"/>
    <w:rsid w:val="003A58B1"/>
    <w:rsid w:val="003A594D"/>
    <w:rsid w:val="003A5984"/>
    <w:rsid w:val="003A5B36"/>
    <w:rsid w:val="003A5BAD"/>
    <w:rsid w:val="003A6277"/>
    <w:rsid w:val="003A659E"/>
    <w:rsid w:val="003A6705"/>
    <w:rsid w:val="003A673D"/>
    <w:rsid w:val="003A6895"/>
    <w:rsid w:val="003A68C5"/>
    <w:rsid w:val="003A69F3"/>
    <w:rsid w:val="003A6A07"/>
    <w:rsid w:val="003A6C61"/>
    <w:rsid w:val="003A6CDA"/>
    <w:rsid w:val="003A6CFB"/>
    <w:rsid w:val="003A6DE0"/>
    <w:rsid w:val="003A7252"/>
    <w:rsid w:val="003A729B"/>
    <w:rsid w:val="003A72BF"/>
    <w:rsid w:val="003A7467"/>
    <w:rsid w:val="003A75A9"/>
    <w:rsid w:val="003A75FB"/>
    <w:rsid w:val="003A786C"/>
    <w:rsid w:val="003A791C"/>
    <w:rsid w:val="003A7D61"/>
    <w:rsid w:val="003A7E3E"/>
    <w:rsid w:val="003B0239"/>
    <w:rsid w:val="003B025B"/>
    <w:rsid w:val="003B040C"/>
    <w:rsid w:val="003B0595"/>
    <w:rsid w:val="003B0820"/>
    <w:rsid w:val="003B0919"/>
    <w:rsid w:val="003B0957"/>
    <w:rsid w:val="003B095C"/>
    <w:rsid w:val="003B0AA9"/>
    <w:rsid w:val="003B0B2B"/>
    <w:rsid w:val="003B0B45"/>
    <w:rsid w:val="003B0BDE"/>
    <w:rsid w:val="003B0C3F"/>
    <w:rsid w:val="003B0D22"/>
    <w:rsid w:val="003B0D93"/>
    <w:rsid w:val="003B0DA0"/>
    <w:rsid w:val="003B0F89"/>
    <w:rsid w:val="003B1235"/>
    <w:rsid w:val="003B14AE"/>
    <w:rsid w:val="003B15E9"/>
    <w:rsid w:val="003B164E"/>
    <w:rsid w:val="003B1712"/>
    <w:rsid w:val="003B1C58"/>
    <w:rsid w:val="003B1D7B"/>
    <w:rsid w:val="003B1D86"/>
    <w:rsid w:val="003B2111"/>
    <w:rsid w:val="003B215B"/>
    <w:rsid w:val="003B22E3"/>
    <w:rsid w:val="003B2302"/>
    <w:rsid w:val="003B2391"/>
    <w:rsid w:val="003B23A5"/>
    <w:rsid w:val="003B24CF"/>
    <w:rsid w:val="003B269B"/>
    <w:rsid w:val="003B28B1"/>
    <w:rsid w:val="003B2BA6"/>
    <w:rsid w:val="003B2BC6"/>
    <w:rsid w:val="003B2C6F"/>
    <w:rsid w:val="003B2DF4"/>
    <w:rsid w:val="003B2EDE"/>
    <w:rsid w:val="003B2FEF"/>
    <w:rsid w:val="003B3192"/>
    <w:rsid w:val="003B3453"/>
    <w:rsid w:val="003B3B6A"/>
    <w:rsid w:val="003B3C93"/>
    <w:rsid w:val="003B3CB4"/>
    <w:rsid w:val="003B3E9F"/>
    <w:rsid w:val="003B456E"/>
    <w:rsid w:val="003B4E6B"/>
    <w:rsid w:val="003B4E70"/>
    <w:rsid w:val="003B51FD"/>
    <w:rsid w:val="003B52E7"/>
    <w:rsid w:val="003B5571"/>
    <w:rsid w:val="003B55EA"/>
    <w:rsid w:val="003B5695"/>
    <w:rsid w:val="003B595F"/>
    <w:rsid w:val="003B59F3"/>
    <w:rsid w:val="003B5BC5"/>
    <w:rsid w:val="003B5C1F"/>
    <w:rsid w:val="003B6A0F"/>
    <w:rsid w:val="003B6A25"/>
    <w:rsid w:val="003B6AE0"/>
    <w:rsid w:val="003B6D73"/>
    <w:rsid w:val="003B6F7C"/>
    <w:rsid w:val="003B6FA0"/>
    <w:rsid w:val="003B7180"/>
    <w:rsid w:val="003B75C7"/>
    <w:rsid w:val="003B76A4"/>
    <w:rsid w:val="003B780B"/>
    <w:rsid w:val="003B7A95"/>
    <w:rsid w:val="003B7AE5"/>
    <w:rsid w:val="003B7C9B"/>
    <w:rsid w:val="003B7EC3"/>
    <w:rsid w:val="003C010F"/>
    <w:rsid w:val="003C0114"/>
    <w:rsid w:val="003C04FC"/>
    <w:rsid w:val="003C0671"/>
    <w:rsid w:val="003C07A5"/>
    <w:rsid w:val="003C07F4"/>
    <w:rsid w:val="003C090F"/>
    <w:rsid w:val="003C0B30"/>
    <w:rsid w:val="003C0C16"/>
    <w:rsid w:val="003C0CCA"/>
    <w:rsid w:val="003C0D7A"/>
    <w:rsid w:val="003C0DF2"/>
    <w:rsid w:val="003C0EFA"/>
    <w:rsid w:val="003C10D0"/>
    <w:rsid w:val="003C11AD"/>
    <w:rsid w:val="003C1274"/>
    <w:rsid w:val="003C131F"/>
    <w:rsid w:val="003C15DE"/>
    <w:rsid w:val="003C1610"/>
    <w:rsid w:val="003C161F"/>
    <w:rsid w:val="003C165F"/>
    <w:rsid w:val="003C1692"/>
    <w:rsid w:val="003C1925"/>
    <w:rsid w:val="003C1B6A"/>
    <w:rsid w:val="003C1BE7"/>
    <w:rsid w:val="003C1C3E"/>
    <w:rsid w:val="003C1E20"/>
    <w:rsid w:val="003C206E"/>
    <w:rsid w:val="003C2181"/>
    <w:rsid w:val="003C21C2"/>
    <w:rsid w:val="003C24B4"/>
    <w:rsid w:val="003C26DD"/>
    <w:rsid w:val="003C2781"/>
    <w:rsid w:val="003C2864"/>
    <w:rsid w:val="003C2901"/>
    <w:rsid w:val="003C293B"/>
    <w:rsid w:val="003C298A"/>
    <w:rsid w:val="003C2A91"/>
    <w:rsid w:val="003C2BFF"/>
    <w:rsid w:val="003C2C35"/>
    <w:rsid w:val="003C3A93"/>
    <w:rsid w:val="003C3BAA"/>
    <w:rsid w:val="003C3CFB"/>
    <w:rsid w:val="003C432B"/>
    <w:rsid w:val="003C437B"/>
    <w:rsid w:val="003C442C"/>
    <w:rsid w:val="003C445C"/>
    <w:rsid w:val="003C456C"/>
    <w:rsid w:val="003C45D3"/>
    <w:rsid w:val="003C4759"/>
    <w:rsid w:val="003C489B"/>
    <w:rsid w:val="003C492E"/>
    <w:rsid w:val="003C495D"/>
    <w:rsid w:val="003C4B8A"/>
    <w:rsid w:val="003C4BE0"/>
    <w:rsid w:val="003C4E03"/>
    <w:rsid w:val="003C540D"/>
    <w:rsid w:val="003C554E"/>
    <w:rsid w:val="003C582D"/>
    <w:rsid w:val="003C5988"/>
    <w:rsid w:val="003C5DA8"/>
    <w:rsid w:val="003C5DB6"/>
    <w:rsid w:val="003C61B8"/>
    <w:rsid w:val="003C6244"/>
    <w:rsid w:val="003C6425"/>
    <w:rsid w:val="003C6461"/>
    <w:rsid w:val="003C6473"/>
    <w:rsid w:val="003C6534"/>
    <w:rsid w:val="003C65EA"/>
    <w:rsid w:val="003C6825"/>
    <w:rsid w:val="003C68E4"/>
    <w:rsid w:val="003C699C"/>
    <w:rsid w:val="003C6A5E"/>
    <w:rsid w:val="003C6D10"/>
    <w:rsid w:val="003C7434"/>
    <w:rsid w:val="003C7541"/>
    <w:rsid w:val="003C75E0"/>
    <w:rsid w:val="003C7648"/>
    <w:rsid w:val="003C77B3"/>
    <w:rsid w:val="003C77DC"/>
    <w:rsid w:val="003C789A"/>
    <w:rsid w:val="003C7900"/>
    <w:rsid w:val="003C79F1"/>
    <w:rsid w:val="003C7A18"/>
    <w:rsid w:val="003C7B90"/>
    <w:rsid w:val="003C7FC3"/>
    <w:rsid w:val="003D0017"/>
    <w:rsid w:val="003D0370"/>
    <w:rsid w:val="003D0579"/>
    <w:rsid w:val="003D05F4"/>
    <w:rsid w:val="003D065A"/>
    <w:rsid w:val="003D06A9"/>
    <w:rsid w:val="003D0843"/>
    <w:rsid w:val="003D0AD3"/>
    <w:rsid w:val="003D0ADA"/>
    <w:rsid w:val="003D0C06"/>
    <w:rsid w:val="003D0CA6"/>
    <w:rsid w:val="003D0D29"/>
    <w:rsid w:val="003D0F2B"/>
    <w:rsid w:val="003D0FC4"/>
    <w:rsid w:val="003D101B"/>
    <w:rsid w:val="003D1168"/>
    <w:rsid w:val="003D11E9"/>
    <w:rsid w:val="003D12C5"/>
    <w:rsid w:val="003D145E"/>
    <w:rsid w:val="003D15A0"/>
    <w:rsid w:val="003D160B"/>
    <w:rsid w:val="003D1663"/>
    <w:rsid w:val="003D1843"/>
    <w:rsid w:val="003D18C7"/>
    <w:rsid w:val="003D18E7"/>
    <w:rsid w:val="003D190A"/>
    <w:rsid w:val="003D1BC9"/>
    <w:rsid w:val="003D1C6C"/>
    <w:rsid w:val="003D2007"/>
    <w:rsid w:val="003D212E"/>
    <w:rsid w:val="003D2274"/>
    <w:rsid w:val="003D2394"/>
    <w:rsid w:val="003D23FE"/>
    <w:rsid w:val="003D2824"/>
    <w:rsid w:val="003D2872"/>
    <w:rsid w:val="003D28B7"/>
    <w:rsid w:val="003D2C5D"/>
    <w:rsid w:val="003D2EFA"/>
    <w:rsid w:val="003D2F86"/>
    <w:rsid w:val="003D2FE6"/>
    <w:rsid w:val="003D30AB"/>
    <w:rsid w:val="003D35E3"/>
    <w:rsid w:val="003D36BE"/>
    <w:rsid w:val="003D36FA"/>
    <w:rsid w:val="003D38BC"/>
    <w:rsid w:val="003D391C"/>
    <w:rsid w:val="003D3A37"/>
    <w:rsid w:val="003D3A67"/>
    <w:rsid w:val="003D3DEB"/>
    <w:rsid w:val="003D4035"/>
    <w:rsid w:val="003D4040"/>
    <w:rsid w:val="003D41BA"/>
    <w:rsid w:val="003D4290"/>
    <w:rsid w:val="003D45B1"/>
    <w:rsid w:val="003D4910"/>
    <w:rsid w:val="003D494C"/>
    <w:rsid w:val="003D4B45"/>
    <w:rsid w:val="003D4B77"/>
    <w:rsid w:val="003D4CA9"/>
    <w:rsid w:val="003D4D74"/>
    <w:rsid w:val="003D4DE0"/>
    <w:rsid w:val="003D4E57"/>
    <w:rsid w:val="003D4EB9"/>
    <w:rsid w:val="003D4EF8"/>
    <w:rsid w:val="003D4F7B"/>
    <w:rsid w:val="003D4FFB"/>
    <w:rsid w:val="003D50E3"/>
    <w:rsid w:val="003D547B"/>
    <w:rsid w:val="003D559D"/>
    <w:rsid w:val="003D55F4"/>
    <w:rsid w:val="003D57AD"/>
    <w:rsid w:val="003D5CC3"/>
    <w:rsid w:val="003D5CFF"/>
    <w:rsid w:val="003D6093"/>
    <w:rsid w:val="003D61C6"/>
    <w:rsid w:val="003D6FE5"/>
    <w:rsid w:val="003D6FEE"/>
    <w:rsid w:val="003D6FF8"/>
    <w:rsid w:val="003D71F5"/>
    <w:rsid w:val="003D75EF"/>
    <w:rsid w:val="003D767E"/>
    <w:rsid w:val="003D78CE"/>
    <w:rsid w:val="003D79DD"/>
    <w:rsid w:val="003D79EB"/>
    <w:rsid w:val="003D7E97"/>
    <w:rsid w:val="003D7F15"/>
    <w:rsid w:val="003E000E"/>
    <w:rsid w:val="003E0040"/>
    <w:rsid w:val="003E0262"/>
    <w:rsid w:val="003E02C6"/>
    <w:rsid w:val="003E054F"/>
    <w:rsid w:val="003E07DC"/>
    <w:rsid w:val="003E08D4"/>
    <w:rsid w:val="003E0B0D"/>
    <w:rsid w:val="003E0C0B"/>
    <w:rsid w:val="003E1082"/>
    <w:rsid w:val="003E1113"/>
    <w:rsid w:val="003E12DC"/>
    <w:rsid w:val="003E153C"/>
    <w:rsid w:val="003E179C"/>
    <w:rsid w:val="003E17DB"/>
    <w:rsid w:val="003E17E2"/>
    <w:rsid w:val="003E1863"/>
    <w:rsid w:val="003E20D6"/>
    <w:rsid w:val="003E21E9"/>
    <w:rsid w:val="003E277A"/>
    <w:rsid w:val="003E2918"/>
    <w:rsid w:val="003E2A41"/>
    <w:rsid w:val="003E2A89"/>
    <w:rsid w:val="003E2C55"/>
    <w:rsid w:val="003E2DCB"/>
    <w:rsid w:val="003E2F2F"/>
    <w:rsid w:val="003E301D"/>
    <w:rsid w:val="003E311A"/>
    <w:rsid w:val="003E322F"/>
    <w:rsid w:val="003E328D"/>
    <w:rsid w:val="003E34A3"/>
    <w:rsid w:val="003E352F"/>
    <w:rsid w:val="003E3612"/>
    <w:rsid w:val="003E376C"/>
    <w:rsid w:val="003E3799"/>
    <w:rsid w:val="003E3A02"/>
    <w:rsid w:val="003E3F3C"/>
    <w:rsid w:val="003E4109"/>
    <w:rsid w:val="003E4711"/>
    <w:rsid w:val="003E4812"/>
    <w:rsid w:val="003E48DC"/>
    <w:rsid w:val="003E49A9"/>
    <w:rsid w:val="003E49E4"/>
    <w:rsid w:val="003E4B6B"/>
    <w:rsid w:val="003E4C28"/>
    <w:rsid w:val="003E4D39"/>
    <w:rsid w:val="003E4D87"/>
    <w:rsid w:val="003E50F1"/>
    <w:rsid w:val="003E50F4"/>
    <w:rsid w:val="003E5100"/>
    <w:rsid w:val="003E517F"/>
    <w:rsid w:val="003E519C"/>
    <w:rsid w:val="003E5288"/>
    <w:rsid w:val="003E555D"/>
    <w:rsid w:val="003E57E7"/>
    <w:rsid w:val="003E5B18"/>
    <w:rsid w:val="003E5BC9"/>
    <w:rsid w:val="003E5C82"/>
    <w:rsid w:val="003E5E3F"/>
    <w:rsid w:val="003E5F95"/>
    <w:rsid w:val="003E6440"/>
    <w:rsid w:val="003E644F"/>
    <w:rsid w:val="003E6730"/>
    <w:rsid w:val="003E69EF"/>
    <w:rsid w:val="003E6E8E"/>
    <w:rsid w:val="003E6EE3"/>
    <w:rsid w:val="003E70A9"/>
    <w:rsid w:val="003E70AD"/>
    <w:rsid w:val="003E70BC"/>
    <w:rsid w:val="003E7100"/>
    <w:rsid w:val="003E71BA"/>
    <w:rsid w:val="003E7261"/>
    <w:rsid w:val="003E72F2"/>
    <w:rsid w:val="003E733F"/>
    <w:rsid w:val="003E7443"/>
    <w:rsid w:val="003E74FD"/>
    <w:rsid w:val="003E7517"/>
    <w:rsid w:val="003E7CEA"/>
    <w:rsid w:val="003E7DCB"/>
    <w:rsid w:val="003F00FD"/>
    <w:rsid w:val="003F0133"/>
    <w:rsid w:val="003F045B"/>
    <w:rsid w:val="003F046C"/>
    <w:rsid w:val="003F06F1"/>
    <w:rsid w:val="003F073A"/>
    <w:rsid w:val="003F0873"/>
    <w:rsid w:val="003F088B"/>
    <w:rsid w:val="003F0CAC"/>
    <w:rsid w:val="003F0DCE"/>
    <w:rsid w:val="003F0F4D"/>
    <w:rsid w:val="003F10B3"/>
    <w:rsid w:val="003F10C2"/>
    <w:rsid w:val="003F11C4"/>
    <w:rsid w:val="003F127D"/>
    <w:rsid w:val="003F12D5"/>
    <w:rsid w:val="003F132A"/>
    <w:rsid w:val="003F156E"/>
    <w:rsid w:val="003F17BF"/>
    <w:rsid w:val="003F19B1"/>
    <w:rsid w:val="003F1C7D"/>
    <w:rsid w:val="003F1F10"/>
    <w:rsid w:val="003F21AC"/>
    <w:rsid w:val="003F2325"/>
    <w:rsid w:val="003F232E"/>
    <w:rsid w:val="003F23F7"/>
    <w:rsid w:val="003F264E"/>
    <w:rsid w:val="003F2781"/>
    <w:rsid w:val="003F28C4"/>
    <w:rsid w:val="003F29AD"/>
    <w:rsid w:val="003F2D5B"/>
    <w:rsid w:val="003F2E14"/>
    <w:rsid w:val="003F2EDC"/>
    <w:rsid w:val="003F2F9B"/>
    <w:rsid w:val="003F2FA6"/>
    <w:rsid w:val="003F3077"/>
    <w:rsid w:val="003F30AE"/>
    <w:rsid w:val="003F31A2"/>
    <w:rsid w:val="003F3461"/>
    <w:rsid w:val="003F3548"/>
    <w:rsid w:val="003F380F"/>
    <w:rsid w:val="003F382B"/>
    <w:rsid w:val="003F387F"/>
    <w:rsid w:val="003F3B13"/>
    <w:rsid w:val="003F3C8F"/>
    <w:rsid w:val="003F3CEA"/>
    <w:rsid w:val="003F3DF1"/>
    <w:rsid w:val="003F3F19"/>
    <w:rsid w:val="003F3F1B"/>
    <w:rsid w:val="003F3F9C"/>
    <w:rsid w:val="003F40AB"/>
    <w:rsid w:val="003F40B9"/>
    <w:rsid w:val="003F41A3"/>
    <w:rsid w:val="003F4316"/>
    <w:rsid w:val="003F43FC"/>
    <w:rsid w:val="003F4568"/>
    <w:rsid w:val="003F45AA"/>
    <w:rsid w:val="003F4675"/>
    <w:rsid w:val="003F4AA1"/>
    <w:rsid w:val="003F4BD6"/>
    <w:rsid w:val="003F4BF7"/>
    <w:rsid w:val="003F4C0D"/>
    <w:rsid w:val="003F4EB3"/>
    <w:rsid w:val="003F5665"/>
    <w:rsid w:val="003F5767"/>
    <w:rsid w:val="003F5A95"/>
    <w:rsid w:val="003F5B5D"/>
    <w:rsid w:val="003F5D57"/>
    <w:rsid w:val="003F5E6F"/>
    <w:rsid w:val="003F647B"/>
    <w:rsid w:val="003F68B3"/>
    <w:rsid w:val="003F69D2"/>
    <w:rsid w:val="003F6D42"/>
    <w:rsid w:val="003F6FB7"/>
    <w:rsid w:val="003F76DE"/>
    <w:rsid w:val="003F7909"/>
    <w:rsid w:val="003F7AA8"/>
    <w:rsid w:val="003F7B0B"/>
    <w:rsid w:val="003F7B80"/>
    <w:rsid w:val="003F7D37"/>
    <w:rsid w:val="00400148"/>
    <w:rsid w:val="00400297"/>
    <w:rsid w:val="00400576"/>
    <w:rsid w:val="004005B2"/>
    <w:rsid w:val="004005CF"/>
    <w:rsid w:val="0040074A"/>
    <w:rsid w:val="00400757"/>
    <w:rsid w:val="00400A2A"/>
    <w:rsid w:val="00400AD0"/>
    <w:rsid w:val="00400E42"/>
    <w:rsid w:val="00400FB0"/>
    <w:rsid w:val="00401082"/>
    <w:rsid w:val="00401113"/>
    <w:rsid w:val="0040114E"/>
    <w:rsid w:val="00401182"/>
    <w:rsid w:val="00401193"/>
    <w:rsid w:val="0040145A"/>
    <w:rsid w:val="004014F2"/>
    <w:rsid w:val="0040153F"/>
    <w:rsid w:val="0040154F"/>
    <w:rsid w:val="00401834"/>
    <w:rsid w:val="00401922"/>
    <w:rsid w:val="00401999"/>
    <w:rsid w:val="00401C19"/>
    <w:rsid w:val="00401D4B"/>
    <w:rsid w:val="00401E32"/>
    <w:rsid w:val="00401E5C"/>
    <w:rsid w:val="00401FF4"/>
    <w:rsid w:val="00402085"/>
    <w:rsid w:val="004021DC"/>
    <w:rsid w:val="004022A0"/>
    <w:rsid w:val="0040244A"/>
    <w:rsid w:val="00402469"/>
    <w:rsid w:val="0040263C"/>
    <w:rsid w:val="004027B5"/>
    <w:rsid w:val="0040281E"/>
    <w:rsid w:val="004028E4"/>
    <w:rsid w:val="00402A2F"/>
    <w:rsid w:val="00402A7D"/>
    <w:rsid w:val="00402E78"/>
    <w:rsid w:val="00402F62"/>
    <w:rsid w:val="004030C2"/>
    <w:rsid w:val="00403543"/>
    <w:rsid w:val="0040359A"/>
    <w:rsid w:val="00403827"/>
    <w:rsid w:val="004038DD"/>
    <w:rsid w:val="004039DF"/>
    <w:rsid w:val="00403AAD"/>
    <w:rsid w:val="00403D12"/>
    <w:rsid w:val="00403EB4"/>
    <w:rsid w:val="00404154"/>
    <w:rsid w:val="00404683"/>
    <w:rsid w:val="0040469F"/>
    <w:rsid w:val="00404760"/>
    <w:rsid w:val="004047A8"/>
    <w:rsid w:val="004048DF"/>
    <w:rsid w:val="00404908"/>
    <w:rsid w:val="0040491B"/>
    <w:rsid w:val="00404951"/>
    <w:rsid w:val="00404AB2"/>
    <w:rsid w:val="00404E86"/>
    <w:rsid w:val="00404E96"/>
    <w:rsid w:val="00404EF1"/>
    <w:rsid w:val="0040511B"/>
    <w:rsid w:val="00405184"/>
    <w:rsid w:val="0040532D"/>
    <w:rsid w:val="00405408"/>
    <w:rsid w:val="004055A7"/>
    <w:rsid w:val="00405606"/>
    <w:rsid w:val="004056C7"/>
    <w:rsid w:val="004056D6"/>
    <w:rsid w:val="00405727"/>
    <w:rsid w:val="00405DA5"/>
    <w:rsid w:val="004061FA"/>
    <w:rsid w:val="00406337"/>
    <w:rsid w:val="0040660B"/>
    <w:rsid w:val="0040665D"/>
    <w:rsid w:val="00406860"/>
    <w:rsid w:val="00406A26"/>
    <w:rsid w:val="00406DBB"/>
    <w:rsid w:val="00407337"/>
    <w:rsid w:val="00407772"/>
    <w:rsid w:val="0040784A"/>
    <w:rsid w:val="00407A9B"/>
    <w:rsid w:val="00407B99"/>
    <w:rsid w:val="00407BE8"/>
    <w:rsid w:val="00407C5B"/>
    <w:rsid w:val="004101C4"/>
    <w:rsid w:val="004102A6"/>
    <w:rsid w:val="004102EF"/>
    <w:rsid w:val="00410400"/>
    <w:rsid w:val="004105AC"/>
    <w:rsid w:val="0041069B"/>
    <w:rsid w:val="00410819"/>
    <w:rsid w:val="00410882"/>
    <w:rsid w:val="004108DE"/>
    <w:rsid w:val="00410A1B"/>
    <w:rsid w:val="00410E2A"/>
    <w:rsid w:val="00410E7B"/>
    <w:rsid w:val="00410F5E"/>
    <w:rsid w:val="00411345"/>
    <w:rsid w:val="0041138E"/>
    <w:rsid w:val="004114C3"/>
    <w:rsid w:val="0041154E"/>
    <w:rsid w:val="00411781"/>
    <w:rsid w:val="0041181B"/>
    <w:rsid w:val="00411F79"/>
    <w:rsid w:val="00411F87"/>
    <w:rsid w:val="00411FD8"/>
    <w:rsid w:val="00412057"/>
    <w:rsid w:val="004120F5"/>
    <w:rsid w:val="004121E3"/>
    <w:rsid w:val="0041228C"/>
    <w:rsid w:val="004122D0"/>
    <w:rsid w:val="00412369"/>
    <w:rsid w:val="00412BD6"/>
    <w:rsid w:val="00412C44"/>
    <w:rsid w:val="00412F5A"/>
    <w:rsid w:val="00412F6A"/>
    <w:rsid w:val="00413089"/>
    <w:rsid w:val="00413356"/>
    <w:rsid w:val="004136D0"/>
    <w:rsid w:val="004138DA"/>
    <w:rsid w:val="00413938"/>
    <w:rsid w:val="00413A18"/>
    <w:rsid w:val="00413AAE"/>
    <w:rsid w:val="00413C79"/>
    <w:rsid w:val="00413DE4"/>
    <w:rsid w:val="00413EB3"/>
    <w:rsid w:val="00413FE3"/>
    <w:rsid w:val="00414047"/>
    <w:rsid w:val="004140A6"/>
    <w:rsid w:val="00414154"/>
    <w:rsid w:val="00414208"/>
    <w:rsid w:val="00414354"/>
    <w:rsid w:val="004143DA"/>
    <w:rsid w:val="00414451"/>
    <w:rsid w:val="0041464C"/>
    <w:rsid w:val="004146AF"/>
    <w:rsid w:val="00414ED4"/>
    <w:rsid w:val="0041524D"/>
    <w:rsid w:val="004152F3"/>
    <w:rsid w:val="00415386"/>
    <w:rsid w:val="00415564"/>
    <w:rsid w:val="00415667"/>
    <w:rsid w:val="00415879"/>
    <w:rsid w:val="00415967"/>
    <w:rsid w:val="00415A23"/>
    <w:rsid w:val="00415AA3"/>
    <w:rsid w:val="00415C50"/>
    <w:rsid w:val="00415CC2"/>
    <w:rsid w:val="00415E4B"/>
    <w:rsid w:val="00415E89"/>
    <w:rsid w:val="00415EF2"/>
    <w:rsid w:val="00415F3F"/>
    <w:rsid w:val="00415FB7"/>
    <w:rsid w:val="0041600E"/>
    <w:rsid w:val="00416137"/>
    <w:rsid w:val="0041625D"/>
    <w:rsid w:val="00416387"/>
    <w:rsid w:val="004166A3"/>
    <w:rsid w:val="00416762"/>
    <w:rsid w:val="004167B1"/>
    <w:rsid w:val="004168DC"/>
    <w:rsid w:val="0041697E"/>
    <w:rsid w:val="00416A93"/>
    <w:rsid w:val="00416B0B"/>
    <w:rsid w:val="00416B3D"/>
    <w:rsid w:val="00416BB2"/>
    <w:rsid w:val="00416D16"/>
    <w:rsid w:val="00416DA3"/>
    <w:rsid w:val="00416E55"/>
    <w:rsid w:val="00416FE2"/>
    <w:rsid w:val="004171BC"/>
    <w:rsid w:val="00417364"/>
    <w:rsid w:val="0041741F"/>
    <w:rsid w:val="004175BF"/>
    <w:rsid w:val="00417673"/>
    <w:rsid w:val="00417A05"/>
    <w:rsid w:val="00417A07"/>
    <w:rsid w:val="00417A3E"/>
    <w:rsid w:val="00417A65"/>
    <w:rsid w:val="00417B38"/>
    <w:rsid w:val="00417BE5"/>
    <w:rsid w:val="00417C26"/>
    <w:rsid w:val="00417C6F"/>
    <w:rsid w:val="00417C87"/>
    <w:rsid w:val="00417D88"/>
    <w:rsid w:val="0042003D"/>
    <w:rsid w:val="00420114"/>
    <w:rsid w:val="00420444"/>
    <w:rsid w:val="0042047C"/>
    <w:rsid w:val="00420518"/>
    <w:rsid w:val="004206BD"/>
    <w:rsid w:val="004207EB"/>
    <w:rsid w:val="00420ACA"/>
    <w:rsid w:val="00420C05"/>
    <w:rsid w:val="00420CD3"/>
    <w:rsid w:val="00420CD7"/>
    <w:rsid w:val="00420DE8"/>
    <w:rsid w:val="00420E29"/>
    <w:rsid w:val="00420F5F"/>
    <w:rsid w:val="004211D1"/>
    <w:rsid w:val="0042150E"/>
    <w:rsid w:val="004217AF"/>
    <w:rsid w:val="0042190E"/>
    <w:rsid w:val="00421955"/>
    <w:rsid w:val="00421DA9"/>
    <w:rsid w:val="00421E4E"/>
    <w:rsid w:val="00421E76"/>
    <w:rsid w:val="00421ED2"/>
    <w:rsid w:val="00421F5F"/>
    <w:rsid w:val="00421F92"/>
    <w:rsid w:val="00421FE1"/>
    <w:rsid w:val="004223E4"/>
    <w:rsid w:val="00422855"/>
    <w:rsid w:val="00422957"/>
    <w:rsid w:val="00422DF6"/>
    <w:rsid w:val="00422E34"/>
    <w:rsid w:val="00422E67"/>
    <w:rsid w:val="00422F19"/>
    <w:rsid w:val="00422F72"/>
    <w:rsid w:val="0042308A"/>
    <w:rsid w:val="004233EB"/>
    <w:rsid w:val="00423403"/>
    <w:rsid w:val="00423553"/>
    <w:rsid w:val="0042397B"/>
    <w:rsid w:val="00423A9C"/>
    <w:rsid w:val="00423ACD"/>
    <w:rsid w:val="00423D30"/>
    <w:rsid w:val="0042411F"/>
    <w:rsid w:val="00424213"/>
    <w:rsid w:val="004242BF"/>
    <w:rsid w:val="004244B1"/>
    <w:rsid w:val="0042458B"/>
    <w:rsid w:val="004247B7"/>
    <w:rsid w:val="00424984"/>
    <w:rsid w:val="0042499C"/>
    <w:rsid w:val="00424A05"/>
    <w:rsid w:val="00424B5C"/>
    <w:rsid w:val="00424DA3"/>
    <w:rsid w:val="00424DE2"/>
    <w:rsid w:val="0042518A"/>
    <w:rsid w:val="0042538C"/>
    <w:rsid w:val="0042576E"/>
    <w:rsid w:val="004257A5"/>
    <w:rsid w:val="004257BE"/>
    <w:rsid w:val="00425BFF"/>
    <w:rsid w:val="00425F70"/>
    <w:rsid w:val="004263EB"/>
    <w:rsid w:val="0042689E"/>
    <w:rsid w:val="00426A5F"/>
    <w:rsid w:val="00426A91"/>
    <w:rsid w:val="00426BBA"/>
    <w:rsid w:val="00426D70"/>
    <w:rsid w:val="00426DB0"/>
    <w:rsid w:val="00426E57"/>
    <w:rsid w:val="00426EC1"/>
    <w:rsid w:val="00426F16"/>
    <w:rsid w:val="00426F2D"/>
    <w:rsid w:val="004271D3"/>
    <w:rsid w:val="0042741E"/>
    <w:rsid w:val="004275E6"/>
    <w:rsid w:val="0042762C"/>
    <w:rsid w:val="00427642"/>
    <w:rsid w:val="004276A0"/>
    <w:rsid w:val="004276C9"/>
    <w:rsid w:val="00427816"/>
    <w:rsid w:val="00427C1A"/>
    <w:rsid w:val="00427C23"/>
    <w:rsid w:val="00427C51"/>
    <w:rsid w:val="00427C63"/>
    <w:rsid w:val="00427DC2"/>
    <w:rsid w:val="0043003F"/>
    <w:rsid w:val="0043019F"/>
    <w:rsid w:val="00430206"/>
    <w:rsid w:val="00430537"/>
    <w:rsid w:val="0043060B"/>
    <w:rsid w:val="00430679"/>
    <w:rsid w:val="004306D1"/>
    <w:rsid w:val="0043076B"/>
    <w:rsid w:val="004308EE"/>
    <w:rsid w:val="00430B50"/>
    <w:rsid w:val="00430B65"/>
    <w:rsid w:val="00430B76"/>
    <w:rsid w:val="00430C5D"/>
    <w:rsid w:val="00430EB2"/>
    <w:rsid w:val="00430F56"/>
    <w:rsid w:val="00431104"/>
    <w:rsid w:val="004312E4"/>
    <w:rsid w:val="004312F3"/>
    <w:rsid w:val="00431B08"/>
    <w:rsid w:val="00431CFA"/>
    <w:rsid w:val="00431D8A"/>
    <w:rsid w:val="0043228F"/>
    <w:rsid w:val="004322EB"/>
    <w:rsid w:val="00432435"/>
    <w:rsid w:val="00432443"/>
    <w:rsid w:val="00432444"/>
    <w:rsid w:val="004324B1"/>
    <w:rsid w:val="0043252F"/>
    <w:rsid w:val="004327A3"/>
    <w:rsid w:val="004328E0"/>
    <w:rsid w:val="00432C44"/>
    <w:rsid w:val="00432C4B"/>
    <w:rsid w:val="004335C9"/>
    <w:rsid w:val="00433689"/>
    <w:rsid w:val="004336B8"/>
    <w:rsid w:val="00433707"/>
    <w:rsid w:val="00433717"/>
    <w:rsid w:val="004339C7"/>
    <w:rsid w:val="00433A83"/>
    <w:rsid w:val="00433B37"/>
    <w:rsid w:val="00433B6A"/>
    <w:rsid w:val="00433ED3"/>
    <w:rsid w:val="00434229"/>
    <w:rsid w:val="0043422A"/>
    <w:rsid w:val="00434367"/>
    <w:rsid w:val="00434623"/>
    <w:rsid w:val="0043471C"/>
    <w:rsid w:val="00434964"/>
    <w:rsid w:val="00434ACD"/>
    <w:rsid w:val="00434CA3"/>
    <w:rsid w:val="00434CA4"/>
    <w:rsid w:val="00434D22"/>
    <w:rsid w:val="00434E04"/>
    <w:rsid w:val="00434E67"/>
    <w:rsid w:val="00434EB1"/>
    <w:rsid w:val="00434FD7"/>
    <w:rsid w:val="00435065"/>
    <w:rsid w:val="0043519D"/>
    <w:rsid w:val="0043540A"/>
    <w:rsid w:val="0043548A"/>
    <w:rsid w:val="0043548D"/>
    <w:rsid w:val="0043549F"/>
    <w:rsid w:val="00435550"/>
    <w:rsid w:val="004356C7"/>
    <w:rsid w:val="00435710"/>
    <w:rsid w:val="004357EB"/>
    <w:rsid w:val="00435ABB"/>
    <w:rsid w:val="004362D5"/>
    <w:rsid w:val="00436421"/>
    <w:rsid w:val="004369DB"/>
    <w:rsid w:val="00436BE8"/>
    <w:rsid w:val="00436C6C"/>
    <w:rsid w:val="00436CF1"/>
    <w:rsid w:val="00436E53"/>
    <w:rsid w:val="004370D6"/>
    <w:rsid w:val="0043739C"/>
    <w:rsid w:val="0043743E"/>
    <w:rsid w:val="004377DC"/>
    <w:rsid w:val="0043790E"/>
    <w:rsid w:val="00437AB8"/>
    <w:rsid w:val="00437D93"/>
    <w:rsid w:val="00437EE9"/>
    <w:rsid w:val="0044021B"/>
    <w:rsid w:val="0044031B"/>
    <w:rsid w:val="0044053B"/>
    <w:rsid w:val="0044066F"/>
    <w:rsid w:val="004406EE"/>
    <w:rsid w:val="004408B3"/>
    <w:rsid w:val="00440AFE"/>
    <w:rsid w:val="00440F17"/>
    <w:rsid w:val="00441351"/>
    <w:rsid w:val="0044137A"/>
    <w:rsid w:val="00441400"/>
    <w:rsid w:val="0044144A"/>
    <w:rsid w:val="004417AB"/>
    <w:rsid w:val="0044194F"/>
    <w:rsid w:val="00441A45"/>
    <w:rsid w:val="00441D16"/>
    <w:rsid w:val="00441DAD"/>
    <w:rsid w:val="00441F93"/>
    <w:rsid w:val="004422E2"/>
    <w:rsid w:val="00442901"/>
    <w:rsid w:val="00442F8C"/>
    <w:rsid w:val="00443025"/>
    <w:rsid w:val="00443299"/>
    <w:rsid w:val="0044339A"/>
    <w:rsid w:val="00443518"/>
    <w:rsid w:val="004438EB"/>
    <w:rsid w:val="00443C48"/>
    <w:rsid w:val="00443C8F"/>
    <w:rsid w:val="00443C9E"/>
    <w:rsid w:val="00443F63"/>
    <w:rsid w:val="00443F9B"/>
    <w:rsid w:val="004441E2"/>
    <w:rsid w:val="004443FB"/>
    <w:rsid w:val="00444413"/>
    <w:rsid w:val="00444420"/>
    <w:rsid w:val="0044458E"/>
    <w:rsid w:val="004447C6"/>
    <w:rsid w:val="00444A63"/>
    <w:rsid w:val="00444B38"/>
    <w:rsid w:val="00444BC8"/>
    <w:rsid w:val="00444CB1"/>
    <w:rsid w:val="00444CBF"/>
    <w:rsid w:val="00444CFA"/>
    <w:rsid w:val="00444D0C"/>
    <w:rsid w:val="00444F60"/>
    <w:rsid w:val="00444F79"/>
    <w:rsid w:val="00444F7F"/>
    <w:rsid w:val="00445005"/>
    <w:rsid w:val="00445069"/>
    <w:rsid w:val="00445265"/>
    <w:rsid w:val="00445410"/>
    <w:rsid w:val="0044553D"/>
    <w:rsid w:val="004457DD"/>
    <w:rsid w:val="00445876"/>
    <w:rsid w:val="00445AC4"/>
    <w:rsid w:val="00445DF3"/>
    <w:rsid w:val="0044609D"/>
    <w:rsid w:val="0044634A"/>
    <w:rsid w:val="0044639E"/>
    <w:rsid w:val="004463DD"/>
    <w:rsid w:val="004464FF"/>
    <w:rsid w:val="00446D48"/>
    <w:rsid w:val="00446DB3"/>
    <w:rsid w:val="00446FEF"/>
    <w:rsid w:val="0044706F"/>
    <w:rsid w:val="004470AC"/>
    <w:rsid w:val="004470E3"/>
    <w:rsid w:val="004471AA"/>
    <w:rsid w:val="004472C9"/>
    <w:rsid w:val="00447401"/>
    <w:rsid w:val="004475B0"/>
    <w:rsid w:val="004475C3"/>
    <w:rsid w:val="00447913"/>
    <w:rsid w:val="00447A38"/>
    <w:rsid w:val="00447E01"/>
    <w:rsid w:val="00447FB0"/>
    <w:rsid w:val="0045008E"/>
    <w:rsid w:val="004501DD"/>
    <w:rsid w:val="0045030E"/>
    <w:rsid w:val="00450346"/>
    <w:rsid w:val="00450502"/>
    <w:rsid w:val="0045054D"/>
    <w:rsid w:val="00450600"/>
    <w:rsid w:val="00450638"/>
    <w:rsid w:val="00450732"/>
    <w:rsid w:val="00450A83"/>
    <w:rsid w:val="00450BAA"/>
    <w:rsid w:val="004511CF"/>
    <w:rsid w:val="00451240"/>
    <w:rsid w:val="004514BE"/>
    <w:rsid w:val="00451689"/>
    <w:rsid w:val="004516B1"/>
    <w:rsid w:val="00451A30"/>
    <w:rsid w:val="00451D09"/>
    <w:rsid w:val="00451DB9"/>
    <w:rsid w:val="00451F2F"/>
    <w:rsid w:val="0045233C"/>
    <w:rsid w:val="00452379"/>
    <w:rsid w:val="004524CB"/>
    <w:rsid w:val="0045252A"/>
    <w:rsid w:val="00452537"/>
    <w:rsid w:val="00452707"/>
    <w:rsid w:val="00452A68"/>
    <w:rsid w:val="00452B00"/>
    <w:rsid w:val="00452C6C"/>
    <w:rsid w:val="00452E8A"/>
    <w:rsid w:val="00452E8B"/>
    <w:rsid w:val="00453361"/>
    <w:rsid w:val="00453745"/>
    <w:rsid w:val="004539C6"/>
    <w:rsid w:val="00453BA4"/>
    <w:rsid w:val="0045400B"/>
    <w:rsid w:val="00454088"/>
    <w:rsid w:val="00454177"/>
    <w:rsid w:val="00454341"/>
    <w:rsid w:val="004544F9"/>
    <w:rsid w:val="004547AA"/>
    <w:rsid w:val="004547E8"/>
    <w:rsid w:val="0045491E"/>
    <w:rsid w:val="00454E1D"/>
    <w:rsid w:val="00454E25"/>
    <w:rsid w:val="00454FD6"/>
    <w:rsid w:val="0045503C"/>
    <w:rsid w:val="004550BE"/>
    <w:rsid w:val="00455203"/>
    <w:rsid w:val="004552A1"/>
    <w:rsid w:val="0045542E"/>
    <w:rsid w:val="004554E9"/>
    <w:rsid w:val="00455526"/>
    <w:rsid w:val="004557BB"/>
    <w:rsid w:val="004559CE"/>
    <w:rsid w:val="00455ABD"/>
    <w:rsid w:val="00455E13"/>
    <w:rsid w:val="00455E70"/>
    <w:rsid w:val="00455EC5"/>
    <w:rsid w:val="0045609D"/>
    <w:rsid w:val="004560BD"/>
    <w:rsid w:val="00456153"/>
    <w:rsid w:val="00456173"/>
    <w:rsid w:val="0045618D"/>
    <w:rsid w:val="00456220"/>
    <w:rsid w:val="0045633F"/>
    <w:rsid w:val="004565C4"/>
    <w:rsid w:val="004566D6"/>
    <w:rsid w:val="004567B5"/>
    <w:rsid w:val="0045684B"/>
    <w:rsid w:val="00456AAF"/>
    <w:rsid w:val="00456ADF"/>
    <w:rsid w:val="00456D4C"/>
    <w:rsid w:val="00456D78"/>
    <w:rsid w:val="004570D6"/>
    <w:rsid w:val="0045723F"/>
    <w:rsid w:val="0045736D"/>
    <w:rsid w:val="00457390"/>
    <w:rsid w:val="004574B7"/>
    <w:rsid w:val="0045778D"/>
    <w:rsid w:val="00457821"/>
    <w:rsid w:val="00457F5D"/>
    <w:rsid w:val="00460011"/>
    <w:rsid w:val="004601C9"/>
    <w:rsid w:val="004601DD"/>
    <w:rsid w:val="00460236"/>
    <w:rsid w:val="0046024F"/>
    <w:rsid w:val="00460398"/>
    <w:rsid w:val="004603A7"/>
    <w:rsid w:val="0046044C"/>
    <w:rsid w:val="004607AF"/>
    <w:rsid w:val="0046081C"/>
    <w:rsid w:val="00460E1A"/>
    <w:rsid w:val="00460FD4"/>
    <w:rsid w:val="0046130D"/>
    <w:rsid w:val="0046136C"/>
    <w:rsid w:val="00461799"/>
    <w:rsid w:val="004617D2"/>
    <w:rsid w:val="00461815"/>
    <w:rsid w:val="00461994"/>
    <w:rsid w:val="00461A1B"/>
    <w:rsid w:val="00461C0A"/>
    <w:rsid w:val="00461C1C"/>
    <w:rsid w:val="00461D8D"/>
    <w:rsid w:val="00461DCB"/>
    <w:rsid w:val="00461E1D"/>
    <w:rsid w:val="00461E56"/>
    <w:rsid w:val="00461F86"/>
    <w:rsid w:val="0046201A"/>
    <w:rsid w:val="004620E7"/>
    <w:rsid w:val="00462207"/>
    <w:rsid w:val="0046233E"/>
    <w:rsid w:val="00462370"/>
    <w:rsid w:val="00462454"/>
    <w:rsid w:val="00462484"/>
    <w:rsid w:val="00462514"/>
    <w:rsid w:val="0046257A"/>
    <w:rsid w:val="00462735"/>
    <w:rsid w:val="004627B1"/>
    <w:rsid w:val="00462AA9"/>
    <w:rsid w:val="00462E1F"/>
    <w:rsid w:val="00463449"/>
    <w:rsid w:val="0046351C"/>
    <w:rsid w:val="004637E9"/>
    <w:rsid w:val="004638E9"/>
    <w:rsid w:val="00463938"/>
    <w:rsid w:val="00463DF8"/>
    <w:rsid w:val="00463E55"/>
    <w:rsid w:val="0046417B"/>
    <w:rsid w:val="004642A1"/>
    <w:rsid w:val="004642A9"/>
    <w:rsid w:val="00464383"/>
    <w:rsid w:val="004644E7"/>
    <w:rsid w:val="00464719"/>
    <w:rsid w:val="00464854"/>
    <w:rsid w:val="00464915"/>
    <w:rsid w:val="00464A1C"/>
    <w:rsid w:val="00464A75"/>
    <w:rsid w:val="00464B82"/>
    <w:rsid w:val="00464C83"/>
    <w:rsid w:val="00464DA3"/>
    <w:rsid w:val="004652A4"/>
    <w:rsid w:val="004652DF"/>
    <w:rsid w:val="00465397"/>
    <w:rsid w:val="004653F1"/>
    <w:rsid w:val="00465501"/>
    <w:rsid w:val="00465A68"/>
    <w:rsid w:val="00465B08"/>
    <w:rsid w:val="00465B4C"/>
    <w:rsid w:val="00465F58"/>
    <w:rsid w:val="00466430"/>
    <w:rsid w:val="00466707"/>
    <w:rsid w:val="004669AF"/>
    <w:rsid w:val="00466A9E"/>
    <w:rsid w:val="00466AA4"/>
    <w:rsid w:val="00466AB7"/>
    <w:rsid w:val="00466BC9"/>
    <w:rsid w:val="00466C69"/>
    <w:rsid w:val="00466D11"/>
    <w:rsid w:val="00466D85"/>
    <w:rsid w:val="00466FCF"/>
    <w:rsid w:val="00467181"/>
    <w:rsid w:val="004671FE"/>
    <w:rsid w:val="004672ED"/>
    <w:rsid w:val="004672F8"/>
    <w:rsid w:val="0046732F"/>
    <w:rsid w:val="0046777F"/>
    <w:rsid w:val="004677F3"/>
    <w:rsid w:val="004679EB"/>
    <w:rsid w:val="00467B04"/>
    <w:rsid w:val="00467BB0"/>
    <w:rsid w:val="00467C3F"/>
    <w:rsid w:val="00467C92"/>
    <w:rsid w:val="00470157"/>
    <w:rsid w:val="00470865"/>
    <w:rsid w:val="00470877"/>
    <w:rsid w:val="00470A88"/>
    <w:rsid w:val="00470B08"/>
    <w:rsid w:val="00470CB6"/>
    <w:rsid w:val="00470D32"/>
    <w:rsid w:val="00471162"/>
    <w:rsid w:val="004711A6"/>
    <w:rsid w:val="00471258"/>
    <w:rsid w:val="004712B3"/>
    <w:rsid w:val="00471514"/>
    <w:rsid w:val="00471821"/>
    <w:rsid w:val="004718F6"/>
    <w:rsid w:val="00471A05"/>
    <w:rsid w:val="00471A96"/>
    <w:rsid w:val="00471AEA"/>
    <w:rsid w:val="00471B17"/>
    <w:rsid w:val="00471C9D"/>
    <w:rsid w:val="00471DA8"/>
    <w:rsid w:val="00471E59"/>
    <w:rsid w:val="00471F53"/>
    <w:rsid w:val="00471F60"/>
    <w:rsid w:val="00471F9A"/>
    <w:rsid w:val="00472029"/>
    <w:rsid w:val="00472320"/>
    <w:rsid w:val="00472676"/>
    <w:rsid w:val="00472691"/>
    <w:rsid w:val="00472726"/>
    <w:rsid w:val="004727CA"/>
    <w:rsid w:val="00472818"/>
    <w:rsid w:val="00472A0C"/>
    <w:rsid w:val="00472B4F"/>
    <w:rsid w:val="00472C6D"/>
    <w:rsid w:val="00472D24"/>
    <w:rsid w:val="00472E14"/>
    <w:rsid w:val="0047303F"/>
    <w:rsid w:val="0047323A"/>
    <w:rsid w:val="0047333F"/>
    <w:rsid w:val="0047399C"/>
    <w:rsid w:val="004739A3"/>
    <w:rsid w:val="00473A2B"/>
    <w:rsid w:val="004743BE"/>
    <w:rsid w:val="00474628"/>
    <w:rsid w:val="00474966"/>
    <w:rsid w:val="0047497C"/>
    <w:rsid w:val="00474A16"/>
    <w:rsid w:val="00474A5D"/>
    <w:rsid w:val="00474A6D"/>
    <w:rsid w:val="00474B5C"/>
    <w:rsid w:val="00474CEE"/>
    <w:rsid w:val="00474D83"/>
    <w:rsid w:val="00474DB4"/>
    <w:rsid w:val="00474FA9"/>
    <w:rsid w:val="00474FEA"/>
    <w:rsid w:val="00475085"/>
    <w:rsid w:val="0047530E"/>
    <w:rsid w:val="0047542A"/>
    <w:rsid w:val="0047546D"/>
    <w:rsid w:val="00475846"/>
    <w:rsid w:val="004759A9"/>
    <w:rsid w:val="00475A16"/>
    <w:rsid w:val="00475ADA"/>
    <w:rsid w:val="00475B65"/>
    <w:rsid w:val="00475B80"/>
    <w:rsid w:val="00475C80"/>
    <w:rsid w:val="00475D67"/>
    <w:rsid w:val="00475E19"/>
    <w:rsid w:val="00475FA0"/>
    <w:rsid w:val="00476043"/>
    <w:rsid w:val="00476168"/>
    <w:rsid w:val="004761BB"/>
    <w:rsid w:val="00476207"/>
    <w:rsid w:val="0047636A"/>
    <w:rsid w:val="00476542"/>
    <w:rsid w:val="00476557"/>
    <w:rsid w:val="004765A8"/>
    <w:rsid w:val="004767E6"/>
    <w:rsid w:val="00476ACE"/>
    <w:rsid w:val="00476B85"/>
    <w:rsid w:val="00476CF6"/>
    <w:rsid w:val="00476D47"/>
    <w:rsid w:val="00477556"/>
    <w:rsid w:val="004777E6"/>
    <w:rsid w:val="004779DF"/>
    <w:rsid w:val="00477AA8"/>
    <w:rsid w:val="00477C4D"/>
    <w:rsid w:val="00477D3E"/>
    <w:rsid w:val="00477ECA"/>
    <w:rsid w:val="00477FC0"/>
    <w:rsid w:val="00480355"/>
    <w:rsid w:val="00480449"/>
    <w:rsid w:val="00480528"/>
    <w:rsid w:val="0048052D"/>
    <w:rsid w:val="0048075E"/>
    <w:rsid w:val="00480A30"/>
    <w:rsid w:val="00480BAD"/>
    <w:rsid w:val="00480CAA"/>
    <w:rsid w:val="00480CDF"/>
    <w:rsid w:val="00480DAE"/>
    <w:rsid w:val="00480F67"/>
    <w:rsid w:val="00481190"/>
    <w:rsid w:val="0048146D"/>
    <w:rsid w:val="00481531"/>
    <w:rsid w:val="004816CA"/>
    <w:rsid w:val="00481759"/>
    <w:rsid w:val="00481905"/>
    <w:rsid w:val="004819C5"/>
    <w:rsid w:val="00481B5F"/>
    <w:rsid w:val="00481DA9"/>
    <w:rsid w:val="00481EA3"/>
    <w:rsid w:val="00481F90"/>
    <w:rsid w:val="004820AC"/>
    <w:rsid w:val="004821E3"/>
    <w:rsid w:val="004825AB"/>
    <w:rsid w:val="004827F6"/>
    <w:rsid w:val="00482D7F"/>
    <w:rsid w:val="00483068"/>
    <w:rsid w:val="004832C1"/>
    <w:rsid w:val="0048338F"/>
    <w:rsid w:val="0048342D"/>
    <w:rsid w:val="0048356B"/>
    <w:rsid w:val="00483890"/>
    <w:rsid w:val="00483A92"/>
    <w:rsid w:val="00483BA3"/>
    <w:rsid w:val="00483BD7"/>
    <w:rsid w:val="00483C56"/>
    <w:rsid w:val="00483D90"/>
    <w:rsid w:val="00483E7A"/>
    <w:rsid w:val="00483FED"/>
    <w:rsid w:val="004840AB"/>
    <w:rsid w:val="004842A4"/>
    <w:rsid w:val="00484313"/>
    <w:rsid w:val="004843C1"/>
    <w:rsid w:val="0048443E"/>
    <w:rsid w:val="00484448"/>
    <w:rsid w:val="0048480B"/>
    <w:rsid w:val="0048488F"/>
    <w:rsid w:val="00484B01"/>
    <w:rsid w:val="00484BBA"/>
    <w:rsid w:val="00484C0F"/>
    <w:rsid w:val="00484D30"/>
    <w:rsid w:val="00484D9E"/>
    <w:rsid w:val="004851D1"/>
    <w:rsid w:val="00485525"/>
    <w:rsid w:val="0048557F"/>
    <w:rsid w:val="00485591"/>
    <w:rsid w:val="00485660"/>
    <w:rsid w:val="004858CD"/>
    <w:rsid w:val="00485926"/>
    <w:rsid w:val="00485CED"/>
    <w:rsid w:val="00485E42"/>
    <w:rsid w:val="00485F05"/>
    <w:rsid w:val="00485F7C"/>
    <w:rsid w:val="00486051"/>
    <w:rsid w:val="0048618C"/>
    <w:rsid w:val="00486238"/>
    <w:rsid w:val="004862A4"/>
    <w:rsid w:val="00486372"/>
    <w:rsid w:val="00486438"/>
    <w:rsid w:val="004864BC"/>
    <w:rsid w:val="00486586"/>
    <w:rsid w:val="00486993"/>
    <w:rsid w:val="00486A2E"/>
    <w:rsid w:val="00486B3B"/>
    <w:rsid w:val="00486B7A"/>
    <w:rsid w:val="00486D2B"/>
    <w:rsid w:val="00486FC5"/>
    <w:rsid w:val="004871B1"/>
    <w:rsid w:val="004871D2"/>
    <w:rsid w:val="004872D3"/>
    <w:rsid w:val="00487436"/>
    <w:rsid w:val="00487AD0"/>
    <w:rsid w:val="00487BF8"/>
    <w:rsid w:val="00487BFE"/>
    <w:rsid w:val="00487CC5"/>
    <w:rsid w:val="00487DE7"/>
    <w:rsid w:val="00487E02"/>
    <w:rsid w:val="004900AE"/>
    <w:rsid w:val="0049020C"/>
    <w:rsid w:val="004902A7"/>
    <w:rsid w:val="00490366"/>
    <w:rsid w:val="004903E0"/>
    <w:rsid w:val="0049045E"/>
    <w:rsid w:val="004905A5"/>
    <w:rsid w:val="00490907"/>
    <w:rsid w:val="00490A3B"/>
    <w:rsid w:val="00490AE0"/>
    <w:rsid w:val="00490E7E"/>
    <w:rsid w:val="00490FC3"/>
    <w:rsid w:val="00491110"/>
    <w:rsid w:val="00491128"/>
    <w:rsid w:val="00491190"/>
    <w:rsid w:val="004911E4"/>
    <w:rsid w:val="0049134D"/>
    <w:rsid w:val="00491419"/>
    <w:rsid w:val="0049160C"/>
    <w:rsid w:val="00491AB2"/>
    <w:rsid w:val="00491C29"/>
    <w:rsid w:val="00491C53"/>
    <w:rsid w:val="00491CF8"/>
    <w:rsid w:val="00491E53"/>
    <w:rsid w:val="004929FA"/>
    <w:rsid w:val="00492CB4"/>
    <w:rsid w:val="00492F64"/>
    <w:rsid w:val="00492FCB"/>
    <w:rsid w:val="0049348D"/>
    <w:rsid w:val="004934A5"/>
    <w:rsid w:val="00493569"/>
    <w:rsid w:val="00493610"/>
    <w:rsid w:val="00493892"/>
    <w:rsid w:val="004939D0"/>
    <w:rsid w:val="00493A37"/>
    <w:rsid w:val="00493B20"/>
    <w:rsid w:val="00493B4C"/>
    <w:rsid w:val="00493C0E"/>
    <w:rsid w:val="00493C8C"/>
    <w:rsid w:val="00493CFE"/>
    <w:rsid w:val="00493E9C"/>
    <w:rsid w:val="00494009"/>
    <w:rsid w:val="00494430"/>
    <w:rsid w:val="0049445D"/>
    <w:rsid w:val="004944D5"/>
    <w:rsid w:val="0049452F"/>
    <w:rsid w:val="0049467A"/>
    <w:rsid w:val="00494A58"/>
    <w:rsid w:val="00494A5D"/>
    <w:rsid w:val="00494C1E"/>
    <w:rsid w:val="00494DCF"/>
    <w:rsid w:val="00494F84"/>
    <w:rsid w:val="0049551E"/>
    <w:rsid w:val="004955AE"/>
    <w:rsid w:val="0049572B"/>
    <w:rsid w:val="00495740"/>
    <w:rsid w:val="00495765"/>
    <w:rsid w:val="00495785"/>
    <w:rsid w:val="00495E5A"/>
    <w:rsid w:val="00496152"/>
    <w:rsid w:val="004962F6"/>
    <w:rsid w:val="00496493"/>
    <w:rsid w:val="0049650A"/>
    <w:rsid w:val="004966B9"/>
    <w:rsid w:val="00496839"/>
    <w:rsid w:val="00496B02"/>
    <w:rsid w:val="00496BC2"/>
    <w:rsid w:val="00496CC6"/>
    <w:rsid w:val="0049706E"/>
    <w:rsid w:val="004971CE"/>
    <w:rsid w:val="004973BE"/>
    <w:rsid w:val="0049772F"/>
    <w:rsid w:val="004979F5"/>
    <w:rsid w:val="004979FB"/>
    <w:rsid w:val="00497B11"/>
    <w:rsid w:val="00497C6B"/>
    <w:rsid w:val="00497C9E"/>
    <w:rsid w:val="00497F47"/>
    <w:rsid w:val="00497F86"/>
    <w:rsid w:val="004A01D1"/>
    <w:rsid w:val="004A020F"/>
    <w:rsid w:val="004A0261"/>
    <w:rsid w:val="004A026F"/>
    <w:rsid w:val="004A034A"/>
    <w:rsid w:val="004A04DD"/>
    <w:rsid w:val="004A0617"/>
    <w:rsid w:val="004A0667"/>
    <w:rsid w:val="004A09DA"/>
    <w:rsid w:val="004A0A9E"/>
    <w:rsid w:val="004A0C7F"/>
    <w:rsid w:val="004A0C9E"/>
    <w:rsid w:val="004A0F11"/>
    <w:rsid w:val="004A0FB6"/>
    <w:rsid w:val="004A1308"/>
    <w:rsid w:val="004A1391"/>
    <w:rsid w:val="004A13BD"/>
    <w:rsid w:val="004A1433"/>
    <w:rsid w:val="004A150E"/>
    <w:rsid w:val="004A160F"/>
    <w:rsid w:val="004A17B1"/>
    <w:rsid w:val="004A181D"/>
    <w:rsid w:val="004A18A7"/>
    <w:rsid w:val="004A191B"/>
    <w:rsid w:val="004A193A"/>
    <w:rsid w:val="004A1999"/>
    <w:rsid w:val="004A1B10"/>
    <w:rsid w:val="004A1B4E"/>
    <w:rsid w:val="004A1C8C"/>
    <w:rsid w:val="004A1D56"/>
    <w:rsid w:val="004A2324"/>
    <w:rsid w:val="004A2485"/>
    <w:rsid w:val="004A2508"/>
    <w:rsid w:val="004A257E"/>
    <w:rsid w:val="004A25FB"/>
    <w:rsid w:val="004A268B"/>
    <w:rsid w:val="004A274F"/>
    <w:rsid w:val="004A2768"/>
    <w:rsid w:val="004A2778"/>
    <w:rsid w:val="004A27C7"/>
    <w:rsid w:val="004A27E3"/>
    <w:rsid w:val="004A27F2"/>
    <w:rsid w:val="004A2927"/>
    <w:rsid w:val="004A2B63"/>
    <w:rsid w:val="004A30C8"/>
    <w:rsid w:val="004A34C0"/>
    <w:rsid w:val="004A35D4"/>
    <w:rsid w:val="004A3626"/>
    <w:rsid w:val="004A3659"/>
    <w:rsid w:val="004A3679"/>
    <w:rsid w:val="004A378B"/>
    <w:rsid w:val="004A3CD8"/>
    <w:rsid w:val="004A3D46"/>
    <w:rsid w:val="004A3E09"/>
    <w:rsid w:val="004A3EAA"/>
    <w:rsid w:val="004A3F01"/>
    <w:rsid w:val="004A3F21"/>
    <w:rsid w:val="004A434B"/>
    <w:rsid w:val="004A465B"/>
    <w:rsid w:val="004A493F"/>
    <w:rsid w:val="004A4A36"/>
    <w:rsid w:val="004A4D79"/>
    <w:rsid w:val="004A4F73"/>
    <w:rsid w:val="004A528F"/>
    <w:rsid w:val="004A530D"/>
    <w:rsid w:val="004A538F"/>
    <w:rsid w:val="004A53A9"/>
    <w:rsid w:val="004A53B2"/>
    <w:rsid w:val="004A5441"/>
    <w:rsid w:val="004A54F4"/>
    <w:rsid w:val="004A55AE"/>
    <w:rsid w:val="004A581E"/>
    <w:rsid w:val="004A5879"/>
    <w:rsid w:val="004A5936"/>
    <w:rsid w:val="004A593D"/>
    <w:rsid w:val="004A59EC"/>
    <w:rsid w:val="004A5B5B"/>
    <w:rsid w:val="004A5B95"/>
    <w:rsid w:val="004A5BEF"/>
    <w:rsid w:val="004A5C74"/>
    <w:rsid w:val="004A5C7C"/>
    <w:rsid w:val="004A5FAB"/>
    <w:rsid w:val="004A6200"/>
    <w:rsid w:val="004A62DE"/>
    <w:rsid w:val="004A65E0"/>
    <w:rsid w:val="004A65F2"/>
    <w:rsid w:val="004A6725"/>
    <w:rsid w:val="004A692E"/>
    <w:rsid w:val="004A6A7C"/>
    <w:rsid w:val="004A6BD6"/>
    <w:rsid w:val="004A6CE6"/>
    <w:rsid w:val="004A6EC0"/>
    <w:rsid w:val="004A71BF"/>
    <w:rsid w:val="004A746C"/>
    <w:rsid w:val="004A7870"/>
    <w:rsid w:val="004A7948"/>
    <w:rsid w:val="004A795C"/>
    <w:rsid w:val="004A7B79"/>
    <w:rsid w:val="004A7BC9"/>
    <w:rsid w:val="004A7D97"/>
    <w:rsid w:val="004A7F1C"/>
    <w:rsid w:val="004A7F58"/>
    <w:rsid w:val="004B02A0"/>
    <w:rsid w:val="004B02D1"/>
    <w:rsid w:val="004B0361"/>
    <w:rsid w:val="004B0386"/>
    <w:rsid w:val="004B03BA"/>
    <w:rsid w:val="004B06AD"/>
    <w:rsid w:val="004B09D8"/>
    <w:rsid w:val="004B0B88"/>
    <w:rsid w:val="004B0B8F"/>
    <w:rsid w:val="004B0E7C"/>
    <w:rsid w:val="004B0F08"/>
    <w:rsid w:val="004B1062"/>
    <w:rsid w:val="004B111D"/>
    <w:rsid w:val="004B118E"/>
    <w:rsid w:val="004B1535"/>
    <w:rsid w:val="004B15A6"/>
    <w:rsid w:val="004B16A3"/>
    <w:rsid w:val="004B173E"/>
    <w:rsid w:val="004B17BD"/>
    <w:rsid w:val="004B17CB"/>
    <w:rsid w:val="004B198A"/>
    <w:rsid w:val="004B1BC4"/>
    <w:rsid w:val="004B1E02"/>
    <w:rsid w:val="004B1E4F"/>
    <w:rsid w:val="004B1F83"/>
    <w:rsid w:val="004B1FB2"/>
    <w:rsid w:val="004B21A7"/>
    <w:rsid w:val="004B21A9"/>
    <w:rsid w:val="004B26F0"/>
    <w:rsid w:val="004B272F"/>
    <w:rsid w:val="004B294E"/>
    <w:rsid w:val="004B295E"/>
    <w:rsid w:val="004B299B"/>
    <w:rsid w:val="004B2C68"/>
    <w:rsid w:val="004B2D09"/>
    <w:rsid w:val="004B3244"/>
    <w:rsid w:val="004B3336"/>
    <w:rsid w:val="004B3480"/>
    <w:rsid w:val="004B366C"/>
    <w:rsid w:val="004B37D3"/>
    <w:rsid w:val="004B3970"/>
    <w:rsid w:val="004B3FD4"/>
    <w:rsid w:val="004B418B"/>
    <w:rsid w:val="004B438D"/>
    <w:rsid w:val="004B43E2"/>
    <w:rsid w:val="004B4807"/>
    <w:rsid w:val="004B492B"/>
    <w:rsid w:val="004B4A93"/>
    <w:rsid w:val="004B4D44"/>
    <w:rsid w:val="004B4D48"/>
    <w:rsid w:val="004B5133"/>
    <w:rsid w:val="004B5315"/>
    <w:rsid w:val="004B53A0"/>
    <w:rsid w:val="004B54D2"/>
    <w:rsid w:val="004B5547"/>
    <w:rsid w:val="004B568C"/>
    <w:rsid w:val="004B57D1"/>
    <w:rsid w:val="004B58EF"/>
    <w:rsid w:val="004B59AD"/>
    <w:rsid w:val="004B59F3"/>
    <w:rsid w:val="004B59F4"/>
    <w:rsid w:val="004B5AFA"/>
    <w:rsid w:val="004B5C48"/>
    <w:rsid w:val="004B5D08"/>
    <w:rsid w:val="004B5D4D"/>
    <w:rsid w:val="004B5E49"/>
    <w:rsid w:val="004B5FDD"/>
    <w:rsid w:val="004B6171"/>
    <w:rsid w:val="004B64C5"/>
    <w:rsid w:val="004B666F"/>
    <w:rsid w:val="004B680D"/>
    <w:rsid w:val="004B68A8"/>
    <w:rsid w:val="004B68F7"/>
    <w:rsid w:val="004B68FD"/>
    <w:rsid w:val="004B6A62"/>
    <w:rsid w:val="004B6A8D"/>
    <w:rsid w:val="004B6B0C"/>
    <w:rsid w:val="004B6B7B"/>
    <w:rsid w:val="004B6D21"/>
    <w:rsid w:val="004B6DD4"/>
    <w:rsid w:val="004B6FB1"/>
    <w:rsid w:val="004B720C"/>
    <w:rsid w:val="004B739C"/>
    <w:rsid w:val="004B7893"/>
    <w:rsid w:val="004B7BC0"/>
    <w:rsid w:val="004B7C8A"/>
    <w:rsid w:val="004B7CF3"/>
    <w:rsid w:val="004B7F6C"/>
    <w:rsid w:val="004C02A5"/>
    <w:rsid w:val="004C02E6"/>
    <w:rsid w:val="004C03E0"/>
    <w:rsid w:val="004C0539"/>
    <w:rsid w:val="004C0640"/>
    <w:rsid w:val="004C0B55"/>
    <w:rsid w:val="004C0EA7"/>
    <w:rsid w:val="004C0F32"/>
    <w:rsid w:val="004C0F35"/>
    <w:rsid w:val="004C1079"/>
    <w:rsid w:val="004C1102"/>
    <w:rsid w:val="004C1337"/>
    <w:rsid w:val="004C1343"/>
    <w:rsid w:val="004C160E"/>
    <w:rsid w:val="004C17CF"/>
    <w:rsid w:val="004C1C70"/>
    <w:rsid w:val="004C1E07"/>
    <w:rsid w:val="004C1EA1"/>
    <w:rsid w:val="004C21C6"/>
    <w:rsid w:val="004C2332"/>
    <w:rsid w:val="004C24CD"/>
    <w:rsid w:val="004C275A"/>
    <w:rsid w:val="004C2802"/>
    <w:rsid w:val="004C2902"/>
    <w:rsid w:val="004C2A9E"/>
    <w:rsid w:val="004C2BDB"/>
    <w:rsid w:val="004C2C72"/>
    <w:rsid w:val="004C2CFD"/>
    <w:rsid w:val="004C30BF"/>
    <w:rsid w:val="004C313F"/>
    <w:rsid w:val="004C34E5"/>
    <w:rsid w:val="004C35AF"/>
    <w:rsid w:val="004C3747"/>
    <w:rsid w:val="004C3966"/>
    <w:rsid w:val="004C3A62"/>
    <w:rsid w:val="004C3AC6"/>
    <w:rsid w:val="004C3BFD"/>
    <w:rsid w:val="004C3C11"/>
    <w:rsid w:val="004C3D5F"/>
    <w:rsid w:val="004C3DC7"/>
    <w:rsid w:val="004C4107"/>
    <w:rsid w:val="004C4118"/>
    <w:rsid w:val="004C41B6"/>
    <w:rsid w:val="004C4247"/>
    <w:rsid w:val="004C4459"/>
    <w:rsid w:val="004C46B7"/>
    <w:rsid w:val="004C4977"/>
    <w:rsid w:val="004C4BE7"/>
    <w:rsid w:val="004C4E4D"/>
    <w:rsid w:val="004C4E7D"/>
    <w:rsid w:val="004C50F0"/>
    <w:rsid w:val="004C52C0"/>
    <w:rsid w:val="004C5304"/>
    <w:rsid w:val="004C5704"/>
    <w:rsid w:val="004C58F7"/>
    <w:rsid w:val="004C5919"/>
    <w:rsid w:val="004C5CA9"/>
    <w:rsid w:val="004C5D3C"/>
    <w:rsid w:val="004C5F6D"/>
    <w:rsid w:val="004C61E9"/>
    <w:rsid w:val="004C6258"/>
    <w:rsid w:val="004C62DA"/>
    <w:rsid w:val="004C65B2"/>
    <w:rsid w:val="004C6620"/>
    <w:rsid w:val="004C684F"/>
    <w:rsid w:val="004C691D"/>
    <w:rsid w:val="004C6A66"/>
    <w:rsid w:val="004C6B20"/>
    <w:rsid w:val="004C6BB2"/>
    <w:rsid w:val="004C70A3"/>
    <w:rsid w:val="004C7361"/>
    <w:rsid w:val="004C749D"/>
    <w:rsid w:val="004C774C"/>
    <w:rsid w:val="004C7A58"/>
    <w:rsid w:val="004C7A9A"/>
    <w:rsid w:val="004C7AAC"/>
    <w:rsid w:val="004C7ABB"/>
    <w:rsid w:val="004C7B16"/>
    <w:rsid w:val="004C7ECB"/>
    <w:rsid w:val="004C7F1C"/>
    <w:rsid w:val="004C7F55"/>
    <w:rsid w:val="004D018A"/>
    <w:rsid w:val="004D026F"/>
    <w:rsid w:val="004D041B"/>
    <w:rsid w:val="004D0442"/>
    <w:rsid w:val="004D0467"/>
    <w:rsid w:val="004D04C4"/>
    <w:rsid w:val="004D07D7"/>
    <w:rsid w:val="004D098C"/>
    <w:rsid w:val="004D0A7E"/>
    <w:rsid w:val="004D0DAC"/>
    <w:rsid w:val="004D1036"/>
    <w:rsid w:val="004D1373"/>
    <w:rsid w:val="004D15D9"/>
    <w:rsid w:val="004D1605"/>
    <w:rsid w:val="004D18C8"/>
    <w:rsid w:val="004D1B01"/>
    <w:rsid w:val="004D1B97"/>
    <w:rsid w:val="004D1C49"/>
    <w:rsid w:val="004D1FDF"/>
    <w:rsid w:val="004D1FFD"/>
    <w:rsid w:val="004D23F8"/>
    <w:rsid w:val="004D2485"/>
    <w:rsid w:val="004D24C7"/>
    <w:rsid w:val="004D26B7"/>
    <w:rsid w:val="004D26EA"/>
    <w:rsid w:val="004D274B"/>
    <w:rsid w:val="004D28C1"/>
    <w:rsid w:val="004D2A1A"/>
    <w:rsid w:val="004D2B26"/>
    <w:rsid w:val="004D2B7B"/>
    <w:rsid w:val="004D2C40"/>
    <w:rsid w:val="004D2DD7"/>
    <w:rsid w:val="004D3058"/>
    <w:rsid w:val="004D31B9"/>
    <w:rsid w:val="004D3238"/>
    <w:rsid w:val="004D351D"/>
    <w:rsid w:val="004D375A"/>
    <w:rsid w:val="004D37B0"/>
    <w:rsid w:val="004D39A0"/>
    <w:rsid w:val="004D39B0"/>
    <w:rsid w:val="004D3A74"/>
    <w:rsid w:val="004D3B0B"/>
    <w:rsid w:val="004D3C90"/>
    <w:rsid w:val="004D3D5D"/>
    <w:rsid w:val="004D3E93"/>
    <w:rsid w:val="004D3EC6"/>
    <w:rsid w:val="004D3F55"/>
    <w:rsid w:val="004D41DD"/>
    <w:rsid w:val="004D44C2"/>
    <w:rsid w:val="004D4530"/>
    <w:rsid w:val="004D4543"/>
    <w:rsid w:val="004D4616"/>
    <w:rsid w:val="004D484D"/>
    <w:rsid w:val="004D49A7"/>
    <w:rsid w:val="004D4BEA"/>
    <w:rsid w:val="004D4C7B"/>
    <w:rsid w:val="004D4D24"/>
    <w:rsid w:val="004D4E0A"/>
    <w:rsid w:val="004D4E55"/>
    <w:rsid w:val="004D4E7C"/>
    <w:rsid w:val="004D4EB7"/>
    <w:rsid w:val="004D5099"/>
    <w:rsid w:val="004D511B"/>
    <w:rsid w:val="004D535A"/>
    <w:rsid w:val="004D552E"/>
    <w:rsid w:val="004D5547"/>
    <w:rsid w:val="004D573D"/>
    <w:rsid w:val="004D59F1"/>
    <w:rsid w:val="004D5A86"/>
    <w:rsid w:val="004D5B31"/>
    <w:rsid w:val="004D5EC7"/>
    <w:rsid w:val="004D6126"/>
    <w:rsid w:val="004D624C"/>
    <w:rsid w:val="004D62F0"/>
    <w:rsid w:val="004D63DE"/>
    <w:rsid w:val="004D643D"/>
    <w:rsid w:val="004D6588"/>
    <w:rsid w:val="004D65A6"/>
    <w:rsid w:val="004D67FC"/>
    <w:rsid w:val="004D6A17"/>
    <w:rsid w:val="004D6A96"/>
    <w:rsid w:val="004D6A99"/>
    <w:rsid w:val="004D6E37"/>
    <w:rsid w:val="004D70BB"/>
    <w:rsid w:val="004D7146"/>
    <w:rsid w:val="004D737B"/>
    <w:rsid w:val="004D7502"/>
    <w:rsid w:val="004D7574"/>
    <w:rsid w:val="004D75A4"/>
    <w:rsid w:val="004D75D1"/>
    <w:rsid w:val="004D76B0"/>
    <w:rsid w:val="004D79B0"/>
    <w:rsid w:val="004D7C4D"/>
    <w:rsid w:val="004E000E"/>
    <w:rsid w:val="004E00EA"/>
    <w:rsid w:val="004E053B"/>
    <w:rsid w:val="004E0714"/>
    <w:rsid w:val="004E0806"/>
    <w:rsid w:val="004E0821"/>
    <w:rsid w:val="004E0AF7"/>
    <w:rsid w:val="004E0F47"/>
    <w:rsid w:val="004E12AE"/>
    <w:rsid w:val="004E138C"/>
    <w:rsid w:val="004E14D0"/>
    <w:rsid w:val="004E16FB"/>
    <w:rsid w:val="004E1727"/>
    <w:rsid w:val="004E1A0E"/>
    <w:rsid w:val="004E1AAB"/>
    <w:rsid w:val="004E1DB4"/>
    <w:rsid w:val="004E1E12"/>
    <w:rsid w:val="004E1EE0"/>
    <w:rsid w:val="004E1F99"/>
    <w:rsid w:val="004E2475"/>
    <w:rsid w:val="004E274F"/>
    <w:rsid w:val="004E276E"/>
    <w:rsid w:val="004E288B"/>
    <w:rsid w:val="004E2A08"/>
    <w:rsid w:val="004E2A2D"/>
    <w:rsid w:val="004E2AC3"/>
    <w:rsid w:val="004E2BD2"/>
    <w:rsid w:val="004E2D75"/>
    <w:rsid w:val="004E2DEA"/>
    <w:rsid w:val="004E2ED6"/>
    <w:rsid w:val="004E3046"/>
    <w:rsid w:val="004E307D"/>
    <w:rsid w:val="004E30A4"/>
    <w:rsid w:val="004E3118"/>
    <w:rsid w:val="004E337C"/>
    <w:rsid w:val="004E365F"/>
    <w:rsid w:val="004E3886"/>
    <w:rsid w:val="004E3AB1"/>
    <w:rsid w:val="004E3BA5"/>
    <w:rsid w:val="004E3BBC"/>
    <w:rsid w:val="004E3C35"/>
    <w:rsid w:val="004E3CC7"/>
    <w:rsid w:val="004E3DAE"/>
    <w:rsid w:val="004E3E2F"/>
    <w:rsid w:val="004E439A"/>
    <w:rsid w:val="004E43E3"/>
    <w:rsid w:val="004E4493"/>
    <w:rsid w:val="004E4517"/>
    <w:rsid w:val="004E4524"/>
    <w:rsid w:val="004E46EC"/>
    <w:rsid w:val="004E4827"/>
    <w:rsid w:val="004E4833"/>
    <w:rsid w:val="004E490B"/>
    <w:rsid w:val="004E49D8"/>
    <w:rsid w:val="004E4E1D"/>
    <w:rsid w:val="004E50FD"/>
    <w:rsid w:val="004E52C2"/>
    <w:rsid w:val="004E5415"/>
    <w:rsid w:val="004E558B"/>
    <w:rsid w:val="004E5608"/>
    <w:rsid w:val="004E5967"/>
    <w:rsid w:val="004E5A21"/>
    <w:rsid w:val="004E5A79"/>
    <w:rsid w:val="004E5B40"/>
    <w:rsid w:val="004E5B69"/>
    <w:rsid w:val="004E5C3D"/>
    <w:rsid w:val="004E5DCC"/>
    <w:rsid w:val="004E5EC3"/>
    <w:rsid w:val="004E62D9"/>
    <w:rsid w:val="004E644D"/>
    <w:rsid w:val="004E6598"/>
    <w:rsid w:val="004E66E4"/>
    <w:rsid w:val="004E68D7"/>
    <w:rsid w:val="004E68E7"/>
    <w:rsid w:val="004E6916"/>
    <w:rsid w:val="004E6994"/>
    <w:rsid w:val="004E6B14"/>
    <w:rsid w:val="004E6B68"/>
    <w:rsid w:val="004E6D02"/>
    <w:rsid w:val="004E6FC3"/>
    <w:rsid w:val="004E6FD5"/>
    <w:rsid w:val="004E7075"/>
    <w:rsid w:val="004E70CE"/>
    <w:rsid w:val="004E71BE"/>
    <w:rsid w:val="004E72FD"/>
    <w:rsid w:val="004E7442"/>
    <w:rsid w:val="004E7897"/>
    <w:rsid w:val="004E7C4D"/>
    <w:rsid w:val="004E7E1E"/>
    <w:rsid w:val="004E7E33"/>
    <w:rsid w:val="004E7F7C"/>
    <w:rsid w:val="004F00DF"/>
    <w:rsid w:val="004F01A4"/>
    <w:rsid w:val="004F0209"/>
    <w:rsid w:val="004F0474"/>
    <w:rsid w:val="004F060A"/>
    <w:rsid w:val="004F0A0E"/>
    <w:rsid w:val="004F0A4A"/>
    <w:rsid w:val="004F0DAB"/>
    <w:rsid w:val="004F0E98"/>
    <w:rsid w:val="004F136F"/>
    <w:rsid w:val="004F1386"/>
    <w:rsid w:val="004F13A1"/>
    <w:rsid w:val="004F1727"/>
    <w:rsid w:val="004F17A5"/>
    <w:rsid w:val="004F17BB"/>
    <w:rsid w:val="004F19EC"/>
    <w:rsid w:val="004F1C00"/>
    <w:rsid w:val="004F1F75"/>
    <w:rsid w:val="004F1FDB"/>
    <w:rsid w:val="004F20D5"/>
    <w:rsid w:val="004F2132"/>
    <w:rsid w:val="004F2312"/>
    <w:rsid w:val="004F25E7"/>
    <w:rsid w:val="004F2A2C"/>
    <w:rsid w:val="004F2D29"/>
    <w:rsid w:val="004F2D93"/>
    <w:rsid w:val="004F2DBF"/>
    <w:rsid w:val="004F2F59"/>
    <w:rsid w:val="004F32C5"/>
    <w:rsid w:val="004F32E0"/>
    <w:rsid w:val="004F332A"/>
    <w:rsid w:val="004F3551"/>
    <w:rsid w:val="004F38AC"/>
    <w:rsid w:val="004F3B44"/>
    <w:rsid w:val="004F3C77"/>
    <w:rsid w:val="004F3E12"/>
    <w:rsid w:val="004F3EA1"/>
    <w:rsid w:val="004F3ED8"/>
    <w:rsid w:val="004F4032"/>
    <w:rsid w:val="004F4121"/>
    <w:rsid w:val="004F4166"/>
    <w:rsid w:val="004F41CF"/>
    <w:rsid w:val="004F4281"/>
    <w:rsid w:val="004F45C5"/>
    <w:rsid w:val="004F470F"/>
    <w:rsid w:val="004F4792"/>
    <w:rsid w:val="004F4828"/>
    <w:rsid w:val="004F4998"/>
    <w:rsid w:val="004F4A35"/>
    <w:rsid w:val="004F4B5F"/>
    <w:rsid w:val="004F4B92"/>
    <w:rsid w:val="004F4BB1"/>
    <w:rsid w:val="004F4BCF"/>
    <w:rsid w:val="004F4C2A"/>
    <w:rsid w:val="004F4F83"/>
    <w:rsid w:val="004F5121"/>
    <w:rsid w:val="004F5378"/>
    <w:rsid w:val="004F53BC"/>
    <w:rsid w:val="004F5753"/>
    <w:rsid w:val="004F575C"/>
    <w:rsid w:val="004F5A2E"/>
    <w:rsid w:val="004F5B42"/>
    <w:rsid w:val="004F5B7A"/>
    <w:rsid w:val="004F5E19"/>
    <w:rsid w:val="004F60A0"/>
    <w:rsid w:val="004F61F2"/>
    <w:rsid w:val="004F626F"/>
    <w:rsid w:val="004F6271"/>
    <w:rsid w:val="004F628A"/>
    <w:rsid w:val="004F65C5"/>
    <w:rsid w:val="004F6A21"/>
    <w:rsid w:val="004F6BD7"/>
    <w:rsid w:val="004F6E5E"/>
    <w:rsid w:val="004F71BB"/>
    <w:rsid w:val="004F744F"/>
    <w:rsid w:val="004F76D3"/>
    <w:rsid w:val="004F7C0E"/>
    <w:rsid w:val="004F7FD7"/>
    <w:rsid w:val="00500135"/>
    <w:rsid w:val="0050027A"/>
    <w:rsid w:val="0050033A"/>
    <w:rsid w:val="0050040F"/>
    <w:rsid w:val="0050052F"/>
    <w:rsid w:val="005005BF"/>
    <w:rsid w:val="005005F5"/>
    <w:rsid w:val="005007D0"/>
    <w:rsid w:val="005007FD"/>
    <w:rsid w:val="00500991"/>
    <w:rsid w:val="00500D71"/>
    <w:rsid w:val="00500D77"/>
    <w:rsid w:val="00500DEF"/>
    <w:rsid w:val="00500EF5"/>
    <w:rsid w:val="00500F76"/>
    <w:rsid w:val="005010E1"/>
    <w:rsid w:val="00501251"/>
    <w:rsid w:val="0050125F"/>
    <w:rsid w:val="005012E9"/>
    <w:rsid w:val="00501707"/>
    <w:rsid w:val="0050174B"/>
    <w:rsid w:val="0050177F"/>
    <w:rsid w:val="005018BE"/>
    <w:rsid w:val="00501A9E"/>
    <w:rsid w:val="00501B6C"/>
    <w:rsid w:val="00501E6C"/>
    <w:rsid w:val="0050228B"/>
    <w:rsid w:val="00502330"/>
    <w:rsid w:val="00502407"/>
    <w:rsid w:val="00502552"/>
    <w:rsid w:val="005027E6"/>
    <w:rsid w:val="00502831"/>
    <w:rsid w:val="0050286A"/>
    <w:rsid w:val="005029A4"/>
    <w:rsid w:val="005029C3"/>
    <w:rsid w:val="00502A6D"/>
    <w:rsid w:val="00502A9D"/>
    <w:rsid w:val="00502B71"/>
    <w:rsid w:val="00502E5D"/>
    <w:rsid w:val="00502EFC"/>
    <w:rsid w:val="0050325B"/>
    <w:rsid w:val="00503705"/>
    <w:rsid w:val="00503A8E"/>
    <w:rsid w:val="00503B11"/>
    <w:rsid w:val="00503F0D"/>
    <w:rsid w:val="00504264"/>
    <w:rsid w:val="00504334"/>
    <w:rsid w:val="005045F8"/>
    <w:rsid w:val="005046A3"/>
    <w:rsid w:val="00504766"/>
    <w:rsid w:val="00504AA8"/>
    <w:rsid w:val="00504F84"/>
    <w:rsid w:val="0050511F"/>
    <w:rsid w:val="0050523A"/>
    <w:rsid w:val="00505542"/>
    <w:rsid w:val="005055AE"/>
    <w:rsid w:val="0050564D"/>
    <w:rsid w:val="00505AF1"/>
    <w:rsid w:val="00505E4D"/>
    <w:rsid w:val="00505E51"/>
    <w:rsid w:val="0050606E"/>
    <w:rsid w:val="005062D4"/>
    <w:rsid w:val="005062EE"/>
    <w:rsid w:val="00506463"/>
    <w:rsid w:val="005065F1"/>
    <w:rsid w:val="00506701"/>
    <w:rsid w:val="00506A77"/>
    <w:rsid w:val="00506E89"/>
    <w:rsid w:val="00507031"/>
    <w:rsid w:val="005071FC"/>
    <w:rsid w:val="005072B9"/>
    <w:rsid w:val="0050742A"/>
    <w:rsid w:val="005077CE"/>
    <w:rsid w:val="00507ABD"/>
    <w:rsid w:val="00507CDB"/>
    <w:rsid w:val="00507E88"/>
    <w:rsid w:val="00507E9A"/>
    <w:rsid w:val="0051003E"/>
    <w:rsid w:val="005100BE"/>
    <w:rsid w:val="00510113"/>
    <w:rsid w:val="0051015C"/>
    <w:rsid w:val="00510206"/>
    <w:rsid w:val="00510322"/>
    <w:rsid w:val="0051049A"/>
    <w:rsid w:val="00510894"/>
    <w:rsid w:val="0051091F"/>
    <w:rsid w:val="0051099B"/>
    <w:rsid w:val="00510B01"/>
    <w:rsid w:val="00510DCD"/>
    <w:rsid w:val="00510E12"/>
    <w:rsid w:val="00511011"/>
    <w:rsid w:val="005110C5"/>
    <w:rsid w:val="00511325"/>
    <w:rsid w:val="0051137B"/>
    <w:rsid w:val="005114B3"/>
    <w:rsid w:val="005115A5"/>
    <w:rsid w:val="005115A7"/>
    <w:rsid w:val="005115B8"/>
    <w:rsid w:val="0051164A"/>
    <w:rsid w:val="0051184D"/>
    <w:rsid w:val="005119BD"/>
    <w:rsid w:val="005119CF"/>
    <w:rsid w:val="00511A24"/>
    <w:rsid w:val="00511C64"/>
    <w:rsid w:val="00511DF2"/>
    <w:rsid w:val="00511E04"/>
    <w:rsid w:val="00511F94"/>
    <w:rsid w:val="00511FD7"/>
    <w:rsid w:val="00511FE9"/>
    <w:rsid w:val="00512017"/>
    <w:rsid w:val="0051205F"/>
    <w:rsid w:val="00512218"/>
    <w:rsid w:val="00512435"/>
    <w:rsid w:val="005124CB"/>
    <w:rsid w:val="00512581"/>
    <w:rsid w:val="00512B7C"/>
    <w:rsid w:val="00512D52"/>
    <w:rsid w:val="00512F7F"/>
    <w:rsid w:val="00512F9D"/>
    <w:rsid w:val="00513106"/>
    <w:rsid w:val="00513311"/>
    <w:rsid w:val="00513387"/>
    <w:rsid w:val="00513569"/>
    <w:rsid w:val="0051360C"/>
    <w:rsid w:val="005139F8"/>
    <w:rsid w:val="00513B0C"/>
    <w:rsid w:val="00513CC2"/>
    <w:rsid w:val="00513CE5"/>
    <w:rsid w:val="0051403B"/>
    <w:rsid w:val="00514325"/>
    <w:rsid w:val="005143F2"/>
    <w:rsid w:val="00514409"/>
    <w:rsid w:val="00514440"/>
    <w:rsid w:val="005144E2"/>
    <w:rsid w:val="0051454D"/>
    <w:rsid w:val="005146E0"/>
    <w:rsid w:val="00514863"/>
    <w:rsid w:val="00514877"/>
    <w:rsid w:val="0051496E"/>
    <w:rsid w:val="00514B2A"/>
    <w:rsid w:val="00514F24"/>
    <w:rsid w:val="005150EC"/>
    <w:rsid w:val="00515102"/>
    <w:rsid w:val="00515134"/>
    <w:rsid w:val="005151DF"/>
    <w:rsid w:val="005157F9"/>
    <w:rsid w:val="00515814"/>
    <w:rsid w:val="00515B14"/>
    <w:rsid w:val="00515BDC"/>
    <w:rsid w:val="00515FAA"/>
    <w:rsid w:val="00516013"/>
    <w:rsid w:val="0051604A"/>
    <w:rsid w:val="0051613E"/>
    <w:rsid w:val="005163ED"/>
    <w:rsid w:val="00516470"/>
    <w:rsid w:val="005165C3"/>
    <w:rsid w:val="00516631"/>
    <w:rsid w:val="005166D5"/>
    <w:rsid w:val="00516785"/>
    <w:rsid w:val="0051678E"/>
    <w:rsid w:val="00516984"/>
    <w:rsid w:val="00516B22"/>
    <w:rsid w:val="00516B2B"/>
    <w:rsid w:val="00516F6B"/>
    <w:rsid w:val="00516F9B"/>
    <w:rsid w:val="005174E7"/>
    <w:rsid w:val="00517612"/>
    <w:rsid w:val="00517904"/>
    <w:rsid w:val="00517B67"/>
    <w:rsid w:val="00517C50"/>
    <w:rsid w:val="00517D10"/>
    <w:rsid w:val="00517E73"/>
    <w:rsid w:val="00520484"/>
    <w:rsid w:val="005204FB"/>
    <w:rsid w:val="00520724"/>
    <w:rsid w:val="00520921"/>
    <w:rsid w:val="00520B38"/>
    <w:rsid w:val="00520B52"/>
    <w:rsid w:val="00520C3C"/>
    <w:rsid w:val="00520D4F"/>
    <w:rsid w:val="00520D9C"/>
    <w:rsid w:val="00520E11"/>
    <w:rsid w:val="00521019"/>
    <w:rsid w:val="0052131A"/>
    <w:rsid w:val="005213FA"/>
    <w:rsid w:val="00521554"/>
    <w:rsid w:val="00521585"/>
    <w:rsid w:val="0052187F"/>
    <w:rsid w:val="005219FB"/>
    <w:rsid w:val="00521A87"/>
    <w:rsid w:val="00521C05"/>
    <w:rsid w:val="00521D85"/>
    <w:rsid w:val="00522162"/>
    <w:rsid w:val="00522573"/>
    <w:rsid w:val="00522811"/>
    <w:rsid w:val="005228E5"/>
    <w:rsid w:val="00522A53"/>
    <w:rsid w:val="00522C58"/>
    <w:rsid w:val="0052310A"/>
    <w:rsid w:val="0052370F"/>
    <w:rsid w:val="005237DC"/>
    <w:rsid w:val="00523924"/>
    <w:rsid w:val="00523A4E"/>
    <w:rsid w:val="00523AEE"/>
    <w:rsid w:val="00523B30"/>
    <w:rsid w:val="00523CE2"/>
    <w:rsid w:val="00523D33"/>
    <w:rsid w:val="00523D73"/>
    <w:rsid w:val="0052419D"/>
    <w:rsid w:val="0052421B"/>
    <w:rsid w:val="0052436D"/>
    <w:rsid w:val="00524396"/>
    <w:rsid w:val="005245E8"/>
    <w:rsid w:val="00524656"/>
    <w:rsid w:val="005246A2"/>
    <w:rsid w:val="0052476B"/>
    <w:rsid w:val="0052487E"/>
    <w:rsid w:val="005248AF"/>
    <w:rsid w:val="00524931"/>
    <w:rsid w:val="00524B10"/>
    <w:rsid w:val="00524BE8"/>
    <w:rsid w:val="00524D1F"/>
    <w:rsid w:val="00524D39"/>
    <w:rsid w:val="00524DF1"/>
    <w:rsid w:val="00524FF0"/>
    <w:rsid w:val="00525032"/>
    <w:rsid w:val="005252C0"/>
    <w:rsid w:val="0052532A"/>
    <w:rsid w:val="0052539A"/>
    <w:rsid w:val="00525456"/>
    <w:rsid w:val="00525602"/>
    <w:rsid w:val="0052562E"/>
    <w:rsid w:val="005259E2"/>
    <w:rsid w:val="00525AA6"/>
    <w:rsid w:val="00525BC0"/>
    <w:rsid w:val="00525E83"/>
    <w:rsid w:val="00525EF0"/>
    <w:rsid w:val="00526033"/>
    <w:rsid w:val="0052626E"/>
    <w:rsid w:val="005262A3"/>
    <w:rsid w:val="005262B0"/>
    <w:rsid w:val="0052630A"/>
    <w:rsid w:val="00526311"/>
    <w:rsid w:val="00526405"/>
    <w:rsid w:val="0052644F"/>
    <w:rsid w:val="005264B7"/>
    <w:rsid w:val="005264FB"/>
    <w:rsid w:val="005267AF"/>
    <w:rsid w:val="00526A5D"/>
    <w:rsid w:val="00526B3E"/>
    <w:rsid w:val="00526BDA"/>
    <w:rsid w:val="00526F43"/>
    <w:rsid w:val="00526F58"/>
    <w:rsid w:val="00526FB5"/>
    <w:rsid w:val="00526FC8"/>
    <w:rsid w:val="0052709E"/>
    <w:rsid w:val="00527133"/>
    <w:rsid w:val="005271CD"/>
    <w:rsid w:val="005271F0"/>
    <w:rsid w:val="0052751D"/>
    <w:rsid w:val="0052774A"/>
    <w:rsid w:val="0052777A"/>
    <w:rsid w:val="005277A1"/>
    <w:rsid w:val="00527BF6"/>
    <w:rsid w:val="00527E87"/>
    <w:rsid w:val="005300D7"/>
    <w:rsid w:val="005301F8"/>
    <w:rsid w:val="00530327"/>
    <w:rsid w:val="00530486"/>
    <w:rsid w:val="00530811"/>
    <w:rsid w:val="00530969"/>
    <w:rsid w:val="00530ED0"/>
    <w:rsid w:val="005311A4"/>
    <w:rsid w:val="005311FB"/>
    <w:rsid w:val="005312B0"/>
    <w:rsid w:val="005312FC"/>
    <w:rsid w:val="00531569"/>
    <w:rsid w:val="0053165A"/>
    <w:rsid w:val="0053176F"/>
    <w:rsid w:val="005317CF"/>
    <w:rsid w:val="005318C6"/>
    <w:rsid w:val="00531A23"/>
    <w:rsid w:val="00531AF4"/>
    <w:rsid w:val="00531B7E"/>
    <w:rsid w:val="00531CEB"/>
    <w:rsid w:val="00531F10"/>
    <w:rsid w:val="00532096"/>
    <w:rsid w:val="00532192"/>
    <w:rsid w:val="00532281"/>
    <w:rsid w:val="00532474"/>
    <w:rsid w:val="00532876"/>
    <w:rsid w:val="00532958"/>
    <w:rsid w:val="00532A9A"/>
    <w:rsid w:val="00532C6D"/>
    <w:rsid w:val="00532CB5"/>
    <w:rsid w:val="00533434"/>
    <w:rsid w:val="005337FC"/>
    <w:rsid w:val="005337FD"/>
    <w:rsid w:val="00533840"/>
    <w:rsid w:val="00533994"/>
    <w:rsid w:val="00533B3E"/>
    <w:rsid w:val="00533D03"/>
    <w:rsid w:val="00533D50"/>
    <w:rsid w:val="00533F8D"/>
    <w:rsid w:val="005340FB"/>
    <w:rsid w:val="00534370"/>
    <w:rsid w:val="005343CE"/>
    <w:rsid w:val="00534627"/>
    <w:rsid w:val="005349BC"/>
    <w:rsid w:val="00534BC3"/>
    <w:rsid w:val="00534C04"/>
    <w:rsid w:val="00534EB4"/>
    <w:rsid w:val="005350D5"/>
    <w:rsid w:val="00535354"/>
    <w:rsid w:val="00535363"/>
    <w:rsid w:val="005353C8"/>
    <w:rsid w:val="00535445"/>
    <w:rsid w:val="00535559"/>
    <w:rsid w:val="0053564F"/>
    <w:rsid w:val="0053569C"/>
    <w:rsid w:val="0053569E"/>
    <w:rsid w:val="005356CD"/>
    <w:rsid w:val="00535901"/>
    <w:rsid w:val="00535AB9"/>
    <w:rsid w:val="0053603D"/>
    <w:rsid w:val="0053604B"/>
    <w:rsid w:val="0053639A"/>
    <w:rsid w:val="00536541"/>
    <w:rsid w:val="00536566"/>
    <w:rsid w:val="00536634"/>
    <w:rsid w:val="00536861"/>
    <w:rsid w:val="005368FF"/>
    <w:rsid w:val="00536998"/>
    <w:rsid w:val="00536B00"/>
    <w:rsid w:val="00536B50"/>
    <w:rsid w:val="0053730A"/>
    <w:rsid w:val="0053742A"/>
    <w:rsid w:val="00537516"/>
    <w:rsid w:val="005376A0"/>
    <w:rsid w:val="005376A9"/>
    <w:rsid w:val="00537888"/>
    <w:rsid w:val="00537A84"/>
    <w:rsid w:val="00537C85"/>
    <w:rsid w:val="00537CAE"/>
    <w:rsid w:val="00537D56"/>
    <w:rsid w:val="00537F53"/>
    <w:rsid w:val="00540069"/>
    <w:rsid w:val="005401AD"/>
    <w:rsid w:val="005404A5"/>
    <w:rsid w:val="005404D2"/>
    <w:rsid w:val="005405F5"/>
    <w:rsid w:val="0054064B"/>
    <w:rsid w:val="005406D6"/>
    <w:rsid w:val="005407D1"/>
    <w:rsid w:val="0054081C"/>
    <w:rsid w:val="0054091B"/>
    <w:rsid w:val="00540D84"/>
    <w:rsid w:val="00540FA6"/>
    <w:rsid w:val="0054100C"/>
    <w:rsid w:val="005412E4"/>
    <w:rsid w:val="005414AB"/>
    <w:rsid w:val="005415C9"/>
    <w:rsid w:val="00541756"/>
    <w:rsid w:val="00541852"/>
    <w:rsid w:val="0054186A"/>
    <w:rsid w:val="00541AEC"/>
    <w:rsid w:val="00541D29"/>
    <w:rsid w:val="00541DB4"/>
    <w:rsid w:val="00541DE4"/>
    <w:rsid w:val="00541E02"/>
    <w:rsid w:val="0054243E"/>
    <w:rsid w:val="00542492"/>
    <w:rsid w:val="005426CD"/>
    <w:rsid w:val="00542833"/>
    <w:rsid w:val="005428E2"/>
    <w:rsid w:val="00542901"/>
    <w:rsid w:val="00542ABD"/>
    <w:rsid w:val="00542AC8"/>
    <w:rsid w:val="00542BCF"/>
    <w:rsid w:val="00542DCC"/>
    <w:rsid w:val="005431A0"/>
    <w:rsid w:val="00543278"/>
    <w:rsid w:val="0054346D"/>
    <w:rsid w:val="00543593"/>
    <w:rsid w:val="005439AD"/>
    <w:rsid w:val="00543A73"/>
    <w:rsid w:val="00543B65"/>
    <w:rsid w:val="00543DF0"/>
    <w:rsid w:val="00543F23"/>
    <w:rsid w:val="00543FD6"/>
    <w:rsid w:val="00544032"/>
    <w:rsid w:val="005440F1"/>
    <w:rsid w:val="00544178"/>
    <w:rsid w:val="00544327"/>
    <w:rsid w:val="0054434D"/>
    <w:rsid w:val="0054476C"/>
    <w:rsid w:val="00544B21"/>
    <w:rsid w:val="00544B37"/>
    <w:rsid w:val="00544D72"/>
    <w:rsid w:val="0054503E"/>
    <w:rsid w:val="00545054"/>
    <w:rsid w:val="005451EB"/>
    <w:rsid w:val="00545255"/>
    <w:rsid w:val="005452C8"/>
    <w:rsid w:val="00545443"/>
    <w:rsid w:val="00545455"/>
    <w:rsid w:val="005456E0"/>
    <w:rsid w:val="0054579E"/>
    <w:rsid w:val="0054600A"/>
    <w:rsid w:val="0054609B"/>
    <w:rsid w:val="005460C8"/>
    <w:rsid w:val="0054640D"/>
    <w:rsid w:val="00546417"/>
    <w:rsid w:val="00546465"/>
    <w:rsid w:val="00546A11"/>
    <w:rsid w:val="00546CE5"/>
    <w:rsid w:val="00546DA8"/>
    <w:rsid w:val="00546F82"/>
    <w:rsid w:val="00547355"/>
    <w:rsid w:val="0054736B"/>
    <w:rsid w:val="005478AA"/>
    <w:rsid w:val="00547ACA"/>
    <w:rsid w:val="00547C3F"/>
    <w:rsid w:val="00547D11"/>
    <w:rsid w:val="00550269"/>
    <w:rsid w:val="005504AC"/>
    <w:rsid w:val="005504BC"/>
    <w:rsid w:val="00550663"/>
    <w:rsid w:val="005506A9"/>
    <w:rsid w:val="00550AA3"/>
    <w:rsid w:val="00550D70"/>
    <w:rsid w:val="00550ED6"/>
    <w:rsid w:val="00550EE1"/>
    <w:rsid w:val="00550F2A"/>
    <w:rsid w:val="0055111B"/>
    <w:rsid w:val="00551535"/>
    <w:rsid w:val="005515EE"/>
    <w:rsid w:val="00551631"/>
    <w:rsid w:val="005517F1"/>
    <w:rsid w:val="0055185D"/>
    <w:rsid w:val="00551A51"/>
    <w:rsid w:val="00551BAC"/>
    <w:rsid w:val="00551C34"/>
    <w:rsid w:val="00551C3C"/>
    <w:rsid w:val="00551D63"/>
    <w:rsid w:val="005527E0"/>
    <w:rsid w:val="00552938"/>
    <w:rsid w:val="00552D8C"/>
    <w:rsid w:val="00552F1B"/>
    <w:rsid w:val="005530CC"/>
    <w:rsid w:val="0055320D"/>
    <w:rsid w:val="00553236"/>
    <w:rsid w:val="00553259"/>
    <w:rsid w:val="00553420"/>
    <w:rsid w:val="0055347F"/>
    <w:rsid w:val="005535DE"/>
    <w:rsid w:val="00553756"/>
    <w:rsid w:val="00553772"/>
    <w:rsid w:val="0055390D"/>
    <w:rsid w:val="00553CE5"/>
    <w:rsid w:val="00553ECA"/>
    <w:rsid w:val="00553F6B"/>
    <w:rsid w:val="005544EF"/>
    <w:rsid w:val="0055468A"/>
    <w:rsid w:val="005547BF"/>
    <w:rsid w:val="00554BDA"/>
    <w:rsid w:val="00554C2B"/>
    <w:rsid w:val="00554C77"/>
    <w:rsid w:val="00554D31"/>
    <w:rsid w:val="00554FB4"/>
    <w:rsid w:val="00555259"/>
    <w:rsid w:val="0055558B"/>
    <w:rsid w:val="0055562D"/>
    <w:rsid w:val="005557D0"/>
    <w:rsid w:val="005557DB"/>
    <w:rsid w:val="005559E2"/>
    <w:rsid w:val="00555B50"/>
    <w:rsid w:val="00555B83"/>
    <w:rsid w:val="00555C0D"/>
    <w:rsid w:val="00555D8C"/>
    <w:rsid w:val="00555F20"/>
    <w:rsid w:val="0055603D"/>
    <w:rsid w:val="005560D0"/>
    <w:rsid w:val="005560D4"/>
    <w:rsid w:val="00556149"/>
    <w:rsid w:val="00556160"/>
    <w:rsid w:val="005563FC"/>
    <w:rsid w:val="005565D5"/>
    <w:rsid w:val="0055662B"/>
    <w:rsid w:val="00556736"/>
    <w:rsid w:val="00556784"/>
    <w:rsid w:val="005568D9"/>
    <w:rsid w:val="005569BF"/>
    <w:rsid w:val="00556A85"/>
    <w:rsid w:val="00556C0E"/>
    <w:rsid w:val="00556C55"/>
    <w:rsid w:val="00556D49"/>
    <w:rsid w:val="00556E8D"/>
    <w:rsid w:val="00556F93"/>
    <w:rsid w:val="00556FB0"/>
    <w:rsid w:val="00557489"/>
    <w:rsid w:val="005574CB"/>
    <w:rsid w:val="00557550"/>
    <w:rsid w:val="005576E9"/>
    <w:rsid w:val="0055793B"/>
    <w:rsid w:val="00557B75"/>
    <w:rsid w:val="00557D75"/>
    <w:rsid w:val="00557D76"/>
    <w:rsid w:val="00557EB5"/>
    <w:rsid w:val="00557F9B"/>
    <w:rsid w:val="00560114"/>
    <w:rsid w:val="00560406"/>
    <w:rsid w:val="00560468"/>
    <w:rsid w:val="005604D6"/>
    <w:rsid w:val="00560522"/>
    <w:rsid w:val="005606C9"/>
    <w:rsid w:val="005606F8"/>
    <w:rsid w:val="0056080B"/>
    <w:rsid w:val="00560859"/>
    <w:rsid w:val="00560B84"/>
    <w:rsid w:val="00560B94"/>
    <w:rsid w:val="00560D3F"/>
    <w:rsid w:val="00560DA5"/>
    <w:rsid w:val="00560F2A"/>
    <w:rsid w:val="00560F38"/>
    <w:rsid w:val="005611F6"/>
    <w:rsid w:val="00561284"/>
    <w:rsid w:val="005615B9"/>
    <w:rsid w:val="0056180D"/>
    <w:rsid w:val="005618F9"/>
    <w:rsid w:val="00561AE3"/>
    <w:rsid w:val="00561B15"/>
    <w:rsid w:val="00561C2D"/>
    <w:rsid w:val="00561E9B"/>
    <w:rsid w:val="00561F75"/>
    <w:rsid w:val="00562218"/>
    <w:rsid w:val="00562413"/>
    <w:rsid w:val="0056241E"/>
    <w:rsid w:val="00562647"/>
    <w:rsid w:val="005626F9"/>
    <w:rsid w:val="00562910"/>
    <w:rsid w:val="00562A08"/>
    <w:rsid w:val="00562E3A"/>
    <w:rsid w:val="00562F17"/>
    <w:rsid w:val="00563022"/>
    <w:rsid w:val="0056331A"/>
    <w:rsid w:val="005633D0"/>
    <w:rsid w:val="00563567"/>
    <w:rsid w:val="0056371A"/>
    <w:rsid w:val="005637EB"/>
    <w:rsid w:val="00563D90"/>
    <w:rsid w:val="00563DC9"/>
    <w:rsid w:val="00563E45"/>
    <w:rsid w:val="00563FD8"/>
    <w:rsid w:val="005641FD"/>
    <w:rsid w:val="0056456C"/>
    <w:rsid w:val="00564697"/>
    <w:rsid w:val="0056486D"/>
    <w:rsid w:val="005649C8"/>
    <w:rsid w:val="00564AFD"/>
    <w:rsid w:val="00564E7E"/>
    <w:rsid w:val="00564FBC"/>
    <w:rsid w:val="00565034"/>
    <w:rsid w:val="00565222"/>
    <w:rsid w:val="00565232"/>
    <w:rsid w:val="005653CC"/>
    <w:rsid w:val="0056582C"/>
    <w:rsid w:val="005659E1"/>
    <w:rsid w:val="00565C41"/>
    <w:rsid w:val="00565C65"/>
    <w:rsid w:val="00565FBD"/>
    <w:rsid w:val="0056603E"/>
    <w:rsid w:val="00566059"/>
    <w:rsid w:val="005660F2"/>
    <w:rsid w:val="005661F1"/>
    <w:rsid w:val="005661FA"/>
    <w:rsid w:val="005663A4"/>
    <w:rsid w:val="005664A6"/>
    <w:rsid w:val="00566660"/>
    <w:rsid w:val="00566665"/>
    <w:rsid w:val="00566866"/>
    <w:rsid w:val="005669C4"/>
    <w:rsid w:val="00566CC8"/>
    <w:rsid w:val="00566F94"/>
    <w:rsid w:val="00566F9F"/>
    <w:rsid w:val="00567019"/>
    <w:rsid w:val="0056714E"/>
    <w:rsid w:val="00567232"/>
    <w:rsid w:val="005672E9"/>
    <w:rsid w:val="005674F8"/>
    <w:rsid w:val="0056778D"/>
    <w:rsid w:val="00567B2D"/>
    <w:rsid w:val="00567C7E"/>
    <w:rsid w:val="00567ECA"/>
    <w:rsid w:val="00567ECF"/>
    <w:rsid w:val="00567FC2"/>
    <w:rsid w:val="0057018B"/>
    <w:rsid w:val="005703BA"/>
    <w:rsid w:val="00570464"/>
    <w:rsid w:val="00570719"/>
    <w:rsid w:val="005708A2"/>
    <w:rsid w:val="005709A4"/>
    <w:rsid w:val="00570D3F"/>
    <w:rsid w:val="00570D5C"/>
    <w:rsid w:val="00570E42"/>
    <w:rsid w:val="00570F1B"/>
    <w:rsid w:val="0057115D"/>
    <w:rsid w:val="00571278"/>
    <w:rsid w:val="005712FC"/>
    <w:rsid w:val="00571711"/>
    <w:rsid w:val="00571E94"/>
    <w:rsid w:val="00571F03"/>
    <w:rsid w:val="0057201E"/>
    <w:rsid w:val="005721EB"/>
    <w:rsid w:val="00572201"/>
    <w:rsid w:val="00572213"/>
    <w:rsid w:val="00572552"/>
    <w:rsid w:val="00572706"/>
    <w:rsid w:val="005728D0"/>
    <w:rsid w:val="0057293B"/>
    <w:rsid w:val="0057298A"/>
    <w:rsid w:val="005729CA"/>
    <w:rsid w:val="005731D4"/>
    <w:rsid w:val="005731F8"/>
    <w:rsid w:val="0057385E"/>
    <w:rsid w:val="005738F7"/>
    <w:rsid w:val="00573985"/>
    <w:rsid w:val="00573CA8"/>
    <w:rsid w:val="00573F0C"/>
    <w:rsid w:val="005741E6"/>
    <w:rsid w:val="0057449B"/>
    <w:rsid w:val="005747AF"/>
    <w:rsid w:val="00574845"/>
    <w:rsid w:val="00574A81"/>
    <w:rsid w:val="00574B84"/>
    <w:rsid w:val="00574C9D"/>
    <w:rsid w:val="00574D67"/>
    <w:rsid w:val="00574FCC"/>
    <w:rsid w:val="0057529F"/>
    <w:rsid w:val="00575337"/>
    <w:rsid w:val="00575338"/>
    <w:rsid w:val="00575507"/>
    <w:rsid w:val="00575565"/>
    <w:rsid w:val="005755BD"/>
    <w:rsid w:val="005757FD"/>
    <w:rsid w:val="005759D1"/>
    <w:rsid w:val="00575AAE"/>
    <w:rsid w:val="00575C06"/>
    <w:rsid w:val="00575D79"/>
    <w:rsid w:val="00575F54"/>
    <w:rsid w:val="00575F59"/>
    <w:rsid w:val="00576230"/>
    <w:rsid w:val="0057654B"/>
    <w:rsid w:val="00576794"/>
    <w:rsid w:val="00576857"/>
    <w:rsid w:val="005768BB"/>
    <w:rsid w:val="005768D3"/>
    <w:rsid w:val="005769E7"/>
    <w:rsid w:val="00576C34"/>
    <w:rsid w:val="00576D2C"/>
    <w:rsid w:val="00576F4A"/>
    <w:rsid w:val="0057719F"/>
    <w:rsid w:val="00577281"/>
    <w:rsid w:val="0057739B"/>
    <w:rsid w:val="005774AF"/>
    <w:rsid w:val="0057752F"/>
    <w:rsid w:val="005776B2"/>
    <w:rsid w:val="00577814"/>
    <w:rsid w:val="00577904"/>
    <w:rsid w:val="00577DFE"/>
    <w:rsid w:val="00577FEB"/>
    <w:rsid w:val="00580125"/>
    <w:rsid w:val="0058012C"/>
    <w:rsid w:val="0058014E"/>
    <w:rsid w:val="005801E9"/>
    <w:rsid w:val="0058023B"/>
    <w:rsid w:val="00580436"/>
    <w:rsid w:val="005806AB"/>
    <w:rsid w:val="00580811"/>
    <w:rsid w:val="00580813"/>
    <w:rsid w:val="00580956"/>
    <w:rsid w:val="00580A50"/>
    <w:rsid w:val="00580A77"/>
    <w:rsid w:val="00580B21"/>
    <w:rsid w:val="00580BD9"/>
    <w:rsid w:val="00580CAF"/>
    <w:rsid w:val="00580E49"/>
    <w:rsid w:val="00580EFB"/>
    <w:rsid w:val="005811CF"/>
    <w:rsid w:val="0058123C"/>
    <w:rsid w:val="005813D4"/>
    <w:rsid w:val="00581536"/>
    <w:rsid w:val="00581716"/>
    <w:rsid w:val="00581CED"/>
    <w:rsid w:val="00581DFE"/>
    <w:rsid w:val="00582007"/>
    <w:rsid w:val="00582064"/>
    <w:rsid w:val="005824B7"/>
    <w:rsid w:val="00582867"/>
    <w:rsid w:val="005828E0"/>
    <w:rsid w:val="00582A19"/>
    <w:rsid w:val="00582B56"/>
    <w:rsid w:val="00582CA3"/>
    <w:rsid w:val="00582CA8"/>
    <w:rsid w:val="00582D34"/>
    <w:rsid w:val="00582DE7"/>
    <w:rsid w:val="00583436"/>
    <w:rsid w:val="0058344F"/>
    <w:rsid w:val="005836B6"/>
    <w:rsid w:val="00583811"/>
    <w:rsid w:val="00583883"/>
    <w:rsid w:val="005839C6"/>
    <w:rsid w:val="00583A07"/>
    <w:rsid w:val="00583B20"/>
    <w:rsid w:val="00583B8C"/>
    <w:rsid w:val="00583BDF"/>
    <w:rsid w:val="00583DF4"/>
    <w:rsid w:val="00583E3B"/>
    <w:rsid w:val="00583E97"/>
    <w:rsid w:val="00583EAE"/>
    <w:rsid w:val="00583F18"/>
    <w:rsid w:val="0058407B"/>
    <w:rsid w:val="0058415F"/>
    <w:rsid w:val="005841C6"/>
    <w:rsid w:val="005842A3"/>
    <w:rsid w:val="0058448E"/>
    <w:rsid w:val="005845D7"/>
    <w:rsid w:val="00584699"/>
    <w:rsid w:val="0058490F"/>
    <w:rsid w:val="005849E1"/>
    <w:rsid w:val="00584A42"/>
    <w:rsid w:val="00584BD5"/>
    <w:rsid w:val="00584DFD"/>
    <w:rsid w:val="00584EB2"/>
    <w:rsid w:val="0058505C"/>
    <w:rsid w:val="00585108"/>
    <w:rsid w:val="0058520B"/>
    <w:rsid w:val="005858AD"/>
    <w:rsid w:val="00585984"/>
    <w:rsid w:val="005859D1"/>
    <w:rsid w:val="00585B1F"/>
    <w:rsid w:val="00585D16"/>
    <w:rsid w:val="00585E2C"/>
    <w:rsid w:val="00585ED9"/>
    <w:rsid w:val="00585FBF"/>
    <w:rsid w:val="005862E7"/>
    <w:rsid w:val="00586342"/>
    <w:rsid w:val="005863FD"/>
    <w:rsid w:val="005864AA"/>
    <w:rsid w:val="005864FF"/>
    <w:rsid w:val="00586605"/>
    <w:rsid w:val="005866C8"/>
    <w:rsid w:val="00586812"/>
    <w:rsid w:val="00586834"/>
    <w:rsid w:val="005868AF"/>
    <w:rsid w:val="005868C6"/>
    <w:rsid w:val="005868DE"/>
    <w:rsid w:val="0058695D"/>
    <w:rsid w:val="00586985"/>
    <w:rsid w:val="00586B42"/>
    <w:rsid w:val="00586C0B"/>
    <w:rsid w:val="00586E08"/>
    <w:rsid w:val="00586EAE"/>
    <w:rsid w:val="005872F4"/>
    <w:rsid w:val="005873D6"/>
    <w:rsid w:val="005877AC"/>
    <w:rsid w:val="0058790C"/>
    <w:rsid w:val="00587999"/>
    <w:rsid w:val="00587A30"/>
    <w:rsid w:val="00587B5D"/>
    <w:rsid w:val="00587DFA"/>
    <w:rsid w:val="00587FEE"/>
    <w:rsid w:val="005906EC"/>
    <w:rsid w:val="0059090C"/>
    <w:rsid w:val="0059092E"/>
    <w:rsid w:val="00590C65"/>
    <w:rsid w:val="00590C76"/>
    <w:rsid w:val="0059115C"/>
    <w:rsid w:val="00591169"/>
    <w:rsid w:val="00591206"/>
    <w:rsid w:val="0059125B"/>
    <w:rsid w:val="005912A5"/>
    <w:rsid w:val="00591839"/>
    <w:rsid w:val="00591A23"/>
    <w:rsid w:val="00591C9B"/>
    <w:rsid w:val="00591D13"/>
    <w:rsid w:val="00591ECE"/>
    <w:rsid w:val="00591F79"/>
    <w:rsid w:val="0059206A"/>
    <w:rsid w:val="005920AD"/>
    <w:rsid w:val="005923D5"/>
    <w:rsid w:val="00592430"/>
    <w:rsid w:val="005926F5"/>
    <w:rsid w:val="0059281B"/>
    <w:rsid w:val="005928A6"/>
    <w:rsid w:val="005929AB"/>
    <w:rsid w:val="00592A51"/>
    <w:rsid w:val="00592B30"/>
    <w:rsid w:val="00592B91"/>
    <w:rsid w:val="00592D83"/>
    <w:rsid w:val="00592EB8"/>
    <w:rsid w:val="00592EF8"/>
    <w:rsid w:val="00592F34"/>
    <w:rsid w:val="00593191"/>
    <w:rsid w:val="00593505"/>
    <w:rsid w:val="005939F7"/>
    <w:rsid w:val="005940C1"/>
    <w:rsid w:val="00594101"/>
    <w:rsid w:val="00594135"/>
    <w:rsid w:val="00594332"/>
    <w:rsid w:val="00594375"/>
    <w:rsid w:val="00594551"/>
    <w:rsid w:val="00594572"/>
    <w:rsid w:val="00594675"/>
    <w:rsid w:val="0059482B"/>
    <w:rsid w:val="00594876"/>
    <w:rsid w:val="00594A1E"/>
    <w:rsid w:val="00594C70"/>
    <w:rsid w:val="00594D36"/>
    <w:rsid w:val="00594E1A"/>
    <w:rsid w:val="00594F60"/>
    <w:rsid w:val="00595030"/>
    <w:rsid w:val="0059505D"/>
    <w:rsid w:val="00595110"/>
    <w:rsid w:val="00595179"/>
    <w:rsid w:val="00595475"/>
    <w:rsid w:val="00595EE8"/>
    <w:rsid w:val="00595FAA"/>
    <w:rsid w:val="00596028"/>
    <w:rsid w:val="00596080"/>
    <w:rsid w:val="00596084"/>
    <w:rsid w:val="005960C9"/>
    <w:rsid w:val="005960D8"/>
    <w:rsid w:val="00596130"/>
    <w:rsid w:val="00596283"/>
    <w:rsid w:val="00596358"/>
    <w:rsid w:val="005963C1"/>
    <w:rsid w:val="00596682"/>
    <w:rsid w:val="00596685"/>
    <w:rsid w:val="005966B7"/>
    <w:rsid w:val="00596721"/>
    <w:rsid w:val="0059699C"/>
    <w:rsid w:val="00596A23"/>
    <w:rsid w:val="00596D20"/>
    <w:rsid w:val="00596E0D"/>
    <w:rsid w:val="00596FD8"/>
    <w:rsid w:val="00597161"/>
    <w:rsid w:val="00597339"/>
    <w:rsid w:val="00597403"/>
    <w:rsid w:val="005974C5"/>
    <w:rsid w:val="0059781B"/>
    <w:rsid w:val="00597896"/>
    <w:rsid w:val="005978DE"/>
    <w:rsid w:val="00597967"/>
    <w:rsid w:val="00597AA4"/>
    <w:rsid w:val="00597EB5"/>
    <w:rsid w:val="005A000E"/>
    <w:rsid w:val="005A006B"/>
    <w:rsid w:val="005A017F"/>
    <w:rsid w:val="005A019D"/>
    <w:rsid w:val="005A0232"/>
    <w:rsid w:val="005A030B"/>
    <w:rsid w:val="005A0340"/>
    <w:rsid w:val="005A0753"/>
    <w:rsid w:val="005A0861"/>
    <w:rsid w:val="005A097A"/>
    <w:rsid w:val="005A09CA"/>
    <w:rsid w:val="005A0B93"/>
    <w:rsid w:val="005A0BAB"/>
    <w:rsid w:val="005A0C12"/>
    <w:rsid w:val="005A0D04"/>
    <w:rsid w:val="005A0E4C"/>
    <w:rsid w:val="005A0F55"/>
    <w:rsid w:val="005A12A9"/>
    <w:rsid w:val="005A1A0B"/>
    <w:rsid w:val="005A1A95"/>
    <w:rsid w:val="005A1CED"/>
    <w:rsid w:val="005A1DA1"/>
    <w:rsid w:val="005A1E03"/>
    <w:rsid w:val="005A1EAF"/>
    <w:rsid w:val="005A1EB2"/>
    <w:rsid w:val="005A1F4F"/>
    <w:rsid w:val="005A20C7"/>
    <w:rsid w:val="005A21F3"/>
    <w:rsid w:val="005A22E5"/>
    <w:rsid w:val="005A2450"/>
    <w:rsid w:val="005A2648"/>
    <w:rsid w:val="005A2A98"/>
    <w:rsid w:val="005A2B0D"/>
    <w:rsid w:val="005A2BBB"/>
    <w:rsid w:val="005A2D66"/>
    <w:rsid w:val="005A2DB5"/>
    <w:rsid w:val="005A2F1C"/>
    <w:rsid w:val="005A3064"/>
    <w:rsid w:val="005A3227"/>
    <w:rsid w:val="005A32A2"/>
    <w:rsid w:val="005A34F7"/>
    <w:rsid w:val="005A355E"/>
    <w:rsid w:val="005A37D7"/>
    <w:rsid w:val="005A37E3"/>
    <w:rsid w:val="005A3A37"/>
    <w:rsid w:val="005A3BD8"/>
    <w:rsid w:val="005A3C79"/>
    <w:rsid w:val="005A3ED7"/>
    <w:rsid w:val="005A421D"/>
    <w:rsid w:val="005A4286"/>
    <w:rsid w:val="005A44FC"/>
    <w:rsid w:val="005A4632"/>
    <w:rsid w:val="005A4C27"/>
    <w:rsid w:val="005A4D7A"/>
    <w:rsid w:val="005A4E51"/>
    <w:rsid w:val="005A4E7D"/>
    <w:rsid w:val="005A51C1"/>
    <w:rsid w:val="005A5221"/>
    <w:rsid w:val="005A531B"/>
    <w:rsid w:val="005A53E6"/>
    <w:rsid w:val="005A54DA"/>
    <w:rsid w:val="005A55BD"/>
    <w:rsid w:val="005A57E8"/>
    <w:rsid w:val="005A5892"/>
    <w:rsid w:val="005A5906"/>
    <w:rsid w:val="005A5949"/>
    <w:rsid w:val="005A5A8B"/>
    <w:rsid w:val="005A5F61"/>
    <w:rsid w:val="005A5F77"/>
    <w:rsid w:val="005A6000"/>
    <w:rsid w:val="005A60AC"/>
    <w:rsid w:val="005A6268"/>
    <w:rsid w:val="005A666A"/>
    <w:rsid w:val="005A6AB8"/>
    <w:rsid w:val="005A6CBF"/>
    <w:rsid w:val="005A7224"/>
    <w:rsid w:val="005A742C"/>
    <w:rsid w:val="005A745C"/>
    <w:rsid w:val="005A7676"/>
    <w:rsid w:val="005A7769"/>
    <w:rsid w:val="005A7863"/>
    <w:rsid w:val="005A7D45"/>
    <w:rsid w:val="005A7DDA"/>
    <w:rsid w:val="005B0296"/>
    <w:rsid w:val="005B029A"/>
    <w:rsid w:val="005B0860"/>
    <w:rsid w:val="005B0B67"/>
    <w:rsid w:val="005B0F43"/>
    <w:rsid w:val="005B115A"/>
    <w:rsid w:val="005B132D"/>
    <w:rsid w:val="005B141A"/>
    <w:rsid w:val="005B15AC"/>
    <w:rsid w:val="005B192E"/>
    <w:rsid w:val="005B1967"/>
    <w:rsid w:val="005B1C0B"/>
    <w:rsid w:val="005B1C61"/>
    <w:rsid w:val="005B1D28"/>
    <w:rsid w:val="005B2025"/>
    <w:rsid w:val="005B22F4"/>
    <w:rsid w:val="005B2374"/>
    <w:rsid w:val="005B237B"/>
    <w:rsid w:val="005B2631"/>
    <w:rsid w:val="005B2808"/>
    <w:rsid w:val="005B2A9B"/>
    <w:rsid w:val="005B2A9F"/>
    <w:rsid w:val="005B2AA2"/>
    <w:rsid w:val="005B2BE7"/>
    <w:rsid w:val="005B2C11"/>
    <w:rsid w:val="005B2D8D"/>
    <w:rsid w:val="005B2F06"/>
    <w:rsid w:val="005B3294"/>
    <w:rsid w:val="005B38B3"/>
    <w:rsid w:val="005B38B6"/>
    <w:rsid w:val="005B3C78"/>
    <w:rsid w:val="005B3EFE"/>
    <w:rsid w:val="005B3F4D"/>
    <w:rsid w:val="005B40AF"/>
    <w:rsid w:val="005B41C2"/>
    <w:rsid w:val="005B4533"/>
    <w:rsid w:val="005B454B"/>
    <w:rsid w:val="005B4586"/>
    <w:rsid w:val="005B4694"/>
    <w:rsid w:val="005B46A0"/>
    <w:rsid w:val="005B4774"/>
    <w:rsid w:val="005B47D2"/>
    <w:rsid w:val="005B4DBE"/>
    <w:rsid w:val="005B4F3D"/>
    <w:rsid w:val="005B4FDE"/>
    <w:rsid w:val="005B518F"/>
    <w:rsid w:val="005B538F"/>
    <w:rsid w:val="005B54B3"/>
    <w:rsid w:val="005B56F6"/>
    <w:rsid w:val="005B5777"/>
    <w:rsid w:val="005B5ABA"/>
    <w:rsid w:val="005B5CFD"/>
    <w:rsid w:val="005B5CFE"/>
    <w:rsid w:val="005B5E19"/>
    <w:rsid w:val="005B5E2A"/>
    <w:rsid w:val="005B6073"/>
    <w:rsid w:val="005B60FE"/>
    <w:rsid w:val="005B62FA"/>
    <w:rsid w:val="005B64B9"/>
    <w:rsid w:val="005B65BC"/>
    <w:rsid w:val="005B6A44"/>
    <w:rsid w:val="005B6A69"/>
    <w:rsid w:val="005B6B4F"/>
    <w:rsid w:val="005B6DEB"/>
    <w:rsid w:val="005B6ED8"/>
    <w:rsid w:val="005B6F10"/>
    <w:rsid w:val="005B6F32"/>
    <w:rsid w:val="005B705E"/>
    <w:rsid w:val="005B751B"/>
    <w:rsid w:val="005B7643"/>
    <w:rsid w:val="005B7B26"/>
    <w:rsid w:val="005C02A4"/>
    <w:rsid w:val="005C04B3"/>
    <w:rsid w:val="005C05F2"/>
    <w:rsid w:val="005C0826"/>
    <w:rsid w:val="005C0857"/>
    <w:rsid w:val="005C0B12"/>
    <w:rsid w:val="005C0B24"/>
    <w:rsid w:val="005C0B6D"/>
    <w:rsid w:val="005C0BD0"/>
    <w:rsid w:val="005C10E1"/>
    <w:rsid w:val="005C126D"/>
    <w:rsid w:val="005C1390"/>
    <w:rsid w:val="005C16D6"/>
    <w:rsid w:val="005C16FE"/>
    <w:rsid w:val="005C1AAA"/>
    <w:rsid w:val="005C1B85"/>
    <w:rsid w:val="005C1D32"/>
    <w:rsid w:val="005C1ED0"/>
    <w:rsid w:val="005C20D2"/>
    <w:rsid w:val="005C21CF"/>
    <w:rsid w:val="005C226A"/>
    <w:rsid w:val="005C2287"/>
    <w:rsid w:val="005C2417"/>
    <w:rsid w:val="005C2694"/>
    <w:rsid w:val="005C27DF"/>
    <w:rsid w:val="005C2973"/>
    <w:rsid w:val="005C2ACF"/>
    <w:rsid w:val="005C2AE2"/>
    <w:rsid w:val="005C2BB4"/>
    <w:rsid w:val="005C32FE"/>
    <w:rsid w:val="005C340F"/>
    <w:rsid w:val="005C3418"/>
    <w:rsid w:val="005C352B"/>
    <w:rsid w:val="005C3617"/>
    <w:rsid w:val="005C3972"/>
    <w:rsid w:val="005C39AD"/>
    <w:rsid w:val="005C3A97"/>
    <w:rsid w:val="005C3BBC"/>
    <w:rsid w:val="005C3C6F"/>
    <w:rsid w:val="005C3D00"/>
    <w:rsid w:val="005C3E27"/>
    <w:rsid w:val="005C41E4"/>
    <w:rsid w:val="005C4280"/>
    <w:rsid w:val="005C433B"/>
    <w:rsid w:val="005C4432"/>
    <w:rsid w:val="005C44AE"/>
    <w:rsid w:val="005C462D"/>
    <w:rsid w:val="005C469C"/>
    <w:rsid w:val="005C47F5"/>
    <w:rsid w:val="005C4885"/>
    <w:rsid w:val="005C49E8"/>
    <w:rsid w:val="005C4ACF"/>
    <w:rsid w:val="005C4B11"/>
    <w:rsid w:val="005C5025"/>
    <w:rsid w:val="005C503A"/>
    <w:rsid w:val="005C51E7"/>
    <w:rsid w:val="005C52D5"/>
    <w:rsid w:val="005C5301"/>
    <w:rsid w:val="005C54E7"/>
    <w:rsid w:val="005C5571"/>
    <w:rsid w:val="005C58CF"/>
    <w:rsid w:val="005C5C6A"/>
    <w:rsid w:val="005C5D09"/>
    <w:rsid w:val="005C5E0D"/>
    <w:rsid w:val="005C5E4F"/>
    <w:rsid w:val="005C5EF2"/>
    <w:rsid w:val="005C5F23"/>
    <w:rsid w:val="005C5FE8"/>
    <w:rsid w:val="005C6027"/>
    <w:rsid w:val="005C605B"/>
    <w:rsid w:val="005C64F9"/>
    <w:rsid w:val="005C65FF"/>
    <w:rsid w:val="005C688E"/>
    <w:rsid w:val="005C69EA"/>
    <w:rsid w:val="005C6C99"/>
    <w:rsid w:val="005C6F51"/>
    <w:rsid w:val="005C7066"/>
    <w:rsid w:val="005C7254"/>
    <w:rsid w:val="005C7274"/>
    <w:rsid w:val="005C730E"/>
    <w:rsid w:val="005C747C"/>
    <w:rsid w:val="005C75EB"/>
    <w:rsid w:val="005C768E"/>
    <w:rsid w:val="005C7700"/>
    <w:rsid w:val="005C7948"/>
    <w:rsid w:val="005C79C8"/>
    <w:rsid w:val="005C7BAD"/>
    <w:rsid w:val="005C7C38"/>
    <w:rsid w:val="005C7D9A"/>
    <w:rsid w:val="005C7E56"/>
    <w:rsid w:val="005D008D"/>
    <w:rsid w:val="005D024A"/>
    <w:rsid w:val="005D05B9"/>
    <w:rsid w:val="005D07A1"/>
    <w:rsid w:val="005D0899"/>
    <w:rsid w:val="005D08AE"/>
    <w:rsid w:val="005D0C79"/>
    <w:rsid w:val="005D0D2A"/>
    <w:rsid w:val="005D0D43"/>
    <w:rsid w:val="005D1442"/>
    <w:rsid w:val="005D14BE"/>
    <w:rsid w:val="005D1570"/>
    <w:rsid w:val="005D17B5"/>
    <w:rsid w:val="005D18FF"/>
    <w:rsid w:val="005D1B26"/>
    <w:rsid w:val="005D1BD9"/>
    <w:rsid w:val="005D1C40"/>
    <w:rsid w:val="005D1D3E"/>
    <w:rsid w:val="005D1DFF"/>
    <w:rsid w:val="005D2075"/>
    <w:rsid w:val="005D20AB"/>
    <w:rsid w:val="005D2111"/>
    <w:rsid w:val="005D213F"/>
    <w:rsid w:val="005D22C7"/>
    <w:rsid w:val="005D22E6"/>
    <w:rsid w:val="005D24EE"/>
    <w:rsid w:val="005D2611"/>
    <w:rsid w:val="005D2763"/>
    <w:rsid w:val="005D2811"/>
    <w:rsid w:val="005D28BC"/>
    <w:rsid w:val="005D2939"/>
    <w:rsid w:val="005D2A19"/>
    <w:rsid w:val="005D2A2C"/>
    <w:rsid w:val="005D2A97"/>
    <w:rsid w:val="005D2DEF"/>
    <w:rsid w:val="005D2EF8"/>
    <w:rsid w:val="005D32A9"/>
    <w:rsid w:val="005D32F9"/>
    <w:rsid w:val="005D3345"/>
    <w:rsid w:val="005D3392"/>
    <w:rsid w:val="005D36CC"/>
    <w:rsid w:val="005D3A49"/>
    <w:rsid w:val="005D3BEA"/>
    <w:rsid w:val="005D400B"/>
    <w:rsid w:val="005D40AC"/>
    <w:rsid w:val="005D40DA"/>
    <w:rsid w:val="005D40ED"/>
    <w:rsid w:val="005D4100"/>
    <w:rsid w:val="005D4225"/>
    <w:rsid w:val="005D42C7"/>
    <w:rsid w:val="005D4358"/>
    <w:rsid w:val="005D438C"/>
    <w:rsid w:val="005D4477"/>
    <w:rsid w:val="005D45D4"/>
    <w:rsid w:val="005D4653"/>
    <w:rsid w:val="005D4673"/>
    <w:rsid w:val="005D4729"/>
    <w:rsid w:val="005D4732"/>
    <w:rsid w:val="005D4753"/>
    <w:rsid w:val="005D480A"/>
    <w:rsid w:val="005D488A"/>
    <w:rsid w:val="005D49F2"/>
    <w:rsid w:val="005D4A88"/>
    <w:rsid w:val="005D4B08"/>
    <w:rsid w:val="005D4EAE"/>
    <w:rsid w:val="005D4F5D"/>
    <w:rsid w:val="005D4FD4"/>
    <w:rsid w:val="005D500B"/>
    <w:rsid w:val="005D50FF"/>
    <w:rsid w:val="005D5155"/>
    <w:rsid w:val="005D54FE"/>
    <w:rsid w:val="005D55ED"/>
    <w:rsid w:val="005D56DD"/>
    <w:rsid w:val="005D59D2"/>
    <w:rsid w:val="005D5BBB"/>
    <w:rsid w:val="005D5DAA"/>
    <w:rsid w:val="005D5E45"/>
    <w:rsid w:val="005D5E97"/>
    <w:rsid w:val="005D6190"/>
    <w:rsid w:val="005D623C"/>
    <w:rsid w:val="005D6309"/>
    <w:rsid w:val="005D6351"/>
    <w:rsid w:val="005D64DD"/>
    <w:rsid w:val="005D65A7"/>
    <w:rsid w:val="005D6664"/>
    <w:rsid w:val="005D67F9"/>
    <w:rsid w:val="005D682C"/>
    <w:rsid w:val="005D6977"/>
    <w:rsid w:val="005D698E"/>
    <w:rsid w:val="005D6D64"/>
    <w:rsid w:val="005D6DB5"/>
    <w:rsid w:val="005D6DD8"/>
    <w:rsid w:val="005D6F1D"/>
    <w:rsid w:val="005D6F6F"/>
    <w:rsid w:val="005D6FC0"/>
    <w:rsid w:val="005D7016"/>
    <w:rsid w:val="005D74C1"/>
    <w:rsid w:val="005D7675"/>
    <w:rsid w:val="005D7840"/>
    <w:rsid w:val="005D7BC6"/>
    <w:rsid w:val="005D7F9A"/>
    <w:rsid w:val="005E0074"/>
    <w:rsid w:val="005E009D"/>
    <w:rsid w:val="005E0154"/>
    <w:rsid w:val="005E02A0"/>
    <w:rsid w:val="005E0312"/>
    <w:rsid w:val="005E04C6"/>
    <w:rsid w:val="005E052D"/>
    <w:rsid w:val="005E08B2"/>
    <w:rsid w:val="005E08F4"/>
    <w:rsid w:val="005E0A72"/>
    <w:rsid w:val="005E0AC3"/>
    <w:rsid w:val="005E0B14"/>
    <w:rsid w:val="005E0C17"/>
    <w:rsid w:val="005E0C69"/>
    <w:rsid w:val="005E0E68"/>
    <w:rsid w:val="005E0F6F"/>
    <w:rsid w:val="005E100F"/>
    <w:rsid w:val="005E10E4"/>
    <w:rsid w:val="005E128F"/>
    <w:rsid w:val="005E129E"/>
    <w:rsid w:val="005E153F"/>
    <w:rsid w:val="005E1934"/>
    <w:rsid w:val="005E1A27"/>
    <w:rsid w:val="005E1B12"/>
    <w:rsid w:val="005E1B26"/>
    <w:rsid w:val="005E1CEF"/>
    <w:rsid w:val="005E1E99"/>
    <w:rsid w:val="005E22E8"/>
    <w:rsid w:val="005E2361"/>
    <w:rsid w:val="005E2404"/>
    <w:rsid w:val="005E25DE"/>
    <w:rsid w:val="005E26E7"/>
    <w:rsid w:val="005E27C6"/>
    <w:rsid w:val="005E286F"/>
    <w:rsid w:val="005E2AE6"/>
    <w:rsid w:val="005E2D14"/>
    <w:rsid w:val="005E2E79"/>
    <w:rsid w:val="005E2F22"/>
    <w:rsid w:val="005E3085"/>
    <w:rsid w:val="005E3300"/>
    <w:rsid w:val="005E3355"/>
    <w:rsid w:val="005E37F6"/>
    <w:rsid w:val="005E393F"/>
    <w:rsid w:val="005E3CE7"/>
    <w:rsid w:val="005E3F3E"/>
    <w:rsid w:val="005E3FF7"/>
    <w:rsid w:val="005E4431"/>
    <w:rsid w:val="005E4439"/>
    <w:rsid w:val="005E47B8"/>
    <w:rsid w:val="005E4902"/>
    <w:rsid w:val="005E4C67"/>
    <w:rsid w:val="005E4CC6"/>
    <w:rsid w:val="005E4D50"/>
    <w:rsid w:val="005E4F88"/>
    <w:rsid w:val="005E51E3"/>
    <w:rsid w:val="005E51EB"/>
    <w:rsid w:val="005E5227"/>
    <w:rsid w:val="005E55D6"/>
    <w:rsid w:val="005E574E"/>
    <w:rsid w:val="005E5B67"/>
    <w:rsid w:val="005E5C9A"/>
    <w:rsid w:val="005E5D1F"/>
    <w:rsid w:val="005E5E82"/>
    <w:rsid w:val="005E5FE3"/>
    <w:rsid w:val="005E61FB"/>
    <w:rsid w:val="005E6481"/>
    <w:rsid w:val="005E65E5"/>
    <w:rsid w:val="005E6628"/>
    <w:rsid w:val="005E6639"/>
    <w:rsid w:val="005E6801"/>
    <w:rsid w:val="005E696B"/>
    <w:rsid w:val="005E69EA"/>
    <w:rsid w:val="005E6AA4"/>
    <w:rsid w:val="005E6BDE"/>
    <w:rsid w:val="005E6CBB"/>
    <w:rsid w:val="005E6F3C"/>
    <w:rsid w:val="005E7017"/>
    <w:rsid w:val="005E70A5"/>
    <w:rsid w:val="005E71A0"/>
    <w:rsid w:val="005E7202"/>
    <w:rsid w:val="005E7314"/>
    <w:rsid w:val="005E7337"/>
    <w:rsid w:val="005E73A0"/>
    <w:rsid w:val="005E7667"/>
    <w:rsid w:val="005E76CC"/>
    <w:rsid w:val="005E7735"/>
    <w:rsid w:val="005E7783"/>
    <w:rsid w:val="005E79A0"/>
    <w:rsid w:val="005E7FE6"/>
    <w:rsid w:val="005F01CE"/>
    <w:rsid w:val="005F01EE"/>
    <w:rsid w:val="005F0271"/>
    <w:rsid w:val="005F0350"/>
    <w:rsid w:val="005F037C"/>
    <w:rsid w:val="005F04C6"/>
    <w:rsid w:val="005F0601"/>
    <w:rsid w:val="005F0712"/>
    <w:rsid w:val="005F08B5"/>
    <w:rsid w:val="005F0CBF"/>
    <w:rsid w:val="005F0E21"/>
    <w:rsid w:val="005F0F59"/>
    <w:rsid w:val="005F1119"/>
    <w:rsid w:val="005F1145"/>
    <w:rsid w:val="005F11BB"/>
    <w:rsid w:val="005F11F2"/>
    <w:rsid w:val="005F13D3"/>
    <w:rsid w:val="005F1410"/>
    <w:rsid w:val="005F14FF"/>
    <w:rsid w:val="005F16E5"/>
    <w:rsid w:val="005F1894"/>
    <w:rsid w:val="005F18A9"/>
    <w:rsid w:val="005F1A6E"/>
    <w:rsid w:val="005F1B37"/>
    <w:rsid w:val="005F1CB1"/>
    <w:rsid w:val="005F1D13"/>
    <w:rsid w:val="005F1D73"/>
    <w:rsid w:val="005F1D7E"/>
    <w:rsid w:val="005F1ECE"/>
    <w:rsid w:val="005F2079"/>
    <w:rsid w:val="005F27DC"/>
    <w:rsid w:val="005F2821"/>
    <w:rsid w:val="005F29A8"/>
    <w:rsid w:val="005F2A78"/>
    <w:rsid w:val="005F2B07"/>
    <w:rsid w:val="005F2D1D"/>
    <w:rsid w:val="005F2E47"/>
    <w:rsid w:val="005F2F89"/>
    <w:rsid w:val="005F30E5"/>
    <w:rsid w:val="005F316C"/>
    <w:rsid w:val="005F316E"/>
    <w:rsid w:val="005F3468"/>
    <w:rsid w:val="005F3605"/>
    <w:rsid w:val="005F3903"/>
    <w:rsid w:val="005F391B"/>
    <w:rsid w:val="005F3A0C"/>
    <w:rsid w:val="005F3CC2"/>
    <w:rsid w:val="005F3DF9"/>
    <w:rsid w:val="005F3F89"/>
    <w:rsid w:val="005F3FAC"/>
    <w:rsid w:val="005F401F"/>
    <w:rsid w:val="005F410F"/>
    <w:rsid w:val="005F42B3"/>
    <w:rsid w:val="005F43C9"/>
    <w:rsid w:val="005F43DF"/>
    <w:rsid w:val="005F44F5"/>
    <w:rsid w:val="005F4549"/>
    <w:rsid w:val="005F4550"/>
    <w:rsid w:val="005F46D6"/>
    <w:rsid w:val="005F474F"/>
    <w:rsid w:val="005F4765"/>
    <w:rsid w:val="005F4B09"/>
    <w:rsid w:val="005F4B9D"/>
    <w:rsid w:val="005F4C13"/>
    <w:rsid w:val="005F4DEF"/>
    <w:rsid w:val="005F4DFC"/>
    <w:rsid w:val="005F4F6E"/>
    <w:rsid w:val="005F504C"/>
    <w:rsid w:val="005F5375"/>
    <w:rsid w:val="005F53E8"/>
    <w:rsid w:val="005F5427"/>
    <w:rsid w:val="005F5550"/>
    <w:rsid w:val="005F56BD"/>
    <w:rsid w:val="005F56F7"/>
    <w:rsid w:val="005F578D"/>
    <w:rsid w:val="005F589F"/>
    <w:rsid w:val="005F59EC"/>
    <w:rsid w:val="005F5A25"/>
    <w:rsid w:val="005F5EB0"/>
    <w:rsid w:val="005F5F44"/>
    <w:rsid w:val="005F6015"/>
    <w:rsid w:val="005F61DF"/>
    <w:rsid w:val="005F6464"/>
    <w:rsid w:val="005F67A6"/>
    <w:rsid w:val="005F6BD2"/>
    <w:rsid w:val="005F6E41"/>
    <w:rsid w:val="005F6E6F"/>
    <w:rsid w:val="005F6F08"/>
    <w:rsid w:val="005F7084"/>
    <w:rsid w:val="005F70A7"/>
    <w:rsid w:val="005F7277"/>
    <w:rsid w:val="005F75FB"/>
    <w:rsid w:val="005F760C"/>
    <w:rsid w:val="005F775B"/>
    <w:rsid w:val="005F7972"/>
    <w:rsid w:val="005F7CC0"/>
    <w:rsid w:val="005F7E38"/>
    <w:rsid w:val="00600016"/>
    <w:rsid w:val="00600018"/>
    <w:rsid w:val="00600034"/>
    <w:rsid w:val="0060011E"/>
    <w:rsid w:val="00600201"/>
    <w:rsid w:val="00600267"/>
    <w:rsid w:val="00600376"/>
    <w:rsid w:val="0060039F"/>
    <w:rsid w:val="006003F1"/>
    <w:rsid w:val="006005D8"/>
    <w:rsid w:val="006006AB"/>
    <w:rsid w:val="006007C6"/>
    <w:rsid w:val="00600816"/>
    <w:rsid w:val="00600A54"/>
    <w:rsid w:val="00600BEA"/>
    <w:rsid w:val="00600C77"/>
    <w:rsid w:val="00601313"/>
    <w:rsid w:val="0060147C"/>
    <w:rsid w:val="00601484"/>
    <w:rsid w:val="00601650"/>
    <w:rsid w:val="00601673"/>
    <w:rsid w:val="00601A80"/>
    <w:rsid w:val="00601AC8"/>
    <w:rsid w:val="00601CA1"/>
    <w:rsid w:val="00601D19"/>
    <w:rsid w:val="00601D93"/>
    <w:rsid w:val="006022C2"/>
    <w:rsid w:val="006025C9"/>
    <w:rsid w:val="00602919"/>
    <w:rsid w:val="00602CE6"/>
    <w:rsid w:val="00602D1A"/>
    <w:rsid w:val="00602E36"/>
    <w:rsid w:val="0060346A"/>
    <w:rsid w:val="006036E0"/>
    <w:rsid w:val="006037AE"/>
    <w:rsid w:val="00603A1C"/>
    <w:rsid w:val="00603AF6"/>
    <w:rsid w:val="00603E00"/>
    <w:rsid w:val="006040CE"/>
    <w:rsid w:val="00604435"/>
    <w:rsid w:val="006044B1"/>
    <w:rsid w:val="006045BF"/>
    <w:rsid w:val="00604654"/>
    <w:rsid w:val="00604817"/>
    <w:rsid w:val="00604AE2"/>
    <w:rsid w:val="00604D83"/>
    <w:rsid w:val="00604D89"/>
    <w:rsid w:val="00604EEF"/>
    <w:rsid w:val="006053A0"/>
    <w:rsid w:val="00605441"/>
    <w:rsid w:val="00605807"/>
    <w:rsid w:val="00605923"/>
    <w:rsid w:val="00605AFD"/>
    <w:rsid w:val="00605FF6"/>
    <w:rsid w:val="00606256"/>
    <w:rsid w:val="0060641D"/>
    <w:rsid w:val="006067D7"/>
    <w:rsid w:val="0060681E"/>
    <w:rsid w:val="0060699A"/>
    <w:rsid w:val="006069E4"/>
    <w:rsid w:val="006070A6"/>
    <w:rsid w:val="00607304"/>
    <w:rsid w:val="0060736E"/>
    <w:rsid w:val="006074DA"/>
    <w:rsid w:val="00607622"/>
    <w:rsid w:val="00607997"/>
    <w:rsid w:val="00607B7D"/>
    <w:rsid w:val="00607CFC"/>
    <w:rsid w:val="00607D9B"/>
    <w:rsid w:val="00607E51"/>
    <w:rsid w:val="006100AC"/>
    <w:rsid w:val="006100B3"/>
    <w:rsid w:val="006102C7"/>
    <w:rsid w:val="00610611"/>
    <w:rsid w:val="00610B45"/>
    <w:rsid w:val="00610BD9"/>
    <w:rsid w:val="00610BEA"/>
    <w:rsid w:val="00610C2A"/>
    <w:rsid w:val="00610E4F"/>
    <w:rsid w:val="0061112E"/>
    <w:rsid w:val="006111FF"/>
    <w:rsid w:val="00611276"/>
    <w:rsid w:val="006112BA"/>
    <w:rsid w:val="00611543"/>
    <w:rsid w:val="006116CE"/>
    <w:rsid w:val="006116D3"/>
    <w:rsid w:val="00611A86"/>
    <w:rsid w:val="00611B51"/>
    <w:rsid w:val="00611B97"/>
    <w:rsid w:val="00611BDD"/>
    <w:rsid w:val="00611D30"/>
    <w:rsid w:val="00611F15"/>
    <w:rsid w:val="00611F76"/>
    <w:rsid w:val="006123D4"/>
    <w:rsid w:val="00612422"/>
    <w:rsid w:val="006127CA"/>
    <w:rsid w:val="006127F8"/>
    <w:rsid w:val="006128BF"/>
    <w:rsid w:val="00612959"/>
    <w:rsid w:val="00612B72"/>
    <w:rsid w:val="00612D28"/>
    <w:rsid w:val="00612E15"/>
    <w:rsid w:val="00612EFB"/>
    <w:rsid w:val="00613185"/>
    <w:rsid w:val="006132D2"/>
    <w:rsid w:val="006135C8"/>
    <w:rsid w:val="00613784"/>
    <w:rsid w:val="00613A2B"/>
    <w:rsid w:val="00613BEE"/>
    <w:rsid w:val="00613CC9"/>
    <w:rsid w:val="00613F16"/>
    <w:rsid w:val="00613F4A"/>
    <w:rsid w:val="00614046"/>
    <w:rsid w:val="006140AC"/>
    <w:rsid w:val="00614130"/>
    <w:rsid w:val="0061445B"/>
    <w:rsid w:val="00614899"/>
    <w:rsid w:val="006148DF"/>
    <w:rsid w:val="00614968"/>
    <w:rsid w:val="00614B2E"/>
    <w:rsid w:val="00614EDA"/>
    <w:rsid w:val="006153A3"/>
    <w:rsid w:val="006153AD"/>
    <w:rsid w:val="0061555F"/>
    <w:rsid w:val="006156BF"/>
    <w:rsid w:val="00615700"/>
    <w:rsid w:val="00615C1B"/>
    <w:rsid w:val="00615E2E"/>
    <w:rsid w:val="00615F9C"/>
    <w:rsid w:val="00615FFE"/>
    <w:rsid w:val="00616168"/>
    <w:rsid w:val="0061676D"/>
    <w:rsid w:val="00616786"/>
    <w:rsid w:val="0061698F"/>
    <w:rsid w:val="00616A29"/>
    <w:rsid w:val="00616A39"/>
    <w:rsid w:val="00616C4B"/>
    <w:rsid w:val="00616CCB"/>
    <w:rsid w:val="00616D40"/>
    <w:rsid w:val="00616D7C"/>
    <w:rsid w:val="00616DFD"/>
    <w:rsid w:val="00616E19"/>
    <w:rsid w:val="00616EDC"/>
    <w:rsid w:val="006170EF"/>
    <w:rsid w:val="00617174"/>
    <w:rsid w:val="006173B2"/>
    <w:rsid w:val="0061745E"/>
    <w:rsid w:val="00617504"/>
    <w:rsid w:val="0061765E"/>
    <w:rsid w:val="0061777F"/>
    <w:rsid w:val="00617820"/>
    <w:rsid w:val="00617BE2"/>
    <w:rsid w:val="00617C0D"/>
    <w:rsid w:val="00617C42"/>
    <w:rsid w:val="00617C5E"/>
    <w:rsid w:val="00617DA9"/>
    <w:rsid w:val="00617E97"/>
    <w:rsid w:val="0062008A"/>
    <w:rsid w:val="006200E5"/>
    <w:rsid w:val="0062079E"/>
    <w:rsid w:val="00620858"/>
    <w:rsid w:val="00620A0C"/>
    <w:rsid w:val="00620A5C"/>
    <w:rsid w:val="00620A7B"/>
    <w:rsid w:val="00620D62"/>
    <w:rsid w:val="00620EEB"/>
    <w:rsid w:val="00620F26"/>
    <w:rsid w:val="006211A0"/>
    <w:rsid w:val="006211BA"/>
    <w:rsid w:val="00621586"/>
    <w:rsid w:val="00621635"/>
    <w:rsid w:val="006217E1"/>
    <w:rsid w:val="00621BC1"/>
    <w:rsid w:val="00621CB8"/>
    <w:rsid w:val="00621D60"/>
    <w:rsid w:val="00621E49"/>
    <w:rsid w:val="0062205B"/>
    <w:rsid w:val="006222C2"/>
    <w:rsid w:val="006223CA"/>
    <w:rsid w:val="0062245D"/>
    <w:rsid w:val="00622829"/>
    <w:rsid w:val="00622838"/>
    <w:rsid w:val="006229F6"/>
    <w:rsid w:val="00623060"/>
    <w:rsid w:val="006237CD"/>
    <w:rsid w:val="00623814"/>
    <w:rsid w:val="00623830"/>
    <w:rsid w:val="00623935"/>
    <w:rsid w:val="00623C19"/>
    <w:rsid w:val="00623DF8"/>
    <w:rsid w:val="00624396"/>
    <w:rsid w:val="0062499F"/>
    <w:rsid w:val="00624A8F"/>
    <w:rsid w:val="00624B22"/>
    <w:rsid w:val="00624B38"/>
    <w:rsid w:val="00624B76"/>
    <w:rsid w:val="00624C4B"/>
    <w:rsid w:val="00624CF5"/>
    <w:rsid w:val="00624D7E"/>
    <w:rsid w:val="0062531D"/>
    <w:rsid w:val="00625359"/>
    <w:rsid w:val="006256C4"/>
    <w:rsid w:val="0062577B"/>
    <w:rsid w:val="00625800"/>
    <w:rsid w:val="0062583D"/>
    <w:rsid w:val="0062598E"/>
    <w:rsid w:val="00625A88"/>
    <w:rsid w:val="00625E61"/>
    <w:rsid w:val="00625E75"/>
    <w:rsid w:val="006261B3"/>
    <w:rsid w:val="00626277"/>
    <w:rsid w:val="0062629F"/>
    <w:rsid w:val="0062664F"/>
    <w:rsid w:val="006267C3"/>
    <w:rsid w:val="00626896"/>
    <w:rsid w:val="00626931"/>
    <w:rsid w:val="00626963"/>
    <w:rsid w:val="00626A42"/>
    <w:rsid w:val="00626D1D"/>
    <w:rsid w:val="00626D8F"/>
    <w:rsid w:val="00627052"/>
    <w:rsid w:val="0062714A"/>
    <w:rsid w:val="0062756D"/>
    <w:rsid w:val="006275A5"/>
    <w:rsid w:val="00627B0D"/>
    <w:rsid w:val="00627D42"/>
    <w:rsid w:val="00627D52"/>
    <w:rsid w:val="00630039"/>
    <w:rsid w:val="006300CF"/>
    <w:rsid w:val="006301F4"/>
    <w:rsid w:val="00630373"/>
    <w:rsid w:val="006303A2"/>
    <w:rsid w:val="006305B2"/>
    <w:rsid w:val="0063067D"/>
    <w:rsid w:val="00630709"/>
    <w:rsid w:val="00630757"/>
    <w:rsid w:val="006308CB"/>
    <w:rsid w:val="00630939"/>
    <w:rsid w:val="0063099C"/>
    <w:rsid w:val="006309CC"/>
    <w:rsid w:val="00630CF3"/>
    <w:rsid w:val="00630D55"/>
    <w:rsid w:val="00630EFE"/>
    <w:rsid w:val="00630F86"/>
    <w:rsid w:val="00630FA5"/>
    <w:rsid w:val="0063100F"/>
    <w:rsid w:val="006311D6"/>
    <w:rsid w:val="006311FF"/>
    <w:rsid w:val="00631341"/>
    <w:rsid w:val="0063155D"/>
    <w:rsid w:val="00631697"/>
    <w:rsid w:val="00631A5B"/>
    <w:rsid w:val="00631AA0"/>
    <w:rsid w:val="00631D00"/>
    <w:rsid w:val="00631D33"/>
    <w:rsid w:val="006321D6"/>
    <w:rsid w:val="006322C9"/>
    <w:rsid w:val="00632301"/>
    <w:rsid w:val="006326ED"/>
    <w:rsid w:val="00632B2F"/>
    <w:rsid w:val="00632CE7"/>
    <w:rsid w:val="00632ECF"/>
    <w:rsid w:val="00632F81"/>
    <w:rsid w:val="006330DF"/>
    <w:rsid w:val="006331B8"/>
    <w:rsid w:val="006332C3"/>
    <w:rsid w:val="00633944"/>
    <w:rsid w:val="00633B1B"/>
    <w:rsid w:val="00633BF2"/>
    <w:rsid w:val="00633DAB"/>
    <w:rsid w:val="00633E19"/>
    <w:rsid w:val="00633EFE"/>
    <w:rsid w:val="006341E3"/>
    <w:rsid w:val="00634460"/>
    <w:rsid w:val="0063447D"/>
    <w:rsid w:val="0063452E"/>
    <w:rsid w:val="006345EE"/>
    <w:rsid w:val="006347EB"/>
    <w:rsid w:val="00634801"/>
    <w:rsid w:val="006349A8"/>
    <w:rsid w:val="006349DB"/>
    <w:rsid w:val="00634A12"/>
    <w:rsid w:val="00634A81"/>
    <w:rsid w:val="00634B85"/>
    <w:rsid w:val="00634CBD"/>
    <w:rsid w:val="00635081"/>
    <w:rsid w:val="006350BB"/>
    <w:rsid w:val="006350C5"/>
    <w:rsid w:val="00635143"/>
    <w:rsid w:val="0063527B"/>
    <w:rsid w:val="00635364"/>
    <w:rsid w:val="00635423"/>
    <w:rsid w:val="00635454"/>
    <w:rsid w:val="00635695"/>
    <w:rsid w:val="00635B40"/>
    <w:rsid w:val="00635B45"/>
    <w:rsid w:val="00635C60"/>
    <w:rsid w:val="00635CFA"/>
    <w:rsid w:val="006360C0"/>
    <w:rsid w:val="0063615B"/>
    <w:rsid w:val="00636B98"/>
    <w:rsid w:val="00636BC6"/>
    <w:rsid w:val="00637297"/>
    <w:rsid w:val="00637C39"/>
    <w:rsid w:val="00640290"/>
    <w:rsid w:val="00640387"/>
    <w:rsid w:val="0064071B"/>
    <w:rsid w:val="0064099A"/>
    <w:rsid w:val="00640C44"/>
    <w:rsid w:val="00640D3A"/>
    <w:rsid w:val="00641053"/>
    <w:rsid w:val="00641078"/>
    <w:rsid w:val="0064114D"/>
    <w:rsid w:val="00641172"/>
    <w:rsid w:val="0064119C"/>
    <w:rsid w:val="006411DF"/>
    <w:rsid w:val="00641311"/>
    <w:rsid w:val="0064146E"/>
    <w:rsid w:val="006414F0"/>
    <w:rsid w:val="00641558"/>
    <w:rsid w:val="006415F2"/>
    <w:rsid w:val="0064184F"/>
    <w:rsid w:val="00641996"/>
    <w:rsid w:val="00641BBC"/>
    <w:rsid w:val="00641D0A"/>
    <w:rsid w:val="00641D6B"/>
    <w:rsid w:val="00641D82"/>
    <w:rsid w:val="00641DEF"/>
    <w:rsid w:val="00641E63"/>
    <w:rsid w:val="00642085"/>
    <w:rsid w:val="00642096"/>
    <w:rsid w:val="00642128"/>
    <w:rsid w:val="00642484"/>
    <w:rsid w:val="0064248A"/>
    <w:rsid w:val="00642629"/>
    <w:rsid w:val="00642801"/>
    <w:rsid w:val="00642903"/>
    <w:rsid w:val="00642917"/>
    <w:rsid w:val="00642AA4"/>
    <w:rsid w:val="00642CF8"/>
    <w:rsid w:val="00642E01"/>
    <w:rsid w:val="00642E1C"/>
    <w:rsid w:val="00642E43"/>
    <w:rsid w:val="00643111"/>
    <w:rsid w:val="006433CB"/>
    <w:rsid w:val="006434B3"/>
    <w:rsid w:val="00643534"/>
    <w:rsid w:val="006435C7"/>
    <w:rsid w:val="006435E6"/>
    <w:rsid w:val="0064360A"/>
    <w:rsid w:val="0064373C"/>
    <w:rsid w:val="00643784"/>
    <w:rsid w:val="00643A6D"/>
    <w:rsid w:val="00643ED9"/>
    <w:rsid w:val="00643F8C"/>
    <w:rsid w:val="00644149"/>
    <w:rsid w:val="006441A8"/>
    <w:rsid w:val="006444C5"/>
    <w:rsid w:val="006447A9"/>
    <w:rsid w:val="00644862"/>
    <w:rsid w:val="006448B7"/>
    <w:rsid w:val="00644F10"/>
    <w:rsid w:val="00645024"/>
    <w:rsid w:val="006452AC"/>
    <w:rsid w:val="006453C2"/>
    <w:rsid w:val="00645729"/>
    <w:rsid w:val="00645853"/>
    <w:rsid w:val="00645A04"/>
    <w:rsid w:val="00645C32"/>
    <w:rsid w:val="00645D0B"/>
    <w:rsid w:val="00645E9D"/>
    <w:rsid w:val="006460F8"/>
    <w:rsid w:val="00646405"/>
    <w:rsid w:val="0064677B"/>
    <w:rsid w:val="0064685C"/>
    <w:rsid w:val="006469CC"/>
    <w:rsid w:val="00646B2F"/>
    <w:rsid w:val="00646CFB"/>
    <w:rsid w:val="00646F32"/>
    <w:rsid w:val="00647086"/>
    <w:rsid w:val="0064717C"/>
    <w:rsid w:val="0064728C"/>
    <w:rsid w:val="00647417"/>
    <w:rsid w:val="00647642"/>
    <w:rsid w:val="00647692"/>
    <w:rsid w:val="006478D7"/>
    <w:rsid w:val="006479F7"/>
    <w:rsid w:val="00647B88"/>
    <w:rsid w:val="00647C2E"/>
    <w:rsid w:val="00647D27"/>
    <w:rsid w:val="00647FB4"/>
    <w:rsid w:val="00650258"/>
    <w:rsid w:val="0065050F"/>
    <w:rsid w:val="006505EF"/>
    <w:rsid w:val="00650A86"/>
    <w:rsid w:val="00650B57"/>
    <w:rsid w:val="00650DAA"/>
    <w:rsid w:val="0065109B"/>
    <w:rsid w:val="00651167"/>
    <w:rsid w:val="006513F4"/>
    <w:rsid w:val="00651635"/>
    <w:rsid w:val="006516AD"/>
    <w:rsid w:val="006517CC"/>
    <w:rsid w:val="006517CD"/>
    <w:rsid w:val="0065186E"/>
    <w:rsid w:val="0065198D"/>
    <w:rsid w:val="00651C89"/>
    <w:rsid w:val="00652287"/>
    <w:rsid w:val="006522B4"/>
    <w:rsid w:val="0065233A"/>
    <w:rsid w:val="006524BF"/>
    <w:rsid w:val="006525F3"/>
    <w:rsid w:val="0065287B"/>
    <w:rsid w:val="00652904"/>
    <w:rsid w:val="00652A2E"/>
    <w:rsid w:val="00652BFA"/>
    <w:rsid w:val="00652CB6"/>
    <w:rsid w:val="00652D25"/>
    <w:rsid w:val="00652E5F"/>
    <w:rsid w:val="00652F7F"/>
    <w:rsid w:val="006530D2"/>
    <w:rsid w:val="00653B45"/>
    <w:rsid w:val="00653B73"/>
    <w:rsid w:val="00653EF5"/>
    <w:rsid w:val="006541E6"/>
    <w:rsid w:val="006542E6"/>
    <w:rsid w:val="0065436D"/>
    <w:rsid w:val="006544BC"/>
    <w:rsid w:val="00654512"/>
    <w:rsid w:val="0065463E"/>
    <w:rsid w:val="00654727"/>
    <w:rsid w:val="006548B7"/>
    <w:rsid w:val="00654BB3"/>
    <w:rsid w:val="00654E6F"/>
    <w:rsid w:val="00654F15"/>
    <w:rsid w:val="00654F69"/>
    <w:rsid w:val="00654FC1"/>
    <w:rsid w:val="00655168"/>
    <w:rsid w:val="00655212"/>
    <w:rsid w:val="00655394"/>
    <w:rsid w:val="00655510"/>
    <w:rsid w:val="0065557C"/>
    <w:rsid w:val="00655604"/>
    <w:rsid w:val="00655870"/>
    <w:rsid w:val="00655B3F"/>
    <w:rsid w:val="00655F85"/>
    <w:rsid w:val="0065617D"/>
    <w:rsid w:val="00656291"/>
    <w:rsid w:val="006562BA"/>
    <w:rsid w:val="0065631C"/>
    <w:rsid w:val="00656338"/>
    <w:rsid w:val="006563F5"/>
    <w:rsid w:val="006565C1"/>
    <w:rsid w:val="006566FF"/>
    <w:rsid w:val="00656C84"/>
    <w:rsid w:val="00656E92"/>
    <w:rsid w:val="00656E99"/>
    <w:rsid w:val="00656F16"/>
    <w:rsid w:val="00656F68"/>
    <w:rsid w:val="006572F4"/>
    <w:rsid w:val="0065737E"/>
    <w:rsid w:val="00657464"/>
    <w:rsid w:val="0065746B"/>
    <w:rsid w:val="006574A3"/>
    <w:rsid w:val="006575C7"/>
    <w:rsid w:val="00657621"/>
    <w:rsid w:val="006578BE"/>
    <w:rsid w:val="006578EE"/>
    <w:rsid w:val="006579AC"/>
    <w:rsid w:val="00657C9D"/>
    <w:rsid w:val="00657D70"/>
    <w:rsid w:val="00657E21"/>
    <w:rsid w:val="00660077"/>
    <w:rsid w:val="00660104"/>
    <w:rsid w:val="006602F7"/>
    <w:rsid w:val="0066041B"/>
    <w:rsid w:val="00660432"/>
    <w:rsid w:val="0066062D"/>
    <w:rsid w:val="00660A69"/>
    <w:rsid w:val="00660C97"/>
    <w:rsid w:val="006613BD"/>
    <w:rsid w:val="00661455"/>
    <w:rsid w:val="006618CF"/>
    <w:rsid w:val="006618DD"/>
    <w:rsid w:val="00661CA4"/>
    <w:rsid w:val="00661DBB"/>
    <w:rsid w:val="00661FC5"/>
    <w:rsid w:val="00662011"/>
    <w:rsid w:val="0066206E"/>
    <w:rsid w:val="0066222A"/>
    <w:rsid w:val="00662255"/>
    <w:rsid w:val="0066256F"/>
    <w:rsid w:val="00662760"/>
    <w:rsid w:val="00662783"/>
    <w:rsid w:val="006627D1"/>
    <w:rsid w:val="006628C3"/>
    <w:rsid w:val="006628E1"/>
    <w:rsid w:val="00662929"/>
    <w:rsid w:val="006629F2"/>
    <w:rsid w:val="00662C71"/>
    <w:rsid w:val="00662D02"/>
    <w:rsid w:val="00662D2D"/>
    <w:rsid w:val="00662D81"/>
    <w:rsid w:val="00662D93"/>
    <w:rsid w:val="00662DC8"/>
    <w:rsid w:val="00663007"/>
    <w:rsid w:val="006630C2"/>
    <w:rsid w:val="006632C6"/>
    <w:rsid w:val="006634E4"/>
    <w:rsid w:val="0066390E"/>
    <w:rsid w:val="006639CE"/>
    <w:rsid w:val="006639DB"/>
    <w:rsid w:val="00663B0E"/>
    <w:rsid w:val="00663B5F"/>
    <w:rsid w:val="00663D28"/>
    <w:rsid w:val="00663E40"/>
    <w:rsid w:val="00663EAC"/>
    <w:rsid w:val="00664004"/>
    <w:rsid w:val="00664135"/>
    <w:rsid w:val="0066419F"/>
    <w:rsid w:val="0066465D"/>
    <w:rsid w:val="00664995"/>
    <w:rsid w:val="00664B38"/>
    <w:rsid w:val="00664D98"/>
    <w:rsid w:val="006650B8"/>
    <w:rsid w:val="00665268"/>
    <w:rsid w:val="00665331"/>
    <w:rsid w:val="00665411"/>
    <w:rsid w:val="00665445"/>
    <w:rsid w:val="006654ED"/>
    <w:rsid w:val="0066550C"/>
    <w:rsid w:val="00665569"/>
    <w:rsid w:val="006655BE"/>
    <w:rsid w:val="00665853"/>
    <w:rsid w:val="006659F6"/>
    <w:rsid w:val="00665AFB"/>
    <w:rsid w:val="00665B5F"/>
    <w:rsid w:val="00665CC0"/>
    <w:rsid w:val="0066622C"/>
    <w:rsid w:val="00666246"/>
    <w:rsid w:val="00666346"/>
    <w:rsid w:val="00666522"/>
    <w:rsid w:val="00666531"/>
    <w:rsid w:val="00666B33"/>
    <w:rsid w:val="00666CAB"/>
    <w:rsid w:val="00666D65"/>
    <w:rsid w:val="006672C7"/>
    <w:rsid w:val="006673BD"/>
    <w:rsid w:val="00667546"/>
    <w:rsid w:val="00667628"/>
    <w:rsid w:val="006676E7"/>
    <w:rsid w:val="00667B38"/>
    <w:rsid w:val="00667BE7"/>
    <w:rsid w:val="00667C01"/>
    <w:rsid w:val="00667D03"/>
    <w:rsid w:val="00667E73"/>
    <w:rsid w:val="006700ED"/>
    <w:rsid w:val="00670382"/>
    <w:rsid w:val="0067054F"/>
    <w:rsid w:val="00670E3E"/>
    <w:rsid w:val="00671127"/>
    <w:rsid w:val="006714F9"/>
    <w:rsid w:val="00671534"/>
    <w:rsid w:val="00671615"/>
    <w:rsid w:val="00671684"/>
    <w:rsid w:val="00671BDB"/>
    <w:rsid w:val="00671E17"/>
    <w:rsid w:val="00671E7C"/>
    <w:rsid w:val="00671F31"/>
    <w:rsid w:val="00671F5C"/>
    <w:rsid w:val="00672036"/>
    <w:rsid w:val="00672070"/>
    <w:rsid w:val="006721CB"/>
    <w:rsid w:val="0067225D"/>
    <w:rsid w:val="006722CB"/>
    <w:rsid w:val="00672571"/>
    <w:rsid w:val="006726E5"/>
    <w:rsid w:val="0067270B"/>
    <w:rsid w:val="006727FC"/>
    <w:rsid w:val="00672A69"/>
    <w:rsid w:val="00672B5D"/>
    <w:rsid w:val="00672C5A"/>
    <w:rsid w:val="00672C97"/>
    <w:rsid w:val="00672CA0"/>
    <w:rsid w:val="00672DDF"/>
    <w:rsid w:val="00672F47"/>
    <w:rsid w:val="006730ED"/>
    <w:rsid w:val="006730EF"/>
    <w:rsid w:val="006731CB"/>
    <w:rsid w:val="00673255"/>
    <w:rsid w:val="006732D6"/>
    <w:rsid w:val="00673308"/>
    <w:rsid w:val="00673327"/>
    <w:rsid w:val="006735CD"/>
    <w:rsid w:val="006737BF"/>
    <w:rsid w:val="006737D9"/>
    <w:rsid w:val="006739A4"/>
    <w:rsid w:val="00673A1E"/>
    <w:rsid w:val="00673C23"/>
    <w:rsid w:val="006743E7"/>
    <w:rsid w:val="0067468C"/>
    <w:rsid w:val="0067472D"/>
    <w:rsid w:val="006748F0"/>
    <w:rsid w:val="00674954"/>
    <w:rsid w:val="00674E75"/>
    <w:rsid w:val="00674EEA"/>
    <w:rsid w:val="00674F98"/>
    <w:rsid w:val="00674FCF"/>
    <w:rsid w:val="00675027"/>
    <w:rsid w:val="006752BF"/>
    <w:rsid w:val="00675537"/>
    <w:rsid w:val="006755BC"/>
    <w:rsid w:val="006755DE"/>
    <w:rsid w:val="00675633"/>
    <w:rsid w:val="006756AE"/>
    <w:rsid w:val="006758CC"/>
    <w:rsid w:val="00675A79"/>
    <w:rsid w:val="00675BA5"/>
    <w:rsid w:val="00675C4F"/>
    <w:rsid w:val="00675E13"/>
    <w:rsid w:val="00676095"/>
    <w:rsid w:val="00676163"/>
    <w:rsid w:val="006761CC"/>
    <w:rsid w:val="0067622C"/>
    <w:rsid w:val="006762B6"/>
    <w:rsid w:val="00676394"/>
    <w:rsid w:val="00676621"/>
    <w:rsid w:val="00676AEE"/>
    <w:rsid w:val="00676B42"/>
    <w:rsid w:val="00676D12"/>
    <w:rsid w:val="00676E63"/>
    <w:rsid w:val="00676F14"/>
    <w:rsid w:val="00676FFD"/>
    <w:rsid w:val="00677040"/>
    <w:rsid w:val="00677114"/>
    <w:rsid w:val="006772C6"/>
    <w:rsid w:val="0067775D"/>
    <w:rsid w:val="006778BC"/>
    <w:rsid w:val="006779D4"/>
    <w:rsid w:val="0068029D"/>
    <w:rsid w:val="006802E2"/>
    <w:rsid w:val="0068040F"/>
    <w:rsid w:val="0068042A"/>
    <w:rsid w:val="00680536"/>
    <w:rsid w:val="00680584"/>
    <w:rsid w:val="006805EB"/>
    <w:rsid w:val="00680997"/>
    <w:rsid w:val="006809CA"/>
    <w:rsid w:val="00680ACF"/>
    <w:rsid w:val="00680ADE"/>
    <w:rsid w:val="00680B05"/>
    <w:rsid w:val="00680CC3"/>
    <w:rsid w:val="00680D79"/>
    <w:rsid w:val="00681089"/>
    <w:rsid w:val="0068121B"/>
    <w:rsid w:val="00681284"/>
    <w:rsid w:val="00681443"/>
    <w:rsid w:val="006819AC"/>
    <w:rsid w:val="00681B8E"/>
    <w:rsid w:val="00681EB5"/>
    <w:rsid w:val="00682144"/>
    <w:rsid w:val="006821C4"/>
    <w:rsid w:val="00682249"/>
    <w:rsid w:val="0068224B"/>
    <w:rsid w:val="0068226D"/>
    <w:rsid w:val="006825BF"/>
    <w:rsid w:val="00682837"/>
    <w:rsid w:val="00682C46"/>
    <w:rsid w:val="00683011"/>
    <w:rsid w:val="00683047"/>
    <w:rsid w:val="006830FB"/>
    <w:rsid w:val="00683110"/>
    <w:rsid w:val="00683149"/>
    <w:rsid w:val="00683200"/>
    <w:rsid w:val="0068322D"/>
    <w:rsid w:val="00683454"/>
    <w:rsid w:val="00683993"/>
    <w:rsid w:val="00683B58"/>
    <w:rsid w:val="00683B9F"/>
    <w:rsid w:val="00683D8C"/>
    <w:rsid w:val="00683FA1"/>
    <w:rsid w:val="00684194"/>
    <w:rsid w:val="0068429E"/>
    <w:rsid w:val="00684702"/>
    <w:rsid w:val="006847F2"/>
    <w:rsid w:val="00684ACD"/>
    <w:rsid w:val="00684CD5"/>
    <w:rsid w:val="00684CF8"/>
    <w:rsid w:val="00684D24"/>
    <w:rsid w:val="00684D55"/>
    <w:rsid w:val="00684D8A"/>
    <w:rsid w:val="00684EA2"/>
    <w:rsid w:val="00685281"/>
    <w:rsid w:val="006854A5"/>
    <w:rsid w:val="0068552C"/>
    <w:rsid w:val="006856A3"/>
    <w:rsid w:val="0068574B"/>
    <w:rsid w:val="00685765"/>
    <w:rsid w:val="0068583D"/>
    <w:rsid w:val="00685CF7"/>
    <w:rsid w:val="00685FF4"/>
    <w:rsid w:val="006860C4"/>
    <w:rsid w:val="006860D8"/>
    <w:rsid w:val="006860FD"/>
    <w:rsid w:val="00686165"/>
    <w:rsid w:val="006863EC"/>
    <w:rsid w:val="006865B7"/>
    <w:rsid w:val="0068668F"/>
    <w:rsid w:val="00686862"/>
    <w:rsid w:val="0068689C"/>
    <w:rsid w:val="00686A17"/>
    <w:rsid w:val="00686A48"/>
    <w:rsid w:val="00686B23"/>
    <w:rsid w:val="00686BE2"/>
    <w:rsid w:val="00686BF3"/>
    <w:rsid w:val="00686CB2"/>
    <w:rsid w:val="00686E59"/>
    <w:rsid w:val="00686F8A"/>
    <w:rsid w:val="0068706F"/>
    <w:rsid w:val="006870B8"/>
    <w:rsid w:val="00687359"/>
    <w:rsid w:val="00687483"/>
    <w:rsid w:val="00687504"/>
    <w:rsid w:val="00687662"/>
    <w:rsid w:val="006876C5"/>
    <w:rsid w:val="006877EB"/>
    <w:rsid w:val="006878C7"/>
    <w:rsid w:val="00687B24"/>
    <w:rsid w:val="00687C74"/>
    <w:rsid w:val="00687C82"/>
    <w:rsid w:val="00687D9A"/>
    <w:rsid w:val="00687DDD"/>
    <w:rsid w:val="00687EC4"/>
    <w:rsid w:val="00690058"/>
    <w:rsid w:val="006900B7"/>
    <w:rsid w:val="006901CE"/>
    <w:rsid w:val="006903A6"/>
    <w:rsid w:val="006904B5"/>
    <w:rsid w:val="00690511"/>
    <w:rsid w:val="0069051D"/>
    <w:rsid w:val="006906C9"/>
    <w:rsid w:val="006906FC"/>
    <w:rsid w:val="006908D6"/>
    <w:rsid w:val="0069094A"/>
    <w:rsid w:val="00690981"/>
    <w:rsid w:val="00690992"/>
    <w:rsid w:val="006909F6"/>
    <w:rsid w:val="00690CFB"/>
    <w:rsid w:val="00690D3A"/>
    <w:rsid w:val="006914C4"/>
    <w:rsid w:val="006915CB"/>
    <w:rsid w:val="00691937"/>
    <w:rsid w:val="006919D7"/>
    <w:rsid w:val="00691C7C"/>
    <w:rsid w:val="00691CB5"/>
    <w:rsid w:val="00691DC6"/>
    <w:rsid w:val="00691DD0"/>
    <w:rsid w:val="00692011"/>
    <w:rsid w:val="006923DF"/>
    <w:rsid w:val="006924A3"/>
    <w:rsid w:val="006928A3"/>
    <w:rsid w:val="00692AB2"/>
    <w:rsid w:val="00692B00"/>
    <w:rsid w:val="00692B78"/>
    <w:rsid w:val="00692C79"/>
    <w:rsid w:val="00692CEF"/>
    <w:rsid w:val="00692E24"/>
    <w:rsid w:val="00692E52"/>
    <w:rsid w:val="00692E53"/>
    <w:rsid w:val="00692E87"/>
    <w:rsid w:val="00693298"/>
    <w:rsid w:val="00693552"/>
    <w:rsid w:val="00693582"/>
    <w:rsid w:val="00693601"/>
    <w:rsid w:val="006936E3"/>
    <w:rsid w:val="0069382F"/>
    <w:rsid w:val="0069395C"/>
    <w:rsid w:val="00693A26"/>
    <w:rsid w:val="00693BD4"/>
    <w:rsid w:val="00693C46"/>
    <w:rsid w:val="00693C94"/>
    <w:rsid w:val="00693D06"/>
    <w:rsid w:val="00693E7F"/>
    <w:rsid w:val="006943A5"/>
    <w:rsid w:val="006944B9"/>
    <w:rsid w:val="00694509"/>
    <w:rsid w:val="00694654"/>
    <w:rsid w:val="006947C2"/>
    <w:rsid w:val="00694B0E"/>
    <w:rsid w:val="00695440"/>
    <w:rsid w:val="006955FB"/>
    <w:rsid w:val="00695957"/>
    <w:rsid w:val="00695A00"/>
    <w:rsid w:val="00695ABB"/>
    <w:rsid w:val="00695B66"/>
    <w:rsid w:val="00695D84"/>
    <w:rsid w:val="00695EAF"/>
    <w:rsid w:val="00695F7D"/>
    <w:rsid w:val="0069616D"/>
    <w:rsid w:val="00696214"/>
    <w:rsid w:val="00696285"/>
    <w:rsid w:val="0069628B"/>
    <w:rsid w:val="006965F2"/>
    <w:rsid w:val="00696722"/>
    <w:rsid w:val="0069675C"/>
    <w:rsid w:val="006968D0"/>
    <w:rsid w:val="00696A45"/>
    <w:rsid w:val="00696C25"/>
    <w:rsid w:val="00696C8E"/>
    <w:rsid w:val="00696CB6"/>
    <w:rsid w:val="00696CFF"/>
    <w:rsid w:val="00696D1E"/>
    <w:rsid w:val="00696EE8"/>
    <w:rsid w:val="00696F39"/>
    <w:rsid w:val="006971BE"/>
    <w:rsid w:val="00697403"/>
    <w:rsid w:val="0069740B"/>
    <w:rsid w:val="00697443"/>
    <w:rsid w:val="0069760D"/>
    <w:rsid w:val="006978D4"/>
    <w:rsid w:val="00697967"/>
    <w:rsid w:val="006979AA"/>
    <w:rsid w:val="00697A3D"/>
    <w:rsid w:val="00697EC0"/>
    <w:rsid w:val="006A0039"/>
    <w:rsid w:val="006A007E"/>
    <w:rsid w:val="006A00E2"/>
    <w:rsid w:val="006A0178"/>
    <w:rsid w:val="006A02A8"/>
    <w:rsid w:val="006A02D5"/>
    <w:rsid w:val="006A02DE"/>
    <w:rsid w:val="006A049E"/>
    <w:rsid w:val="006A05C8"/>
    <w:rsid w:val="006A0640"/>
    <w:rsid w:val="006A06D0"/>
    <w:rsid w:val="006A09A3"/>
    <w:rsid w:val="006A0BBC"/>
    <w:rsid w:val="006A0DF6"/>
    <w:rsid w:val="006A0E00"/>
    <w:rsid w:val="006A0EA7"/>
    <w:rsid w:val="006A0ED2"/>
    <w:rsid w:val="006A104F"/>
    <w:rsid w:val="006A11A6"/>
    <w:rsid w:val="006A1271"/>
    <w:rsid w:val="006A12F8"/>
    <w:rsid w:val="006A14F7"/>
    <w:rsid w:val="006A155E"/>
    <w:rsid w:val="006A157D"/>
    <w:rsid w:val="006A1617"/>
    <w:rsid w:val="006A169C"/>
    <w:rsid w:val="006A174C"/>
    <w:rsid w:val="006A1815"/>
    <w:rsid w:val="006A19D3"/>
    <w:rsid w:val="006A1E94"/>
    <w:rsid w:val="006A2189"/>
    <w:rsid w:val="006A238B"/>
    <w:rsid w:val="006A2409"/>
    <w:rsid w:val="006A24CD"/>
    <w:rsid w:val="006A27C3"/>
    <w:rsid w:val="006A27F0"/>
    <w:rsid w:val="006A280F"/>
    <w:rsid w:val="006A2B00"/>
    <w:rsid w:val="006A2B28"/>
    <w:rsid w:val="006A2DD9"/>
    <w:rsid w:val="006A30AA"/>
    <w:rsid w:val="006A3479"/>
    <w:rsid w:val="006A358D"/>
    <w:rsid w:val="006A37F5"/>
    <w:rsid w:val="006A3818"/>
    <w:rsid w:val="006A3844"/>
    <w:rsid w:val="006A384B"/>
    <w:rsid w:val="006A39E8"/>
    <w:rsid w:val="006A3DDC"/>
    <w:rsid w:val="006A4068"/>
    <w:rsid w:val="006A4188"/>
    <w:rsid w:val="006A48ED"/>
    <w:rsid w:val="006A4B19"/>
    <w:rsid w:val="006A4C49"/>
    <w:rsid w:val="006A4CCA"/>
    <w:rsid w:val="006A4E93"/>
    <w:rsid w:val="006A4FAC"/>
    <w:rsid w:val="006A50DD"/>
    <w:rsid w:val="006A51F7"/>
    <w:rsid w:val="006A51FB"/>
    <w:rsid w:val="006A5228"/>
    <w:rsid w:val="006A5376"/>
    <w:rsid w:val="006A5421"/>
    <w:rsid w:val="006A5424"/>
    <w:rsid w:val="006A55A8"/>
    <w:rsid w:val="006A5A12"/>
    <w:rsid w:val="006A5A51"/>
    <w:rsid w:val="006A5CC4"/>
    <w:rsid w:val="006A5CEC"/>
    <w:rsid w:val="006A5EEA"/>
    <w:rsid w:val="006A627F"/>
    <w:rsid w:val="006A62E8"/>
    <w:rsid w:val="006A64D7"/>
    <w:rsid w:val="006A66C0"/>
    <w:rsid w:val="006A66FD"/>
    <w:rsid w:val="006A6992"/>
    <w:rsid w:val="006A6B8B"/>
    <w:rsid w:val="006A6B8C"/>
    <w:rsid w:val="006A6E9E"/>
    <w:rsid w:val="006A6EE3"/>
    <w:rsid w:val="006A726D"/>
    <w:rsid w:val="006A7308"/>
    <w:rsid w:val="006A7345"/>
    <w:rsid w:val="006A74B8"/>
    <w:rsid w:val="006A7615"/>
    <w:rsid w:val="006A761B"/>
    <w:rsid w:val="006A7667"/>
    <w:rsid w:val="006A77E4"/>
    <w:rsid w:val="006A79A8"/>
    <w:rsid w:val="006A7B26"/>
    <w:rsid w:val="006A7B41"/>
    <w:rsid w:val="006A7B51"/>
    <w:rsid w:val="006A7C5D"/>
    <w:rsid w:val="006A7E1B"/>
    <w:rsid w:val="006A7E57"/>
    <w:rsid w:val="006B01A1"/>
    <w:rsid w:val="006B01F0"/>
    <w:rsid w:val="006B01FC"/>
    <w:rsid w:val="006B0323"/>
    <w:rsid w:val="006B049F"/>
    <w:rsid w:val="006B063A"/>
    <w:rsid w:val="006B0700"/>
    <w:rsid w:val="006B08AA"/>
    <w:rsid w:val="006B091B"/>
    <w:rsid w:val="006B0946"/>
    <w:rsid w:val="006B0C1F"/>
    <w:rsid w:val="006B0D73"/>
    <w:rsid w:val="006B0DFF"/>
    <w:rsid w:val="006B0F6E"/>
    <w:rsid w:val="006B10AF"/>
    <w:rsid w:val="006B1464"/>
    <w:rsid w:val="006B1558"/>
    <w:rsid w:val="006B1ABB"/>
    <w:rsid w:val="006B1BF4"/>
    <w:rsid w:val="006B1DDF"/>
    <w:rsid w:val="006B1E8F"/>
    <w:rsid w:val="006B1FDE"/>
    <w:rsid w:val="006B2006"/>
    <w:rsid w:val="006B206B"/>
    <w:rsid w:val="006B208D"/>
    <w:rsid w:val="006B21A1"/>
    <w:rsid w:val="006B2202"/>
    <w:rsid w:val="006B23D7"/>
    <w:rsid w:val="006B2506"/>
    <w:rsid w:val="006B2565"/>
    <w:rsid w:val="006B25A3"/>
    <w:rsid w:val="006B290C"/>
    <w:rsid w:val="006B2A9D"/>
    <w:rsid w:val="006B2E60"/>
    <w:rsid w:val="006B2E74"/>
    <w:rsid w:val="006B2F6E"/>
    <w:rsid w:val="006B3023"/>
    <w:rsid w:val="006B3222"/>
    <w:rsid w:val="006B3463"/>
    <w:rsid w:val="006B34B9"/>
    <w:rsid w:val="006B38FF"/>
    <w:rsid w:val="006B3A8D"/>
    <w:rsid w:val="006B3B9C"/>
    <w:rsid w:val="006B3CB4"/>
    <w:rsid w:val="006B3D89"/>
    <w:rsid w:val="006B40D7"/>
    <w:rsid w:val="006B41B0"/>
    <w:rsid w:val="006B4279"/>
    <w:rsid w:val="006B4454"/>
    <w:rsid w:val="006B469B"/>
    <w:rsid w:val="006B46E1"/>
    <w:rsid w:val="006B483B"/>
    <w:rsid w:val="006B4883"/>
    <w:rsid w:val="006B4AB2"/>
    <w:rsid w:val="006B4CDE"/>
    <w:rsid w:val="006B4D63"/>
    <w:rsid w:val="006B4F4C"/>
    <w:rsid w:val="006B4F99"/>
    <w:rsid w:val="006B5053"/>
    <w:rsid w:val="006B51B5"/>
    <w:rsid w:val="006B526A"/>
    <w:rsid w:val="006B5307"/>
    <w:rsid w:val="006B53AE"/>
    <w:rsid w:val="006B580D"/>
    <w:rsid w:val="006B5823"/>
    <w:rsid w:val="006B5B0B"/>
    <w:rsid w:val="006B5B9C"/>
    <w:rsid w:val="006B5D58"/>
    <w:rsid w:val="006B6453"/>
    <w:rsid w:val="006B6493"/>
    <w:rsid w:val="006B6655"/>
    <w:rsid w:val="006B693E"/>
    <w:rsid w:val="006B6A2E"/>
    <w:rsid w:val="006B6B3A"/>
    <w:rsid w:val="006B6E82"/>
    <w:rsid w:val="006B7115"/>
    <w:rsid w:val="006B7310"/>
    <w:rsid w:val="006B765C"/>
    <w:rsid w:val="006B78F4"/>
    <w:rsid w:val="006B7A8D"/>
    <w:rsid w:val="006B7BDB"/>
    <w:rsid w:val="006B7CB0"/>
    <w:rsid w:val="006B7F5D"/>
    <w:rsid w:val="006C0013"/>
    <w:rsid w:val="006C00C0"/>
    <w:rsid w:val="006C0508"/>
    <w:rsid w:val="006C0627"/>
    <w:rsid w:val="006C0761"/>
    <w:rsid w:val="006C07BD"/>
    <w:rsid w:val="006C08FC"/>
    <w:rsid w:val="006C0F38"/>
    <w:rsid w:val="006C0FEB"/>
    <w:rsid w:val="006C1032"/>
    <w:rsid w:val="006C1080"/>
    <w:rsid w:val="006C1146"/>
    <w:rsid w:val="006C134B"/>
    <w:rsid w:val="006C147A"/>
    <w:rsid w:val="006C14E9"/>
    <w:rsid w:val="006C1726"/>
    <w:rsid w:val="006C1728"/>
    <w:rsid w:val="006C1801"/>
    <w:rsid w:val="006C1892"/>
    <w:rsid w:val="006C1B3B"/>
    <w:rsid w:val="006C1C59"/>
    <w:rsid w:val="006C1F72"/>
    <w:rsid w:val="006C1FC2"/>
    <w:rsid w:val="006C2081"/>
    <w:rsid w:val="006C21D2"/>
    <w:rsid w:val="006C21F5"/>
    <w:rsid w:val="006C226F"/>
    <w:rsid w:val="006C238E"/>
    <w:rsid w:val="006C2424"/>
    <w:rsid w:val="006C263B"/>
    <w:rsid w:val="006C287F"/>
    <w:rsid w:val="006C290D"/>
    <w:rsid w:val="006C2B7D"/>
    <w:rsid w:val="006C2D41"/>
    <w:rsid w:val="006C2EF2"/>
    <w:rsid w:val="006C2FB7"/>
    <w:rsid w:val="006C3071"/>
    <w:rsid w:val="006C311E"/>
    <w:rsid w:val="006C3162"/>
    <w:rsid w:val="006C324E"/>
    <w:rsid w:val="006C33FE"/>
    <w:rsid w:val="006C3933"/>
    <w:rsid w:val="006C440D"/>
    <w:rsid w:val="006C445C"/>
    <w:rsid w:val="006C44F7"/>
    <w:rsid w:val="006C4560"/>
    <w:rsid w:val="006C4CB0"/>
    <w:rsid w:val="006C4D7D"/>
    <w:rsid w:val="006C4D99"/>
    <w:rsid w:val="006C50A5"/>
    <w:rsid w:val="006C52E9"/>
    <w:rsid w:val="006C53F2"/>
    <w:rsid w:val="006C5418"/>
    <w:rsid w:val="006C5678"/>
    <w:rsid w:val="006C5866"/>
    <w:rsid w:val="006C58D2"/>
    <w:rsid w:val="006C58EF"/>
    <w:rsid w:val="006C591A"/>
    <w:rsid w:val="006C59B4"/>
    <w:rsid w:val="006C59F2"/>
    <w:rsid w:val="006C5A34"/>
    <w:rsid w:val="006C5AAC"/>
    <w:rsid w:val="006C5B71"/>
    <w:rsid w:val="006C5B73"/>
    <w:rsid w:val="006C62A7"/>
    <w:rsid w:val="006C62CC"/>
    <w:rsid w:val="006C6345"/>
    <w:rsid w:val="006C645D"/>
    <w:rsid w:val="006C64C4"/>
    <w:rsid w:val="006C652D"/>
    <w:rsid w:val="006C65EC"/>
    <w:rsid w:val="006C6609"/>
    <w:rsid w:val="006C66CA"/>
    <w:rsid w:val="006C67AB"/>
    <w:rsid w:val="006C6AC2"/>
    <w:rsid w:val="006C6BA0"/>
    <w:rsid w:val="006C6BFE"/>
    <w:rsid w:val="006C6F3A"/>
    <w:rsid w:val="006C700E"/>
    <w:rsid w:val="006C7263"/>
    <w:rsid w:val="006C7277"/>
    <w:rsid w:val="006C73F9"/>
    <w:rsid w:val="006C7420"/>
    <w:rsid w:val="006C7538"/>
    <w:rsid w:val="006C7688"/>
    <w:rsid w:val="006C7693"/>
    <w:rsid w:val="006C76FA"/>
    <w:rsid w:val="006C776C"/>
    <w:rsid w:val="006C7781"/>
    <w:rsid w:val="006C79BE"/>
    <w:rsid w:val="006C7B33"/>
    <w:rsid w:val="006C7B5D"/>
    <w:rsid w:val="006C7EE8"/>
    <w:rsid w:val="006D0285"/>
    <w:rsid w:val="006D03EA"/>
    <w:rsid w:val="006D0487"/>
    <w:rsid w:val="006D0587"/>
    <w:rsid w:val="006D060C"/>
    <w:rsid w:val="006D063B"/>
    <w:rsid w:val="006D06AA"/>
    <w:rsid w:val="006D0770"/>
    <w:rsid w:val="006D0ACE"/>
    <w:rsid w:val="006D0B88"/>
    <w:rsid w:val="006D0BBC"/>
    <w:rsid w:val="006D0E5A"/>
    <w:rsid w:val="006D1154"/>
    <w:rsid w:val="006D12FF"/>
    <w:rsid w:val="006D157F"/>
    <w:rsid w:val="006D1717"/>
    <w:rsid w:val="006D1738"/>
    <w:rsid w:val="006D1AC1"/>
    <w:rsid w:val="006D1C0E"/>
    <w:rsid w:val="006D2070"/>
    <w:rsid w:val="006D2102"/>
    <w:rsid w:val="006D243E"/>
    <w:rsid w:val="006D265F"/>
    <w:rsid w:val="006D26B8"/>
    <w:rsid w:val="006D28A7"/>
    <w:rsid w:val="006D297D"/>
    <w:rsid w:val="006D2A02"/>
    <w:rsid w:val="006D2A75"/>
    <w:rsid w:val="006D2AE9"/>
    <w:rsid w:val="006D2C9E"/>
    <w:rsid w:val="006D2FBF"/>
    <w:rsid w:val="006D305F"/>
    <w:rsid w:val="006D3240"/>
    <w:rsid w:val="006D3337"/>
    <w:rsid w:val="006D37C4"/>
    <w:rsid w:val="006D3903"/>
    <w:rsid w:val="006D3E30"/>
    <w:rsid w:val="006D4000"/>
    <w:rsid w:val="006D4146"/>
    <w:rsid w:val="006D44B2"/>
    <w:rsid w:val="006D45C5"/>
    <w:rsid w:val="006D47EE"/>
    <w:rsid w:val="006D4AFE"/>
    <w:rsid w:val="006D4BD3"/>
    <w:rsid w:val="006D4D1A"/>
    <w:rsid w:val="006D4DAF"/>
    <w:rsid w:val="006D4DCB"/>
    <w:rsid w:val="006D50BF"/>
    <w:rsid w:val="006D51D8"/>
    <w:rsid w:val="006D56F1"/>
    <w:rsid w:val="006D598F"/>
    <w:rsid w:val="006D5A99"/>
    <w:rsid w:val="006D5AF2"/>
    <w:rsid w:val="006D5CCF"/>
    <w:rsid w:val="006D5DD3"/>
    <w:rsid w:val="006D5F63"/>
    <w:rsid w:val="006D61AF"/>
    <w:rsid w:val="006D623B"/>
    <w:rsid w:val="006D634D"/>
    <w:rsid w:val="006D63E1"/>
    <w:rsid w:val="006D65A1"/>
    <w:rsid w:val="006D6610"/>
    <w:rsid w:val="006D668A"/>
    <w:rsid w:val="006D6694"/>
    <w:rsid w:val="006D67AA"/>
    <w:rsid w:val="006D6A21"/>
    <w:rsid w:val="006D6B1F"/>
    <w:rsid w:val="006D6B2C"/>
    <w:rsid w:val="006D6D5E"/>
    <w:rsid w:val="006D6E4A"/>
    <w:rsid w:val="006D6E8C"/>
    <w:rsid w:val="006D7012"/>
    <w:rsid w:val="006D7208"/>
    <w:rsid w:val="006D73CB"/>
    <w:rsid w:val="006D7506"/>
    <w:rsid w:val="006D768A"/>
    <w:rsid w:val="006D76CC"/>
    <w:rsid w:val="006D76FA"/>
    <w:rsid w:val="006D77F9"/>
    <w:rsid w:val="006D7843"/>
    <w:rsid w:val="006D7972"/>
    <w:rsid w:val="006D7D18"/>
    <w:rsid w:val="006D7E11"/>
    <w:rsid w:val="006D7FC4"/>
    <w:rsid w:val="006D7FE7"/>
    <w:rsid w:val="006E024E"/>
    <w:rsid w:val="006E02A8"/>
    <w:rsid w:val="006E04CC"/>
    <w:rsid w:val="006E053A"/>
    <w:rsid w:val="006E0724"/>
    <w:rsid w:val="006E0B6A"/>
    <w:rsid w:val="006E0C0E"/>
    <w:rsid w:val="006E0C14"/>
    <w:rsid w:val="006E0CF8"/>
    <w:rsid w:val="006E0D2D"/>
    <w:rsid w:val="006E0E58"/>
    <w:rsid w:val="006E0E86"/>
    <w:rsid w:val="006E0FA8"/>
    <w:rsid w:val="006E10C4"/>
    <w:rsid w:val="006E1617"/>
    <w:rsid w:val="006E187D"/>
    <w:rsid w:val="006E19AC"/>
    <w:rsid w:val="006E1A75"/>
    <w:rsid w:val="006E1C3B"/>
    <w:rsid w:val="006E1CA8"/>
    <w:rsid w:val="006E1CDA"/>
    <w:rsid w:val="006E1DF3"/>
    <w:rsid w:val="006E1E14"/>
    <w:rsid w:val="006E21D1"/>
    <w:rsid w:val="006E2269"/>
    <w:rsid w:val="006E23F2"/>
    <w:rsid w:val="006E243F"/>
    <w:rsid w:val="006E24E1"/>
    <w:rsid w:val="006E2877"/>
    <w:rsid w:val="006E2D2A"/>
    <w:rsid w:val="006E2D64"/>
    <w:rsid w:val="006E2FD1"/>
    <w:rsid w:val="006E31F2"/>
    <w:rsid w:val="006E332A"/>
    <w:rsid w:val="006E38C9"/>
    <w:rsid w:val="006E3B35"/>
    <w:rsid w:val="006E3C1A"/>
    <w:rsid w:val="006E3CC3"/>
    <w:rsid w:val="006E3DAA"/>
    <w:rsid w:val="006E3EC3"/>
    <w:rsid w:val="006E420E"/>
    <w:rsid w:val="006E4259"/>
    <w:rsid w:val="006E43BD"/>
    <w:rsid w:val="006E44A2"/>
    <w:rsid w:val="006E44C4"/>
    <w:rsid w:val="006E466B"/>
    <w:rsid w:val="006E46F9"/>
    <w:rsid w:val="006E47D3"/>
    <w:rsid w:val="006E48CE"/>
    <w:rsid w:val="006E4AF2"/>
    <w:rsid w:val="006E4B9C"/>
    <w:rsid w:val="006E4FCF"/>
    <w:rsid w:val="006E51CA"/>
    <w:rsid w:val="006E5713"/>
    <w:rsid w:val="006E594F"/>
    <w:rsid w:val="006E599D"/>
    <w:rsid w:val="006E59C7"/>
    <w:rsid w:val="006E5ACC"/>
    <w:rsid w:val="006E5AE4"/>
    <w:rsid w:val="006E5B97"/>
    <w:rsid w:val="006E5C4B"/>
    <w:rsid w:val="006E5E89"/>
    <w:rsid w:val="006E61E1"/>
    <w:rsid w:val="006E61E5"/>
    <w:rsid w:val="006E62E5"/>
    <w:rsid w:val="006E63D1"/>
    <w:rsid w:val="006E6524"/>
    <w:rsid w:val="006E6647"/>
    <w:rsid w:val="006E69C0"/>
    <w:rsid w:val="006E6C10"/>
    <w:rsid w:val="006E6CAD"/>
    <w:rsid w:val="006E6CC9"/>
    <w:rsid w:val="006E6CCF"/>
    <w:rsid w:val="006E7363"/>
    <w:rsid w:val="006E776B"/>
    <w:rsid w:val="006E77FC"/>
    <w:rsid w:val="006E7C21"/>
    <w:rsid w:val="006E7E2E"/>
    <w:rsid w:val="006F015C"/>
    <w:rsid w:val="006F01FA"/>
    <w:rsid w:val="006F05E5"/>
    <w:rsid w:val="006F0851"/>
    <w:rsid w:val="006F0968"/>
    <w:rsid w:val="006F09D2"/>
    <w:rsid w:val="006F0A5C"/>
    <w:rsid w:val="006F0C48"/>
    <w:rsid w:val="006F0C61"/>
    <w:rsid w:val="006F106B"/>
    <w:rsid w:val="006F1378"/>
    <w:rsid w:val="006F157E"/>
    <w:rsid w:val="006F19C0"/>
    <w:rsid w:val="006F1C95"/>
    <w:rsid w:val="006F1CBD"/>
    <w:rsid w:val="006F1D7E"/>
    <w:rsid w:val="006F1EB5"/>
    <w:rsid w:val="006F206E"/>
    <w:rsid w:val="006F2072"/>
    <w:rsid w:val="006F2075"/>
    <w:rsid w:val="006F239A"/>
    <w:rsid w:val="006F249B"/>
    <w:rsid w:val="006F24F1"/>
    <w:rsid w:val="006F2556"/>
    <w:rsid w:val="006F25F5"/>
    <w:rsid w:val="006F26A6"/>
    <w:rsid w:val="006F29EB"/>
    <w:rsid w:val="006F29ED"/>
    <w:rsid w:val="006F2BB2"/>
    <w:rsid w:val="006F2C40"/>
    <w:rsid w:val="006F2D27"/>
    <w:rsid w:val="006F2E6C"/>
    <w:rsid w:val="006F2F11"/>
    <w:rsid w:val="006F2F4F"/>
    <w:rsid w:val="006F2FF2"/>
    <w:rsid w:val="006F30A5"/>
    <w:rsid w:val="006F32A6"/>
    <w:rsid w:val="006F3390"/>
    <w:rsid w:val="006F33F6"/>
    <w:rsid w:val="006F3453"/>
    <w:rsid w:val="006F3864"/>
    <w:rsid w:val="006F3908"/>
    <w:rsid w:val="006F3A06"/>
    <w:rsid w:val="006F3B03"/>
    <w:rsid w:val="006F3C19"/>
    <w:rsid w:val="006F4417"/>
    <w:rsid w:val="006F4842"/>
    <w:rsid w:val="006F4943"/>
    <w:rsid w:val="006F4B3B"/>
    <w:rsid w:val="006F4E46"/>
    <w:rsid w:val="006F4E71"/>
    <w:rsid w:val="006F4E85"/>
    <w:rsid w:val="006F503D"/>
    <w:rsid w:val="006F51D9"/>
    <w:rsid w:val="006F5241"/>
    <w:rsid w:val="006F577D"/>
    <w:rsid w:val="006F58A1"/>
    <w:rsid w:val="006F5901"/>
    <w:rsid w:val="006F5AA3"/>
    <w:rsid w:val="006F5AD9"/>
    <w:rsid w:val="006F5E20"/>
    <w:rsid w:val="006F5F9B"/>
    <w:rsid w:val="006F61A8"/>
    <w:rsid w:val="006F632B"/>
    <w:rsid w:val="006F63AE"/>
    <w:rsid w:val="006F6581"/>
    <w:rsid w:val="006F66F1"/>
    <w:rsid w:val="006F67B7"/>
    <w:rsid w:val="006F69B4"/>
    <w:rsid w:val="006F6B44"/>
    <w:rsid w:val="006F6B5B"/>
    <w:rsid w:val="006F6BCA"/>
    <w:rsid w:val="006F6E06"/>
    <w:rsid w:val="006F6F33"/>
    <w:rsid w:val="006F703A"/>
    <w:rsid w:val="006F71A6"/>
    <w:rsid w:val="006F7A12"/>
    <w:rsid w:val="006F7CEF"/>
    <w:rsid w:val="006F7D53"/>
    <w:rsid w:val="006F7D95"/>
    <w:rsid w:val="006F7EBE"/>
    <w:rsid w:val="006F7EDC"/>
    <w:rsid w:val="007000EF"/>
    <w:rsid w:val="007004CA"/>
    <w:rsid w:val="00700877"/>
    <w:rsid w:val="007008A2"/>
    <w:rsid w:val="007009C1"/>
    <w:rsid w:val="007009CD"/>
    <w:rsid w:val="00700A4D"/>
    <w:rsid w:val="00700AC2"/>
    <w:rsid w:val="00700BE6"/>
    <w:rsid w:val="00700D8A"/>
    <w:rsid w:val="00700EB8"/>
    <w:rsid w:val="00700FAB"/>
    <w:rsid w:val="00701024"/>
    <w:rsid w:val="00701533"/>
    <w:rsid w:val="007016C6"/>
    <w:rsid w:val="0070188E"/>
    <w:rsid w:val="00701B75"/>
    <w:rsid w:val="00701E12"/>
    <w:rsid w:val="00701F35"/>
    <w:rsid w:val="00701F5F"/>
    <w:rsid w:val="00702001"/>
    <w:rsid w:val="0070202B"/>
    <w:rsid w:val="0070204F"/>
    <w:rsid w:val="007023A3"/>
    <w:rsid w:val="00702531"/>
    <w:rsid w:val="00702558"/>
    <w:rsid w:val="0070268A"/>
    <w:rsid w:val="00702752"/>
    <w:rsid w:val="00702775"/>
    <w:rsid w:val="00702800"/>
    <w:rsid w:val="007028A3"/>
    <w:rsid w:val="00702945"/>
    <w:rsid w:val="00702A16"/>
    <w:rsid w:val="00702A95"/>
    <w:rsid w:val="00702B03"/>
    <w:rsid w:val="00702CE5"/>
    <w:rsid w:val="00702D6F"/>
    <w:rsid w:val="0070321F"/>
    <w:rsid w:val="00703409"/>
    <w:rsid w:val="007034BA"/>
    <w:rsid w:val="007035BC"/>
    <w:rsid w:val="0070368C"/>
    <w:rsid w:val="00703975"/>
    <w:rsid w:val="00703C88"/>
    <w:rsid w:val="00703CEA"/>
    <w:rsid w:val="00703E9D"/>
    <w:rsid w:val="007040F6"/>
    <w:rsid w:val="00704372"/>
    <w:rsid w:val="0070472C"/>
    <w:rsid w:val="0070495D"/>
    <w:rsid w:val="00704A20"/>
    <w:rsid w:val="00704A8B"/>
    <w:rsid w:val="00704B6D"/>
    <w:rsid w:val="00704B8A"/>
    <w:rsid w:val="00704EBB"/>
    <w:rsid w:val="00704F02"/>
    <w:rsid w:val="00705071"/>
    <w:rsid w:val="00705222"/>
    <w:rsid w:val="00705299"/>
    <w:rsid w:val="00705A3D"/>
    <w:rsid w:val="00705AEC"/>
    <w:rsid w:val="00705B16"/>
    <w:rsid w:val="00705C5D"/>
    <w:rsid w:val="00705D8E"/>
    <w:rsid w:val="00705DEC"/>
    <w:rsid w:val="00705F1F"/>
    <w:rsid w:val="00706152"/>
    <w:rsid w:val="00706336"/>
    <w:rsid w:val="0070645F"/>
    <w:rsid w:val="007064AA"/>
    <w:rsid w:val="00706514"/>
    <w:rsid w:val="007065B6"/>
    <w:rsid w:val="007069F7"/>
    <w:rsid w:val="00706A73"/>
    <w:rsid w:val="00706A75"/>
    <w:rsid w:val="00706B9C"/>
    <w:rsid w:val="00706BE0"/>
    <w:rsid w:val="00706D43"/>
    <w:rsid w:val="00706D9F"/>
    <w:rsid w:val="00706E8E"/>
    <w:rsid w:val="00706EBC"/>
    <w:rsid w:val="00706F7D"/>
    <w:rsid w:val="0070711D"/>
    <w:rsid w:val="007071B6"/>
    <w:rsid w:val="007075A6"/>
    <w:rsid w:val="00707A19"/>
    <w:rsid w:val="00707CA3"/>
    <w:rsid w:val="00707CD9"/>
    <w:rsid w:val="00707D02"/>
    <w:rsid w:val="00707DB1"/>
    <w:rsid w:val="00707DEA"/>
    <w:rsid w:val="00710036"/>
    <w:rsid w:val="007100D0"/>
    <w:rsid w:val="00710112"/>
    <w:rsid w:val="0071015E"/>
    <w:rsid w:val="007103D3"/>
    <w:rsid w:val="00710E67"/>
    <w:rsid w:val="00711032"/>
    <w:rsid w:val="0071112E"/>
    <w:rsid w:val="0071128B"/>
    <w:rsid w:val="00711556"/>
    <w:rsid w:val="007116B3"/>
    <w:rsid w:val="007116B4"/>
    <w:rsid w:val="00711796"/>
    <w:rsid w:val="0071184C"/>
    <w:rsid w:val="00711925"/>
    <w:rsid w:val="00711B68"/>
    <w:rsid w:val="00711B9E"/>
    <w:rsid w:val="00712329"/>
    <w:rsid w:val="0071237C"/>
    <w:rsid w:val="00712461"/>
    <w:rsid w:val="00712581"/>
    <w:rsid w:val="00712582"/>
    <w:rsid w:val="00712BAB"/>
    <w:rsid w:val="00712C63"/>
    <w:rsid w:val="00712FF7"/>
    <w:rsid w:val="007133B9"/>
    <w:rsid w:val="007136EE"/>
    <w:rsid w:val="0071392E"/>
    <w:rsid w:val="007139A1"/>
    <w:rsid w:val="00713A4C"/>
    <w:rsid w:val="00713AB4"/>
    <w:rsid w:val="00713C08"/>
    <w:rsid w:val="00713D82"/>
    <w:rsid w:val="0071419C"/>
    <w:rsid w:val="007141FC"/>
    <w:rsid w:val="007144B7"/>
    <w:rsid w:val="007145F5"/>
    <w:rsid w:val="007146E4"/>
    <w:rsid w:val="0071481C"/>
    <w:rsid w:val="0071487C"/>
    <w:rsid w:val="007148CB"/>
    <w:rsid w:val="00714A2C"/>
    <w:rsid w:val="00714A6E"/>
    <w:rsid w:val="00714FC3"/>
    <w:rsid w:val="00715243"/>
    <w:rsid w:val="007152D5"/>
    <w:rsid w:val="007153FB"/>
    <w:rsid w:val="007155A1"/>
    <w:rsid w:val="00715650"/>
    <w:rsid w:val="00715AC8"/>
    <w:rsid w:val="00715B2D"/>
    <w:rsid w:val="00715BC5"/>
    <w:rsid w:val="00715CC2"/>
    <w:rsid w:val="00715E43"/>
    <w:rsid w:val="00715EB4"/>
    <w:rsid w:val="00715EC2"/>
    <w:rsid w:val="00715F11"/>
    <w:rsid w:val="00715F41"/>
    <w:rsid w:val="00716073"/>
    <w:rsid w:val="007161E3"/>
    <w:rsid w:val="00716248"/>
    <w:rsid w:val="00716376"/>
    <w:rsid w:val="007163F0"/>
    <w:rsid w:val="007165DF"/>
    <w:rsid w:val="007165E6"/>
    <w:rsid w:val="00716905"/>
    <w:rsid w:val="007169B7"/>
    <w:rsid w:val="00716A6C"/>
    <w:rsid w:val="00716BC3"/>
    <w:rsid w:val="00716C42"/>
    <w:rsid w:val="00716D5D"/>
    <w:rsid w:val="00716DC3"/>
    <w:rsid w:val="00717111"/>
    <w:rsid w:val="00717201"/>
    <w:rsid w:val="007176A4"/>
    <w:rsid w:val="00717A1D"/>
    <w:rsid w:val="00717CA1"/>
    <w:rsid w:val="00717DFD"/>
    <w:rsid w:val="00717FE0"/>
    <w:rsid w:val="0072044F"/>
    <w:rsid w:val="00720494"/>
    <w:rsid w:val="0072075C"/>
    <w:rsid w:val="007208CE"/>
    <w:rsid w:val="00720989"/>
    <w:rsid w:val="007209D0"/>
    <w:rsid w:val="00720BF4"/>
    <w:rsid w:val="00720EAE"/>
    <w:rsid w:val="00720EEC"/>
    <w:rsid w:val="007218F3"/>
    <w:rsid w:val="00721C57"/>
    <w:rsid w:val="00721EAA"/>
    <w:rsid w:val="00721EC0"/>
    <w:rsid w:val="00721FFC"/>
    <w:rsid w:val="00722313"/>
    <w:rsid w:val="00722429"/>
    <w:rsid w:val="00722554"/>
    <w:rsid w:val="00722658"/>
    <w:rsid w:val="00722711"/>
    <w:rsid w:val="00722875"/>
    <w:rsid w:val="00722935"/>
    <w:rsid w:val="00722AB5"/>
    <w:rsid w:val="00722B53"/>
    <w:rsid w:val="00722E5F"/>
    <w:rsid w:val="00722F0F"/>
    <w:rsid w:val="00722F6A"/>
    <w:rsid w:val="00723228"/>
    <w:rsid w:val="007237F4"/>
    <w:rsid w:val="00723816"/>
    <w:rsid w:val="00723B99"/>
    <w:rsid w:val="00723CEB"/>
    <w:rsid w:val="00723D77"/>
    <w:rsid w:val="00723DD0"/>
    <w:rsid w:val="00723DE3"/>
    <w:rsid w:val="00723E52"/>
    <w:rsid w:val="0072409C"/>
    <w:rsid w:val="00724175"/>
    <w:rsid w:val="00724297"/>
    <w:rsid w:val="00724317"/>
    <w:rsid w:val="007244DC"/>
    <w:rsid w:val="00724923"/>
    <w:rsid w:val="0072496B"/>
    <w:rsid w:val="007249B1"/>
    <w:rsid w:val="00724ACF"/>
    <w:rsid w:val="00724BB5"/>
    <w:rsid w:val="00724E64"/>
    <w:rsid w:val="00724FEA"/>
    <w:rsid w:val="00725022"/>
    <w:rsid w:val="00725170"/>
    <w:rsid w:val="00725318"/>
    <w:rsid w:val="00725557"/>
    <w:rsid w:val="0072561E"/>
    <w:rsid w:val="0072562C"/>
    <w:rsid w:val="00725995"/>
    <w:rsid w:val="00725EE5"/>
    <w:rsid w:val="007260A0"/>
    <w:rsid w:val="007260CB"/>
    <w:rsid w:val="007260F1"/>
    <w:rsid w:val="00726340"/>
    <w:rsid w:val="0072646B"/>
    <w:rsid w:val="007264C8"/>
    <w:rsid w:val="0072650E"/>
    <w:rsid w:val="00726EF0"/>
    <w:rsid w:val="007270CC"/>
    <w:rsid w:val="007270F5"/>
    <w:rsid w:val="007271A5"/>
    <w:rsid w:val="00727374"/>
    <w:rsid w:val="007274F1"/>
    <w:rsid w:val="00727523"/>
    <w:rsid w:val="0072755A"/>
    <w:rsid w:val="007277FC"/>
    <w:rsid w:val="00727869"/>
    <w:rsid w:val="00727A5A"/>
    <w:rsid w:val="00727A8C"/>
    <w:rsid w:val="00727B0B"/>
    <w:rsid w:val="00727B24"/>
    <w:rsid w:val="00727DA0"/>
    <w:rsid w:val="00727DB2"/>
    <w:rsid w:val="00727F47"/>
    <w:rsid w:val="00727F95"/>
    <w:rsid w:val="007303CC"/>
    <w:rsid w:val="00730402"/>
    <w:rsid w:val="0073045E"/>
    <w:rsid w:val="007305E2"/>
    <w:rsid w:val="007309F2"/>
    <w:rsid w:val="00730D26"/>
    <w:rsid w:val="00731185"/>
    <w:rsid w:val="00731413"/>
    <w:rsid w:val="007315DA"/>
    <w:rsid w:val="00731638"/>
    <w:rsid w:val="0073176A"/>
    <w:rsid w:val="00731AB8"/>
    <w:rsid w:val="00731C71"/>
    <w:rsid w:val="00731E42"/>
    <w:rsid w:val="00731E70"/>
    <w:rsid w:val="007321F5"/>
    <w:rsid w:val="00732223"/>
    <w:rsid w:val="0073245D"/>
    <w:rsid w:val="007324B5"/>
    <w:rsid w:val="00732753"/>
    <w:rsid w:val="00732756"/>
    <w:rsid w:val="007329B4"/>
    <w:rsid w:val="00732B5E"/>
    <w:rsid w:val="00732CB5"/>
    <w:rsid w:val="007336EC"/>
    <w:rsid w:val="007338B5"/>
    <w:rsid w:val="00733939"/>
    <w:rsid w:val="00733B22"/>
    <w:rsid w:val="00733E98"/>
    <w:rsid w:val="00734035"/>
    <w:rsid w:val="007341A1"/>
    <w:rsid w:val="007341AE"/>
    <w:rsid w:val="007341BE"/>
    <w:rsid w:val="007341C4"/>
    <w:rsid w:val="007341D8"/>
    <w:rsid w:val="0073423B"/>
    <w:rsid w:val="007343C9"/>
    <w:rsid w:val="007343D7"/>
    <w:rsid w:val="007344E2"/>
    <w:rsid w:val="0073466E"/>
    <w:rsid w:val="007346BC"/>
    <w:rsid w:val="0073482F"/>
    <w:rsid w:val="00734883"/>
    <w:rsid w:val="00734BCE"/>
    <w:rsid w:val="007351C5"/>
    <w:rsid w:val="0073571C"/>
    <w:rsid w:val="00735783"/>
    <w:rsid w:val="0073578A"/>
    <w:rsid w:val="0073593B"/>
    <w:rsid w:val="00735986"/>
    <w:rsid w:val="0073599F"/>
    <w:rsid w:val="00735BAB"/>
    <w:rsid w:val="00735BB2"/>
    <w:rsid w:val="00735E02"/>
    <w:rsid w:val="00735F64"/>
    <w:rsid w:val="00735FFA"/>
    <w:rsid w:val="00736378"/>
    <w:rsid w:val="0073676F"/>
    <w:rsid w:val="00736B1F"/>
    <w:rsid w:val="00736B5B"/>
    <w:rsid w:val="00736B9F"/>
    <w:rsid w:val="00736CBF"/>
    <w:rsid w:val="00736D47"/>
    <w:rsid w:val="00736D9A"/>
    <w:rsid w:val="00736F83"/>
    <w:rsid w:val="00737104"/>
    <w:rsid w:val="00737542"/>
    <w:rsid w:val="00737854"/>
    <w:rsid w:val="007378D0"/>
    <w:rsid w:val="00737976"/>
    <w:rsid w:val="007379C2"/>
    <w:rsid w:val="00737A7E"/>
    <w:rsid w:val="00737C8B"/>
    <w:rsid w:val="00737EBE"/>
    <w:rsid w:val="00737FEC"/>
    <w:rsid w:val="0074003B"/>
    <w:rsid w:val="007402A4"/>
    <w:rsid w:val="007408A8"/>
    <w:rsid w:val="007408E2"/>
    <w:rsid w:val="007409DF"/>
    <w:rsid w:val="00740D15"/>
    <w:rsid w:val="00740F29"/>
    <w:rsid w:val="00740F66"/>
    <w:rsid w:val="00741074"/>
    <w:rsid w:val="00741081"/>
    <w:rsid w:val="0074127D"/>
    <w:rsid w:val="0074130F"/>
    <w:rsid w:val="0074131B"/>
    <w:rsid w:val="007414BE"/>
    <w:rsid w:val="00741848"/>
    <w:rsid w:val="00741AAF"/>
    <w:rsid w:val="00741B4C"/>
    <w:rsid w:val="00741BBD"/>
    <w:rsid w:val="00741C88"/>
    <w:rsid w:val="007421D6"/>
    <w:rsid w:val="00742366"/>
    <w:rsid w:val="00742599"/>
    <w:rsid w:val="0074269D"/>
    <w:rsid w:val="007428AA"/>
    <w:rsid w:val="007429D8"/>
    <w:rsid w:val="00742A25"/>
    <w:rsid w:val="00742A6D"/>
    <w:rsid w:val="00742E01"/>
    <w:rsid w:val="00743076"/>
    <w:rsid w:val="00743275"/>
    <w:rsid w:val="00743562"/>
    <w:rsid w:val="00743776"/>
    <w:rsid w:val="00743E18"/>
    <w:rsid w:val="00743E40"/>
    <w:rsid w:val="00743FB7"/>
    <w:rsid w:val="00743FCA"/>
    <w:rsid w:val="0074402C"/>
    <w:rsid w:val="007441AB"/>
    <w:rsid w:val="007443FB"/>
    <w:rsid w:val="00744484"/>
    <w:rsid w:val="00744547"/>
    <w:rsid w:val="007448CE"/>
    <w:rsid w:val="00744FEF"/>
    <w:rsid w:val="0074512D"/>
    <w:rsid w:val="007451E2"/>
    <w:rsid w:val="0074581E"/>
    <w:rsid w:val="00745C8E"/>
    <w:rsid w:val="00745EA0"/>
    <w:rsid w:val="00745F47"/>
    <w:rsid w:val="00745F86"/>
    <w:rsid w:val="00746123"/>
    <w:rsid w:val="007462AC"/>
    <w:rsid w:val="00746808"/>
    <w:rsid w:val="007468DA"/>
    <w:rsid w:val="0074699B"/>
    <w:rsid w:val="00746BC0"/>
    <w:rsid w:val="00746C52"/>
    <w:rsid w:val="00746F30"/>
    <w:rsid w:val="00747039"/>
    <w:rsid w:val="007471A7"/>
    <w:rsid w:val="00747274"/>
    <w:rsid w:val="0074744F"/>
    <w:rsid w:val="007477A2"/>
    <w:rsid w:val="00747858"/>
    <w:rsid w:val="007479BE"/>
    <w:rsid w:val="00747D32"/>
    <w:rsid w:val="00747DD5"/>
    <w:rsid w:val="00747DE7"/>
    <w:rsid w:val="00750022"/>
    <w:rsid w:val="0075010F"/>
    <w:rsid w:val="007503C7"/>
    <w:rsid w:val="007506C8"/>
    <w:rsid w:val="0075073F"/>
    <w:rsid w:val="007509DD"/>
    <w:rsid w:val="00750E59"/>
    <w:rsid w:val="007510CC"/>
    <w:rsid w:val="00751101"/>
    <w:rsid w:val="00751171"/>
    <w:rsid w:val="007513B1"/>
    <w:rsid w:val="0075147A"/>
    <w:rsid w:val="00751656"/>
    <w:rsid w:val="00751876"/>
    <w:rsid w:val="00751A64"/>
    <w:rsid w:val="00751BA3"/>
    <w:rsid w:val="00751BE0"/>
    <w:rsid w:val="007521F6"/>
    <w:rsid w:val="0075234A"/>
    <w:rsid w:val="007528D1"/>
    <w:rsid w:val="00752952"/>
    <w:rsid w:val="00752A3D"/>
    <w:rsid w:val="00752A6B"/>
    <w:rsid w:val="00752C53"/>
    <w:rsid w:val="00753016"/>
    <w:rsid w:val="007534D8"/>
    <w:rsid w:val="00753743"/>
    <w:rsid w:val="0075382C"/>
    <w:rsid w:val="007538DF"/>
    <w:rsid w:val="00753AE8"/>
    <w:rsid w:val="00753B29"/>
    <w:rsid w:val="00753CAC"/>
    <w:rsid w:val="00753F8A"/>
    <w:rsid w:val="00753FBA"/>
    <w:rsid w:val="007540F3"/>
    <w:rsid w:val="00754350"/>
    <w:rsid w:val="007547C3"/>
    <w:rsid w:val="007549B2"/>
    <w:rsid w:val="007549E6"/>
    <w:rsid w:val="00754AD6"/>
    <w:rsid w:val="00754B39"/>
    <w:rsid w:val="00754C17"/>
    <w:rsid w:val="00754C6D"/>
    <w:rsid w:val="00754D77"/>
    <w:rsid w:val="00755034"/>
    <w:rsid w:val="007558B5"/>
    <w:rsid w:val="0075598D"/>
    <w:rsid w:val="007559DA"/>
    <w:rsid w:val="00755A94"/>
    <w:rsid w:val="00755AC6"/>
    <w:rsid w:val="00755E03"/>
    <w:rsid w:val="00755EEE"/>
    <w:rsid w:val="00755FD2"/>
    <w:rsid w:val="00756342"/>
    <w:rsid w:val="00756420"/>
    <w:rsid w:val="007564C1"/>
    <w:rsid w:val="007564FF"/>
    <w:rsid w:val="007565A2"/>
    <w:rsid w:val="00756771"/>
    <w:rsid w:val="00756A6B"/>
    <w:rsid w:val="00756A9B"/>
    <w:rsid w:val="00756B99"/>
    <w:rsid w:val="00756BCA"/>
    <w:rsid w:val="00756E21"/>
    <w:rsid w:val="00756E90"/>
    <w:rsid w:val="00756F8A"/>
    <w:rsid w:val="00757235"/>
    <w:rsid w:val="00757392"/>
    <w:rsid w:val="00757582"/>
    <w:rsid w:val="0075773B"/>
    <w:rsid w:val="00757A37"/>
    <w:rsid w:val="00757A89"/>
    <w:rsid w:val="00757CD2"/>
    <w:rsid w:val="00757CDF"/>
    <w:rsid w:val="00757E28"/>
    <w:rsid w:val="00757E30"/>
    <w:rsid w:val="00757F20"/>
    <w:rsid w:val="00760216"/>
    <w:rsid w:val="007602A0"/>
    <w:rsid w:val="00760463"/>
    <w:rsid w:val="00760486"/>
    <w:rsid w:val="007604C7"/>
    <w:rsid w:val="0076075D"/>
    <w:rsid w:val="0076087C"/>
    <w:rsid w:val="00760900"/>
    <w:rsid w:val="00760B98"/>
    <w:rsid w:val="007613CB"/>
    <w:rsid w:val="007613F8"/>
    <w:rsid w:val="007614E0"/>
    <w:rsid w:val="007614F7"/>
    <w:rsid w:val="00761520"/>
    <w:rsid w:val="0076158B"/>
    <w:rsid w:val="0076159A"/>
    <w:rsid w:val="0076169F"/>
    <w:rsid w:val="007617A3"/>
    <w:rsid w:val="007617E8"/>
    <w:rsid w:val="00761AB7"/>
    <w:rsid w:val="00761D4D"/>
    <w:rsid w:val="00761FD3"/>
    <w:rsid w:val="007620BC"/>
    <w:rsid w:val="00762250"/>
    <w:rsid w:val="007623D8"/>
    <w:rsid w:val="007626E8"/>
    <w:rsid w:val="00762702"/>
    <w:rsid w:val="0076277F"/>
    <w:rsid w:val="00762AF4"/>
    <w:rsid w:val="00762D90"/>
    <w:rsid w:val="00762F65"/>
    <w:rsid w:val="00763058"/>
    <w:rsid w:val="00763172"/>
    <w:rsid w:val="007631BE"/>
    <w:rsid w:val="0076334E"/>
    <w:rsid w:val="00763400"/>
    <w:rsid w:val="00763474"/>
    <w:rsid w:val="00763674"/>
    <w:rsid w:val="007638ED"/>
    <w:rsid w:val="007639C6"/>
    <w:rsid w:val="007639F8"/>
    <w:rsid w:val="00763A5C"/>
    <w:rsid w:val="00763BEA"/>
    <w:rsid w:val="00763F0E"/>
    <w:rsid w:val="00763F74"/>
    <w:rsid w:val="00763F9F"/>
    <w:rsid w:val="00763FBD"/>
    <w:rsid w:val="00764710"/>
    <w:rsid w:val="0076474C"/>
    <w:rsid w:val="00764AAC"/>
    <w:rsid w:val="00764C33"/>
    <w:rsid w:val="00765211"/>
    <w:rsid w:val="00765318"/>
    <w:rsid w:val="0076539A"/>
    <w:rsid w:val="00765505"/>
    <w:rsid w:val="00765681"/>
    <w:rsid w:val="00765B58"/>
    <w:rsid w:val="00765CD6"/>
    <w:rsid w:val="00765D3A"/>
    <w:rsid w:val="00765F89"/>
    <w:rsid w:val="00766046"/>
    <w:rsid w:val="00766184"/>
    <w:rsid w:val="007666B4"/>
    <w:rsid w:val="00766739"/>
    <w:rsid w:val="007667E9"/>
    <w:rsid w:val="00766859"/>
    <w:rsid w:val="00766C3B"/>
    <w:rsid w:val="00766CC7"/>
    <w:rsid w:val="00766DDA"/>
    <w:rsid w:val="00766E94"/>
    <w:rsid w:val="00766FA8"/>
    <w:rsid w:val="00767286"/>
    <w:rsid w:val="0076739F"/>
    <w:rsid w:val="007673AB"/>
    <w:rsid w:val="00767416"/>
    <w:rsid w:val="00767597"/>
    <w:rsid w:val="0076773A"/>
    <w:rsid w:val="007677EE"/>
    <w:rsid w:val="0076798A"/>
    <w:rsid w:val="00767B59"/>
    <w:rsid w:val="00767B66"/>
    <w:rsid w:val="00767E67"/>
    <w:rsid w:val="00767F24"/>
    <w:rsid w:val="007700BC"/>
    <w:rsid w:val="007701C3"/>
    <w:rsid w:val="007702E9"/>
    <w:rsid w:val="007704C2"/>
    <w:rsid w:val="00770569"/>
    <w:rsid w:val="007705FF"/>
    <w:rsid w:val="0077087E"/>
    <w:rsid w:val="00770AC1"/>
    <w:rsid w:val="00770B25"/>
    <w:rsid w:val="00770C6B"/>
    <w:rsid w:val="00770CF6"/>
    <w:rsid w:val="00770E64"/>
    <w:rsid w:val="00770FAA"/>
    <w:rsid w:val="00770FE1"/>
    <w:rsid w:val="007713B5"/>
    <w:rsid w:val="00771596"/>
    <w:rsid w:val="0077164E"/>
    <w:rsid w:val="00771B9E"/>
    <w:rsid w:val="00771C0C"/>
    <w:rsid w:val="00771CC1"/>
    <w:rsid w:val="00771CF7"/>
    <w:rsid w:val="00771ED3"/>
    <w:rsid w:val="00771FD4"/>
    <w:rsid w:val="007720ED"/>
    <w:rsid w:val="00772158"/>
    <w:rsid w:val="00772185"/>
    <w:rsid w:val="007722BB"/>
    <w:rsid w:val="00772389"/>
    <w:rsid w:val="00772403"/>
    <w:rsid w:val="007724BB"/>
    <w:rsid w:val="007726CF"/>
    <w:rsid w:val="00772752"/>
    <w:rsid w:val="00772919"/>
    <w:rsid w:val="0077291C"/>
    <w:rsid w:val="00772A0C"/>
    <w:rsid w:val="00772D8A"/>
    <w:rsid w:val="00772EEE"/>
    <w:rsid w:val="00772FEB"/>
    <w:rsid w:val="0077302C"/>
    <w:rsid w:val="00773127"/>
    <w:rsid w:val="00773463"/>
    <w:rsid w:val="0077361A"/>
    <w:rsid w:val="00773AB1"/>
    <w:rsid w:val="00773D24"/>
    <w:rsid w:val="00773E0C"/>
    <w:rsid w:val="00773F4B"/>
    <w:rsid w:val="00773F76"/>
    <w:rsid w:val="00773FDA"/>
    <w:rsid w:val="007740A5"/>
    <w:rsid w:val="00774181"/>
    <w:rsid w:val="007742F4"/>
    <w:rsid w:val="00774448"/>
    <w:rsid w:val="0077451A"/>
    <w:rsid w:val="007745E0"/>
    <w:rsid w:val="0077475F"/>
    <w:rsid w:val="007747FD"/>
    <w:rsid w:val="00774809"/>
    <w:rsid w:val="00774817"/>
    <w:rsid w:val="00774B3A"/>
    <w:rsid w:val="00774BE9"/>
    <w:rsid w:val="00774D0F"/>
    <w:rsid w:val="00774F0C"/>
    <w:rsid w:val="00774F86"/>
    <w:rsid w:val="007750CF"/>
    <w:rsid w:val="00775445"/>
    <w:rsid w:val="00775547"/>
    <w:rsid w:val="007756F6"/>
    <w:rsid w:val="00775B30"/>
    <w:rsid w:val="00775C44"/>
    <w:rsid w:val="00775EBB"/>
    <w:rsid w:val="00776066"/>
    <w:rsid w:val="00776240"/>
    <w:rsid w:val="007762DC"/>
    <w:rsid w:val="00776375"/>
    <w:rsid w:val="007765A6"/>
    <w:rsid w:val="007765D2"/>
    <w:rsid w:val="007766C5"/>
    <w:rsid w:val="007766D7"/>
    <w:rsid w:val="00776825"/>
    <w:rsid w:val="007768A0"/>
    <w:rsid w:val="00776B72"/>
    <w:rsid w:val="00776B8D"/>
    <w:rsid w:val="00776C8F"/>
    <w:rsid w:val="00776DBD"/>
    <w:rsid w:val="00776EC0"/>
    <w:rsid w:val="00776F80"/>
    <w:rsid w:val="0077702A"/>
    <w:rsid w:val="0077706C"/>
    <w:rsid w:val="007771BC"/>
    <w:rsid w:val="007771C2"/>
    <w:rsid w:val="0077733C"/>
    <w:rsid w:val="00777358"/>
    <w:rsid w:val="00777401"/>
    <w:rsid w:val="00777411"/>
    <w:rsid w:val="00777437"/>
    <w:rsid w:val="00777907"/>
    <w:rsid w:val="0077794B"/>
    <w:rsid w:val="007779DD"/>
    <w:rsid w:val="00777DAE"/>
    <w:rsid w:val="0078005E"/>
    <w:rsid w:val="00780435"/>
    <w:rsid w:val="0078046D"/>
    <w:rsid w:val="007804E7"/>
    <w:rsid w:val="007806F4"/>
    <w:rsid w:val="007807BF"/>
    <w:rsid w:val="00780896"/>
    <w:rsid w:val="007808AD"/>
    <w:rsid w:val="00780B5E"/>
    <w:rsid w:val="00780BBC"/>
    <w:rsid w:val="00780C7A"/>
    <w:rsid w:val="00780DAD"/>
    <w:rsid w:val="00781078"/>
    <w:rsid w:val="00781196"/>
    <w:rsid w:val="007813B8"/>
    <w:rsid w:val="00781508"/>
    <w:rsid w:val="007816C0"/>
    <w:rsid w:val="0078189B"/>
    <w:rsid w:val="007818A1"/>
    <w:rsid w:val="007819B5"/>
    <w:rsid w:val="00781A21"/>
    <w:rsid w:val="00781A5C"/>
    <w:rsid w:val="00781E68"/>
    <w:rsid w:val="00781F7A"/>
    <w:rsid w:val="00781FF9"/>
    <w:rsid w:val="00782527"/>
    <w:rsid w:val="0078257B"/>
    <w:rsid w:val="007828E3"/>
    <w:rsid w:val="00782BE7"/>
    <w:rsid w:val="00782EA0"/>
    <w:rsid w:val="007830EA"/>
    <w:rsid w:val="007832D9"/>
    <w:rsid w:val="00783416"/>
    <w:rsid w:val="0078358B"/>
    <w:rsid w:val="00783646"/>
    <w:rsid w:val="0078377E"/>
    <w:rsid w:val="00783AF2"/>
    <w:rsid w:val="00783D75"/>
    <w:rsid w:val="00783EB0"/>
    <w:rsid w:val="00783F13"/>
    <w:rsid w:val="0078400A"/>
    <w:rsid w:val="0078480A"/>
    <w:rsid w:val="00784843"/>
    <w:rsid w:val="00784912"/>
    <w:rsid w:val="0078496B"/>
    <w:rsid w:val="00784C0A"/>
    <w:rsid w:val="00784FD5"/>
    <w:rsid w:val="00785011"/>
    <w:rsid w:val="0078557F"/>
    <w:rsid w:val="0078575A"/>
    <w:rsid w:val="00785B4C"/>
    <w:rsid w:val="00785BAE"/>
    <w:rsid w:val="00785C31"/>
    <w:rsid w:val="00785CF6"/>
    <w:rsid w:val="007860D6"/>
    <w:rsid w:val="0078632A"/>
    <w:rsid w:val="00786541"/>
    <w:rsid w:val="007867A9"/>
    <w:rsid w:val="007867B0"/>
    <w:rsid w:val="00786973"/>
    <w:rsid w:val="00786A00"/>
    <w:rsid w:val="00786AB9"/>
    <w:rsid w:val="00786B29"/>
    <w:rsid w:val="00786C46"/>
    <w:rsid w:val="00786CA3"/>
    <w:rsid w:val="007870D0"/>
    <w:rsid w:val="0078710B"/>
    <w:rsid w:val="00787404"/>
    <w:rsid w:val="00787718"/>
    <w:rsid w:val="00787809"/>
    <w:rsid w:val="00787AAB"/>
    <w:rsid w:val="00787B0C"/>
    <w:rsid w:val="00787CD3"/>
    <w:rsid w:val="00787D0B"/>
    <w:rsid w:val="00790079"/>
    <w:rsid w:val="00790126"/>
    <w:rsid w:val="00790350"/>
    <w:rsid w:val="00790447"/>
    <w:rsid w:val="007907DD"/>
    <w:rsid w:val="007909FA"/>
    <w:rsid w:val="00790A31"/>
    <w:rsid w:val="00790C5F"/>
    <w:rsid w:val="00790CA7"/>
    <w:rsid w:val="00790D11"/>
    <w:rsid w:val="00790ED9"/>
    <w:rsid w:val="00790FB9"/>
    <w:rsid w:val="007910B2"/>
    <w:rsid w:val="00791157"/>
    <w:rsid w:val="00791226"/>
    <w:rsid w:val="00791283"/>
    <w:rsid w:val="00791297"/>
    <w:rsid w:val="00791339"/>
    <w:rsid w:val="0079136D"/>
    <w:rsid w:val="0079137A"/>
    <w:rsid w:val="00791419"/>
    <w:rsid w:val="00791469"/>
    <w:rsid w:val="00791491"/>
    <w:rsid w:val="007914C8"/>
    <w:rsid w:val="00791554"/>
    <w:rsid w:val="0079167E"/>
    <w:rsid w:val="007919BE"/>
    <w:rsid w:val="00791ADA"/>
    <w:rsid w:val="00791E9B"/>
    <w:rsid w:val="00791EF9"/>
    <w:rsid w:val="007920D9"/>
    <w:rsid w:val="007921E0"/>
    <w:rsid w:val="00792400"/>
    <w:rsid w:val="0079248C"/>
    <w:rsid w:val="0079253C"/>
    <w:rsid w:val="0079268A"/>
    <w:rsid w:val="00792844"/>
    <w:rsid w:val="00792AD1"/>
    <w:rsid w:val="00793101"/>
    <w:rsid w:val="0079322D"/>
    <w:rsid w:val="0079330B"/>
    <w:rsid w:val="00793462"/>
    <w:rsid w:val="0079347C"/>
    <w:rsid w:val="007935CA"/>
    <w:rsid w:val="007938F7"/>
    <w:rsid w:val="00793A19"/>
    <w:rsid w:val="00793B9B"/>
    <w:rsid w:val="00793E8D"/>
    <w:rsid w:val="00794172"/>
    <w:rsid w:val="0079446A"/>
    <w:rsid w:val="007944A9"/>
    <w:rsid w:val="007945B4"/>
    <w:rsid w:val="00794867"/>
    <w:rsid w:val="00794984"/>
    <w:rsid w:val="00794B40"/>
    <w:rsid w:val="00794CE5"/>
    <w:rsid w:val="00794D94"/>
    <w:rsid w:val="00794E49"/>
    <w:rsid w:val="00794EDC"/>
    <w:rsid w:val="00795008"/>
    <w:rsid w:val="0079540D"/>
    <w:rsid w:val="007956AC"/>
    <w:rsid w:val="00795797"/>
    <w:rsid w:val="007958E5"/>
    <w:rsid w:val="0079592E"/>
    <w:rsid w:val="00795AD4"/>
    <w:rsid w:val="00795C35"/>
    <w:rsid w:val="00795D0D"/>
    <w:rsid w:val="00795EFC"/>
    <w:rsid w:val="00796067"/>
    <w:rsid w:val="007960FB"/>
    <w:rsid w:val="00796253"/>
    <w:rsid w:val="007964A0"/>
    <w:rsid w:val="007965EF"/>
    <w:rsid w:val="00796794"/>
    <w:rsid w:val="00796805"/>
    <w:rsid w:val="007968E3"/>
    <w:rsid w:val="00796E25"/>
    <w:rsid w:val="00796E26"/>
    <w:rsid w:val="00796E57"/>
    <w:rsid w:val="0079722B"/>
    <w:rsid w:val="00797298"/>
    <w:rsid w:val="007972D8"/>
    <w:rsid w:val="007973B4"/>
    <w:rsid w:val="00797473"/>
    <w:rsid w:val="007974B9"/>
    <w:rsid w:val="0079762D"/>
    <w:rsid w:val="00797860"/>
    <w:rsid w:val="007978B1"/>
    <w:rsid w:val="00797DCB"/>
    <w:rsid w:val="007A00A9"/>
    <w:rsid w:val="007A00E3"/>
    <w:rsid w:val="007A0237"/>
    <w:rsid w:val="007A026D"/>
    <w:rsid w:val="007A027D"/>
    <w:rsid w:val="007A0316"/>
    <w:rsid w:val="007A04EB"/>
    <w:rsid w:val="007A07BD"/>
    <w:rsid w:val="007A07D5"/>
    <w:rsid w:val="007A0C1A"/>
    <w:rsid w:val="007A0F06"/>
    <w:rsid w:val="007A0F66"/>
    <w:rsid w:val="007A1079"/>
    <w:rsid w:val="007A114C"/>
    <w:rsid w:val="007A115A"/>
    <w:rsid w:val="007A1245"/>
    <w:rsid w:val="007A1477"/>
    <w:rsid w:val="007A1692"/>
    <w:rsid w:val="007A1733"/>
    <w:rsid w:val="007A17B6"/>
    <w:rsid w:val="007A18ED"/>
    <w:rsid w:val="007A1A6D"/>
    <w:rsid w:val="007A1BF1"/>
    <w:rsid w:val="007A1E15"/>
    <w:rsid w:val="007A1F49"/>
    <w:rsid w:val="007A1F6E"/>
    <w:rsid w:val="007A2093"/>
    <w:rsid w:val="007A2555"/>
    <w:rsid w:val="007A2903"/>
    <w:rsid w:val="007A291D"/>
    <w:rsid w:val="007A2962"/>
    <w:rsid w:val="007A2A0D"/>
    <w:rsid w:val="007A2A25"/>
    <w:rsid w:val="007A2A33"/>
    <w:rsid w:val="007A2B33"/>
    <w:rsid w:val="007A2BD4"/>
    <w:rsid w:val="007A2D78"/>
    <w:rsid w:val="007A2E0A"/>
    <w:rsid w:val="007A2E45"/>
    <w:rsid w:val="007A30E8"/>
    <w:rsid w:val="007A3140"/>
    <w:rsid w:val="007A3144"/>
    <w:rsid w:val="007A318C"/>
    <w:rsid w:val="007A3635"/>
    <w:rsid w:val="007A3971"/>
    <w:rsid w:val="007A3B8F"/>
    <w:rsid w:val="007A3BB8"/>
    <w:rsid w:val="007A3DA3"/>
    <w:rsid w:val="007A3E44"/>
    <w:rsid w:val="007A40B2"/>
    <w:rsid w:val="007A42E8"/>
    <w:rsid w:val="007A42FF"/>
    <w:rsid w:val="007A4383"/>
    <w:rsid w:val="007A43AF"/>
    <w:rsid w:val="007A445C"/>
    <w:rsid w:val="007A456D"/>
    <w:rsid w:val="007A46E5"/>
    <w:rsid w:val="007A491F"/>
    <w:rsid w:val="007A4A43"/>
    <w:rsid w:val="007A4AF9"/>
    <w:rsid w:val="007A4BB1"/>
    <w:rsid w:val="007A4C1A"/>
    <w:rsid w:val="007A4C31"/>
    <w:rsid w:val="007A4D08"/>
    <w:rsid w:val="007A4D14"/>
    <w:rsid w:val="007A4D16"/>
    <w:rsid w:val="007A4E58"/>
    <w:rsid w:val="007A4F57"/>
    <w:rsid w:val="007A52C7"/>
    <w:rsid w:val="007A5323"/>
    <w:rsid w:val="007A54D8"/>
    <w:rsid w:val="007A5674"/>
    <w:rsid w:val="007A5973"/>
    <w:rsid w:val="007A59C6"/>
    <w:rsid w:val="007A5DD8"/>
    <w:rsid w:val="007A5EDA"/>
    <w:rsid w:val="007A6076"/>
    <w:rsid w:val="007A60C9"/>
    <w:rsid w:val="007A6281"/>
    <w:rsid w:val="007A642C"/>
    <w:rsid w:val="007A69DA"/>
    <w:rsid w:val="007A6B90"/>
    <w:rsid w:val="007A6FA0"/>
    <w:rsid w:val="007A6FF5"/>
    <w:rsid w:val="007A71C8"/>
    <w:rsid w:val="007A7211"/>
    <w:rsid w:val="007A7252"/>
    <w:rsid w:val="007A7360"/>
    <w:rsid w:val="007A753C"/>
    <w:rsid w:val="007A7616"/>
    <w:rsid w:val="007A79A5"/>
    <w:rsid w:val="007A7B70"/>
    <w:rsid w:val="007B0228"/>
    <w:rsid w:val="007B02EF"/>
    <w:rsid w:val="007B0524"/>
    <w:rsid w:val="007B06F9"/>
    <w:rsid w:val="007B071C"/>
    <w:rsid w:val="007B0968"/>
    <w:rsid w:val="007B0A6C"/>
    <w:rsid w:val="007B0DB1"/>
    <w:rsid w:val="007B0DBE"/>
    <w:rsid w:val="007B0E0F"/>
    <w:rsid w:val="007B0E2C"/>
    <w:rsid w:val="007B0F39"/>
    <w:rsid w:val="007B120B"/>
    <w:rsid w:val="007B136A"/>
    <w:rsid w:val="007B1677"/>
    <w:rsid w:val="007B19C0"/>
    <w:rsid w:val="007B1C0D"/>
    <w:rsid w:val="007B1CED"/>
    <w:rsid w:val="007B2148"/>
    <w:rsid w:val="007B2677"/>
    <w:rsid w:val="007B2B09"/>
    <w:rsid w:val="007B2B52"/>
    <w:rsid w:val="007B2B95"/>
    <w:rsid w:val="007B3028"/>
    <w:rsid w:val="007B30B5"/>
    <w:rsid w:val="007B30F9"/>
    <w:rsid w:val="007B3196"/>
    <w:rsid w:val="007B31D0"/>
    <w:rsid w:val="007B3315"/>
    <w:rsid w:val="007B3637"/>
    <w:rsid w:val="007B39B5"/>
    <w:rsid w:val="007B3BA6"/>
    <w:rsid w:val="007B3C15"/>
    <w:rsid w:val="007B3C43"/>
    <w:rsid w:val="007B3D8B"/>
    <w:rsid w:val="007B3FEF"/>
    <w:rsid w:val="007B40E5"/>
    <w:rsid w:val="007B42FF"/>
    <w:rsid w:val="007B43C9"/>
    <w:rsid w:val="007B43E5"/>
    <w:rsid w:val="007B4C47"/>
    <w:rsid w:val="007B4E66"/>
    <w:rsid w:val="007B4FFE"/>
    <w:rsid w:val="007B5028"/>
    <w:rsid w:val="007B50A2"/>
    <w:rsid w:val="007B5227"/>
    <w:rsid w:val="007B5391"/>
    <w:rsid w:val="007B5395"/>
    <w:rsid w:val="007B53A3"/>
    <w:rsid w:val="007B53D0"/>
    <w:rsid w:val="007B5522"/>
    <w:rsid w:val="007B571F"/>
    <w:rsid w:val="007B5BB8"/>
    <w:rsid w:val="007B5D69"/>
    <w:rsid w:val="007B5E4A"/>
    <w:rsid w:val="007B5ECD"/>
    <w:rsid w:val="007B5F11"/>
    <w:rsid w:val="007B60DB"/>
    <w:rsid w:val="007B6296"/>
    <w:rsid w:val="007B6316"/>
    <w:rsid w:val="007B63EA"/>
    <w:rsid w:val="007B647B"/>
    <w:rsid w:val="007B660C"/>
    <w:rsid w:val="007B6798"/>
    <w:rsid w:val="007B67E8"/>
    <w:rsid w:val="007B68D6"/>
    <w:rsid w:val="007B6B7B"/>
    <w:rsid w:val="007B6E15"/>
    <w:rsid w:val="007B6E41"/>
    <w:rsid w:val="007B6F30"/>
    <w:rsid w:val="007B6FF6"/>
    <w:rsid w:val="007B7029"/>
    <w:rsid w:val="007B7261"/>
    <w:rsid w:val="007B7552"/>
    <w:rsid w:val="007B760C"/>
    <w:rsid w:val="007B76AB"/>
    <w:rsid w:val="007B7760"/>
    <w:rsid w:val="007B79A1"/>
    <w:rsid w:val="007B79FF"/>
    <w:rsid w:val="007B7CC6"/>
    <w:rsid w:val="007C009E"/>
    <w:rsid w:val="007C02C3"/>
    <w:rsid w:val="007C0699"/>
    <w:rsid w:val="007C06F4"/>
    <w:rsid w:val="007C07C4"/>
    <w:rsid w:val="007C0967"/>
    <w:rsid w:val="007C09BC"/>
    <w:rsid w:val="007C0B1B"/>
    <w:rsid w:val="007C0E7A"/>
    <w:rsid w:val="007C0FFB"/>
    <w:rsid w:val="007C10AF"/>
    <w:rsid w:val="007C11E9"/>
    <w:rsid w:val="007C1226"/>
    <w:rsid w:val="007C1346"/>
    <w:rsid w:val="007C1365"/>
    <w:rsid w:val="007C13F9"/>
    <w:rsid w:val="007C170A"/>
    <w:rsid w:val="007C1770"/>
    <w:rsid w:val="007C180F"/>
    <w:rsid w:val="007C18C0"/>
    <w:rsid w:val="007C1AD1"/>
    <w:rsid w:val="007C2029"/>
    <w:rsid w:val="007C20A3"/>
    <w:rsid w:val="007C20ED"/>
    <w:rsid w:val="007C21D8"/>
    <w:rsid w:val="007C2450"/>
    <w:rsid w:val="007C2460"/>
    <w:rsid w:val="007C24B6"/>
    <w:rsid w:val="007C2558"/>
    <w:rsid w:val="007C266C"/>
    <w:rsid w:val="007C281B"/>
    <w:rsid w:val="007C28C1"/>
    <w:rsid w:val="007C2CFC"/>
    <w:rsid w:val="007C2E33"/>
    <w:rsid w:val="007C2EFB"/>
    <w:rsid w:val="007C301C"/>
    <w:rsid w:val="007C3152"/>
    <w:rsid w:val="007C3260"/>
    <w:rsid w:val="007C3A86"/>
    <w:rsid w:val="007C3B01"/>
    <w:rsid w:val="007C3C01"/>
    <w:rsid w:val="007C3C50"/>
    <w:rsid w:val="007C3D5C"/>
    <w:rsid w:val="007C3DE7"/>
    <w:rsid w:val="007C4092"/>
    <w:rsid w:val="007C4154"/>
    <w:rsid w:val="007C42C0"/>
    <w:rsid w:val="007C42F3"/>
    <w:rsid w:val="007C4684"/>
    <w:rsid w:val="007C4A13"/>
    <w:rsid w:val="007C4AC9"/>
    <w:rsid w:val="007C4AE8"/>
    <w:rsid w:val="007C4C14"/>
    <w:rsid w:val="007C4F2D"/>
    <w:rsid w:val="007C4F77"/>
    <w:rsid w:val="007C5243"/>
    <w:rsid w:val="007C5507"/>
    <w:rsid w:val="007C5FBE"/>
    <w:rsid w:val="007C6054"/>
    <w:rsid w:val="007C60B6"/>
    <w:rsid w:val="007C629A"/>
    <w:rsid w:val="007C62CB"/>
    <w:rsid w:val="007C6301"/>
    <w:rsid w:val="007C6420"/>
    <w:rsid w:val="007C6560"/>
    <w:rsid w:val="007C682F"/>
    <w:rsid w:val="007C68B4"/>
    <w:rsid w:val="007C68CC"/>
    <w:rsid w:val="007C6C3D"/>
    <w:rsid w:val="007C759A"/>
    <w:rsid w:val="007C7654"/>
    <w:rsid w:val="007C765F"/>
    <w:rsid w:val="007C7907"/>
    <w:rsid w:val="007C7AB8"/>
    <w:rsid w:val="007C7D3E"/>
    <w:rsid w:val="007C7E0F"/>
    <w:rsid w:val="007C7E14"/>
    <w:rsid w:val="007C7EDC"/>
    <w:rsid w:val="007C7FA0"/>
    <w:rsid w:val="007D0606"/>
    <w:rsid w:val="007D086F"/>
    <w:rsid w:val="007D0912"/>
    <w:rsid w:val="007D0BC6"/>
    <w:rsid w:val="007D0BF3"/>
    <w:rsid w:val="007D11C6"/>
    <w:rsid w:val="007D1379"/>
    <w:rsid w:val="007D13C8"/>
    <w:rsid w:val="007D13D4"/>
    <w:rsid w:val="007D13F7"/>
    <w:rsid w:val="007D185C"/>
    <w:rsid w:val="007D198D"/>
    <w:rsid w:val="007D1C04"/>
    <w:rsid w:val="007D1CB0"/>
    <w:rsid w:val="007D1EDB"/>
    <w:rsid w:val="007D1F0B"/>
    <w:rsid w:val="007D1F4D"/>
    <w:rsid w:val="007D1F55"/>
    <w:rsid w:val="007D2011"/>
    <w:rsid w:val="007D242F"/>
    <w:rsid w:val="007D24D1"/>
    <w:rsid w:val="007D2550"/>
    <w:rsid w:val="007D26F2"/>
    <w:rsid w:val="007D2C20"/>
    <w:rsid w:val="007D3037"/>
    <w:rsid w:val="007D308E"/>
    <w:rsid w:val="007D30CD"/>
    <w:rsid w:val="007D33B4"/>
    <w:rsid w:val="007D35CE"/>
    <w:rsid w:val="007D3614"/>
    <w:rsid w:val="007D3625"/>
    <w:rsid w:val="007D3715"/>
    <w:rsid w:val="007D3979"/>
    <w:rsid w:val="007D3AF7"/>
    <w:rsid w:val="007D3C27"/>
    <w:rsid w:val="007D3C85"/>
    <w:rsid w:val="007D3CE0"/>
    <w:rsid w:val="007D3FB9"/>
    <w:rsid w:val="007D41B9"/>
    <w:rsid w:val="007D41DC"/>
    <w:rsid w:val="007D4415"/>
    <w:rsid w:val="007D44B0"/>
    <w:rsid w:val="007D4596"/>
    <w:rsid w:val="007D464C"/>
    <w:rsid w:val="007D4691"/>
    <w:rsid w:val="007D469F"/>
    <w:rsid w:val="007D46A0"/>
    <w:rsid w:val="007D4989"/>
    <w:rsid w:val="007D4A77"/>
    <w:rsid w:val="007D4C2B"/>
    <w:rsid w:val="007D5245"/>
    <w:rsid w:val="007D5353"/>
    <w:rsid w:val="007D5676"/>
    <w:rsid w:val="007D5683"/>
    <w:rsid w:val="007D58BD"/>
    <w:rsid w:val="007D592B"/>
    <w:rsid w:val="007D5A35"/>
    <w:rsid w:val="007D5AA6"/>
    <w:rsid w:val="007D5E3D"/>
    <w:rsid w:val="007D5FE6"/>
    <w:rsid w:val="007D6353"/>
    <w:rsid w:val="007D646D"/>
    <w:rsid w:val="007D6587"/>
    <w:rsid w:val="007D65C0"/>
    <w:rsid w:val="007D65E6"/>
    <w:rsid w:val="007D66FB"/>
    <w:rsid w:val="007D6806"/>
    <w:rsid w:val="007D684B"/>
    <w:rsid w:val="007D686B"/>
    <w:rsid w:val="007D6A89"/>
    <w:rsid w:val="007D6DA4"/>
    <w:rsid w:val="007D717D"/>
    <w:rsid w:val="007D71DE"/>
    <w:rsid w:val="007D723D"/>
    <w:rsid w:val="007D7633"/>
    <w:rsid w:val="007D7649"/>
    <w:rsid w:val="007D7698"/>
    <w:rsid w:val="007D76A8"/>
    <w:rsid w:val="007D7728"/>
    <w:rsid w:val="007D783C"/>
    <w:rsid w:val="007D796A"/>
    <w:rsid w:val="007D79A8"/>
    <w:rsid w:val="007D7A22"/>
    <w:rsid w:val="007D7A91"/>
    <w:rsid w:val="007D7AC1"/>
    <w:rsid w:val="007D7CCD"/>
    <w:rsid w:val="007D7D7B"/>
    <w:rsid w:val="007D7E74"/>
    <w:rsid w:val="007D7E87"/>
    <w:rsid w:val="007D7FC3"/>
    <w:rsid w:val="007E0226"/>
    <w:rsid w:val="007E023D"/>
    <w:rsid w:val="007E02F2"/>
    <w:rsid w:val="007E0419"/>
    <w:rsid w:val="007E04E4"/>
    <w:rsid w:val="007E06D6"/>
    <w:rsid w:val="007E0723"/>
    <w:rsid w:val="007E0D2C"/>
    <w:rsid w:val="007E1028"/>
    <w:rsid w:val="007E138D"/>
    <w:rsid w:val="007E13F9"/>
    <w:rsid w:val="007E1419"/>
    <w:rsid w:val="007E166C"/>
    <w:rsid w:val="007E1784"/>
    <w:rsid w:val="007E19BA"/>
    <w:rsid w:val="007E1F99"/>
    <w:rsid w:val="007E237B"/>
    <w:rsid w:val="007E2514"/>
    <w:rsid w:val="007E2574"/>
    <w:rsid w:val="007E27C8"/>
    <w:rsid w:val="007E29DC"/>
    <w:rsid w:val="007E2C8F"/>
    <w:rsid w:val="007E2E8C"/>
    <w:rsid w:val="007E2FC4"/>
    <w:rsid w:val="007E2FCF"/>
    <w:rsid w:val="007E353B"/>
    <w:rsid w:val="007E35F6"/>
    <w:rsid w:val="007E36D9"/>
    <w:rsid w:val="007E370E"/>
    <w:rsid w:val="007E37A8"/>
    <w:rsid w:val="007E395F"/>
    <w:rsid w:val="007E3A31"/>
    <w:rsid w:val="007E3A5E"/>
    <w:rsid w:val="007E3C7B"/>
    <w:rsid w:val="007E3C92"/>
    <w:rsid w:val="007E3E9F"/>
    <w:rsid w:val="007E4011"/>
    <w:rsid w:val="007E40BA"/>
    <w:rsid w:val="007E4276"/>
    <w:rsid w:val="007E5053"/>
    <w:rsid w:val="007E50E6"/>
    <w:rsid w:val="007E52C5"/>
    <w:rsid w:val="007E5386"/>
    <w:rsid w:val="007E542A"/>
    <w:rsid w:val="007E57BD"/>
    <w:rsid w:val="007E5A0A"/>
    <w:rsid w:val="007E5A17"/>
    <w:rsid w:val="007E5B55"/>
    <w:rsid w:val="007E5BC9"/>
    <w:rsid w:val="007E5E40"/>
    <w:rsid w:val="007E5EF2"/>
    <w:rsid w:val="007E6131"/>
    <w:rsid w:val="007E6456"/>
    <w:rsid w:val="007E66C3"/>
    <w:rsid w:val="007E6909"/>
    <w:rsid w:val="007E69BE"/>
    <w:rsid w:val="007E6D4F"/>
    <w:rsid w:val="007E6D8B"/>
    <w:rsid w:val="007E6E87"/>
    <w:rsid w:val="007E6EA6"/>
    <w:rsid w:val="007E6F4C"/>
    <w:rsid w:val="007E701C"/>
    <w:rsid w:val="007E707A"/>
    <w:rsid w:val="007E7575"/>
    <w:rsid w:val="007E76F8"/>
    <w:rsid w:val="007E776E"/>
    <w:rsid w:val="007E77B3"/>
    <w:rsid w:val="007E78F3"/>
    <w:rsid w:val="007E7B8D"/>
    <w:rsid w:val="007E7D92"/>
    <w:rsid w:val="007E7DBB"/>
    <w:rsid w:val="007E7DEA"/>
    <w:rsid w:val="007E7E0A"/>
    <w:rsid w:val="007E7EF1"/>
    <w:rsid w:val="007F00AE"/>
    <w:rsid w:val="007F01CF"/>
    <w:rsid w:val="007F0391"/>
    <w:rsid w:val="007F03DF"/>
    <w:rsid w:val="007F044C"/>
    <w:rsid w:val="007F0708"/>
    <w:rsid w:val="007F0BB7"/>
    <w:rsid w:val="007F0C7E"/>
    <w:rsid w:val="007F0F22"/>
    <w:rsid w:val="007F11AA"/>
    <w:rsid w:val="007F1274"/>
    <w:rsid w:val="007F1502"/>
    <w:rsid w:val="007F1836"/>
    <w:rsid w:val="007F1975"/>
    <w:rsid w:val="007F19EE"/>
    <w:rsid w:val="007F1B5B"/>
    <w:rsid w:val="007F1BE7"/>
    <w:rsid w:val="007F1EE4"/>
    <w:rsid w:val="007F1EF1"/>
    <w:rsid w:val="007F1F4C"/>
    <w:rsid w:val="007F20E4"/>
    <w:rsid w:val="007F21A4"/>
    <w:rsid w:val="007F2269"/>
    <w:rsid w:val="007F229D"/>
    <w:rsid w:val="007F26A6"/>
    <w:rsid w:val="007F2705"/>
    <w:rsid w:val="007F2719"/>
    <w:rsid w:val="007F273B"/>
    <w:rsid w:val="007F2810"/>
    <w:rsid w:val="007F2B33"/>
    <w:rsid w:val="007F2F3D"/>
    <w:rsid w:val="007F315B"/>
    <w:rsid w:val="007F32E9"/>
    <w:rsid w:val="007F3C41"/>
    <w:rsid w:val="007F3CF5"/>
    <w:rsid w:val="007F3D8A"/>
    <w:rsid w:val="007F3DDD"/>
    <w:rsid w:val="007F3E2D"/>
    <w:rsid w:val="007F403D"/>
    <w:rsid w:val="007F426A"/>
    <w:rsid w:val="007F4400"/>
    <w:rsid w:val="007F46A4"/>
    <w:rsid w:val="007F4879"/>
    <w:rsid w:val="007F4AA9"/>
    <w:rsid w:val="007F4D95"/>
    <w:rsid w:val="007F514F"/>
    <w:rsid w:val="007F5174"/>
    <w:rsid w:val="007F51B6"/>
    <w:rsid w:val="007F51DE"/>
    <w:rsid w:val="007F5653"/>
    <w:rsid w:val="007F576A"/>
    <w:rsid w:val="007F5AB6"/>
    <w:rsid w:val="007F5B89"/>
    <w:rsid w:val="007F5E18"/>
    <w:rsid w:val="007F6196"/>
    <w:rsid w:val="007F6222"/>
    <w:rsid w:val="007F6297"/>
    <w:rsid w:val="007F63C1"/>
    <w:rsid w:val="007F65F7"/>
    <w:rsid w:val="007F6713"/>
    <w:rsid w:val="007F6A45"/>
    <w:rsid w:val="007F6B1F"/>
    <w:rsid w:val="007F6CFB"/>
    <w:rsid w:val="007F6DD5"/>
    <w:rsid w:val="007F6E71"/>
    <w:rsid w:val="007F6EBD"/>
    <w:rsid w:val="007F7080"/>
    <w:rsid w:val="007F72B5"/>
    <w:rsid w:val="007F72DC"/>
    <w:rsid w:val="007F7627"/>
    <w:rsid w:val="007F786B"/>
    <w:rsid w:val="007F7895"/>
    <w:rsid w:val="007F7E0F"/>
    <w:rsid w:val="007F7FC8"/>
    <w:rsid w:val="008001AE"/>
    <w:rsid w:val="00800237"/>
    <w:rsid w:val="00800393"/>
    <w:rsid w:val="008003B7"/>
    <w:rsid w:val="00800895"/>
    <w:rsid w:val="00800B90"/>
    <w:rsid w:val="00800F88"/>
    <w:rsid w:val="00801202"/>
    <w:rsid w:val="0080129F"/>
    <w:rsid w:val="008013F4"/>
    <w:rsid w:val="00801412"/>
    <w:rsid w:val="00801470"/>
    <w:rsid w:val="0080155C"/>
    <w:rsid w:val="0080169A"/>
    <w:rsid w:val="008017C1"/>
    <w:rsid w:val="00801815"/>
    <w:rsid w:val="0080197D"/>
    <w:rsid w:val="00801A63"/>
    <w:rsid w:val="00801A69"/>
    <w:rsid w:val="00801C4B"/>
    <w:rsid w:val="00801C71"/>
    <w:rsid w:val="00801CFF"/>
    <w:rsid w:val="00801F90"/>
    <w:rsid w:val="00801F99"/>
    <w:rsid w:val="00801FCB"/>
    <w:rsid w:val="00802386"/>
    <w:rsid w:val="0080245D"/>
    <w:rsid w:val="0080262F"/>
    <w:rsid w:val="00802A22"/>
    <w:rsid w:val="00802A23"/>
    <w:rsid w:val="00802BE7"/>
    <w:rsid w:val="00802C03"/>
    <w:rsid w:val="00802E21"/>
    <w:rsid w:val="00802EC7"/>
    <w:rsid w:val="00802F5C"/>
    <w:rsid w:val="00802F65"/>
    <w:rsid w:val="00802F9C"/>
    <w:rsid w:val="0080319F"/>
    <w:rsid w:val="0080365D"/>
    <w:rsid w:val="008036CA"/>
    <w:rsid w:val="00803972"/>
    <w:rsid w:val="00803B5B"/>
    <w:rsid w:val="00803B96"/>
    <w:rsid w:val="00803F31"/>
    <w:rsid w:val="00803FA9"/>
    <w:rsid w:val="0080419B"/>
    <w:rsid w:val="00804310"/>
    <w:rsid w:val="008046F9"/>
    <w:rsid w:val="00804D00"/>
    <w:rsid w:val="00804DEF"/>
    <w:rsid w:val="00804E91"/>
    <w:rsid w:val="00805188"/>
    <w:rsid w:val="00805660"/>
    <w:rsid w:val="00805668"/>
    <w:rsid w:val="008056C9"/>
    <w:rsid w:val="0080572D"/>
    <w:rsid w:val="008058A6"/>
    <w:rsid w:val="008059B7"/>
    <w:rsid w:val="00805A69"/>
    <w:rsid w:val="00805AB3"/>
    <w:rsid w:val="0080622C"/>
    <w:rsid w:val="00806384"/>
    <w:rsid w:val="008063C7"/>
    <w:rsid w:val="0080669D"/>
    <w:rsid w:val="0080674F"/>
    <w:rsid w:val="0080681C"/>
    <w:rsid w:val="00806A59"/>
    <w:rsid w:val="00806ADF"/>
    <w:rsid w:val="00806AE5"/>
    <w:rsid w:val="00806B12"/>
    <w:rsid w:val="00806B31"/>
    <w:rsid w:val="00806BDC"/>
    <w:rsid w:val="00806CF1"/>
    <w:rsid w:val="0080702B"/>
    <w:rsid w:val="0080729F"/>
    <w:rsid w:val="00807302"/>
    <w:rsid w:val="00807404"/>
    <w:rsid w:val="008074EB"/>
    <w:rsid w:val="008075B2"/>
    <w:rsid w:val="008078B0"/>
    <w:rsid w:val="0080797F"/>
    <w:rsid w:val="00807B1F"/>
    <w:rsid w:val="00807B98"/>
    <w:rsid w:val="00807BE2"/>
    <w:rsid w:val="00807D47"/>
    <w:rsid w:val="00807D7C"/>
    <w:rsid w:val="00807F25"/>
    <w:rsid w:val="008100A9"/>
    <w:rsid w:val="00810103"/>
    <w:rsid w:val="00810264"/>
    <w:rsid w:val="00810287"/>
    <w:rsid w:val="008102D1"/>
    <w:rsid w:val="00810377"/>
    <w:rsid w:val="0081041D"/>
    <w:rsid w:val="00810456"/>
    <w:rsid w:val="0081058E"/>
    <w:rsid w:val="00810778"/>
    <w:rsid w:val="0081081B"/>
    <w:rsid w:val="00810920"/>
    <w:rsid w:val="00810A57"/>
    <w:rsid w:val="00810C1B"/>
    <w:rsid w:val="00810EFA"/>
    <w:rsid w:val="00810F8C"/>
    <w:rsid w:val="00810FA7"/>
    <w:rsid w:val="00811076"/>
    <w:rsid w:val="00811334"/>
    <w:rsid w:val="008113E7"/>
    <w:rsid w:val="00811639"/>
    <w:rsid w:val="0081163F"/>
    <w:rsid w:val="008117C2"/>
    <w:rsid w:val="008118A0"/>
    <w:rsid w:val="00811943"/>
    <w:rsid w:val="00811AAB"/>
    <w:rsid w:val="00811AFD"/>
    <w:rsid w:val="00811B02"/>
    <w:rsid w:val="00811BEE"/>
    <w:rsid w:val="00811CD9"/>
    <w:rsid w:val="00811D64"/>
    <w:rsid w:val="00811DFD"/>
    <w:rsid w:val="00811F8D"/>
    <w:rsid w:val="00812309"/>
    <w:rsid w:val="008126B8"/>
    <w:rsid w:val="008127AF"/>
    <w:rsid w:val="00812889"/>
    <w:rsid w:val="00812B51"/>
    <w:rsid w:val="00812CA7"/>
    <w:rsid w:val="00812E41"/>
    <w:rsid w:val="00812F5A"/>
    <w:rsid w:val="00813048"/>
    <w:rsid w:val="008130E0"/>
    <w:rsid w:val="0081315F"/>
    <w:rsid w:val="008134F3"/>
    <w:rsid w:val="0081352A"/>
    <w:rsid w:val="00813554"/>
    <w:rsid w:val="00813555"/>
    <w:rsid w:val="0081394B"/>
    <w:rsid w:val="00813983"/>
    <w:rsid w:val="00813A13"/>
    <w:rsid w:val="00813B15"/>
    <w:rsid w:val="00813B9D"/>
    <w:rsid w:val="00813C05"/>
    <w:rsid w:val="00813E49"/>
    <w:rsid w:val="0081454F"/>
    <w:rsid w:val="0081457B"/>
    <w:rsid w:val="008145CD"/>
    <w:rsid w:val="008146DC"/>
    <w:rsid w:val="00814736"/>
    <w:rsid w:val="00814791"/>
    <w:rsid w:val="00814836"/>
    <w:rsid w:val="008148AF"/>
    <w:rsid w:val="00814F0A"/>
    <w:rsid w:val="00814FE6"/>
    <w:rsid w:val="00815042"/>
    <w:rsid w:val="008154AD"/>
    <w:rsid w:val="00815605"/>
    <w:rsid w:val="008158A6"/>
    <w:rsid w:val="00815A88"/>
    <w:rsid w:val="00815C81"/>
    <w:rsid w:val="00815C84"/>
    <w:rsid w:val="0081604A"/>
    <w:rsid w:val="00816449"/>
    <w:rsid w:val="008166C1"/>
    <w:rsid w:val="0081692D"/>
    <w:rsid w:val="00816977"/>
    <w:rsid w:val="00816B17"/>
    <w:rsid w:val="00817057"/>
    <w:rsid w:val="008170E6"/>
    <w:rsid w:val="00817256"/>
    <w:rsid w:val="00817303"/>
    <w:rsid w:val="00817318"/>
    <w:rsid w:val="00817402"/>
    <w:rsid w:val="008174D8"/>
    <w:rsid w:val="00817721"/>
    <w:rsid w:val="0081776F"/>
    <w:rsid w:val="00817785"/>
    <w:rsid w:val="008179B1"/>
    <w:rsid w:val="00817A46"/>
    <w:rsid w:val="00817DA0"/>
    <w:rsid w:val="00817EC7"/>
    <w:rsid w:val="00817F23"/>
    <w:rsid w:val="00817FA9"/>
    <w:rsid w:val="00820195"/>
    <w:rsid w:val="00820388"/>
    <w:rsid w:val="0082050E"/>
    <w:rsid w:val="008205C5"/>
    <w:rsid w:val="00820735"/>
    <w:rsid w:val="00820749"/>
    <w:rsid w:val="008207F0"/>
    <w:rsid w:val="0082087C"/>
    <w:rsid w:val="00820A24"/>
    <w:rsid w:val="00820B0B"/>
    <w:rsid w:val="00820E26"/>
    <w:rsid w:val="00820FAD"/>
    <w:rsid w:val="00821207"/>
    <w:rsid w:val="0082122F"/>
    <w:rsid w:val="0082133A"/>
    <w:rsid w:val="008214A5"/>
    <w:rsid w:val="008214C6"/>
    <w:rsid w:val="0082152F"/>
    <w:rsid w:val="008215CF"/>
    <w:rsid w:val="0082178D"/>
    <w:rsid w:val="008217B1"/>
    <w:rsid w:val="008218E1"/>
    <w:rsid w:val="00821928"/>
    <w:rsid w:val="0082196F"/>
    <w:rsid w:val="00821B73"/>
    <w:rsid w:val="00821C6D"/>
    <w:rsid w:val="00821D40"/>
    <w:rsid w:val="00821E98"/>
    <w:rsid w:val="0082209C"/>
    <w:rsid w:val="008221D8"/>
    <w:rsid w:val="008222A6"/>
    <w:rsid w:val="008222E4"/>
    <w:rsid w:val="00822302"/>
    <w:rsid w:val="0082245F"/>
    <w:rsid w:val="00822493"/>
    <w:rsid w:val="00822788"/>
    <w:rsid w:val="00822979"/>
    <w:rsid w:val="008229FA"/>
    <w:rsid w:val="00822A40"/>
    <w:rsid w:val="00822AAE"/>
    <w:rsid w:val="00822BDE"/>
    <w:rsid w:val="00822DAF"/>
    <w:rsid w:val="00822DCF"/>
    <w:rsid w:val="00822EAD"/>
    <w:rsid w:val="00822F5C"/>
    <w:rsid w:val="008234EC"/>
    <w:rsid w:val="008235B2"/>
    <w:rsid w:val="008235C1"/>
    <w:rsid w:val="00823624"/>
    <w:rsid w:val="00823819"/>
    <w:rsid w:val="00823956"/>
    <w:rsid w:val="008239E3"/>
    <w:rsid w:val="00823AB3"/>
    <w:rsid w:val="00823F50"/>
    <w:rsid w:val="00824087"/>
    <w:rsid w:val="00824A81"/>
    <w:rsid w:val="00824AD7"/>
    <w:rsid w:val="00824B04"/>
    <w:rsid w:val="00824C3C"/>
    <w:rsid w:val="00824C6E"/>
    <w:rsid w:val="00824E23"/>
    <w:rsid w:val="00824E24"/>
    <w:rsid w:val="00825269"/>
    <w:rsid w:val="008252D0"/>
    <w:rsid w:val="00825567"/>
    <w:rsid w:val="008255A8"/>
    <w:rsid w:val="008256AA"/>
    <w:rsid w:val="008256FA"/>
    <w:rsid w:val="0082583B"/>
    <w:rsid w:val="00825C13"/>
    <w:rsid w:val="00825CC8"/>
    <w:rsid w:val="00825D1A"/>
    <w:rsid w:val="0082671E"/>
    <w:rsid w:val="00826A7E"/>
    <w:rsid w:val="00826BEE"/>
    <w:rsid w:val="00826DAD"/>
    <w:rsid w:val="00826E36"/>
    <w:rsid w:val="00826F8C"/>
    <w:rsid w:val="00827133"/>
    <w:rsid w:val="0082715A"/>
    <w:rsid w:val="00827209"/>
    <w:rsid w:val="00827210"/>
    <w:rsid w:val="008272AF"/>
    <w:rsid w:val="008276E3"/>
    <w:rsid w:val="00827715"/>
    <w:rsid w:val="00827745"/>
    <w:rsid w:val="00827833"/>
    <w:rsid w:val="00827AB5"/>
    <w:rsid w:val="00827B53"/>
    <w:rsid w:val="00827D5E"/>
    <w:rsid w:val="00827D93"/>
    <w:rsid w:val="00827F9C"/>
    <w:rsid w:val="00830048"/>
    <w:rsid w:val="00830234"/>
    <w:rsid w:val="0083037B"/>
    <w:rsid w:val="0083037D"/>
    <w:rsid w:val="008303BA"/>
    <w:rsid w:val="00830575"/>
    <w:rsid w:val="008305D9"/>
    <w:rsid w:val="008309BA"/>
    <w:rsid w:val="00830C78"/>
    <w:rsid w:val="00830DAA"/>
    <w:rsid w:val="00830E61"/>
    <w:rsid w:val="00830F01"/>
    <w:rsid w:val="00830FD1"/>
    <w:rsid w:val="008310A8"/>
    <w:rsid w:val="00831118"/>
    <w:rsid w:val="008311B8"/>
    <w:rsid w:val="00831578"/>
    <w:rsid w:val="008316F4"/>
    <w:rsid w:val="00831803"/>
    <w:rsid w:val="00831913"/>
    <w:rsid w:val="00831E30"/>
    <w:rsid w:val="00831FB0"/>
    <w:rsid w:val="00832054"/>
    <w:rsid w:val="00832462"/>
    <w:rsid w:val="00832569"/>
    <w:rsid w:val="00832658"/>
    <w:rsid w:val="0083286B"/>
    <w:rsid w:val="0083295E"/>
    <w:rsid w:val="00832A65"/>
    <w:rsid w:val="00832ACD"/>
    <w:rsid w:val="00832FA2"/>
    <w:rsid w:val="008332E9"/>
    <w:rsid w:val="0083337F"/>
    <w:rsid w:val="00833511"/>
    <w:rsid w:val="008335E5"/>
    <w:rsid w:val="00833780"/>
    <w:rsid w:val="008337B3"/>
    <w:rsid w:val="0083385E"/>
    <w:rsid w:val="00833A00"/>
    <w:rsid w:val="00833AFD"/>
    <w:rsid w:val="00833B28"/>
    <w:rsid w:val="00833B58"/>
    <w:rsid w:val="00833CD5"/>
    <w:rsid w:val="00833D5F"/>
    <w:rsid w:val="00833F81"/>
    <w:rsid w:val="00834243"/>
    <w:rsid w:val="008344D5"/>
    <w:rsid w:val="00834757"/>
    <w:rsid w:val="008347E9"/>
    <w:rsid w:val="00834B12"/>
    <w:rsid w:val="00834B91"/>
    <w:rsid w:val="00834C1F"/>
    <w:rsid w:val="00834E24"/>
    <w:rsid w:val="008351AC"/>
    <w:rsid w:val="008355A0"/>
    <w:rsid w:val="008355F2"/>
    <w:rsid w:val="00835680"/>
    <w:rsid w:val="008359FB"/>
    <w:rsid w:val="00835AC9"/>
    <w:rsid w:val="00835B8C"/>
    <w:rsid w:val="00835BD6"/>
    <w:rsid w:val="00835E34"/>
    <w:rsid w:val="00836404"/>
    <w:rsid w:val="0083677C"/>
    <w:rsid w:val="00836A95"/>
    <w:rsid w:val="00836D4F"/>
    <w:rsid w:val="00836E06"/>
    <w:rsid w:val="00836F14"/>
    <w:rsid w:val="00836F40"/>
    <w:rsid w:val="00837194"/>
    <w:rsid w:val="008374C4"/>
    <w:rsid w:val="00837A9B"/>
    <w:rsid w:val="00837EC5"/>
    <w:rsid w:val="00837EF3"/>
    <w:rsid w:val="00837F49"/>
    <w:rsid w:val="0084018F"/>
    <w:rsid w:val="00840226"/>
    <w:rsid w:val="008404AE"/>
    <w:rsid w:val="008405C5"/>
    <w:rsid w:val="00840742"/>
    <w:rsid w:val="008407C5"/>
    <w:rsid w:val="00840A1B"/>
    <w:rsid w:val="00840A23"/>
    <w:rsid w:val="00840A45"/>
    <w:rsid w:val="00840C37"/>
    <w:rsid w:val="00840D49"/>
    <w:rsid w:val="00840E0E"/>
    <w:rsid w:val="00840F7F"/>
    <w:rsid w:val="00841098"/>
    <w:rsid w:val="0084118E"/>
    <w:rsid w:val="0084123A"/>
    <w:rsid w:val="008414CB"/>
    <w:rsid w:val="00841646"/>
    <w:rsid w:val="0084181F"/>
    <w:rsid w:val="0084193F"/>
    <w:rsid w:val="00841992"/>
    <w:rsid w:val="00841BB8"/>
    <w:rsid w:val="00841BBE"/>
    <w:rsid w:val="00841C46"/>
    <w:rsid w:val="00841C67"/>
    <w:rsid w:val="00841F89"/>
    <w:rsid w:val="00842022"/>
    <w:rsid w:val="00842337"/>
    <w:rsid w:val="008424CD"/>
    <w:rsid w:val="00842D18"/>
    <w:rsid w:val="00842D91"/>
    <w:rsid w:val="00843038"/>
    <w:rsid w:val="00843980"/>
    <w:rsid w:val="00843A11"/>
    <w:rsid w:val="00843AC2"/>
    <w:rsid w:val="00843D97"/>
    <w:rsid w:val="00843E8A"/>
    <w:rsid w:val="008440DE"/>
    <w:rsid w:val="008443D7"/>
    <w:rsid w:val="00844493"/>
    <w:rsid w:val="008446BA"/>
    <w:rsid w:val="008448D5"/>
    <w:rsid w:val="00844920"/>
    <w:rsid w:val="00844A3A"/>
    <w:rsid w:val="00844D9B"/>
    <w:rsid w:val="00844F17"/>
    <w:rsid w:val="0084502E"/>
    <w:rsid w:val="0084521E"/>
    <w:rsid w:val="0084529F"/>
    <w:rsid w:val="008452DA"/>
    <w:rsid w:val="008453C1"/>
    <w:rsid w:val="00845457"/>
    <w:rsid w:val="008454CC"/>
    <w:rsid w:val="00845500"/>
    <w:rsid w:val="0084561A"/>
    <w:rsid w:val="008456B2"/>
    <w:rsid w:val="008457A1"/>
    <w:rsid w:val="008457F3"/>
    <w:rsid w:val="00845939"/>
    <w:rsid w:val="00845B9B"/>
    <w:rsid w:val="00845CE2"/>
    <w:rsid w:val="00845CF0"/>
    <w:rsid w:val="00845E1E"/>
    <w:rsid w:val="00845E43"/>
    <w:rsid w:val="00845E8C"/>
    <w:rsid w:val="00846573"/>
    <w:rsid w:val="0084661F"/>
    <w:rsid w:val="008469AC"/>
    <w:rsid w:val="00846ABF"/>
    <w:rsid w:val="00846AE3"/>
    <w:rsid w:val="00846BF2"/>
    <w:rsid w:val="00846D43"/>
    <w:rsid w:val="00846E12"/>
    <w:rsid w:val="00846F93"/>
    <w:rsid w:val="0084718C"/>
    <w:rsid w:val="008471D7"/>
    <w:rsid w:val="00847281"/>
    <w:rsid w:val="00847531"/>
    <w:rsid w:val="008475EB"/>
    <w:rsid w:val="00847796"/>
    <w:rsid w:val="00847954"/>
    <w:rsid w:val="00847B12"/>
    <w:rsid w:val="00847D54"/>
    <w:rsid w:val="00847E7C"/>
    <w:rsid w:val="008503BD"/>
    <w:rsid w:val="00850563"/>
    <w:rsid w:val="008506CF"/>
    <w:rsid w:val="00850C4D"/>
    <w:rsid w:val="00850C84"/>
    <w:rsid w:val="00850CA6"/>
    <w:rsid w:val="00850D83"/>
    <w:rsid w:val="00850F1A"/>
    <w:rsid w:val="00850FB5"/>
    <w:rsid w:val="00850FE7"/>
    <w:rsid w:val="00851034"/>
    <w:rsid w:val="008519CF"/>
    <w:rsid w:val="00851BE3"/>
    <w:rsid w:val="00851FB0"/>
    <w:rsid w:val="00851FCA"/>
    <w:rsid w:val="00851FF7"/>
    <w:rsid w:val="008521DC"/>
    <w:rsid w:val="0085237D"/>
    <w:rsid w:val="008523BE"/>
    <w:rsid w:val="00852B0A"/>
    <w:rsid w:val="00852C21"/>
    <w:rsid w:val="00852EC3"/>
    <w:rsid w:val="00852F48"/>
    <w:rsid w:val="00852FAC"/>
    <w:rsid w:val="008530BC"/>
    <w:rsid w:val="00853391"/>
    <w:rsid w:val="00853635"/>
    <w:rsid w:val="00853746"/>
    <w:rsid w:val="0085378A"/>
    <w:rsid w:val="00853C81"/>
    <w:rsid w:val="00853D2C"/>
    <w:rsid w:val="00853D58"/>
    <w:rsid w:val="00853E5A"/>
    <w:rsid w:val="00853F0D"/>
    <w:rsid w:val="00853F1D"/>
    <w:rsid w:val="00853FCC"/>
    <w:rsid w:val="0085408F"/>
    <w:rsid w:val="008541F9"/>
    <w:rsid w:val="00854399"/>
    <w:rsid w:val="0085457F"/>
    <w:rsid w:val="0085498A"/>
    <w:rsid w:val="00854AB1"/>
    <w:rsid w:val="00854DFF"/>
    <w:rsid w:val="00854E14"/>
    <w:rsid w:val="00854E33"/>
    <w:rsid w:val="0085546B"/>
    <w:rsid w:val="008558ED"/>
    <w:rsid w:val="00855C57"/>
    <w:rsid w:val="00855F16"/>
    <w:rsid w:val="008565B4"/>
    <w:rsid w:val="00856738"/>
    <w:rsid w:val="00856767"/>
    <w:rsid w:val="0085676E"/>
    <w:rsid w:val="00856823"/>
    <w:rsid w:val="008569F9"/>
    <w:rsid w:val="00856C13"/>
    <w:rsid w:val="00856D41"/>
    <w:rsid w:val="00856D80"/>
    <w:rsid w:val="00856DAB"/>
    <w:rsid w:val="00856E20"/>
    <w:rsid w:val="00856E66"/>
    <w:rsid w:val="00856F28"/>
    <w:rsid w:val="008570EB"/>
    <w:rsid w:val="0085727C"/>
    <w:rsid w:val="00857474"/>
    <w:rsid w:val="008574D6"/>
    <w:rsid w:val="00857534"/>
    <w:rsid w:val="008575DC"/>
    <w:rsid w:val="00857969"/>
    <w:rsid w:val="00857974"/>
    <w:rsid w:val="00857A86"/>
    <w:rsid w:val="00857F61"/>
    <w:rsid w:val="00857FD9"/>
    <w:rsid w:val="0086023E"/>
    <w:rsid w:val="00860489"/>
    <w:rsid w:val="008604D1"/>
    <w:rsid w:val="00860650"/>
    <w:rsid w:val="00860741"/>
    <w:rsid w:val="00860D50"/>
    <w:rsid w:val="00860D70"/>
    <w:rsid w:val="00860FFC"/>
    <w:rsid w:val="0086103E"/>
    <w:rsid w:val="0086129F"/>
    <w:rsid w:val="00861412"/>
    <w:rsid w:val="008617F1"/>
    <w:rsid w:val="00861830"/>
    <w:rsid w:val="0086185D"/>
    <w:rsid w:val="00861BB9"/>
    <w:rsid w:val="00861D15"/>
    <w:rsid w:val="00861DC7"/>
    <w:rsid w:val="00861F14"/>
    <w:rsid w:val="00861F8B"/>
    <w:rsid w:val="0086219E"/>
    <w:rsid w:val="00862914"/>
    <w:rsid w:val="00862A40"/>
    <w:rsid w:val="00862CF6"/>
    <w:rsid w:val="00862ED0"/>
    <w:rsid w:val="00862EE9"/>
    <w:rsid w:val="00862F94"/>
    <w:rsid w:val="00862F9B"/>
    <w:rsid w:val="00863109"/>
    <w:rsid w:val="008631E9"/>
    <w:rsid w:val="0086329D"/>
    <w:rsid w:val="0086329E"/>
    <w:rsid w:val="0086357F"/>
    <w:rsid w:val="00863BD6"/>
    <w:rsid w:val="00863C99"/>
    <w:rsid w:val="00863CB2"/>
    <w:rsid w:val="00863FF5"/>
    <w:rsid w:val="00864021"/>
    <w:rsid w:val="008640E2"/>
    <w:rsid w:val="008641BB"/>
    <w:rsid w:val="008641BE"/>
    <w:rsid w:val="008641BF"/>
    <w:rsid w:val="008647B2"/>
    <w:rsid w:val="00864A16"/>
    <w:rsid w:val="00864A65"/>
    <w:rsid w:val="00864C27"/>
    <w:rsid w:val="00864CCA"/>
    <w:rsid w:val="00864D39"/>
    <w:rsid w:val="00864E65"/>
    <w:rsid w:val="00864F28"/>
    <w:rsid w:val="00864F6D"/>
    <w:rsid w:val="00865010"/>
    <w:rsid w:val="008650D0"/>
    <w:rsid w:val="008651D5"/>
    <w:rsid w:val="008652F5"/>
    <w:rsid w:val="0086546C"/>
    <w:rsid w:val="0086568A"/>
    <w:rsid w:val="00865913"/>
    <w:rsid w:val="00865959"/>
    <w:rsid w:val="008659B6"/>
    <w:rsid w:val="00865D97"/>
    <w:rsid w:val="00865F56"/>
    <w:rsid w:val="00865FB4"/>
    <w:rsid w:val="00865FC7"/>
    <w:rsid w:val="008661BD"/>
    <w:rsid w:val="008662D1"/>
    <w:rsid w:val="00866418"/>
    <w:rsid w:val="00866573"/>
    <w:rsid w:val="00866789"/>
    <w:rsid w:val="00866A7B"/>
    <w:rsid w:val="00866A9F"/>
    <w:rsid w:val="00866AD9"/>
    <w:rsid w:val="00866AEC"/>
    <w:rsid w:val="00866C1D"/>
    <w:rsid w:val="00866E48"/>
    <w:rsid w:val="00867081"/>
    <w:rsid w:val="008674CD"/>
    <w:rsid w:val="0086758B"/>
    <w:rsid w:val="008677F6"/>
    <w:rsid w:val="00867855"/>
    <w:rsid w:val="0086799F"/>
    <w:rsid w:val="008679A8"/>
    <w:rsid w:val="00867CD3"/>
    <w:rsid w:val="00867E33"/>
    <w:rsid w:val="00867E49"/>
    <w:rsid w:val="00870084"/>
    <w:rsid w:val="0087018A"/>
    <w:rsid w:val="0087032F"/>
    <w:rsid w:val="008703D0"/>
    <w:rsid w:val="0087040E"/>
    <w:rsid w:val="00870795"/>
    <w:rsid w:val="0087079F"/>
    <w:rsid w:val="008709A3"/>
    <w:rsid w:val="00870B95"/>
    <w:rsid w:val="00870DED"/>
    <w:rsid w:val="00870E1A"/>
    <w:rsid w:val="0087109D"/>
    <w:rsid w:val="008711F9"/>
    <w:rsid w:val="008712D9"/>
    <w:rsid w:val="008715D6"/>
    <w:rsid w:val="008716FF"/>
    <w:rsid w:val="0087173C"/>
    <w:rsid w:val="0087181F"/>
    <w:rsid w:val="00871B0B"/>
    <w:rsid w:val="00871DE1"/>
    <w:rsid w:val="00871F00"/>
    <w:rsid w:val="008722A6"/>
    <w:rsid w:val="008722A9"/>
    <w:rsid w:val="00872758"/>
    <w:rsid w:val="00872845"/>
    <w:rsid w:val="00872871"/>
    <w:rsid w:val="00872FF3"/>
    <w:rsid w:val="008730C1"/>
    <w:rsid w:val="0087368B"/>
    <w:rsid w:val="00873764"/>
    <w:rsid w:val="0087384F"/>
    <w:rsid w:val="008738B1"/>
    <w:rsid w:val="008738C2"/>
    <w:rsid w:val="00873C12"/>
    <w:rsid w:val="00873E80"/>
    <w:rsid w:val="008740AD"/>
    <w:rsid w:val="008741B8"/>
    <w:rsid w:val="0087446B"/>
    <w:rsid w:val="00874569"/>
    <w:rsid w:val="008746A7"/>
    <w:rsid w:val="00874758"/>
    <w:rsid w:val="008747D0"/>
    <w:rsid w:val="008748C7"/>
    <w:rsid w:val="00874B8B"/>
    <w:rsid w:val="00874BD4"/>
    <w:rsid w:val="00874BED"/>
    <w:rsid w:val="00874DD0"/>
    <w:rsid w:val="00874FBA"/>
    <w:rsid w:val="00875008"/>
    <w:rsid w:val="00875014"/>
    <w:rsid w:val="00875034"/>
    <w:rsid w:val="008751A4"/>
    <w:rsid w:val="008753E1"/>
    <w:rsid w:val="00875575"/>
    <w:rsid w:val="0087599B"/>
    <w:rsid w:val="00875B9F"/>
    <w:rsid w:val="00875BAF"/>
    <w:rsid w:val="00875E2B"/>
    <w:rsid w:val="00875E67"/>
    <w:rsid w:val="0087600A"/>
    <w:rsid w:val="0087608E"/>
    <w:rsid w:val="00876151"/>
    <w:rsid w:val="008764BE"/>
    <w:rsid w:val="008765B0"/>
    <w:rsid w:val="008768A0"/>
    <w:rsid w:val="00876A3D"/>
    <w:rsid w:val="00876B43"/>
    <w:rsid w:val="00876B4E"/>
    <w:rsid w:val="00876B4F"/>
    <w:rsid w:val="00876B5B"/>
    <w:rsid w:val="00876CAB"/>
    <w:rsid w:val="008773BB"/>
    <w:rsid w:val="00877429"/>
    <w:rsid w:val="00877456"/>
    <w:rsid w:val="008774E5"/>
    <w:rsid w:val="0087752E"/>
    <w:rsid w:val="008776C3"/>
    <w:rsid w:val="00877810"/>
    <w:rsid w:val="0087789E"/>
    <w:rsid w:val="008778A7"/>
    <w:rsid w:val="008779AC"/>
    <w:rsid w:val="00877CB9"/>
    <w:rsid w:val="00877EC6"/>
    <w:rsid w:val="00880064"/>
    <w:rsid w:val="008800AB"/>
    <w:rsid w:val="008801E9"/>
    <w:rsid w:val="0088045A"/>
    <w:rsid w:val="008805D1"/>
    <w:rsid w:val="008806EA"/>
    <w:rsid w:val="008809A1"/>
    <w:rsid w:val="00880B2E"/>
    <w:rsid w:val="00880C31"/>
    <w:rsid w:val="00880C37"/>
    <w:rsid w:val="00880C68"/>
    <w:rsid w:val="00880D16"/>
    <w:rsid w:val="00880E70"/>
    <w:rsid w:val="00880EC4"/>
    <w:rsid w:val="00881360"/>
    <w:rsid w:val="00881361"/>
    <w:rsid w:val="00881476"/>
    <w:rsid w:val="008815BE"/>
    <w:rsid w:val="008815C8"/>
    <w:rsid w:val="0088168E"/>
    <w:rsid w:val="00881767"/>
    <w:rsid w:val="008817DE"/>
    <w:rsid w:val="008817F9"/>
    <w:rsid w:val="0088188D"/>
    <w:rsid w:val="008818DC"/>
    <w:rsid w:val="00881A37"/>
    <w:rsid w:val="00881BAF"/>
    <w:rsid w:val="00882136"/>
    <w:rsid w:val="008825C2"/>
    <w:rsid w:val="008826DE"/>
    <w:rsid w:val="008829BF"/>
    <w:rsid w:val="00882A03"/>
    <w:rsid w:val="00882AA2"/>
    <w:rsid w:val="00882BC2"/>
    <w:rsid w:val="00882C5F"/>
    <w:rsid w:val="00882CC4"/>
    <w:rsid w:val="00882D0C"/>
    <w:rsid w:val="00882E02"/>
    <w:rsid w:val="00882EDC"/>
    <w:rsid w:val="008831AD"/>
    <w:rsid w:val="00883322"/>
    <w:rsid w:val="008833A0"/>
    <w:rsid w:val="008834CB"/>
    <w:rsid w:val="008835BC"/>
    <w:rsid w:val="00883733"/>
    <w:rsid w:val="00883817"/>
    <w:rsid w:val="00883BAD"/>
    <w:rsid w:val="00883C0A"/>
    <w:rsid w:val="008840E3"/>
    <w:rsid w:val="008844AC"/>
    <w:rsid w:val="00884628"/>
    <w:rsid w:val="00884639"/>
    <w:rsid w:val="0088477E"/>
    <w:rsid w:val="008847C1"/>
    <w:rsid w:val="00884926"/>
    <w:rsid w:val="00884941"/>
    <w:rsid w:val="00884D5E"/>
    <w:rsid w:val="0088507D"/>
    <w:rsid w:val="0088512B"/>
    <w:rsid w:val="0088512F"/>
    <w:rsid w:val="00885172"/>
    <w:rsid w:val="008851A5"/>
    <w:rsid w:val="0088540A"/>
    <w:rsid w:val="00885483"/>
    <w:rsid w:val="008857FF"/>
    <w:rsid w:val="00885A02"/>
    <w:rsid w:val="00885B24"/>
    <w:rsid w:val="00885BD1"/>
    <w:rsid w:val="00886002"/>
    <w:rsid w:val="00886091"/>
    <w:rsid w:val="00886150"/>
    <w:rsid w:val="00886208"/>
    <w:rsid w:val="00886469"/>
    <w:rsid w:val="008864D4"/>
    <w:rsid w:val="0088666B"/>
    <w:rsid w:val="0088668E"/>
    <w:rsid w:val="0088676D"/>
    <w:rsid w:val="00886854"/>
    <w:rsid w:val="00886A2C"/>
    <w:rsid w:val="00886A7B"/>
    <w:rsid w:val="0088701A"/>
    <w:rsid w:val="00887277"/>
    <w:rsid w:val="00887391"/>
    <w:rsid w:val="008873BE"/>
    <w:rsid w:val="0088766E"/>
    <w:rsid w:val="00887894"/>
    <w:rsid w:val="00887920"/>
    <w:rsid w:val="00887C25"/>
    <w:rsid w:val="00887F14"/>
    <w:rsid w:val="0089008D"/>
    <w:rsid w:val="008901DC"/>
    <w:rsid w:val="00890207"/>
    <w:rsid w:val="008903BB"/>
    <w:rsid w:val="00890610"/>
    <w:rsid w:val="00890668"/>
    <w:rsid w:val="00890669"/>
    <w:rsid w:val="00890721"/>
    <w:rsid w:val="00890766"/>
    <w:rsid w:val="00890799"/>
    <w:rsid w:val="008907CF"/>
    <w:rsid w:val="00890BD5"/>
    <w:rsid w:val="00890C5B"/>
    <w:rsid w:val="00890D9E"/>
    <w:rsid w:val="00890EDC"/>
    <w:rsid w:val="00891030"/>
    <w:rsid w:val="00891064"/>
    <w:rsid w:val="008910E7"/>
    <w:rsid w:val="00891328"/>
    <w:rsid w:val="00891423"/>
    <w:rsid w:val="008915AC"/>
    <w:rsid w:val="008917A8"/>
    <w:rsid w:val="00891D06"/>
    <w:rsid w:val="00891F7C"/>
    <w:rsid w:val="00891FA4"/>
    <w:rsid w:val="00892220"/>
    <w:rsid w:val="00892426"/>
    <w:rsid w:val="0089287E"/>
    <w:rsid w:val="0089288E"/>
    <w:rsid w:val="00892948"/>
    <w:rsid w:val="00892A3C"/>
    <w:rsid w:val="00892AEA"/>
    <w:rsid w:val="00892DAC"/>
    <w:rsid w:val="00892DC7"/>
    <w:rsid w:val="00892EDF"/>
    <w:rsid w:val="00892F14"/>
    <w:rsid w:val="008931B8"/>
    <w:rsid w:val="00893228"/>
    <w:rsid w:val="0089324C"/>
    <w:rsid w:val="00893396"/>
    <w:rsid w:val="0089344D"/>
    <w:rsid w:val="0089345A"/>
    <w:rsid w:val="008936AA"/>
    <w:rsid w:val="00893703"/>
    <w:rsid w:val="00893738"/>
    <w:rsid w:val="00893A69"/>
    <w:rsid w:val="00893B1B"/>
    <w:rsid w:val="00893B52"/>
    <w:rsid w:val="00893D10"/>
    <w:rsid w:val="00894078"/>
    <w:rsid w:val="008940AA"/>
    <w:rsid w:val="008942A1"/>
    <w:rsid w:val="00894410"/>
    <w:rsid w:val="008948BA"/>
    <w:rsid w:val="00894964"/>
    <w:rsid w:val="008949A1"/>
    <w:rsid w:val="00894C19"/>
    <w:rsid w:val="00894CA0"/>
    <w:rsid w:val="008951F4"/>
    <w:rsid w:val="008952DC"/>
    <w:rsid w:val="0089540C"/>
    <w:rsid w:val="008954EF"/>
    <w:rsid w:val="00895678"/>
    <w:rsid w:val="00895839"/>
    <w:rsid w:val="00895926"/>
    <w:rsid w:val="00895A36"/>
    <w:rsid w:val="00895B32"/>
    <w:rsid w:val="00895F21"/>
    <w:rsid w:val="00895FE6"/>
    <w:rsid w:val="00896042"/>
    <w:rsid w:val="0089618A"/>
    <w:rsid w:val="008961AA"/>
    <w:rsid w:val="0089691B"/>
    <w:rsid w:val="00896B1E"/>
    <w:rsid w:val="00896BC2"/>
    <w:rsid w:val="00896C15"/>
    <w:rsid w:val="00896C84"/>
    <w:rsid w:val="00896D17"/>
    <w:rsid w:val="0089710A"/>
    <w:rsid w:val="008971C3"/>
    <w:rsid w:val="0089727A"/>
    <w:rsid w:val="00897842"/>
    <w:rsid w:val="008978E5"/>
    <w:rsid w:val="00897BC0"/>
    <w:rsid w:val="00897C5D"/>
    <w:rsid w:val="00897D42"/>
    <w:rsid w:val="00897E64"/>
    <w:rsid w:val="00897F46"/>
    <w:rsid w:val="00897FA7"/>
    <w:rsid w:val="008A0423"/>
    <w:rsid w:val="008A0506"/>
    <w:rsid w:val="008A0A2F"/>
    <w:rsid w:val="008A1332"/>
    <w:rsid w:val="008A13CA"/>
    <w:rsid w:val="008A14F0"/>
    <w:rsid w:val="008A1708"/>
    <w:rsid w:val="008A19B2"/>
    <w:rsid w:val="008A1A74"/>
    <w:rsid w:val="008A1B2D"/>
    <w:rsid w:val="008A1B9B"/>
    <w:rsid w:val="008A1BAC"/>
    <w:rsid w:val="008A1DFF"/>
    <w:rsid w:val="008A1F66"/>
    <w:rsid w:val="008A276D"/>
    <w:rsid w:val="008A2A9F"/>
    <w:rsid w:val="008A2B00"/>
    <w:rsid w:val="008A33B8"/>
    <w:rsid w:val="008A340B"/>
    <w:rsid w:val="008A3801"/>
    <w:rsid w:val="008A39ED"/>
    <w:rsid w:val="008A3ABB"/>
    <w:rsid w:val="008A3AD9"/>
    <w:rsid w:val="008A3D42"/>
    <w:rsid w:val="008A3EA6"/>
    <w:rsid w:val="008A3FCD"/>
    <w:rsid w:val="008A40CE"/>
    <w:rsid w:val="008A40DD"/>
    <w:rsid w:val="008A4407"/>
    <w:rsid w:val="008A44C3"/>
    <w:rsid w:val="008A4612"/>
    <w:rsid w:val="008A46F2"/>
    <w:rsid w:val="008A4730"/>
    <w:rsid w:val="008A4ADF"/>
    <w:rsid w:val="008A4B96"/>
    <w:rsid w:val="008A4BD6"/>
    <w:rsid w:val="008A4D08"/>
    <w:rsid w:val="008A4E51"/>
    <w:rsid w:val="008A4F11"/>
    <w:rsid w:val="008A5327"/>
    <w:rsid w:val="008A53D9"/>
    <w:rsid w:val="008A5426"/>
    <w:rsid w:val="008A56F7"/>
    <w:rsid w:val="008A57FB"/>
    <w:rsid w:val="008A5A33"/>
    <w:rsid w:val="008A5A3F"/>
    <w:rsid w:val="008A5C6E"/>
    <w:rsid w:val="008A5CBD"/>
    <w:rsid w:val="008A5D4A"/>
    <w:rsid w:val="008A624A"/>
    <w:rsid w:val="008A62CB"/>
    <w:rsid w:val="008A62E1"/>
    <w:rsid w:val="008A6898"/>
    <w:rsid w:val="008A6B0F"/>
    <w:rsid w:val="008A6CC9"/>
    <w:rsid w:val="008A6D37"/>
    <w:rsid w:val="008A6E55"/>
    <w:rsid w:val="008A6FFA"/>
    <w:rsid w:val="008A71A3"/>
    <w:rsid w:val="008A7296"/>
    <w:rsid w:val="008A72FD"/>
    <w:rsid w:val="008A74C6"/>
    <w:rsid w:val="008A74E3"/>
    <w:rsid w:val="008A77D8"/>
    <w:rsid w:val="008A7D2B"/>
    <w:rsid w:val="008A7DA1"/>
    <w:rsid w:val="008B0231"/>
    <w:rsid w:val="008B04C4"/>
    <w:rsid w:val="008B0576"/>
    <w:rsid w:val="008B07A6"/>
    <w:rsid w:val="008B0900"/>
    <w:rsid w:val="008B09FA"/>
    <w:rsid w:val="008B0AB5"/>
    <w:rsid w:val="008B0B10"/>
    <w:rsid w:val="008B0D24"/>
    <w:rsid w:val="008B0E37"/>
    <w:rsid w:val="008B0EEA"/>
    <w:rsid w:val="008B0F9A"/>
    <w:rsid w:val="008B0FA0"/>
    <w:rsid w:val="008B10AA"/>
    <w:rsid w:val="008B10F6"/>
    <w:rsid w:val="008B14E4"/>
    <w:rsid w:val="008B158E"/>
    <w:rsid w:val="008B159D"/>
    <w:rsid w:val="008B17BD"/>
    <w:rsid w:val="008B1825"/>
    <w:rsid w:val="008B1926"/>
    <w:rsid w:val="008B1BC0"/>
    <w:rsid w:val="008B1D6D"/>
    <w:rsid w:val="008B2233"/>
    <w:rsid w:val="008B2345"/>
    <w:rsid w:val="008B23F0"/>
    <w:rsid w:val="008B266C"/>
    <w:rsid w:val="008B26C1"/>
    <w:rsid w:val="008B270A"/>
    <w:rsid w:val="008B28C1"/>
    <w:rsid w:val="008B29D8"/>
    <w:rsid w:val="008B2A50"/>
    <w:rsid w:val="008B2C37"/>
    <w:rsid w:val="008B2D44"/>
    <w:rsid w:val="008B339F"/>
    <w:rsid w:val="008B348D"/>
    <w:rsid w:val="008B34AF"/>
    <w:rsid w:val="008B3561"/>
    <w:rsid w:val="008B36B0"/>
    <w:rsid w:val="008B38C1"/>
    <w:rsid w:val="008B3B30"/>
    <w:rsid w:val="008B3CF9"/>
    <w:rsid w:val="008B3D78"/>
    <w:rsid w:val="008B4095"/>
    <w:rsid w:val="008B421A"/>
    <w:rsid w:val="008B4240"/>
    <w:rsid w:val="008B428B"/>
    <w:rsid w:val="008B4483"/>
    <w:rsid w:val="008B4513"/>
    <w:rsid w:val="008B4878"/>
    <w:rsid w:val="008B4A09"/>
    <w:rsid w:val="008B4A47"/>
    <w:rsid w:val="008B4B3F"/>
    <w:rsid w:val="008B5047"/>
    <w:rsid w:val="008B5170"/>
    <w:rsid w:val="008B5195"/>
    <w:rsid w:val="008B533F"/>
    <w:rsid w:val="008B534A"/>
    <w:rsid w:val="008B545B"/>
    <w:rsid w:val="008B55DE"/>
    <w:rsid w:val="008B5724"/>
    <w:rsid w:val="008B5776"/>
    <w:rsid w:val="008B57AA"/>
    <w:rsid w:val="008B57E7"/>
    <w:rsid w:val="008B5817"/>
    <w:rsid w:val="008B5B62"/>
    <w:rsid w:val="008B5D9B"/>
    <w:rsid w:val="008B5FD0"/>
    <w:rsid w:val="008B5FE5"/>
    <w:rsid w:val="008B6204"/>
    <w:rsid w:val="008B62E6"/>
    <w:rsid w:val="008B644E"/>
    <w:rsid w:val="008B6589"/>
    <w:rsid w:val="008B6765"/>
    <w:rsid w:val="008B67E3"/>
    <w:rsid w:val="008B67FC"/>
    <w:rsid w:val="008B6827"/>
    <w:rsid w:val="008B6835"/>
    <w:rsid w:val="008B690D"/>
    <w:rsid w:val="008B69B4"/>
    <w:rsid w:val="008B6CC5"/>
    <w:rsid w:val="008B6DB7"/>
    <w:rsid w:val="008B7085"/>
    <w:rsid w:val="008B7163"/>
    <w:rsid w:val="008B73CE"/>
    <w:rsid w:val="008B7458"/>
    <w:rsid w:val="008B7830"/>
    <w:rsid w:val="008B7A6B"/>
    <w:rsid w:val="008B7E80"/>
    <w:rsid w:val="008B7E98"/>
    <w:rsid w:val="008B7FC8"/>
    <w:rsid w:val="008C03EA"/>
    <w:rsid w:val="008C08A4"/>
    <w:rsid w:val="008C0B7D"/>
    <w:rsid w:val="008C0C87"/>
    <w:rsid w:val="008C0E14"/>
    <w:rsid w:val="008C0E53"/>
    <w:rsid w:val="008C0F3A"/>
    <w:rsid w:val="008C0F5C"/>
    <w:rsid w:val="008C1184"/>
    <w:rsid w:val="008C11BD"/>
    <w:rsid w:val="008C12B4"/>
    <w:rsid w:val="008C13E3"/>
    <w:rsid w:val="008C141B"/>
    <w:rsid w:val="008C148F"/>
    <w:rsid w:val="008C1666"/>
    <w:rsid w:val="008C1667"/>
    <w:rsid w:val="008C18DA"/>
    <w:rsid w:val="008C190B"/>
    <w:rsid w:val="008C196C"/>
    <w:rsid w:val="008C19D5"/>
    <w:rsid w:val="008C1BC8"/>
    <w:rsid w:val="008C1C35"/>
    <w:rsid w:val="008C1D77"/>
    <w:rsid w:val="008C1E13"/>
    <w:rsid w:val="008C2525"/>
    <w:rsid w:val="008C2891"/>
    <w:rsid w:val="008C291C"/>
    <w:rsid w:val="008C2932"/>
    <w:rsid w:val="008C2A12"/>
    <w:rsid w:val="008C2B4D"/>
    <w:rsid w:val="008C2C2F"/>
    <w:rsid w:val="008C2F95"/>
    <w:rsid w:val="008C2FC2"/>
    <w:rsid w:val="008C2FC3"/>
    <w:rsid w:val="008C2FFB"/>
    <w:rsid w:val="008C310B"/>
    <w:rsid w:val="008C3148"/>
    <w:rsid w:val="008C324D"/>
    <w:rsid w:val="008C3373"/>
    <w:rsid w:val="008C341E"/>
    <w:rsid w:val="008C345B"/>
    <w:rsid w:val="008C377F"/>
    <w:rsid w:val="008C3BEB"/>
    <w:rsid w:val="008C3C94"/>
    <w:rsid w:val="008C3DBE"/>
    <w:rsid w:val="008C4019"/>
    <w:rsid w:val="008C4214"/>
    <w:rsid w:val="008C42E6"/>
    <w:rsid w:val="008C4638"/>
    <w:rsid w:val="008C465D"/>
    <w:rsid w:val="008C4718"/>
    <w:rsid w:val="008C477A"/>
    <w:rsid w:val="008C49F4"/>
    <w:rsid w:val="008C4A69"/>
    <w:rsid w:val="008C4B1E"/>
    <w:rsid w:val="008C4B22"/>
    <w:rsid w:val="008C4B5F"/>
    <w:rsid w:val="008C4C05"/>
    <w:rsid w:val="008C4DD1"/>
    <w:rsid w:val="008C4F1A"/>
    <w:rsid w:val="008C4FAB"/>
    <w:rsid w:val="008C5113"/>
    <w:rsid w:val="008C55FD"/>
    <w:rsid w:val="008C5830"/>
    <w:rsid w:val="008C5918"/>
    <w:rsid w:val="008C5C4A"/>
    <w:rsid w:val="008C5C99"/>
    <w:rsid w:val="008C5CC7"/>
    <w:rsid w:val="008C5D1B"/>
    <w:rsid w:val="008C5D33"/>
    <w:rsid w:val="008C5D6D"/>
    <w:rsid w:val="008C5E34"/>
    <w:rsid w:val="008C5EC0"/>
    <w:rsid w:val="008C5F45"/>
    <w:rsid w:val="008C5FF1"/>
    <w:rsid w:val="008C61EB"/>
    <w:rsid w:val="008C6261"/>
    <w:rsid w:val="008C6735"/>
    <w:rsid w:val="008C69E6"/>
    <w:rsid w:val="008C6AD8"/>
    <w:rsid w:val="008C6DC2"/>
    <w:rsid w:val="008C7060"/>
    <w:rsid w:val="008C719B"/>
    <w:rsid w:val="008C728F"/>
    <w:rsid w:val="008C7421"/>
    <w:rsid w:val="008C75DE"/>
    <w:rsid w:val="008C76F0"/>
    <w:rsid w:val="008C7868"/>
    <w:rsid w:val="008C78A2"/>
    <w:rsid w:val="008C7908"/>
    <w:rsid w:val="008C7E69"/>
    <w:rsid w:val="008C7E8E"/>
    <w:rsid w:val="008C7EDE"/>
    <w:rsid w:val="008C7F63"/>
    <w:rsid w:val="008C7F71"/>
    <w:rsid w:val="008C7FAA"/>
    <w:rsid w:val="008D0024"/>
    <w:rsid w:val="008D00D1"/>
    <w:rsid w:val="008D0133"/>
    <w:rsid w:val="008D0252"/>
    <w:rsid w:val="008D03BE"/>
    <w:rsid w:val="008D071B"/>
    <w:rsid w:val="008D093E"/>
    <w:rsid w:val="008D0AF5"/>
    <w:rsid w:val="008D0FA3"/>
    <w:rsid w:val="008D1044"/>
    <w:rsid w:val="008D10D1"/>
    <w:rsid w:val="008D11AC"/>
    <w:rsid w:val="008D13D9"/>
    <w:rsid w:val="008D1401"/>
    <w:rsid w:val="008D14DF"/>
    <w:rsid w:val="008D16CF"/>
    <w:rsid w:val="008D174F"/>
    <w:rsid w:val="008D1766"/>
    <w:rsid w:val="008D17DC"/>
    <w:rsid w:val="008D1961"/>
    <w:rsid w:val="008D1B2A"/>
    <w:rsid w:val="008D1B50"/>
    <w:rsid w:val="008D1F9C"/>
    <w:rsid w:val="008D2179"/>
    <w:rsid w:val="008D230A"/>
    <w:rsid w:val="008D2322"/>
    <w:rsid w:val="008D2652"/>
    <w:rsid w:val="008D26DA"/>
    <w:rsid w:val="008D277C"/>
    <w:rsid w:val="008D2782"/>
    <w:rsid w:val="008D2951"/>
    <w:rsid w:val="008D2998"/>
    <w:rsid w:val="008D2AE6"/>
    <w:rsid w:val="008D2BAC"/>
    <w:rsid w:val="008D2BD5"/>
    <w:rsid w:val="008D2D01"/>
    <w:rsid w:val="008D2D82"/>
    <w:rsid w:val="008D2F11"/>
    <w:rsid w:val="008D3070"/>
    <w:rsid w:val="008D30FF"/>
    <w:rsid w:val="008D3109"/>
    <w:rsid w:val="008D339F"/>
    <w:rsid w:val="008D33A2"/>
    <w:rsid w:val="008D33E3"/>
    <w:rsid w:val="008D36F3"/>
    <w:rsid w:val="008D384C"/>
    <w:rsid w:val="008D3859"/>
    <w:rsid w:val="008D3ABA"/>
    <w:rsid w:val="008D3DAA"/>
    <w:rsid w:val="008D3E22"/>
    <w:rsid w:val="008D3F58"/>
    <w:rsid w:val="008D4360"/>
    <w:rsid w:val="008D43B4"/>
    <w:rsid w:val="008D496D"/>
    <w:rsid w:val="008D4AE9"/>
    <w:rsid w:val="008D4C4C"/>
    <w:rsid w:val="008D4C6A"/>
    <w:rsid w:val="008D5068"/>
    <w:rsid w:val="008D50D2"/>
    <w:rsid w:val="008D5279"/>
    <w:rsid w:val="008D5987"/>
    <w:rsid w:val="008D5B5F"/>
    <w:rsid w:val="008D6072"/>
    <w:rsid w:val="008D6230"/>
    <w:rsid w:val="008D65A1"/>
    <w:rsid w:val="008D65FD"/>
    <w:rsid w:val="008D676F"/>
    <w:rsid w:val="008D67A6"/>
    <w:rsid w:val="008D68D6"/>
    <w:rsid w:val="008D6A61"/>
    <w:rsid w:val="008D6E14"/>
    <w:rsid w:val="008D6EA5"/>
    <w:rsid w:val="008D7022"/>
    <w:rsid w:val="008D73FF"/>
    <w:rsid w:val="008D742A"/>
    <w:rsid w:val="008D7633"/>
    <w:rsid w:val="008D76CC"/>
    <w:rsid w:val="008D7884"/>
    <w:rsid w:val="008D7B36"/>
    <w:rsid w:val="008D7FAF"/>
    <w:rsid w:val="008E00DA"/>
    <w:rsid w:val="008E01DC"/>
    <w:rsid w:val="008E04A4"/>
    <w:rsid w:val="008E04ED"/>
    <w:rsid w:val="008E0538"/>
    <w:rsid w:val="008E0692"/>
    <w:rsid w:val="008E06B3"/>
    <w:rsid w:val="008E07F4"/>
    <w:rsid w:val="008E0826"/>
    <w:rsid w:val="008E0956"/>
    <w:rsid w:val="008E099F"/>
    <w:rsid w:val="008E0A2C"/>
    <w:rsid w:val="008E0A91"/>
    <w:rsid w:val="008E0CD6"/>
    <w:rsid w:val="008E0DF5"/>
    <w:rsid w:val="008E0FAF"/>
    <w:rsid w:val="008E103A"/>
    <w:rsid w:val="008E121E"/>
    <w:rsid w:val="008E16EB"/>
    <w:rsid w:val="008E18EE"/>
    <w:rsid w:val="008E1DC2"/>
    <w:rsid w:val="008E1E68"/>
    <w:rsid w:val="008E1F70"/>
    <w:rsid w:val="008E1FD8"/>
    <w:rsid w:val="008E2016"/>
    <w:rsid w:val="008E2139"/>
    <w:rsid w:val="008E2188"/>
    <w:rsid w:val="008E276D"/>
    <w:rsid w:val="008E2B4A"/>
    <w:rsid w:val="008E2B5A"/>
    <w:rsid w:val="008E2BA3"/>
    <w:rsid w:val="008E2CDF"/>
    <w:rsid w:val="008E361D"/>
    <w:rsid w:val="008E3AFC"/>
    <w:rsid w:val="008E3B3C"/>
    <w:rsid w:val="008E3B9F"/>
    <w:rsid w:val="008E3DA1"/>
    <w:rsid w:val="008E3EF6"/>
    <w:rsid w:val="008E4083"/>
    <w:rsid w:val="008E4126"/>
    <w:rsid w:val="008E425F"/>
    <w:rsid w:val="008E45A0"/>
    <w:rsid w:val="008E45D7"/>
    <w:rsid w:val="008E4A56"/>
    <w:rsid w:val="008E4B34"/>
    <w:rsid w:val="008E4C0E"/>
    <w:rsid w:val="008E577E"/>
    <w:rsid w:val="008E5A88"/>
    <w:rsid w:val="008E5A9C"/>
    <w:rsid w:val="008E6143"/>
    <w:rsid w:val="008E616F"/>
    <w:rsid w:val="008E6292"/>
    <w:rsid w:val="008E62B1"/>
    <w:rsid w:val="008E647A"/>
    <w:rsid w:val="008E661F"/>
    <w:rsid w:val="008E6621"/>
    <w:rsid w:val="008E66C5"/>
    <w:rsid w:val="008E67F3"/>
    <w:rsid w:val="008E6A28"/>
    <w:rsid w:val="008E6B0E"/>
    <w:rsid w:val="008E6B23"/>
    <w:rsid w:val="008E6E54"/>
    <w:rsid w:val="008E6F06"/>
    <w:rsid w:val="008E73CE"/>
    <w:rsid w:val="008E754E"/>
    <w:rsid w:val="008E75A1"/>
    <w:rsid w:val="008E7750"/>
    <w:rsid w:val="008E776F"/>
    <w:rsid w:val="008E7918"/>
    <w:rsid w:val="008E7937"/>
    <w:rsid w:val="008E7B93"/>
    <w:rsid w:val="008E7EF7"/>
    <w:rsid w:val="008E7F22"/>
    <w:rsid w:val="008F008E"/>
    <w:rsid w:val="008F0120"/>
    <w:rsid w:val="008F0194"/>
    <w:rsid w:val="008F0408"/>
    <w:rsid w:val="008F0594"/>
    <w:rsid w:val="008F05A4"/>
    <w:rsid w:val="008F05B7"/>
    <w:rsid w:val="008F0E1A"/>
    <w:rsid w:val="008F103B"/>
    <w:rsid w:val="008F10DC"/>
    <w:rsid w:val="008F112C"/>
    <w:rsid w:val="008F1293"/>
    <w:rsid w:val="008F12BD"/>
    <w:rsid w:val="008F12EE"/>
    <w:rsid w:val="008F13B3"/>
    <w:rsid w:val="008F144C"/>
    <w:rsid w:val="008F18A9"/>
    <w:rsid w:val="008F1A32"/>
    <w:rsid w:val="008F1AA8"/>
    <w:rsid w:val="008F1C1B"/>
    <w:rsid w:val="008F1DAA"/>
    <w:rsid w:val="008F1EF0"/>
    <w:rsid w:val="008F1F73"/>
    <w:rsid w:val="008F1F86"/>
    <w:rsid w:val="008F1FEF"/>
    <w:rsid w:val="008F2166"/>
    <w:rsid w:val="008F2277"/>
    <w:rsid w:val="008F2390"/>
    <w:rsid w:val="008F23D5"/>
    <w:rsid w:val="008F23EB"/>
    <w:rsid w:val="008F25E1"/>
    <w:rsid w:val="008F299A"/>
    <w:rsid w:val="008F2A90"/>
    <w:rsid w:val="008F2F68"/>
    <w:rsid w:val="008F30E4"/>
    <w:rsid w:val="008F3160"/>
    <w:rsid w:val="008F32DF"/>
    <w:rsid w:val="008F347B"/>
    <w:rsid w:val="008F34C2"/>
    <w:rsid w:val="008F35D1"/>
    <w:rsid w:val="008F3676"/>
    <w:rsid w:val="008F395C"/>
    <w:rsid w:val="008F39EF"/>
    <w:rsid w:val="008F3AA2"/>
    <w:rsid w:val="008F3B2C"/>
    <w:rsid w:val="008F3C6D"/>
    <w:rsid w:val="008F411F"/>
    <w:rsid w:val="008F4471"/>
    <w:rsid w:val="008F4584"/>
    <w:rsid w:val="008F48BD"/>
    <w:rsid w:val="008F4A96"/>
    <w:rsid w:val="008F4B4B"/>
    <w:rsid w:val="008F4BE8"/>
    <w:rsid w:val="008F4BFD"/>
    <w:rsid w:val="008F4FC0"/>
    <w:rsid w:val="008F50E7"/>
    <w:rsid w:val="008F52C5"/>
    <w:rsid w:val="008F534B"/>
    <w:rsid w:val="008F54E3"/>
    <w:rsid w:val="008F599D"/>
    <w:rsid w:val="008F5B9D"/>
    <w:rsid w:val="008F5CE1"/>
    <w:rsid w:val="008F5D7C"/>
    <w:rsid w:val="008F5D90"/>
    <w:rsid w:val="008F5DEC"/>
    <w:rsid w:val="008F5FC9"/>
    <w:rsid w:val="008F602B"/>
    <w:rsid w:val="008F60BD"/>
    <w:rsid w:val="008F62FC"/>
    <w:rsid w:val="008F63E9"/>
    <w:rsid w:val="008F6417"/>
    <w:rsid w:val="008F652F"/>
    <w:rsid w:val="008F6817"/>
    <w:rsid w:val="008F7248"/>
    <w:rsid w:val="008F740B"/>
    <w:rsid w:val="008F74A2"/>
    <w:rsid w:val="008F7685"/>
    <w:rsid w:val="008F77F3"/>
    <w:rsid w:val="008F7859"/>
    <w:rsid w:val="008F7877"/>
    <w:rsid w:val="008F7E37"/>
    <w:rsid w:val="008F7F51"/>
    <w:rsid w:val="008F7F9E"/>
    <w:rsid w:val="008F7FA1"/>
    <w:rsid w:val="0090001A"/>
    <w:rsid w:val="0090004E"/>
    <w:rsid w:val="0090037F"/>
    <w:rsid w:val="009003DB"/>
    <w:rsid w:val="00900438"/>
    <w:rsid w:val="0090050D"/>
    <w:rsid w:val="0090058C"/>
    <w:rsid w:val="009008A7"/>
    <w:rsid w:val="009008F6"/>
    <w:rsid w:val="00900DEC"/>
    <w:rsid w:val="00900E2E"/>
    <w:rsid w:val="00900ECC"/>
    <w:rsid w:val="00901094"/>
    <w:rsid w:val="00901104"/>
    <w:rsid w:val="00901216"/>
    <w:rsid w:val="00901571"/>
    <w:rsid w:val="00901A7F"/>
    <w:rsid w:val="00901B15"/>
    <w:rsid w:val="00901B98"/>
    <w:rsid w:val="00901BA7"/>
    <w:rsid w:val="00901C44"/>
    <w:rsid w:val="00901C63"/>
    <w:rsid w:val="0090207D"/>
    <w:rsid w:val="009020ED"/>
    <w:rsid w:val="0090215D"/>
    <w:rsid w:val="0090224F"/>
    <w:rsid w:val="00902284"/>
    <w:rsid w:val="009022D7"/>
    <w:rsid w:val="009023DE"/>
    <w:rsid w:val="00902406"/>
    <w:rsid w:val="00902695"/>
    <w:rsid w:val="0090295D"/>
    <w:rsid w:val="00902B0F"/>
    <w:rsid w:val="00902B31"/>
    <w:rsid w:val="00902B40"/>
    <w:rsid w:val="00902C50"/>
    <w:rsid w:val="00902D61"/>
    <w:rsid w:val="00902F44"/>
    <w:rsid w:val="00902F5C"/>
    <w:rsid w:val="009032D3"/>
    <w:rsid w:val="009033AE"/>
    <w:rsid w:val="00903569"/>
    <w:rsid w:val="0090360E"/>
    <w:rsid w:val="00903666"/>
    <w:rsid w:val="009037A2"/>
    <w:rsid w:val="009037C2"/>
    <w:rsid w:val="00903893"/>
    <w:rsid w:val="009038E2"/>
    <w:rsid w:val="0090398A"/>
    <w:rsid w:val="009039CE"/>
    <w:rsid w:val="00903A68"/>
    <w:rsid w:val="00903BA1"/>
    <w:rsid w:val="00904024"/>
    <w:rsid w:val="009040CE"/>
    <w:rsid w:val="00904128"/>
    <w:rsid w:val="009041CB"/>
    <w:rsid w:val="00904382"/>
    <w:rsid w:val="00904A7E"/>
    <w:rsid w:val="00904BAE"/>
    <w:rsid w:val="00904DAC"/>
    <w:rsid w:val="00904DDC"/>
    <w:rsid w:val="00904E33"/>
    <w:rsid w:val="00904F7F"/>
    <w:rsid w:val="00904FF9"/>
    <w:rsid w:val="0090508F"/>
    <w:rsid w:val="009050B0"/>
    <w:rsid w:val="00905173"/>
    <w:rsid w:val="00905602"/>
    <w:rsid w:val="009056E6"/>
    <w:rsid w:val="00905713"/>
    <w:rsid w:val="0090579D"/>
    <w:rsid w:val="009059CB"/>
    <w:rsid w:val="00905A79"/>
    <w:rsid w:val="00905D75"/>
    <w:rsid w:val="00905E1C"/>
    <w:rsid w:val="0090600E"/>
    <w:rsid w:val="0090635D"/>
    <w:rsid w:val="00906622"/>
    <w:rsid w:val="00906B9B"/>
    <w:rsid w:val="00906BA2"/>
    <w:rsid w:val="00906CE5"/>
    <w:rsid w:val="00906D93"/>
    <w:rsid w:val="00906E61"/>
    <w:rsid w:val="00907317"/>
    <w:rsid w:val="00907695"/>
    <w:rsid w:val="009076E2"/>
    <w:rsid w:val="00907991"/>
    <w:rsid w:val="00907A0E"/>
    <w:rsid w:val="00907E99"/>
    <w:rsid w:val="00907F10"/>
    <w:rsid w:val="00907F1F"/>
    <w:rsid w:val="0091012F"/>
    <w:rsid w:val="00910313"/>
    <w:rsid w:val="00910338"/>
    <w:rsid w:val="009106D4"/>
    <w:rsid w:val="00910803"/>
    <w:rsid w:val="0091097D"/>
    <w:rsid w:val="00910CCF"/>
    <w:rsid w:val="00910D11"/>
    <w:rsid w:val="00910DA0"/>
    <w:rsid w:val="0091145E"/>
    <w:rsid w:val="009115DB"/>
    <w:rsid w:val="0091166F"/>
    <w:rsid w:val="009117B5"/>
    <w:rsid w:val="00911837"/>
    <w:rsid w:val="00911C07"/>
    <w:rsid w:val="00911C0A"/>
    <w:rsid w:val="00911DD4"/>
    <w:rsid w:val="00911E46"/>
    <w:rsid w:val="00911FFC"/>
    <w:rsid w:val="0091204C"/>
    <w:rsid w:val="009120A3"/>
    <w:rsid w:val="009120FF"/>
    <w:rsid w:val="0091216B"/>
    <w:rsid w:val="00912213"/>
    <w:rsid w:val="00912315"/>
    <w:rsid w:val="00912359"/>
    <w:rsid w:val="00912387"/>
    <w:rsid w:val="009123FA"/>
    <w:rsid w:val="00912706"/>
    <w:rsid w:val="0091277D"/>
    <w:rsid w:val="00912980"/>
    <w:rsid w:val="00912B1D"/>
    <w:rsid w:val="00912BF2"/>
    <w:rsid w:val="00912E8A"/>
    <w:rsid w:val="00913183"/>
    <w:rsid w:val="0091322C"/>
    <w:rsid w:val="009134D3"/>
    <w:rsid w:val="009135F7"/>
    <w:rsid w:val="009135FE"/>
    <w:rsid w:val="00913607"/>
    <w:rsid w:val="009137AB"/>
    <w:rsid w:val="0091394D"/>
    <w:rsid w:val="00913B64"/>
    <w:rsid w:val="00913D09"/>
    <w:rsid w:val="00914124"/>
    <w:rsid w:val="0091412A"/>
    <w:rsid w:val="0091413F"/>
    <w:rsid w:val="00914193"/>
    <w:rsid w:val="009141D3"/>
    <w:rsid w:val="00914208"/>
    <w:rsid w:val="009143C4"/>
    <w:rsid w:val="0091453B"/>
    <w:rsid w:val="0091454F"/>
    <w:rsid w:val="00914891"/>
    <w:rsid w:val="00914967"/>
    <w:rsid w:val="00914FBA"/>
    <w:rsid w:val="00915039"/>
    <w:rsid w:val="009151F9"/>
    <w:rsid w:val="009153ED"/>
    <w:rsid w:val="009156CA"/>
    <w:rsid w:val="00915792"/>
    <w:rsid w:val="0091608F"/>
    <w:rsid w:val="00916694"/>
    <w:rsid w:val="00916732"/>
    <w:rsid w:val="00916808"/>
    <w:rsid w:val="00916902"/>
    <w:rsid w:val="009169ED"/>
    <w:rsid w:val="00916E24"/>
    <w:rsid w:val="00916E8B"/>
    <w:rsid w:val="00916EFA"/>
    <w:rsid w:val="00916FA5"/>
    <w:rsid w:val="0091722B"/>
    <w:rsid w:val="00917E28"/>
    <w:rsid w:val="0092009C"/>
    <w:rsid w:val="00920379"/>
    <w:rsid w:val="009203C5"/>
    <w:rsid w:val="00920449"/>
    <w:rsid w:val="00920708"/>
    <w:rsid w:val="00920720"/>
    <w:rsid w:val="00920749"/>
    <w:rsid w:val="009207B5"/>
    <w:rsid w:val="00920978"/>
    <w:rsid w:val="00920A1F"/>
    <w:rsid w:val="00920A5B"/>
    <w:rsid w:val="00920C96"/>
    <w:rsid w:val="00920E2A"/>
    <w:rsid w:val="00920FC4"/>
    <w:rsid w:val="00921073"/>
    <w:rsid w:val="00921421"/>
    <w:rsid w:val="009215BF"/>
    <w:rsid w:val="00921781"/>
    <w:rsid w:val="00921BB7"/>
    <w:rsid w:val="00921C4A"/>
    <w:rsid w:val="00921D3B"/>
    <w:rsid w:val="00921D7F"/>
    <w:rsid w:val="00921F57"/>
    <w:rsid w:val="00921FE9"/>
    <w:rsid w:val="0092203D"/>
    <w:rsid w:val="00922187"/>
    <w:rsid w:val="009221C2"/>
    <w:rsid w:val="0092226E"/>
    <w:rsid w:val="00922280"/>
    <w:rsid w:val="0092242A"/>
    <w:rsid w:val="00922639"/>
    <w:rsid w:val="00922872"/>
    <w:rsid w:val="009229DA"/>
    <w:rsid w:val="00922A65"/>
    <w:rsid w:val="00922A77"/>
    <w:rsid w:val="00922B3E"/>
    <w:rsid w:val="00922DA2"/>
    <w:rsid w:val="00922DB8"/>
    <w:rsid w:val="00922FE8"/>
    <w:rsid w:val="00923075"/>
    <w:rsid w:val="009233F6"/>
    <w:rsid w:val="00923845"/>
    <w:rsid w:val="00923A0F"/>
    <w:rsid w:val="00923C80"/>
    <w:rsid w:val="00923EF1"/>
    <w:rsid w:val="00923F5B"/>
    <w:rsid w:val="009240F4"/>
    <w:rsid w:val="00924214"/>
    <w:rsid w:val="00924222"/>
    <w:rsid w:val="009242F9"/>
    <w:rsid w:val="0092447F"/>
    <w:rsid w:val="0092459D"/>
    <w:rsid w:val="00924703"/>
    <w:rsid w:val="00924822"/>
    <w:rsid w:val="0092493B"/>
    <w:rsid w:val="00924AEC"/>
    <w:rsid w:val="00924DBD"/>
    <w:rsid w:val="00924E63"/>
    <w:rsid w:val="009250E6"/>
    <w:rsid w:val="009252D5"/>
    <w:rsid w:val="0092576F"/>
    <w:rsid w:val="009257F5"/>
    <w:rsid w:val="00925AA5"/>
    <w:rsid w:val="00925AEE"/>
    <w:rsid w:val="00925B20"/>
    <w:rsid w:val="00925B8A"/>
    <w:rsid w:val="00925BA2"/>
    <w:rsid w:val="00925CB4"/>
    <w:rsid w:val="00925D25"/>
    <w:rsid w:val="00925DB1"/>
    <w:rsid w:val="00925EB5"/>
    <w:rsid w:val="00925EE9"/>
    <w:rsid w:val="0092602C"/>
    <w:rsid w:val="00926031"/>
    <w:rsid w:val="0092620D"/>
    <w:rsid w:val="00926216"/>
    <w:rsid w:val="0092637D"/>
    <w:rsid w:val="009265BF"/>
    <w:rsid w:val="0092660F"/>
    <w:rsid w:val="00926CF9"/>
    <w:rsid w:val="00926EB3"/>
    <w:rsid w:val="00926F65"/>
    <w:rsid w:val="009270A2"/>
    <w:rsid w:val="00927159"/>
    <w:rsid w:val="00927317"/>
    <w:rsid w:val="0092741D"/>
    <w:rsid w:val="00927532"/>
    <w:rsid w:val="0092755F"/>
    <w:rsid w:val="00927589"/>
    <w:rsid w:val="00927627"/>
    <w:rsid w:val="00927704"/>
    <w:rsid w:val="009277E5"/>
    <w:rsid w:val="009278C9"/>
    <w:rsid w:val="0092791B"/>
    <w:rsid w:val="00927B6A"/>
    <w:rsid w:val="00927C26"/>
    <w:rsid w:val="00927CF3"/>
    <w:rsid w:val="00927D13"/>
    <w:rsid w:val="00927E8E"/>
    <w:rsid w:val="00927FC3"/>
    <w:rsid w:val="00930017"/>
    <w:rsid w:val="009301AA"/>
    <w:rsid w:val="009308A8"/>
    <w:rsid w:val="00930978"/>
    <w:rsid w:val="00930A51"/>
    <w:rsid w:val="00930A97"/>
    <w:rsid w:val="00930ADB"/>
    <w:rsid w:val="00930C7A"/>
    <w:rsid w:val="00931145"/>
    <w:rsid w:val="00931153"/>
    <w:rsid w:val="00931526"/>
    <w:rsid w:val="009317EB"/>
    <w:rsid w:val="00931B23"/>
    <w:rsid w:val="00932083"/>
    <w:rsid w:val="009320BA"/>
    <w:rsid w:val="009320CE"/>
    <w:rsid w:val="009320ED"/>
    <w:rsid w:val="00932217"/>
    <w:rsid w:val="0093237A"/>
    <w:rsid w:val="00932705"/>
    <w:rsid w:val="009327F0"/>
    <w:rsid w:val="00932A78"/>
    <w:rsid w:val="00932B26"/>
    <w:rsid w:val="00932BDA"/>
    <w:rsid w:val="00932BEF"/>
    <w:rsid w:val="00932D82"/>
    <w:rsid w:val="00932DC2"/>
    <w:rsid w:val="00932F06"/>
    <w:rsid w:val="00932F7F"/>
    <w:rsid w:val="009330B7"/>
    <w:rsid w:val="009330FD"/>
    <w:rsid w:val="00933213"/>
    <w:rsid w:val="0093321B"/>
    <w:rsid w:val="00933409"/>
    <w:rsid w:val="00933846"/>
    <w:rsid w:val="009338B5"/>
    <w:rsid w:val="00933951"/>
    <w:rsid w:val="009339CD"/>
    <w:rsid w:val="00933A6E"/>
    <w:rsid w:val="00933ED0"/>
    <w:rsid w:val="00933FBF"/>
    <w:rsid w:val="009341B7"/>
    <w:rsid w:val="00934217"/>
    <w:rsid w:val="0093431E"/>
    <w:rsid w:val="009344C8"/>
    <w:rsid w:val="00934623"/>
    <w:rsid w:val="00934685"/>
    <w:rsid w:val="00934745"/>
    <w:rsid w:val="00934868"/>
    <w:rsid w:val="0093486B"/>
    <w:rsid w:val="00934C07"/>
    <w:rsid w:val="00934D54"/>
    <w:rsid w:val="00934D73"/>
    <w:rsid w:val="00935335"/>
    <w:rsid w:val="0093540D"/>
    <w:rsid w:val="00935463"/>
    <w:rsid w:val="009354C0"/>
    <w:rsid w:val="009359D0"/>
    <w:rsid w:val="009359E1"/>
    <w:rsid w:val="00935AD2"/>
    <w:rsid w:val="00936065"/>
    <w:rsid w:val="009361D3"/>
    <w:rsid w:val="0093641C"/>
    <w:rsid w:val="00936661"/>
    <w:rsid w:val="0093686B"/>
    <w:rsid w:val="00936D27"/>
    <w:rsid w:val="00936E2D"/>
    <w:rsid w:val="00936FCF"/>
    <w:rsid w:val="009372CF"/>
    <w:rsid w:val="00937460"/>
    <w:rsid w:val="00937490"/>
    <w:rsid w:val="00937A79"/>
    <w:rsid w:val="00937AF5"/>
    <w:rsid w:val="00937BE4"/>
    <w:rsid w:val="00937BF4"/>
    <w:rsid w:val="00937CB6"/>
    <w:rsid w:val="00937EFF"/>
    <w:rsid w:val="00940031"/>
    <w:rsid w:val="00940199"/>
    <w:rsid w:val="0094019D"/>
    <w:rsid w:val="00940208"/>
    <w:rsid w:val="009402B6"/>
    <w:rsid w:val="009404B5"/>
    <w:rsid w:val="009404D1"/>
    <w:rsid w:val="00940502"/>
    <w:rsid w:val="00940574"/>
    <w:rsid w:val="0094060F"/>
    <w:rsid w:val="0094083C"/>
    <w:rsid w:val="0094096C"/>
    <w:rsid w:val="009409C0"/>
    <w:rsid w:val="00940B0C"/>
    <w:rsid w:val="00940B8E"/>
    <w:rsid w:val="00940CB0"/>
    <w:rsid w:val="00940EA2"/>
    <w:rsid w:val="00940F16"/>
    <w:rsid w:val="00940F2F"/>
    <w:rsid w:val="0094109A"/>
    <w:rsid w:val="0094119E"/>
    <w:rsid w:val="00941215"/>
    <w:rsid w:val="009413BD"/>
    <w:rsid w:val="009415D2"/>
    <w:rsid w:val="00941688"/>
    <w:rsid w:val="0094189D"/>
    <w:rsid w:val="00941C2F"/>
    <w:rsid w:val="00941EA7"/>
    <w:rsid w:val="00942127"/>
    <w:rsid w:val="0094212A"/>
    <w:rsid w:val="009421B1"/>
    <w:rsid w:val="009421D4"/>
    <w:rsid w:val="009422AD"/>
    <w:rsid w:val="009422D4"/>
    <w:rsid w:val="0094230F"/>
    <w:rsid w:val="00942A0F"/>
    <w:rsid w:val="00942C11"/>
    <w:rsid w:val="00942D43"/>
    <w:rsid w:val="00942D6A"/>
    <w:rsid w:val="00942DAA"/>
    <w:rsid w:val="00943102"/>
    <w:rsid w:val="0094327A"/>
    <w:rsid w:val="009432AD"/>
    <w:rsid w:val="00943339"/>
    <w:rsid w:val="009433B5"/>
    <w:rsid w:val="00943422"/>
    <w:rsid w:val="0094351F"/>
    <w:rsid w:val="009437A6"/>
    <w:rsid w:val="00943DD5"/>
    <w:rsid w:val="00943EE0"/>
    <w:rsid w:val="00943EF6"/>
    <w:rsid w:val="00944310"/>
    <w:rsid w:val="00944367"/>
    <w:rsid w:val="00944937"/>
    <w:rsid w:val="009449F8"/>
    <w:rsid w:val="009450B0"/>
    <w:rsid w:val="0094548D"/>
    <w:rsid w:val="00945671"/>
    <w:rsid w:val="00945776"/>
    <w:rsid w:val="00945837"/>
    <w:rsid w:val="009459E2"/>
    <w:rsid w:val="00945D54"/>
    <w:rsid w:val="00945E1B"/>
    <w:rsid w:val="0094607D"/>
    <w:rsid w:val="009460FD"/>
    <w:rsid w:val="00946256"/>
    <w:rsid w:val="009462DA"/>
    <w:rsid w:val="00946315"/>
    <w:rsid w:val="009466B1"/>
    <w:rsid w:val="009469F0"/>
    <w:rsid w:val="00946AD9"/>
    <w:rsid w:val="00946B4F"/>
    <w:rsid w:val="00946C74"/>
    <w:rsid w:val="00946C96"/>
    <w:rsid w:val="00946F69"/>
    <w:rsid w:val="00946F79"/>
    <w:rsid w:val="0094729F"/>
    <w:rsid w:val="0094731C"/>
    <w:rsid w:val="00947344"/>
    <w:rsid w:val="009475AF"/>
    <w:rsid w:val="0094761E"/>
    <w:rsid w:val="009476AA"/>
    <w:rsid w:val="009477C7"/>
    <w:rsid w:val="00947AF8"/>
    <w:rsid w:val="00947CF2"/>
    <w:rsid w:val="00947DBD"/>
    <w:rsid w:val="00950019"/>
    <w:rsid w:val="009500AF"/>
    <w:rsid w:val="00950279"/>
    <w:rsid w:val="00950342"/>
    <w:rsid w:val="00950446"/>
    <w:rsid w:val="009507E8"/>
    <w:rsid w:val="009507F7"/>
    <w:rsid w:val="009509BF"/>
    <w:rsid w:val="00950A2E"/>
    <w:rsid w:val="00950B0C"/>
    <w:rsid w:val="00950C3B"/>
    <w:rsid w:val="009512A4"/>
    <w:rsid w:val="00951300"/>
    <w:rsid w:val="00951541"/>
    <w:rsid w:val="00951671"/>
    <w:rsid w:val="00951827"/>
    <w:rsid w:val="00951BB3"/>
    <w:rsid w:val="00951E1F"/>
    <w:rsid w:val="00951E84"/>
    <w:rsid w:val="009520B4"/>
    <w:rsid w:val="00952118"/>
    <w:rsid w:val="0095251A"/>
    <w:rsid w:val="00952628"/>
    <w:rsid w:val="00952659"/>
    <w:rsid w:val="00952867"/>
    <w:rsid w:val="00952A67"/>
    <w:rsid w:val="00952E15"/>
    <w:rsid w:val="00952F8D"/>
    <w:rsid w:val="009532D5"/>
    <w:rsid w:val="009532E0"/>
    <w:rsid w:val="00953398"/>
    <w:rsid w:val="0095358F"/>
    <w:rsid w:val="00953670"/>
    <w:rsid w:val="0095367A"/>
    <w:rsid w:val="009539AD"/>
    <w:rsid w:val="00953B21"/>
    <w:rsid w:val="00953D24"/>
    <w:rsid w:val="00953E7E"/>
    <w:rsid w:val="009541CF"/>
    <w:rsid w:val="009544DB"/>
    <w:rsid w:val="009545AF"/>
    <w:rsid w:val="00954618"/>
    <w:rsid w:val="009547F8"/>
    <w:rsid w:val="0095489E"/>
    <w:rsid w:val="00954C92"/>
    <w:rsid w:val="00954E92"/>
    <w:rsid w:val="00954FAF"/>
    <w:rsid w:val="00955065"/>
    <w:rsid w:val="009550EE"/>
    <w:rsid w:val="00955131"/>
    <w:rsid w:val="00955186"/>
    <w:rsid w:val="00955288"/>
    <w:rsid w:val="0095532B"/>
    <w:rsid w:val="0095538C"/>
    <w:rsid w:val="00955853"/>
    <w:rsid w:val="00955B0A"/>
    <w:rsid w:val="00955DA0"/>
    <w:rsid w:val="009560E9"/>
    <w:rsid w:val="0095640B"/>
    <w:rsid w:val="00956414"/>
    <w:rsid w:val="009565B0"/>
    <w:rsid w:val="00956616"/>
    <w:rsid w:val="0095676E"/>
    <w:rsid w:val="009567A4"/>
    <w:rsid w:val="0095693B"/>
    <w:rsid w:val="009569CF"/>
    <w:rsid w:val="00956BC1"/>
    <w:rsid w:val="00956BDB"/>
    <w:rsid w:val="00956F5A"/>
    <w:rsid w:val="00956F71"/>
    <w:rsid w:val="0095715F"/>
    <w:rsid w:val="00957256"/>
    <w:rsid w:val="009572BC"/>
    <w:rsid w:val="009574BF"/>
    <w:rsid w:val="009574DC"/>
    <w:rsid w:val="00957521"/>
    <w:rsid w:val="009579F8"/>
    <w:rsid w:val="00957C13"/>
    <w:rsid w:val="00957E56"/>
    <w:rsid w:val="009600BD"/>
    <w:rsid w:val="00960250"/>
    <w:rsid w:val="00960653"/>
    <w:rsid w:val="00960910"/>
    <w:rsid w:val="00960C69"/>
    <w:rsid w:val="00960FE7"/>
    <w:rsid w:val="0096100D"/>
    <w:rsid w:val="00961043"/>
    <w:rsid w:val="0096136E"/>
    <w:rsid w:val="009613DF"/>
    <w:rsid w:val="00961498"/>
    <w:rsid w:val="009614F9"/>
    <w:rsid w:val="0096152C"/>
    <w:rsid w:val="009615CB"/>
    <w:rsid w:val="009615E7"/>
    <w:rsid w:val="009615EA"/>
    <w:rsid w:val="0096175B"/>
    <w:rsid w:val="009618FF"/>
    <w:rsid w:val="00961B79"/>
    <w:rsid w:val="00961CE6"/>
    <w:rsid w:val="00961D3B"/>
    <w:rsid w:val="00961E4E"/>
    <w:rsid w:val="00961F03"/>
    <w:rsid w:val="00961F1B"/>
    <w:rsid w:val="0096203B"/>
    <w:rsid w:val="00962188"/>
    <w:rsid w:val="00962228"/>
    <w:rsid w:val="00962268"/>
    <w:rsid w:val="009625BD"/>
    <w:rsid w:val="00962609"/>
    <w:rsid w:val="00962771"/>
    <w:rsid w:val="00962ABE"/>
    <w:rsid w:val="00962ACF"/>
    <w:rsid w:val="00962AD1"/>
    <w:rsid w:val="00962D85"/>
    <w:rsid w:val="00962ECF"/>
    <w:rsid w:val="009633D9"/>
    <w:rsid w:val="009634FE"/>
    <w:rsid w:val="009636ED"/>
    <w:rsid w:val="00963B10"/>
    <w:rsid w:val="00963B77"/>
    <w:rsid w:val="00963DBA"/>
    <w:rsid w:val="00963E45"/>
    <w:rsid w:val="00963ED9"/>
    <w:rsid w:val="0096407D"/>
    <w:rsid w:val="009640B6"/>
    <w:rsid w:val="009641F9"/>
    <w:rsid w:val="0096444C"/>
    <w:rsid w:val="00964453"/>
    <w:rsid w:val="009645F2"/>
    <w:rsid w:val="009647E5"/>
    <w:rsid w:val="009648D9"/>
    <w:rsid w:val="00964DDB"/>
    <w:rsid w:val="00964DF9"/>
    <w:rsid w:val="0096504B"/>
    <w:rsid w:val="009655A9"/>
    <w:rsid w:val="00965604"/>
    <w:rsid w:val="00965A09"/>
    <w:rsid w:val="00965A46"/>
    <w:rsid w:val="00965D89"/>
    <w:rsid w:val="00965E5C"/>
    <w:rsid w:val="00965F8E"/>
    <w:rsid w:val="00966094"/>
    <w:rsid w:val="0096624D"/>
    <w:rsid w:val="009664C4"/>
    <w:rsid w:val="0096650D"/>
    <w:rsid w:val="009665CF"/>
    <w:rsid w:val="00966642"/>
    <w:rsid w:val="00966AEA"/>
    <w:rsid w:val="00966BAE"/>
    <w:rsid w:val="00966BE0"/>
    <w:rsid w:val="00966DA9"/>
    <w:rsid w:val="0096701C"/>
    <w:rsid w:val="009671E0"/>
    <w:rsid w:val="009671EF"/>
    <w:rsid w:val="0096724C"/>
    <w:rsid w:val="00967300"/>
    <w:rsid w:val="0096769E"/>
    <w:rsid w:val="009677AA"/>
    <w:rsid w:val="009679E7"/>
    <w:rsid w:val="00967A75"/>
    <w:rsid w:val="00967CCA"/>
    <w:rsid w:val="00967D38"/>
    <w:rsid w:val="00967E16"/>
    <w:rsid w:val="00967F18"/>
    <w:rsid w:val="00967F90"/>
    <w:rsid w:val="00970043"/>
    <w:rsid w:val="0097008E"/>
    <w:rsid w:val="0097032A"/>
    <w:rsid w:val="00970563"/>
    <w:rsid w:val="009705AA"/>
    <w:rsid w:val="00970909"/>
    <w:rsid w:val="00970990"/>
    <w:rsid w:val="00970AFE"/>
    <w:rsid w:val="00970BDD"/>
    <w:rsid w:val="00970D1C"/>
    <w:rsid w:val="00970F64"/>
    <w:rsid w:val="00970F86"/>
    <w:rsid w:val="009710BC"/>
    <w:rsid w:val="00971169"/>
    <w:rsid w:val="00971222"/>
    <w:rsid w:val="00971283"/>
    <w:rsid w:val="009713B6"/>
    <w:rsid w:val="00971574"/>
    <w:rsid w:val="00971682"/>
    <w:rsid w:val="0097175E"/>
    <w:rsid w:val="009718A2"/>
    <w:rsid w:val="00971C2A"/>
    <w:rsid w:val="00971D91"/>
    <w:rsid w:val="00971E45"/>
    <w:rsid w:val="0097234F"/>
    <w:rsid w:val="009723E1"/>
    <w:rsid w:val="009725DD"/>
    <w:rsid w:val="00972638"/>
    <w:rsid w:val="00972651"/>
    <w:rsid w:val="009726C0"/>
    <w:rsid w:val="00972898"/>
    <w:rsid w:val="009729C0"/>
    <w:rsid w:val="009729C6"/>
    <w:rsid w:val="009729D4"/>
    <w:rsid w:val="009729F0"/>
    <w:rsid w:val="00972C29"/>
    <w:rsid w:val="00972DBE"/>
    <w:rsid w:val="00972DD1"/>
    <w:rsid w:val="00973232"/>
    <w:rsid w:val="009732A2"/>
    <w:rsid w:val="0097333B"/>
    <w:rsid w:val="009733E0"/>
    <w:rsid w:val="0097344D"/>
    <w:rsid w:val="00973524"/>
    <w:rsid w:val="0097353F"/>
    <w:rsid w:val="0097355E"/>
    <w:rsid w:val="00973564"/>
    <w:rsid w:val="0097357C"/>
    <w:rsid w:val="00973613"/>
    <w:rsid w:val="0097376D"/>
    <w:rsid w:val="009739A8"/>
    <w:rsid w:val="00973B38"/>
    <w:rsid w:val="00973BE9"/>
    <w:rsid w:val="00973C67"/>
    <w:rsid w:val="00973FDF"/>
    <w:rsid w:val="009741E2"/>
    <w:rsid w:val="00974201"/>
    <w:rsid w:val="00974536"/>
    <w:rsid w:val="00974752"/>
    <w:rsid w:val="009748F6"/>
    <w:rsid w:val="00974A1B"/>
    <w:rsid w:val="00974ADA"/>
    <w:rsid w:val="00974BC2"/>
    <w:rsid w:val="00974CE7"/>
    <w:rsid w:val="00974D8B"/>
    <w:rsid w:val="00974FD9"/>
    <w:rsid w:val="00975433"/>
    <w:rsid w:val="00975452"/>
    <w:rsid w:val="00975602"/>
    <w:rsid w:val="009756E1"/>
    <w:rsid w:val="009756F7"/>
    <w:rsid w:val="0097571C"/>
    <w:rsid w:val="0097579A"/>
    <w:rsid w:val="00975B37"/>
    <w:rsid w:val="00975B60"/>
    <w:rsid w:val="00975CD5"/>
    <w:rsid w:val="00975E97"/>
    <w:rsid w:val="00975F2A"/>
    <w:rsid w:val="00975F45"/>
    <w:rsid w:val="0097602F"/>
    <w:rsid w:val="009762B6"/>
    <w:rsid w:val="009763B1"/>
    <w:rsid w:val="009763D7"/>
    <w:rsid w:val="00976404"/>
    <w:rsid w:val="00976698"/>
    <w:rsid w:val="00976885"/>
    <w:rsid w:val="00976A46"/>
    <w:rsid w:val="00976DDB"/>
    <w:rsid w:val="00976E96"/>
    <w:rsid w:val="0097708F"/>
    <w:rsid w:val="00977174"/>
    <w:rsid w:val="0097727C"/>
    <w:rsid w:val="00977548"/>
    <w:rsid w:val="00977588"/>
    <w:rsid w:val="00977669"/>
    <w:rsid w:val="009776A4"/>
    <w:rsid w:val="0097778D"/>
    <w:rsid w:val="009777BC"/>
    <w:rsid w:val="00977AD7"/>
    <w:rsid w:val="00977B35"/>
    <w:rsid w:val="00977E35"/>
    <w:rsid w:val="00977FB0"/>
    <w:rsid w:val="00977FB7"/>
    <w:rsid w:val="009801CB"/>
    <w:rsid w:val="00980656"/>
    <w:rsid w:val="0098074A"/>
    <w:rsid w:val="00980759"/>
    <w:rsid w:val="00980842"/>
    <w:rsid w:val="009809E7"/>
    <w:rsid w:val="00980C70"/>
    <w:rsid w:val="00980E8C"/>
    <w:rsid w:val="00980FD3"/>
    <w:rsid w:val="00981133"/>
    <w:rsid w:val="0098124D"/>
    <w:rsid w:val="00981694"/>
    <w:rsid w:val="00981718"/>
    <w:rsid w:val="0098172A"/>
    <w:rsid w:val="009817B0"/>
    <w:rsid w:val="00981A11"/>
    <w:rsid w:val="00981AB9"/>
    <w:rsid w:val="0098207B"/>
    <w:rsid w:val="009821CE"/>
    <w:rsid w:val="009821D9"/>
    <w:rsid w:val="00982246"/>
    <w:rsid w:val="0098228E"/>
    <w:rsid w:val="009822C7"/>
    <w:rsid w:val="009822C8"/>
    <w:rsid w:val="009823BF"/>
    <w:rsid w:val="009823DF"/>
    <w:rsid w:val="00982464"/>
    <w:rsid w:val="0098295D"/>
    <w:rsid w:val="00982D04"/>
    <w:rsid w:val="00982E25"/>
    <w:rsid w:val="00982FA9"/>
    <w:rsid w:val="009830CC"/>
    <w:rsid w:val="009832D8"/>
    <w:rsid w:val="009832E1"/>
    <w:rsid w:val="00983427"/>
    <w:rsid w:val="00983446"/>
    <w:rsid w:val="00983C28"/>
    <w:rsid w:val="009840B5"/>
    <w:rsid w:val="009841C4"/>
    <w:rsid w:val="009842AF"/>
    <w:rsid w:val="0098435C"/>
    <w:rsid w:val="0098455B"/>
    <w:rsid w:val="009847B6"/>
    <w:rsid w:val="0098483D"/>
    <w:rsid w:val="009849E0"/>
    <w:rsid w:val="00984B64"/>
    <w:rsid w:val="00984DA9"/>
    <w:rsid w:val="00984FC4"/>
    <w:rsid w:val="00985001"/>
    <w:rsid w:val="00985401"/>
    <w:rsid w:val="00985B00"/>
    <w:rsid w:val="00985B8A"/>
    <w:rsid w:val="00985C0C"/>
    <w:rsid w:val="00985C33"/>
    <w:rsid w:val="00985FD6"/>
    <w:rsid w:val="00986086"/>
    <w:rsid w:val="00986119"/>
    <w:rsid w:val="00986236"/>
    <w:rsid w:val="00986261"/>
    <w:rsid w:val="009865F1"/>
    <w:rsid w:val="00986EBD"/>
    <w:rsid w:val="0098726B"/>
    <w:rsid w:val="00987427"/>
    <w:rsid w:val="0098748D"/>
    <w:rsid w:val="0098754A"/>
    <w:rsid w:val="0098759F"/>
    <w:rsid w:val="009875D1"/>
    <w:rsid w:val="00987B1F"/>
    <w:rsid w:val="00987B76"/>
    <w:rsid w:val="00987BDE"/>
    <w:rsid w:val="00987C90"/>
    <w:rsid w:val="00987CE3"/>
    <w:rsid w:val="00987D2A"/>
    <w:rsid w:val="00987EBE"/>
    <w:rsid w:val="00987F61"/>
    <w:rsid w:val="00987FDA"/>
    <w:rsid w:val="00987FE3"/>
    <w:rsid w:val="009903EE"/>
    <w:rsid w:val="00990652"/>
    <w:rsid w:val="00990866"/>
    <w:rsid w:val="009909B8"/>
    <w:rsid w:val="00990CB4"/>
    <w:rsid w:val="00990DAA"/>
    <w:rsid w:val="00991211"/>
    <w:rsid w:val="00991267"/>
    <w:rsid w:val="0099143F"/>
    <w:rsid w:val="009914D0"/>
    <w:rsid w:val="0099159E"/>
    <w:rsid w:val="00991620"/>
    <w:rsid w:val="0099164E"/>
    <w:rsid w:val="0099175F"/>
    <w:rsid w:val="0099183E"/>
    <w:rsid w:val="00991840"/>
    <w:rsid w:val="009918E1"/>
    <w:rsid w:val="00991A42"/>
    <w:rsid w:val="00991BC1"/>
    <w:rsid w:val="00991BCB"/>
    <w:rsid w:val="00991EFF"/>
    <w:rsid w:val="00991F40"/>
    <w:rsid w:val="00992071"/>
    <w:rsid w:val="00992081"/>
    <w:rsid w:val="009920B7"/>
    <w:rsid w:val="0099215A"/>
    <w:rsid w:val="00992190"/>
    <w:rsid w:val="0099220F"/>
    <w:rsid w:val="009922DF"/>
    <w:rsid w:val="009926C8"/>
    <w:rsid w:val="00992723"/>
    <w:rsid w:val="00992D5A"/>
    <w:rsid w:val="00993063"/>
    <w:rsid w:val="009930B5"/>
    <w:rsid w:val="009932A1"/>
    <w:rsid w:val="0099335B"/>
    <w:rsid w:val="009933F3"/>
    <w:rsid w:val="00993552"/>
    <w:rsid w:val="009938C8"/>
    <w:rsid w:val="00993998"/>
    <w:rsid w:val="00993BBD"/>
    <w:rsid w:val="00993C6A"/>
    <w:rsid w:val="00993C7C"/>
    <w:rsid w:val="00993CD9"/>
    <w:rsid w:val="00993E67"/>
    <w:rsid w:val="009942E8"/>
    <w:rsid w:val="009942FD"/>
    <w:rsid w:val="009943E7"/>
    <w:rsid w:val="00994490"/>
    <w:rsid w:val="009944AD"/>
    <w:rsid w:val="0099490B"/>
    <w:rsid w:val="00994B74"/>
    <w:rsid w:val="00994EAC"/>
    <w:rsid w:val="00994FB3"/>
    <w:rsid w:val="009956C2"/>
    <w:rsid w:val="009956EE"/>
    <w:rsid w:val="009957A8"/>
    <w:rsid w:val="009957EF"/>
    <w:rsid w:val="009958A9"/>
    <w:rsid w:val="009958ED"/>
    <w:rsid w:val="00995E51"/>
    <w:rsid w:val="00995E5C"/>
    <w:rsid w:val="00995FEF"/>
    <w:rsid w:val="0099600E"/>
    <w:rsid w:val="00996048"/>
    <w:rsid w:val="0099608C"/>
    <w:rsid w:val="00996098"/>
    <w:rsid w:val="0099615A"/>
    <w:rsid w:val="009961BE"/>
    <w:rsid w:val="00996334"/>
    <w:rsid w:val="009963EE"/>
    <w:rsid w:val="00996454"/>
    <w:rsid w:val="00996771"/>
    <w:rsid w:val="009968F4"/>
    <w:rsid w:val="00996D0A"/>
    <w:rsid w:val="00996EF8"/>
    <w:rsid w:val="00996FCA"/>
    <w:rsid w:val="009970A6"/>
    <w:rsid w:val="0099765E"/>
    <w:rsid w:val="0099768B"/>
    <w:rsid w:val="009976AC"/>
    <w:rsid w:val="009976E5"/>
    <w:rsid w:val="00997D98"/>
    <w:rsid w:val="00997E25"/>
    <w:rsid w:val="00997F04"/>
    <w:rsid w:val="00997F72"/>
    <w:rsid w:val="009A0216"/>
    <w:rsid w:val="009A0301"/>
    <w:rsid w:val="009A057C"/>
    <w:rsid w:val="009A0583"/>
    <w:rsid w:val="009A05CC"/>
    <w:rsid w:val="009A0CEB"/>
    <w:rsid w:val="009A0DB5"/>
    <w:rsid w:val="009A0F72"/>
    <w:rsid w:val="009A1014"/>
    <w:rsid w:val="009A103C"/>
    <w:rsid w:val="009A11D3"/>
    <w:rsid w:val="009A1215"/>
    <w:rsid w:val="009A124C"/>
    <w:rsid w:val="009A1465"/>
    <w:rsid w:val="009A14A0"/>
    <w:rsid w:val="009A168A"/>
    <w:rsid w:val="009A1704"/>
    <w:rsid w:val="009A1840"/>
    <w:rsid w:val="009A189E"/>
    <w:rsid w:val="009A1AF2"/>
    <w:rsid w:val="009A1BAF"/>
    <w:rsid w:val="009A1BF1"/>
    <w:rsid w:val="009A1CD8"/>
    <w:rsid w:val="009A1D9C"/>
    <w:rsid w:val="009A1F1A"/>
    <w:rsid w:val="009A1FF7"/>
    <w:rsid w:val="009A2003"/>
    <w:rsid w:val="009A204B"/>
    <w:rsid w:val="009A2076"/>
    <w:rsid w:val="009A2180"/>
    <w:rsid w:val="009A245E"/>
    <w:rsid w:val="009A25A5"/>
    <w:rsid w:val="009A2717"/>
    <w:rsid w:val="009A277C"/>
    <w:rsid w:val="009A28BE"/>
    <w:rsid w:val="009A29A0"/>
    <w:rsid w:val="009A2B0C"/>
    <w:rsid w:val="009A2D55"/>
    <w:rsid w:val="009A2F4D"/>
    <w:rsid w:val="009A306E"/>
    <w:rsid w:val="009A31BD"/>
    <w:rsid w:val="009A31F6"/>
    <w:rsid w:val="009A35B7"/>
    <w:rsid w:val="009A369F"/>
    <w:rsid w:val="009A36BA"/>
    <w:rsid w:val="009A3A41"/>
    <w:rsid w:val="009A3BE3"/>
    <w:rsid w:val="009A3C0B"/>
    <w:rsid w:val="009A3D9D"/>
    <w:rsid w:val="009A3E05"/>
    <w:rsid w:val="009A3E2E"/>
    <w:rsid w:val="009A4377"/>
    <w:rsid w:val="009A445B"/>
    <w:rsid w:val="009A4526"/>
    <w:rsid w:val="009A4536"/>
    <w:rsid w:val="009A456A"/>
    <w:rsid w:val="009A45FD"/>
    <w:rsid w:val="009A4667"/>
    <w:rsid w:val="009A470F"/>
    <w:rsid w:val="009A479B"/>
    <w:rsid w:val="009A48F7"/>
    <w:rsid w:val="009A495C"/>
    <w:rsid w:val="009A49D1"/>
    <w:rsid w:val="009A4A0A"/>
    <w:rsid w:val="009A4A77"/>
    <w:rsid w:val="009A4C1E"/>
    <w:rsid w:val="009A4CB2"/>
    <w:rsid w:val="009A4CC0"/>
    <w:rsid w:val="009A54FC"/>
    <w:rsid w:val="009A559A"/>
    <w:rsid w:val="009A56EC"/>
    <w:rsid w:val="009A5C37"/>
    <w:rsid w:val="009A5E30"/>
    <w:rsid w:val="009A5E96"/>
    <w:rsid w:val="009A6174"/>
    <w:rsid w:val="009A6277"/>
    <w:rsid w:val="009A658F"/>
    <w:rsid w:val="009A65CD"/>
    <w:rsid w:val="009A66B6"/>
    <w:rsid w:val="009A6749"/>
    <w:rsid w:val="009A6972"/>
    <w:rsid w:val="009A6C83"/>
    <w:rsid w:val="009A7226"/>
    <w:rsid w:val="009A733D"/>
    <w:rsid w:val="009A7342"/>
    <w:rsid w:val="009A7364"/>
    <w:rsid w:val="009A7378"/>
    <w:rsid w:val="009A739D"/>
    <w:rsid w:val="009A7632"/>
    <w:rsid w:val="009A77E4"/>
    <w:rsid w:val="009A7AD5"/>
    <w:rsid w:val="009A7BB9"/>
    <w:rsid w:val="009A7D51"/>
    <w:rsid w:val="009A7F3C"/>
    <w:rsid w:val="009B02AC"/>
    <w:rsid w:val="009B04F6"/>
    <w:rsid w:val="009B0517"/>
    <w:rsid w:val="009B059A"/>
    <w:rsid w:val="009B0835"/>
    <w:rsid w:val="009B088F"/>
    <w:rsid w:val="009B08B2"/>
    <w:rsid w:val="009B08BD"/>
    <w:rsid w:val="009B091D"/>
    <w:rsid w:val="009B09AF"/>
    <w:rsid w:val="009B09FD"/>
    <w:rsid w:val="009B0A28"/>
    <w:rsid w:val="009B0E54"/>
    <w:rsid w:val="009B0FBE"/>
    <w:rsid w:val="009B11C8"/>
    <w:rsid w:val="009B149E"/>
    <w:rsid w:val="009B171B"/>
    <w:rsid w:val="009B184D"/>
    <w:rsid w:val="009B1B23"/>
    <w:rsid w:val="009B2088"/>
    <w:rsid w:val="009B20C9"/>
    <w:rsid w:val="009B2249"/>
    <w:rsid w:val="009B22DC"/>
    <w:rsid w:val="009B23BB"/>
    <w:rsid w:val="009B26E5"/>
    <w:rsid w:val="009B271C"/>
    <w:rsid w:val="009B282E"/>
    <w:rsid w:val="009B2A4A"/>
    <w:rsid w:val="009B2A69"/>
    <w:rsid w:val="009B2AB0"/>
    <w:rsid w:val="009B2DB0"/>
    <w:rsid w:val="009B2DE8"/>
    <w:rsid w:val="009B30D1"/>
    <w:rsid w:val="009B3176"/>
    <w:rsid w:val="009B3227"/>
    <w:rsid w:val="009B325D"/>
    <w:rsid w:val="009B32A9"/>
    <w:rsid w:val="009B32BD"/>
    <w:rsid w:val="009B34B4"/>
    <w:rsid w:val="009B353F"/>
    <w:rsid w:val="009B3952"/>
    <w:rsid w:val="009B3CF1"/>
    <w:rsid w:val="009B3D19"/>
    <w:rsid w:val="009B3E08"/>
    <w:rsid w:val="009B403F"/>
    <w:rsid w:val="009B416E"/>
    <w:rsid w:val="009B41F3"/>
    <w:rsid w:val="009B4253"/>
    <w:rsid w:val="009B4659"/>
    <w:rsid w:val="009B47B2"/>
    <w:rsid w:val="009B4A4C"/>
    <w:rsid w:val="009B4B7F"/>
    <w:rsid w:val="009B4C4B"/>
    <w:rsid w:val="009B4CB5"/>
    <w:rsid w:val="009B5150"/>
    <w:rsid w:val="009B51E4"/>
    <w:rsid w:val="009B51E7"/>
    <w:rsid w:val="009B5200"/>
    <w:rsid w:val="009B55A7"/>
    <w:rsid w:val="009B56D9"/>
    <w:rsid w:val="009B5707"/>
    <w:rsid w:val="009B58B1"/>
    <w:rsid w:val="009B5A1F"/>
    <w:rsid w:val="009B5F0E"/>
    <w:rsid w:val="009B5F3B"/>
    <w:rsid w:val="009B5F76"/>
    <w:rsid w:val="009B6086"/>
    <w:rsid w:val="009B60E0"/>
    <w:rsid w:val="009B63B0"/>
    <w:rsid w:val="009B650E"/>
    <w:rsid w:val="009B653A"/>
    <w:rsid w:val="009B6908"/>
    <w:rsid w:val="009B6C5A"/>
    <w:rsid w:val="009B6D1B"/>
    <w:rsid w:val="009B6D3A"/>
    <w:rsid w:val="009B6DE2"/>
    <w:rsid w:val="009B70DC"/>
    <w:rsid w:val="009B719B"/>
    <w:rsid w:val="009B72C5"/>
    <w:rsid w:val="009B74A8"/>
    <w:rsid w:val="009B74CC"/>
    <w:rsid w:val="009B775E"/>
    <w:rsid w:val="009B7940"/>
    <w:rsid w:val="009B7AE6"/>
    <w:rsid w:val="009B7AFD"/>
    <w:rsid w:val="009B7BDA"/>
    <w:rsid w:val="009B7C25"/>
    <w:rsid w:val="009B7E9B"/>
    <w:rsid w:val="009C0060"/>
    <w:rsid w:val="009C019B"/>
    <w:rsid w:val="009C0694"/>
    <w:rsid w:val="009C0915"/>
    <w:rsid w:val="009C0C9E"/>
    <w:rsid w:val="009C0D6B"/>
    <w:rsid w:val="009C0DEE"/>
    <w:rsid w:val="009C0F8D"/>
    <w:rsid w:val="009C1012"/>
    <w:rsid w:val="009C1086"/>
    <w:rsid w:val="009C10AA"/>
    <w:rsid w:val="009C10DD"/>
    <w:rsid w:val="009C16A0"/>
    <w:rsid w:val="009C16E8"/>
    <w:rsid w:val="009C17CE"/>
    <w:rsid w:val="009C182A"/>
    <w:rsid w:val="009C186E"/>
    <w:rsid w:val="009C1B24"/>
    <w:rsid w:val="009C1B85"/>
    <w:rsid w:val="009C1C23"/>
    <w:rsid w:val="009C1D2E"/>
    <w:rsid w:val="009C1DB6"/>
    <w:rsid w:val="009C1DCE"/>
    <w:rsid w:val="009C1E53"/>
    <w:rsid w:val="009C2346"/>
    <w:rsid w:val="009C23B0"/>
    <w:rsid w:val="009C23BC"/>
    <w:rsid w:val="009C2591"/>
    <w:rsid w:val="009C2707"/>
    <w:rsid w:val="009C2A13"/>
    <w:rsid w:val="009C2C6D"/>
    <w:rsid w:val="009C30C0"/>
    <w:rsid w:val="009C3246"/>
    <w:rsid w:val="009C361D"/>
    <w:rsid w:val="009C3A9C"/>
    <w:rsid w:val="009C3C42"/>
    <w:rsid w:val="009C3D8A"/>
    <w:rsid w:val="009C3DEB"/>
    <w:rsid w:val="009C3F64"/>
    <w:rsid w:val="009C40EB"/>
    <w:rsid w:val="009C43FE"/>
    <w:rsid w:val="009C4421"/>
    <w:rsid w:val="009C4692"/>
    <w:rsid w:val="009C4708"/>
    <w:rsid w:val="009C4A04"/>
    <w:rsid w:val="009C4A38"/>
    <w:rsid w:val="009C4AA5"/>
    <w:rsid w:val="009C4AC1"/>
    <w:rsid w:val="009C4AE9"/>
    <w:rsid w:val="009C4B6E"/>
    <w:rsid w:val="009C4B6F"/>
    <w:rsid w:val="009C4FA3"/>
    <w:rsid w:val="009C503A"/>
    <w:rsid w:val="009C518D"/>
    <w:rsid w:val="009C51CC"/>
    <w:rsid w:val="009C544D"/>
    <w:rsid w:val="009C548C"/>
    <w:rsid w:val="009C5553"/>
    <w:rsid w:val="009C56D9"/>
    <w:rsid w:val="009C58A1"/>
    <w:rsid w:val="009C5943"/>
    <w:rsid w:val="009C5AE4"/>
    <w:rsid w:val="009C5C33"/>
    <w:rsid w:val="009C5C4E"/>
    <w:rsid w:val="009C5E7E"/>
    <w:rsid w:val="009C60FD"/>
    <w:rsid w:val="009C614D"/>
    <w:rsid w:val="009C61B0"/>
    <w:rsid w:val="009C6209"/>
    <w:rsid w:val="009C628E"/>
    <w:rsid w:val="009C6397"/>
    <w:rsid w:val="009C6438"/>
    <w:rsid w:val="009C644F"/>
    <w:rsid w:val="009C64B1"/>
    <w:rsid w:val="009C64E2"/>
    <w:rsid w:val="009C657D"/>
    <w:rsid w:val="009C6636"/>
    <w:rsid w:val="009C6AAA"/>
    <w:rsid w:val="009C6C39"/>
    <w:rsid w:val="009C6C8C"/>
    <w:rsid w:val="009C6F3C"/>
    <w:rsid w:val="009C72B8"/>
    <w:rsid w:val="009C7455"/>
    <w:rsid w:val="009C7547"/>
    <w:rsid w:val="009C7682"/>
    <w:rsid w:val="009C77AC"/>
    <w:rsid w:val="009C78AF"/>
    <w:rsid w:val="009C78FF"/>
    <w:rsid w:val="009C791F"/>
    <w:rsid w:val="009C7CA9"/>
    <w:rsid w:val="009C7D79"/>
    <w:rsid w:val="009D00A6"/>
    <w:rsid w:val="009D048E"/>
    <w:rsid w:val="009D04E4"/>
    <w:rsid w:val="009D0596"/>
    <w:rsid w:val="009D067C"/>
    <w:rsid w:val="009D06E1"/>
    <w:rsid w:val="009D0A26"/>
    <w:rsid w:val="009D0A36"/>
    <w:rsid w:val="009D0A4C"/>
    <w:rsid w:val="009D0C02"/>
    <w:rsid w:val="009D0CEF"/>
    <w:rsid w:val="009D1046"/>
    <w:rsid w:val="009D10A2"/>
    <w:rsid w:val="009D1140"/>
    <w:rsid w:val="009D11D4"/>
    <w:rsid w:val="009D1249"/>
    <w:rsid w:val="009D141A"/>
    <w:rsid w:val="009D156E"/>
    <w:rsid w:val="009D163B"/>
    <w:rsid w:val="009D18DA"/>
    <w:rsid w:val="009D1B48"/>
    <w:rsid w:val="009D1B57"/>
    <w:rsid w:val="009D1DDF"/>
    <w:rsid w:val="009D1E14"/>
    <w:rsid w:val="009D1E3E"/>
    <w:rsid w:val="009D1F16"/>
    <w:rsid w:val="009D2445"/>
    <w:rsid w:val="009D272B"/>
    <w:rsid w:val="009D2847"/>
    <w:rsid w:val="009D2856"/>
    <w:rsid w:val="009D29AC"/>
    <w:rsid w:val="009D2CFF"/>
    <w:rsid w:val="009D2D58"/>
    <w:rsid w:val="009D2FBF"/>
    <w:rsid w:val="009D3083"/>
    <w:rsid w:val="009D314D"/>
    <w:rsid w:val="009D3321"/>
    <w:rsid w:val="009D369B"/>
    <w:rsid w:val="009D36B8"/>
    <w:rsid w:val="009D38C7"/>
    <w:rsid w:val="009D3AD3"/>
    <w:rsid w:val="009D3C49"/>
    <w:rsid w:val="009D3D6D"/>
    <w:rsid w:val="009D3EFB"/>
    <w:rsid w:val="009D3F69"/>
    <w:rsid w:val="009D407E"/>
    <w:rsid w:val="009D4098"/>
    <w:rsid w:val="009D4354"/>
    <w:rsid w:val="009D4478"/>
    <w:rsid w:val="009D458B"/>
    <w:rsid w:val="009D459A"/>
    <w:rsid w:val="009D4818"/>
    <w:rsid w:val="009D484D"/>
    <w:rsid w:val="009D48FE"/>
    <w:rsid w:val="009D4E9B"/>
    <w:rsid w:val="009D5043"/>
    <w:rsid w:val="009D506D"/>
    <w:rsid w:val="009D521F"/>
    <w:rsid w:val="009D5225"/>
    <w:rsid w:val="009D5238"/>
    <w:rsid w:val="009D57AC"/>
    <w:rsid w:val="009D5A4C"/>
    <w:rsid w:val="009D5B34"/>
    <w:rsid w:val="009D5B4B"/>
    <w:rsid w:val="009D5C6D"/>
    <w:rsid w:val="009D5CE3"/>
    <w:rsid w:val="009D5DF4"/>
    <w:rsid w:val="009D5EB7"/>
    <w:rsid w:val="009D613C"/>
    <w:rsid w:val="009D61C1"/>
    <w:rsid w:val="009D625B"/>
    <w:rsid w:val="009D66D4"/>
    <w:rsid w:val="009D690B"/>
    <w:rsid w:val="009D693D"/>
    <w:rsid w:val="009D69AF"/>
    <w:rsid w:val="009D6B43"/>
    <w:rsid w:val="009D7046"/>
    <w:rsid w:val="009D711C"/>
    <w:rsid w:val="009D717C"/>
    <w:rsid w:val="009D7235"/>
    <w:rsid w:val="009D72D3"/>
    <w:rsid w:val="009D74AD"/>
    <w:rsid w:val="009D79DE"/>
    <w:rsid w:val="009E02D7"/>
    <w:rsid w:val="009E0457"/>
    <w:rsid w:val="009E04E4"/>
    <w:rsid w:val="009E0540"/>
    <w:rsid w:val="009E06AC"/>
    <w:rsid w:val="009E0927"/>
    <w:rsid w:val="009E094F"/>
    <w:rsid w:val="009E0C13"/>
    <w:rsid w:val="009E0CA5"/>
    <w:rsid w:val="009E0DAB"/>
    <w:rsid w:val="009E0F11"/>
    <w:rsid w:val="009E0F75"/>
    <w:rsid w:val="009E0F7C"/>
    <w:rsid w:val="009E12F5"/>
    <w:rsid w:val="009E142B"/>
    <w:rsid w:val="009E165C"/>
    <w:rsid w:val="009E16EA"/>
    <w:rsid w:val="009E171B"/>
    <w:rsid w:val="009E179B"/>
    <w:rsid w:val="009E189B"/>
    <w:rsid w:val="009E1909"/>
    <w:rsid w:val="009E1BCC"/>
    <w:rsid w:val="009E1C8E"/>
    <w:rsid w:val="009E1D7E"/>
    <w:rsid w:val="009E1DE2"/>
    <w:rsid w:val="009E1FBA"/>
    <w:rsid w:val="009E20E8"/>
    <w:rsid w:val="009E2240"/>
    <w:rsid w:val="009E248B"/>
    <w:rsid w:val="009E24BA"/>
    <w:rsid w:val="009E25BB"/>
    <w:rsid w:val="009E287D"/>
    <w:rsid w:val="009E29CB"/>
    <w:rsid w:val="009E2B74"/>
    <w:rsid w:val="009E2C04"/>
    <w:rsid w:val="009E2CC1"/>
    <w:rsid w:val="009E3025"/>
    <w:rsid w:val="009E305E"/>
    <w:rsid w:val="009E3194"/>
    <w:rsid w:val="009E332A"/>
    <w:rsid w:val="009E3504"/>
    <w:rsid w:val="009E3620"/>
    <w:rsid w:val="009E3678"/>
    <w:rsid w:val="009E37C5"/>
    <w:rsid w:val="009E38C0"/>
    <w:rsid w:val="009E3D0F"/>
    <w:rsid w:val="009E3E37"/>
    <w:rsid w:val="009E40BA"/>
    <w:rsid w:val="009E4292"/>
    <w:rsid w:val="009E45E8"/>
    <w:rsid w:val="009E460D"/>
    <w:rsid w:val="009E4717"/>
    <w:rsid w:val="009E47F8"/>
    <w:rsid w:val="009E4AD9"/>
    <w:rsid w:val="009E4B8C"/>
    <w:rsid w:val="009E4BC7"/>
    <w:rsid w:val="009E4D3D"/>
    <w:rsid w:val="009E4E9C"/>
    <w:rsid w:val="009E5047"/>
    <w:rsid w:val="009E5387"/>
    <w:rsid w:val="009E53BB"/>
    <w:rsid w:val="009E53D7"/>
    <w:rsid w:val="009E53EE"/>
    <w:rsid w:val="009E54BA"/>
    <w:rsid w:val="009E54DB"/>
    <w:rsid w:val="009E55A4"/>
    <w:rsid w:val="009E56D1"/>
    <w:rsid w:val="009E5A8E"/>
    <w:rsid w:val="009E5AA7"/>
    <w:rsid w:val="009E5B90"/>
    <w:rsid w:val="009E5CE3"/>
    <w:rsid w:val="009E5D5B"/>
    <w:rsid w:val="009E5EEC"/>
    <w:rsid w:val="009E5FD1"/>
    <w:rsid w:val="009E605D"/>
    <w:rsid w:val="009E60D1"/>
    <w:rsid w:val="009E6238"/>
    <w:rsid w:val="009E6253"/>
    <w:rsid w:val="009E6408"/>
    <w:rsid w:val="009E66F1"/>
    <w:rsid w:val="009E69CE"/>
    <w:rsid w:val="009E6AB2"/>
    <w:rsid w:val="009E6BF7"/>
    <w:rsid w:val="009E74AF"/>
    <w:rsid w:val="009E77F9"/>
    <w:rsid w:val="009E78A7"/>
    <w:rsid w:val="009E79F1"/>
    <w:rsid w:val="009E7D3B"/>
    <w:rsid w:val="009E7DA1"/>
    <w:rsid w:val="009E7FA4"/>
    <w:rsid w:val="009F0016"/>
    <w:rsid w:val="009F002B"/>
    <w:rsid w:val="009F01E6"/>
    <w:rsid w:val="009F0335"/>
    <w:rsid w:val="009F03CC"/>
    <w:rsid w:val="009F0596"/>
    <w:rsid w:val="009F0870"/>
    <w:rsid w:val="009F0AB8"/>
    <w:rsid w:val="009F0C07"/>
    <w:rsid w:val="009F0EE1"/>
    <w:rsid w:val="009F0F55"/>
    <w:rsid w:val="009F0FE4"/>
    <w:rsid w:val="009F0FEC"/>
    <w:rsid w:val="009F10D8"/>
    <w:rsid w:val="009F10F2"/>
    <w:rsid w:val="009F11C5"/>
    <w:rsid w:val="009F163E"/>
    <w:rsid w:val="009F1658"/>
    <w:rsid w:val="009F17EC"/>
    <w:rsid w:val="009F1903"/>
    <w:rsid w:val="009F1BD4"/>
    <w:rsid w:val="009F1C97"/>
    <w:rsid w:val="009F1D35"/>
    <w:rsid w:val="009F1FFF"/>
    <w:rsid w:val="009F20C5"/>
    <w:rsid w:val="009F226C"/>
    <w:rsid w:val="009F228B"/>
    <w:rsid w:val="009F22B2"/>
    <w:rsid w:val="009F2382"/>
    <w:rsid w:val="009F27CA"/>
    <w:rsid w:val="009F295D"/>
    <w:rsid w:val="009F2979"/>
    <w:rsid w:val="009F2B1D"/>
    <w:rsid w:val="009F2B90"/>
    <w:rsid w:val="009F2C3C"/>
    <w:rsid w:val="009F32C2"/>
    <w:rsid w:val="009F32D2"/>
    <w:rsid w:val="009F36AC"/>
    <w:rsid w:val="009F3742"/>
    <w:rsid w:val="009F3CDC"/>
    <w:rsid w:val="009F3F40"/>
    <w:rsid w:val="009F3F81"/>
    <w:rsid w:val="009F3F96"/>
    <w:rsid w:val="009F3FF5"/>
    <w:rsid w:val="009F4223"/>
    <w:rsid w:val="009F432D"/>
    <w:rsid w:val="009F456A"/>
    <w:rsid w:val="009F45FA"/>
    <w:rsid w:val="009F4FE3"/>
    <w:rsid w:val="009F5020"/>
    <w:rsid w:val="009F541A"/>
    <w:rsid w:val="009F54B8"/>
    <w:rsid w:val="009F5564"/>
    <w:rsid w:val="009F5613"/>
    <w:rsid w:val="009F56C5"/>
    <w:rsid w:val="009F5708"/>
    <w:rsid w:val="009F5768"/>
    <w:rsid w:val="009F5771"/>
    <w:rsid w:val="009F57B6"/>
    <w:rsid w:val="009F58C4"/>
    <w:rsid w:val="009F595D"/>
    <w:rsid w:val="009F5A9D"/>
    <w:rsid w:val="009F5AC0"/>
    <w:rsid w:val="009F5D4B"/>
    <w:rsid w:val="009F5FCE"/>
    <w:rsid w:val="009F636A"/>
    <w:rsid w:val="009F63B4"/>
    <w:rsid w:val="009F6BD4"/>
    <w:rsid w:val="009F6C96"/>
    <w:rsid w:val="009F6CF0"/>
    <w:rsid w:val="009F6E2A"/>
    <w:rsid w:val="009F71AB"/>
    <w:rsid w:val="009F71F9"/>
    <w:rsid w:val="009F769F"/>
    <w:rsid w:val="009F7D8E"/>
    <w:rsid w:val="009F7E68"/>
    <w:rsid w:val="009F7F23"/>
    <w:rsid w:val="009F7F51"/>
    <w:rsid w:val="009F7F57"/>
    <w:rsid w:val="009F7F77"/>
    <w:rsid w:val="00A000AA"/>
    <w:rsid w:val="00A001D2"/>
    <w:rsid w:val="00A001D9"/>
    <w:rsid w:val="00A0024B"/>
    <w:rsid w:val="00A002C9"/>
    <w:rsid w:val="00A002E2"/>
    <w:rsid w:val="00A00436"/>
    <w:rsid w:val="00A0052D"/>
    <w:rsid w:val="00A00734"/>
    <w:rsid w:val="00A007DD"/>
    <w:rsid w:val="00A009E3"/>
    <w:rsid w:val="00A00A20"/>
    <w:rsid w:val="00A00B88"/>
    <w:rsid w:val="00A00D07"/>
    <w:rsid w:val="00A00E06"/>
    <w:rsid w:val="00A00E7F"/>
    <w:rsid w:val="00A00ED9"/>
    <w:rsid w:val="00A01131"/>
    <w:rsid w:val="00A0145D"/>
    <w:rsid w:val="00A01504"/>
    <w:rsid w:val="00A01567"/>
    <w:rsid w:val="00A015E8"/>
    <w:rsid w:val="00A015EB"/>
    <w:rsid w:val="00A01765"/>
    <w:rsid w:val="00A018FD"/>
    <w:rsid w:val="00A01941"/>
    <w:rsid w:val="00A01961"/>
    <w:rsid w:val="00A01CC2"/>
    <w:rsid w:val="00A01FBA"/>
    <w:rsid w:val="00A01FE0"/>
    <w:rsid w:val="00A021AC"/>
    <w:rsid w:val="00A023C8"/>
    <w:rsid w:val="00A027C2"/>
    <w:rsid w:val="00A028CA"/>
    <w:rsid w:val="00A028EA"/>
    <w:rsid w:val="00A02A39"/>
    <w:rsid w:val="00A02C42"/>
    <w:rsid w:val="00A02C8E"/>
    <w:rsid w:val="00A02DF1"/>
    <w:rsid w:val="00A030D1"/>
    <w:rsid w:val="00A034A4"/>
    <w:rsid w:val="00A036EA"/>
    <w:rsid w:val="00A03766"/>
    <w:rsid w:val="00A03A31"/>
    <w:rsid w:val="00A03DA0"/>
    <w:rsid w:val="00A03DF1"/>
    <w:rsid w:val="00A043CA"/>
    <w:rsid w:val="00A0449A"/>
    <w:rsid w:val="00A045C0"/>
    <w:rsid w:val="00A0465F"/>
    <w:rsid w:val="00A04779"/>
    <w:rsid w:val="00A049AF"/>
    <w:rsid w:val="00A04A2A"/>
    <w:rsid w:val="00A04BED"/>
    <w:rsid w:val="00A04D3B"/>
    <w:rsid w:val="00A04D6F"/>
    <w:rsid w:val="00A04E5C"/>
    <w:rsid w:val="00A05179"/>
    <w:rsid w:val="00A0518B"/>
    <w:rsid w:val="00A051A8"/>
    <w:rsid w:val="00A054F6"/>
    <w:rsid w:val="00A05516"/>
    <w:rsid w:val="00A05533"/>
    <w:rsid w:val="00A05692"/>
    <w:rsid w:val="00A058A7"/>
    <w:rsid w:val="00A0597C"/>
    <w:rsid w:val="00A05C39"/>
    <w:rsid w:val="00A05CB0"/>
    <w:rsid w:val="00A05E6E"/>
    <w:rsid w:val="00A062B5"/>
    <w:rsid w:val="00A062CE"/>
    <w:rsid w:val="00A062E8"/>
    <w:rsid w:val="00A063C7"/>
    <w:rsid w:val="00A063FC"/>
    <w:rsid w:val="00A064D1"/>
    <w:rsid w:val="00A064EB"/>
    <w:rsid w:val="00A064F7"/>
    <w:rsid w:val="00A067E1"/>
    <w:rsid w:val="00A0694F"/>
    <w:rsid w:val="00A06B49"/>
    <w:rsid w:val="00A06B4A"/>
    <w:rsid w:val="00A06CF2"/>
    <w:rsid w:val="00A06E4C"/>
    <w:rsid w:val="00A06E78"/>
    <w:rsid w:val="00A06FC5"/>
    <w:rsid w:val="00A07273"/>
    <w:rsid w:val="00A072CC"/>
    <w:rsid w:val="00A0739F"/>
    <w:rsid w:val="00A075D3"/>
    <w:rsid w:val="00A0760D"/>
    <w:rsid w:val="00A07645"/>
    <w:rsid w:val="00A076E6"/>
    <w:rsid w:val="00A07795"/>
    <w:rsid w:val="00A078AB"/>
    <w:rsid w:val="00A07B45"/>
    <w:rsid w:val="00A07D47"/>
    <w:rsid w:val="00A07D73"/>
    <w:rsid w:val="00A07FEF"/>
    <w:rsid w:val="00A100A1"/>
    <w:rsid w:val="00A10219"/>
    <w:rsid w:val="00A102E7"/>
    <w:rsid w:val="00A1041A"/>
    <w:rsid w:val="00A10524"/>
    <w:rsid w:val="00A10593"/>
    <w:rsid w:val="00A10643"/>
    <w:rsid w:val="00A10879"/>
    <w:rsid w:val="00A108BC"/>
    <w:rsid w:val="00A1097F"/>
    <w:rsid w:val="00A10CAB"/>
    <w:rsid w:val="00A10EF8"/>
    <w:rsid w:val="00A10F04"/>
    <w:rsid w:val="00A11023"/>
    <w:rsid w:val="00A11059"/>
    <w:rsid w:val="00A11546"/>
    <w:rsid w:val="00A116BE"/>
    <w:rsid w:val="00A11716"/>
    <w:rsid w:val="00A1180F"/>
    <w:rsid w:val="00A11A5A"/>
    <w:rsid w:val="00A11B54"/>
    <w:rsid w:val="00A11D1F"/>
    <w:rsid w:val="00A1203E"/>
    <w:rsid w:val="00A12200"/>
    <w:rsid w:val="00A124B8"/>
    <w:rsid w:val="00A12503"/>
    <w:rsid w:val="00A125AB"/>
    <w:rsid w:val="00A1263F"/>
    <w:rsid w:val="00A126D6"/>
    <w:rsid w:val="00A12732"/>
    <w:rsid w:val="00A1280D"/>
    <w:rsid w:val="00A1299C"/>
    <w:rsid w:val="00A12F62"/>
    <w:rsid w:val="00A13063"/>
    <w:rsid w:val="00A1320C"/>
    <w:rsid w:val="00A1331F"/>
    <w:rsid w:val="00A1344E"/>
    <w:rsid w:val="00A134D8"/>
    <w:rsid w:val="00A136F1"/>
    <w:rsid w:val="00A1372D"/>
    <w:rsid w:val="00A137A1"/>
    <w:rsid w:val="00A13871"/>
    <w:rsid w:val="00A13AFC"/>
    <w:rsid w:val="00A14184"/>
    <w:rsid w:val="00A14323"/>
    <w:rsid w:val="00A143A2"/>
    <w:rsid w:val="00A145CF"/>
    <w:rsid w:val="00A14A27"/>
    <w:rsid w:val="00A14A8C"/>
    <w:rsid w:val="00A14B60"/>
    <w:rsid w:val="00A14BEE"/>
    <w:rsid w:val="00A14EA3"/>
    <w:rsid w:val="00A14EED"/>
    <w:rsid w:val="00A14F32"/>
    <w:rsid w:val="00A14F49"/>
    <w:rsid w:val="00A14FE9"/>
    <w:rsid w:val="00A15231"/>
    <w:rsid w:val="00A152C7"/>
    <w:rsid w:val="00A154BB"/>
    <w:rsid w:val="00A15672"/>
    <w:rsid w:val="00A15A30"/>
    <w:rsid w:val="00A15C32"/>
    <w:rsid w:val="00A15C5D"/>
    <w:rsid w:val="00A15CC1"/>
    <w:rsid w:val="00A15E2F"/>
    <w:rsid w:val="00A15EA7"/>
    <w:rsid w:val="00A16167"/>
    <w:rsid w:val="00A165F0"/>
    <w:rsid w:val="00A16675"/>
    <w:rsid w:val="00A167CF"/>
    <w:rsid w:val="00A16A6F"/>
    <w:rsid w:val="00A16ABA"/>
    <w:rsid w:val="00A16ACF"/>
    <w:rsid w:val="00A16FD2"/>
    <w:rsid w:val="00A17268"/>
    <w:rsid w:val="00A172A8"/>
    <w:rsid w:val="00A172DA"/>
    <w:rsid w:val="00A1747B"/>
    <w:rsid w:val="00A1787C"/>
    <w:rsid w:val="00A178B6"/>
    <w:rsid w:val="00A178C9"/>
    <w:rsid w:val="00A179FE"/>
    <w:rsid w:val="00A17B9E"/>
    <w:rsid w:val="00A17CDB"/>
    <w:rsid w:val="00A20393"/>
    <w:rsid w:val="00A205E5"/>
    <w:rsid w:val="00A20834"/>
    <w:rsid w:val="00A20869"/>
    <w:rsid w:val="00A208BA"/>
    <w:rsid w:val="00A20CDD"/>
    <w:rsid w:val="00A20DBF"/>
    <w:rsid w:val="00A20E4C"/>
    <w:rsid w:val="00A20FCB"/>
    <w:rsid w:val="00A20FFE"/>
    <w:rsid w:val="00A211F6"/>
    <w:rsid w:val="00A21475"/>
    <w:rsid w:val="00A2155E"/>
    <w:rsid w:val="00A2164A"/>
    <w:rsid w:val="00A217A1"/>
    <w:rsid w:val="00A2199A"/>
    <w:rsid w:val="00A21FFA"/>
    <w:rsid w:val="00A220F8"/>
    <w:rsid w:val="00A221DF"/>
    <w:rsid w:val="00A2228A"/>
    <w:rsid w:val="00A22295"/>
    <w:rsid w:val="00A225F7"/>
    <w:rsid w:val="00A22623"/>
    <w:rsid w:val="00A226B1"/>
    <w:rsid w:val="00A2296C"/>
    <w:rsid w:val="00A229EC"/>
    <w:rsid w:val="00A22A0D"/>
    <w:rsid w:val="00A22B99"/>
    <w:rsid w:val="00A22CEF"/>
    <w:rsid w:val="00A22D0C"/>
    <w:rsid w:val="00A232E8"/>
    <w:rsid w:val="00A23454"/>
    <w:rsid w:val="00A235C7"/>
    <w:rsid w:val="00A23922"/>
    <w:rsid w:val="00A23A2F"/>
    <w:rsid w:val="00A23D8B"/>
    <w:rsid w:val="00A23F85"/>
    <w:rsid w:val="00A240FA"/>
    <w:rsid w:val="00A24165"/>
    <w:rsid w:val="00A24198"/>
    <w:rsid w:val="00A2422D"/>
    <w:rsid w:val="00A2434E"/>
    <w:rsid w:val="00A2453C"/>
    <w:rsid w:val="00A24753"/>
    <w:rsid w:val="00A24774"/>
    <w:rsid w:val="00A24911"/>
    <w:rsid w:val="00A24976"/>
    <w:rsid w:val="00A24B28"/>
    <w:rsid w:val="00A24BDC"/>
    <w:rsid w:val="00A24F2F"/>
    <w:rsid w:val="00A251A3"/>
    <w:rsid w:val="00A25203"/>
    <w:rsid w:val="00A25431"/>
    <w:rsid w:val="00A2557A"/>
    <w:rsid w:val="00A25700"/>
    <w:rsid w:val="00A258F7"/>
    <w:rsid w:val="00A25AC6"/>
    <w:rsid w:val="00A25DFE"/>
    <w:rsid w:val="00A2618C"/>
    <w:rsid w:val="00A262DC"/>
    <w:rsid w:val="00A262F0"/>
    <w:rsid w:val="00A26623"/>
    <w:rsid w:val="00A26998"/>
    <w:rsid w:val="00A26CD1"/>
    <w:rsid w:val="00A26D30"/>
    <w:rsid w:val="00A26E5B"/>
    <w:rsid w:val="00A27499"/>
    <w:rsid w:val="00A274D9"/>
    <w:rsid w:val="00A27612"/>
    <w:rsid w:val="00A27685"/>
    <w:rsid w:val="00A27692"/>
    <w:rsid w:val="00A27771"/>
    <w:rsid w:val="00A2798C"/>
    <w:rsid w:val="00A279FB"/>
    <w:rsid w:val="00A27B0F"/>
    <w:rsid w:val="00A27B89"/>
    <w:rsid w:val="00A27E63"/>
    <w:rsid w:val="00A27FDB"/>
    <w:rsid w:val="00A30033"/>
    <w:rsid w:val="00A30053"/>
    <w:rsid w:val="00A3028C"/>
    <w:rsid w:val="00A30566"/>
    <w:rsid w:val="00A3072A"/>
    <w:rsid w:val="00A30C61"/>
    <w:rsid w:val="00A30EC2"/>
    <w:rsid w:val="00A30FAF"/>
    <w:rsid w:val="00A3122C"/>
    <w:rsid w:val="00A31458"/>
    <w:rsid w:val="00A31766"/>
    <w:rsid w:val="00A31958"/>
    <w:rsid w:val="00A31AF3"/>
    <w:rsid w:val="00A31C09"/>
    <w:rsid w:val="00A31D82"/>
    <w:rsid w:val="00A31E8C"/>
    <w:rsid w:val="00A3232B"/>
    <w:rsid w:val="00A32345"/>
    <w:rsid w:val="00A32653"/>
    <w:rsid w:val="00A3295E"/>
    <w:rsid w:val="00A32A8C"/>
    <w:rsid w:val="00A32E56"/>
    <w:rsid w:val="00A32F20"/>
    <w:rsid w:val="00A32F86"/>
    <w:rsid w:val="00A32FD9"/>
    <w:rsid w:val="00A3321C"/>
    <w:rsid w:val="00A33452"/>
    <w:rsid w:val="00A337DC"/>
    <w:rsid w:val="00A33924"/>
    <w:rsid w:val="00A339F1"/>
    <w:rsid w:val="00A33AE0"/>
    <w:rsid w:val="00A33B22"/>
    <w:rsid w:val="00A33C5C"/>
    <w:rsid w:val="00A34071"/>
    <w:rsid w:val="00A3421E"/>
    <w:rsid w:val="00A343F3"/>
    <w:rsid w:val="00A34513"/>
    <w:rsid w:val="00A34517"/>
    <w:rsid w:val="00A34747"/>
    <w:rsid w:val="00A3474F"/>
    <w:rsid w:val="00A3481C"/>
    <w:rsid w:val="00A34D5A"/>
    <w:rsid w:val="00A35669"/>
    <w:rsid w:val="00A35670"/>
    <w:rsid w:val="00A35702"/>
    <w:rsid w:val="00A359C0"/>
    <w:rsid w:val="00A35AE7"/>
    <w:rsid w:val="00A35C71"/>
    <w:rsid w:val="00A35EBA"/>
    <w:rsid w:val="00A3600A"/>
    <w:rsid w:val="00A3605E"/>
    <w:rsid w:val="00A367EF"/>
    <w:rsid w:val="00A36943"/>
    <w:rsid w:val="00A36A0D"/>
    <w:rsid w:val="00A36A34"/>
    <w:rsid w:val="00A36A65"/>
    <w:rsid w:val="00A36A6A"/>
    <w:rsid w:val="00A36ABA"/>
    <w:rsid w:val="00A36D7B"/>
    <w:rsid w:val="00A370F3"/>
    <w:rsid w:val="00A3717E"/>
    <w:rsid w:val="00A3722A"/>
    <w:rsid w:val="00A3736C"/>
    <w:rsid w:val="00A37421"/>
    <w:rsid w:val="00A37493"/>
    <w:rsid w:val="00A3749B"/>
    <w:rsid w:val="00A37610"/>
    <w:rsid w:val="00A37656"/>
    <w:rsid w:val="00A37B92"/>
    <w:rsid w:val="00A37D67"/>
    <w:rsid w:val="00A37D87"/>
    <w:rsid w:val="00A37E27"/>
    <w:rsid w:val="00A37FE8"/>
    <w:rsid w:val="00A400CD"/>
    <w:rsid w:val="00A402D2"/>
    <w:rsid w:val="00A40377"/>
    <w:rsid w:val="00A407A0"/>
    <w:rsid w:val="00A40A4A"/>
    <w:rsid w:val="00A40BD7"/>
    <w:rsid w:val="00A40C77"/>
    <w:rsid w:val="00A40E18"/>
    <w:rsid w:val="00A40F1F"/>
    <w:rsid w:val="00A41004"/>
    <w:rsid w:val="00A41141"/>
    <w:rsid w:val="00A411A2"/>
    <w:rsid w:val="00A412A2"/>
    <w:rsid w:val="00A4139F"/>
    <w:rsid w:val="00A413EF"/>
    <w:rsid w:val="00A414AC"/>
    <w:rsid w:val="00A41714"/>
    <w:rsid w:val="00A4193B"/>
    <w:rsid w:val="00A419F4"/>
    <w:rsid w:val="00A41C25"/>
    <w:rsid w:val="00A41D4E"/>
    <w:rsid w:val="00A41E09"/>
    <w:rsid w:val="00A41F5B"/>
    <w:rsid w:val="00A4204B"/>
    <w:rsid w:val="00A422D5"/>
    <w:rsid w:val="00A423F7"/>
    <w:rsid w:val="00A425E8"/>
    <w:rsid w:val="00A42B40"/>
    <w:rsid w:val="00A42D68"/>
    <w:rsid w:val="00A42D69"/>
    <w:rsid w:val="00A42F0D"/>
    <w:rsid w:val="00A42F35"/>
    <w:rsid w:val="00A4336F"/>
    <w:rsid w:val="00A4369D"/>
    <w:rsid w:val="00A436C6"/>
    <w:rsid w:val="00A4372B"/>
    <w:rsid w:val="00A43918"/>
    <w:rsid w:val="00A43BCB"/>
    <w:rsid w:val="00A43CC9"/>
    <w:rsid w:val="00A43F93"/>
    <w:rsid w:val="00A4438F"/>
    <w:rsid w:val="00A443B4"/>
    <w:rsid w:val="00A4445C"/>
    <w:rsid w:val="00A4461D"/>
    <w:rsid w:val="00A448EF"/>
    <w:rsid w:val="00A45066"/>
    <w:rsid w:val="00A4508F"/>
    <w:rsid w:val="00A45229"/>
    <w:rsid w:val="00A4524E"/>
    <w:rsid w:val="00A45332"/>
    <w:rsid w:val="00A457F9"/>
    <w:rsid w:val="00A458D0"/>
    <w:rsid w:val="00A45910"/>
    <w:rsid w:val="00A45E20"/>
    <w:rsid w:val="00A45E36"/>
    <w:rsid w:val="00A46351"/>
    <w:rsid w:val="00A4639B"/>
    <w:rsid w:val="00A46482"/>
    <w:rsid w:val="00A46570"/>
    <w:rsid w:val="00A46654"/>
    <w:rsid w:val="00A46759"/>
    <w:rsid w:val="00A46781"/>
    <w:rsid w:val="00A469CD"/>
    <w:rsid w:val="00A46AB8"/>
    <w:rsid w:val="00A46CAE"/>
    <w:rsid w:val="00A46CBD"/>
    <w:rsid w:val="00A46EDC"/>
    <w:rsid w:val="00A46F09"/>
    <w:rsid w:val="00A4719B"/>
    <w:rsid w:val="00A47250"/>
    <w:rsid w:val="00A4739B"/>
    <w:rsid w:val="00A474DC"/>
    <w:rsid w:val="00A476E8"/>
    <w:rsid w:val="00A4799A"/>
    <w:rsid w:val="00A47C34"/>
    <w:rsid w:val="00A47C67"/>
    <w:rsid w:val="00A47D45"/>
    <w:rsid w:val="00A47DFA"/>
    <w:rsid w:val="00A47E7C"/>
    <w:rsid w:val="00A50905"/>
    <w:rsid w:val="00A50971"/>
    <w:rsid w:val="00A50A6F"/>
    <w:rsid w:val="00A50A81"/>
    <w:rsid w:val="00A50D88"/>
    <w:rsid w:val="00A511DC"/>
    <w:rsid w:val="00A51348"/>
    <w:rsid w:val="00A51558"/>
    <w:rsid w:val="00A51866"/>
    <w:rsid w:val="00A519F5"/>
    <w:rsid w:val="00A51CEA"/>
    <w:rsid w:val="00A51F00"/>
    <w:rsid w:val="00A51FDD"/>
    <w:rsid w:val="00A5201D"/>
    <w:rsid w:val="00A5253D"/>
    <w:rsid w:val="00A526BF"/>
    <w:rsid w:val="00A52922"/>
    <w:rsid w:val="00A52AE6"/>
    <w:rsid w:val="00A52C33"/>
    <w:rsid w:val="00A52C62"/>
    <w:rsid w:val="00A52E78"/>
    <w:rsid w:val="00A52EB2"/>
    <w:rsid w:val="00A52F8A"/>
    <w:rsid w:val="00A53074"/>
    <w:rsid w:val="00A53219"/>
    <w:rsid w:val="00A53416"/>
    <w:rsid w:val="00A5349C"/>
    <w:rsid w:val="00A5371B"/>
    <w:rsid w:val="00A5378D"/>
    <w:rsid w:val="00A5379C"/>
    <w:rsid w:val="00A537F3"/>
    <w:rsid w:val="00A53808"/>
    <w:rsid w:val="00A538DE"/>
    <w:rsid w:val="00A53A40"/>
    <w:rsid w:val="00A53D43"/>
    <w:rsid w:val="00A53EEB"/>
    <w:rsid w:val="00A53FBC"/>
    <w:rsid w:val="00A53FEB"/>
    <w:rsid w:val="00A54006"/>
    <w:rsid w:val="00A5404F"/>
    <w:rsid w:val="00A541DA"/>
    <w:rsid w:val="00A543F3"/>
    <w:rsid w:val="00A54654"/>
    <w:rsid w:val="00A5492C"/>
    <w:rsid w:val="00A54974"/>
    <w:rsid w:val="00A5497F"/>
    <w:rsid w:val="00A54AB2"/>
    <w:rsid w:val="00A54AB8"/>
    <w:rsid w:val="00A54B67"/>
    <w:rsid w:val="00A54C29"/>
    <w:rsid w:val="00A54DEB"/>
    <w:rsid w:val="00A54FE5"/>
    <w:rsid w:val="00A5522C"/>
    <w:rsid w:val="00A5527D"/>
    <w:rsid w:val="00A553BB"/>
    <w:rsid w:val="00A5540B"/>
    <w:rsid w:val="00A554AE"/>
    <w:rsid w:val="00A55662"/>
    <w:rsid w:val="00A558F8"/>
    <w:rsid w:val="00A5597F"/>
    <w:rsid w:val="00A55A31"/>
    <w:rsid w:val="00A55A68"/>
    <w:rsid w:val="00A55F7E"/>
    <w:rsid w:val="00A560AC"/>
    <w:rsid w:val="00A560BA"/>
    <w:rsid w:val="00A562EB"/>
    <w:rsid w:val="00A566C7"/>
    <w:rsid w:val="00A5681A"/>
    <w:rsid w:val="00A5686F"/>
    <w:rsid w:val="00A56923"/>
    <w:rsid w:val="00A569D0"/>
    <w:rsid w:val="00A569FD"/>
    <w:rsid w:val="00A56DA6"/>
    <w:rsid w:val="00A56EC7"/>
    <w:rsid w:val="00A57029"/>
    <w:rsid w:val="00A57082"/>
    <w:rsid w:val="00A570DC"/>
    <w:rsid w:val="00A571C5"/>
    <w:rsid w:val="00A572E8"/>
    <w:rsid w:val="00A57963"/>
    <w:rsid w:val="00A57AB0"/>
    <w:rsid w:val="00A57B74"/>
    <w:rsid w:val="00A57C89"/>
    <w:rsid w:val="00A57F35"/>
    <w:rsid w:val="00A6025C"/>
    <w:rsid w:val="00A60336"/>
    <w:rsid w:val="00A604D5"/>
    <w:rsid w:val="00A60574"/>
    <w:rsid w:val="00A605C5"/>
    <w:rsid w:val="00A6069D"/>
    <w:rsid w:val="00A60A92"/>
    <w:rsid w:val="00A60B30"/>
    <w:rsid w:val="00A60B3D"/>
    <w:rsid w:val="00A60C6A"/>
    <w:rsid w:val="00A60D20"/>
    <w:rsid w:val="00A60D31"/>
    <w:rsid w:val="00A60D55"/>
    <w:rsid w:val="00A60F7F"/>
    <w:rsid w:val="00A60F91"/>
    <w:rsid w:val="00A610F0"/>
    <w:rsid w:val="00A611BA"/>
    <w:rsid w:val="00A6120B"/>
    <w:rsid w:val="00A61539"/>
    <w:rsid w:val="00A61860"/>
    <w:rsid w:val="00A6198E"/>
    <w:rsid w:val="00A61E15"/>
    <w:rsid w:val="00A61E8B"/>
    <w:rsid w:val="00A61F49"/>
    <w:rsid w:val="00A62299"/>
    <w:rsid w:val="00A62328"/>
    <w:rsid w:val="00A625FD"/>
    <w:rsid w:val="00A627D0"/>
    <w:rsid w:val="00A62987"/>
    <w:rsid w:val="00A62A62"/>
    <w:rsid w:val="00A62B0E"/>
    <w:rsid w:val="00A62B5A"/>
    <w:rsid w:val="00A62B6D"/>
    <w:rsid w:val="00A62E42"/>
    <w:rsid w:val="00A631B1"/>
    <w:rsid w:val="00A63491"/>
    <w:rsid w:val="00A63682"/>
    <w:rsid w:val="00A637F3"/>
    <w:rsid w:val="00A63885"/>
    <w:rsid w:val="00A638DB"/>
    <w:rsid w:val="00A63A2F"/>
    <w:rsid w:val="00A63A7D"/>
    <w:rsid w:val="00A63BFD"/>
    <w:rsid w:val="00A63C84"/>
    <w:rsid w:val="00A63D13"/>
    <w:rsid w:val="00A63EF1"/>
    <w:rsid w:val="00A64084"/>
    <w:rsid w:val="00A640C6"/>
    <w:rsid w:val="00A640E6"/>
    <w:rsid w:val="00A641C1"/>
    <w:rsid w:val="00A64423"/>
    <w:rsid w:val="00A64519"/>
    <w:rsid w:val="00A645B8"/>
    <w:rsid w:val="00A646B5"/>
    <w:rsid w:val="00A64745"/>
    <w:rsid w:val="00A648D1"/>
    <w:rsid w:val="00A64922"/>
    <w:rsid w:val="00A64A71"/>
    <w:rsid w:val="00A64A8C"/>
    <w:rsid w:val="00A650E0"/>
    <w:rsid w:val="00A65143"/>
    <w:rsid w:val="00A656B2"/>
    <w:rsid w:val="00A657CF"/>
    <w:rsid w:val="00A65829"/>
    <w:rsid w:val="00A659CD"/>
    <w:rsid w:val="00A65B0A"/>
    <w:rsid w:val="00A65CD3"/>
    <w:rsid w:val="00A66207"/>
    <w:rsid w:val="00A662AF"/>
    <w:rsid w:val="00A663F0"/>
    <w:rsid w:val="00A66458"/>
    <w:rsid w:val="00A668E2"/>
    <w:rsid w:val="00A6693B"/>
    <w:rsid w:val="00A669A3"/>
    <w:rsid w:val="00A66AD9"/>
    <w:rsid w:val="00A66CDD"/>
    <w:rsid w:val="00A66F51"/>
    <w:rsid w:val="00A66FB1"/>
    <w:rsid w:val="00A66FFF"/>
    <w:rsid w:val="00A67410"/>
    <w:rsid w:val="00A6743F"/>
    <w:rsid w:val="00A675B0"/>
    <w:rsid w:val="00A67857"/>
    <w:rsid w:val="00A67B06"/>
    <w:rsid w:val="00A67B5B"/>
    <w:rsid w:val="00A67C09"/>
    <w:rsid w:val="00A67E6E"/>
    <w:rsid w:val="00A7001A"/>
    <w:rsid w:val="00A702FC"/>
    <w:rsid w:val="00A70637"/>
    <w:rsid w:val="00A70761"/>
    <w:rsid w:val="00A707A2"/>
    <w:rsid w:val="00A70931"/>
    <w:rsid w:val="00A70B5C"/>
    <w:rsid w:val="00A70C1E"/>
    <w:rsid w:val="00A70CB9"/>
    <w:rsid w:val="00A70D51"/>
    <w:rsid w:val="00A70EA6"/>
    <w:rsid w:val="00A70FAD"/>
    <w:rsid w:val="00A71043"/>
    <w:rsid w:val="00A7125F"/>
    <w:rsid w:val="00A715BA"/>
    <w:rsid w:val="00A71622"/>
    <w:rsid w:val="00A717E5"/>
    <w:rsid w:val="00A71872"/>
    <w:rsid w:val="00A71875"/>
    <w:rsid w:val="00A71F8E"/>
    <w:rsid w:val="00A71FB8"/>
    <w:rsid w:val="00A72073"/>
    <w:rsid w:val="00A72203"/>
    <w:rsid w:val="00A72308"/>
    <w:rsid w:val="00A7236C"/>
    <w:rsid w:val="00A723B3"/>
    <w:rsid w:val="00A724CF"/>
    <w:rsid w:val="00A72528"/>
    <w:rsid w:val="00A7260E"/>
    <w:rsid w:val="00A72628"/>
    <w:rsid w:val="00A726CD"/>
    <w:rsid w:val="00A7273E"/>
    <w:rsid w:val="00A72960"/>
    <w:rsid w:val="00A729AA"/>
    <w:rsid w:val="00A72A95"/>
    <w:rsid w:val="00A72C57"/>
    <w:rsid w:val="00A72D6F"/>
    <w:rsid w:val="00A72D8F"/>
    <w:rsid w:val="00A72E90"/>
    <w:rsid w:val="00A7305A"/>
    <w:rsid w:val="00A7316F"/>
    <w:rsid w:val="00A731B4"/>
    <w:rsid w:val="00A732E4"/>
    <w:rsid w:val="00A7348A"/>
    <w:rsid w:val="00A7377B"/>
    <w:rsid w:val="00A7387D"/>
    <w:rsid w:val="00A73B65"/>
    <w:rsid w:val="00A73C11"/>
    <w:rsid w:val="00A73C8E"/>
    <w:rsid w:val="00A73FA7"/>
    <w:rsid w:val="00A74172"/>
    <w:rsid w:val="00A744C0"/>
    <w:rsid w:val="00A747EF"/>
    <w:rsid w:val="00A74815"/>
    <w:rsid w:val="00A74A18"/>
    <w:rsid w:val="00A74C26"/>
    <w:rsid w:val="00A75228"/>
    <w:rsid w:val="00A756B9"/>
    <w:rsid w:val="00A756C8"/>
    <w:rsid w:val="00A7581B"/>
    <w:rsid w:val="00A7589B"/>
    <w:rsid w:val="00A75A6C"/>
    <w:rsid w:val="00A75E71"/>
    <w:rsid w:val="00A75EF4"/>
    <w:rsid w:val="00A7608F"/>
    <w:rsid w:val="00A76154"/>
    <w:rsid w:val="00A762EA"/>
    <w:rsid w:val="00A7630C"/>
    <w:rsid w:val="00A763C6"/>
    <w:rsid w:val="00A766F2"/>
    <w:rsid w:val="00A768CD"/>
    <w:rsid w:val="00A76A17"/>
    <w:rsid w:val="00A7704F"/>
    <w:rsid w:val="00A770F5"/>
    <w:rsid w:val="00A772A5"/>
    <w:rsid w:val="00A77349"/>
    <w:rsid w:val="00A7770B"/>
    <w:rsid w:val="00A77C6A"/>
    <w:rsid w:val="00A77CCE"/>
    <w:rsid w:val="00A8007D"/>
    <w:rsid w:val="00A8014F"/>
    <w:rsid w:val="00A8064A"/>
    <w:rsid w:val="00A80B6E"/>
    <w:rsid w:val="00A80BE4"/>
    <w:rsid w:val="00A80C6E"/>
    <w:rsid w:val="00A81004"/>
    <w:rsid w:val="00A810DB"/>
    <w:rsid w:val="00A81113"/>
    <w:rsid w:val="00A81220"/>
    <w:rsid w:val="00A8125C"/>
    <w:rsid w:val="00A812E3"/>
    <w:rsid w:val="00A813DA"/>
    <w:rsid w:val="00A81596"/>
    <w:rsid w:val="00A81A84"/>
    <w:rsid w:val="00A81C02"/>
    <w:rsid w:val="00A81DC3"/>
    <w:rsid w:val="00A81FE8"/>
    <w:rsid w:val="00A82012"/>
    <w:rsid w:val="00A8209D"/>
    <w:rsid w:val="00A820E2"/>
    <w:rsid w:val="00A82139"/>
    <w:rsid w:val="00A8235B"/>
    <w:rsid w:val="00A823E1"/>
    <w:rsid w:val="00A82605"/>
    <w:rsid w:val="00A82809"/>
    <w:rsid w:val="00A82851"/>
    <w:rsid w:val="00A82A78"/>
    <w:rsid w:val="00A82BF2"/>
    <w:rsid w:val="00A82C5E"/>
    <w:rsid w:val="00A82F4E"/>
    <w:rsid w:val="00A8328D"/>
    <w:rsid w:val="00A832DD"/>
    <w:rsid w:val="00A832E1"/>
    <w:rsid w:val="00A83492"/>
    <w:rsid w:val="00A83958"/>
    <w:rsid w:val="00A83A96"/>
    <w:rsid w:val="00A83DC8"/>
    <w:rsid w:val="00A83EE5"/>
    <w:rsid w:val="00A83FB1"/>
    <w:rsid w:val="00A83FF4"/>
    <w:rsid w:val="00A8418D"/>
    <w:rsid w:val="00A841FC"/>
    <w:rsid w:val="00A843D8"/>
    <w:rsid w:val="00A8453A"/>
    <w:rsid w:val="00A8484F"/>
    <w:rsid w:val="00A84AAF"/>
    <w:rsid w:val="00A84C75"/>
    <w:rsid w:val="00A8504E"/>
    <w:rsid w:val="00A850DE"/>
    <w:rsid w:val="00A8517E"/>
    <w:rsid w:val="00A85448"/>
    <w:rsid w:val="00A85584"/>
    <w:rsid w:val="00A85693"/>
    <w:rsid w:val="00A85AA7"/>
    <w:rsid w:val="00A85B1C"/>
    <w:rsid w:val="00A85D5C"/>
    <w:rsid w:val="00A8600B"/>
    <w:rsid w:val="00A8644D"/>
    <w:rsid w:val="00A8656D"/>
    <w:rsid w:val="00A86B54"/>
    <w:rsid w:val="00A86C01"/>
    <w:rsid w:val="00A86D37"/>
    <w:rsid w:val="00A872B5"/>
    <w:rsid w:val="00A87379"/>
    <w:rsid w:val="00A873D0"/>
    <w:rsid w:val="00A87623"/>
    <w:rsid w:val="00A87763"/>
    <w:rsid w:val="00A87E98"/>
    <w:rsid w:val="00A87EF1"/>
    <w:rsid w:val="00A87F00"/>
    <w:rsid w:val="00A87F35"/>
    <w:rsid w:val="00A90291"/>
    <w:rsid w:val="00A903A7"/>
    <w:rsid w:val="00A903E3"/>
    <w:rsid w:val="00A9053C"/>
    <w:rsid w:val="00A90653"/>
    <w:rsid w:val="00A9073B"/>
    <w:rsid w:val="00A90AC1"/>
    <w:rsid w:val="00A90C3D"/>
    <w:rsid w:val="00A90C56"/>
    <w:rsid w:val="00A90C8E"/>
    <w:rsid w:val="00A90F5F"/>
    <w:rsid w:val="00A91037"/>
    <w:rsid w:val="00A9104C"/>
    <w:rsid w:val="00A914A9"/>
    <w:rsid w:val="00A91638"/>
    <w:rsid w:val="00A9171B"/>
    <w:rsid w:val="00A91A5A"/>
    <w:rsid w:val="00A91B17"/>
    <w:rsid w:val="00A91C12"/>
    <w:rsid w:val="00A91CD4"/>
    <w:rsid w:val="00A91FB6"/>
    <w:rsid w:val="00A92127"/>
    <w:rsid w:val="00A921EF"/>
    <w:rsid w:val="00A92435"/>
    <w:rsid w:val="00A92593"/>
    <w:rsid w:val="00A92607"/>
    <w:rsid w:val="00A92800"/>
    <w:rsid w:val="00A928E4"/>
    <w:rsid w:val="00A92BF7"/>
    <w:rsid w:val="00A92D51"/>
    <w:rsid w:val="00A92DB7"/>
    <w:rsid w:val="00A92DF9"/>
    <w:rsid w:val="00A93047"/>
    <w:rsid w:val="00A930A8"/>
    <w:rsid w:val="00A930BF"/>
    <w:rsid w:val="00A93218"/>
    <w:rsid w:val="00A9327C"/>
    <w:rsid w:val="00A93309"/>
    <w:rsid w:val="00A9334E"/>
    <w:rsid w:val="00A93401"/>
    <w:rsid w:val="00A93533"/>
    <w:rsid w:val="00A9359B"/>
    <w:rsid w:val="00A93835"/>
    <w:rsid w:val="00A9393C"/>
    <w:rsid w:val="00A93950"/>
    <w:rsid w:val="00A9399C"/>
    <w:rsid w:val="00A939EC"/>
    <w:rsid w:val="00A93B0D"/>
    <w:rsid w:val="00A93B28"/>
    <w:rsid w:val="00A93B54"/>
    <w:rsid w:val="00A93BBF"/>
    <w:rsid w:val="00A93C7E"/>
    <w:rsid w:val="00A93D7D"/>
    <w:rsid w:val="00A93D97"/>
    <w:rsid w:val="00A940C2"/>
    <w:rsid w:val="00A941E2"/>
    <w:rsid w:val="00A94221"/>
    <w:rsid w:val="00A943BB"/>
    <w:rsid w:val="00A9441B"/>
    <w:rsid w:val="00A94477"/>
    <w:rsid w:val="00A944A8"/>
    <w:rsid w:val="00A944B9"/>
    <w:rsid w:val="00A944BA"/>
    <w:rsid w:val="00A945A7"/>
    <w:rsid w:val="00A9465F"/>
    <w:rsid w:val="00A9467D"/>
    <w:rsid w:val="00A9495C"/>
    <w:rsid w:val="00A94C0B"/>
    <w:rsid w:val="00A94CB4"/>
    <w:rsid w:val="00A94CC8"/>
    <w:rsid w:val="00A94F20"/>
    <w:rsid w:val="00A94F52"/>
    <w:rsid w:val="00A9516F"/>
    <w:rsid w:val="00A95299"/>
    <w:rsid w:val="00A9552B"/>
    <w:rsid w:val="00A95623"/>
    <w:rsid w:val="00A9575D"/>
    <w:rsid w:val="00A95791"/>
    <w:rsid w:val="00A957F6"/>
    <w:rsid w:val="00A95AC9"/>
    <w:rsid w:val="00A95C46"/>
    <w:rsid w:val="00A95D2A"/>
    <w:rsid w:val="00A95E5A"/>
    <w:rsid w:val="00A95EED"/>
    <w:rsid w:val="00A95F0E"/>
    <w:rsid w:val="00A9606A"/>
    <w:rsid w:val="00A96291"/>
    <w:rsid w:val="00A96369"/>
    <w:rsid w:val="00A963A8"/>
    <w:rsid w:val="00A96AFC"/>
    <w:rsid w:val="00A96C0D"/>
    <w:rsid w:val="00A96DC4"/>
    <w:rsid w:val="00A97160"/>
    <w:rsid w:val="00A97357"/>
    <w:rsid w:val="00A9747A"/>
    <w:rsid w:val="00A97704"/>
    <w:rsid w:val="00A97C53"/>
    <w:rsid w:val="00A97D13"/>
    <w:rsid w:val="00A97DC9"/>
    <w:rsid w:val="00A97E4E"/>
    <w:rsid w:val="00A97E66"/>
    <w:rsid w:val="00A97E70"/>
    <w:rsid w:val="00AA01D1"/>
    <w:rsid w:val="00AA035A"/>
    <w:rsid w:val="00AA0615"/>
    <w:rsid w:val="00AA07C8"/>
    <w:rsid w:val="00AA0A8F"/>
    <w:rsid w:val="00AA0B2D"/>
    <w:rsid w:val="00AA0C80"/>
    <w:rsid w:val="00AA0C93"/>
    <w:rsid w:val="00AA0CEA"/>
    <w:rsid w:val="00AA0D0D"/>
    <w:rsid w:val="00AA0D38"/>
    <w:rsid w:val="00AA0DC2"/>
    <w:rsid w:val="00AA108E"/>
    <w:rsid w:val="00AA115C"/>
    <w:rsid w:val="00AA1164"/>
    <w:rsid w:val="00AA1674"/>
    <w:rsid w:val="00AA16E2"/>
    <w:rsid w:val="00AA17A5"/>
    <w:rsid w:val="00AA1907"/>
    <w:rsid w:val="00AA1A2D"/>
    <w:rsid w:val="00AA1A5A"/>
    <w:rsid w:val="00AA1BCE"/>
    <w:rsid w:val="00AA1EA0"/>
    <w:rsid w:val="00AA1EB7"/>
    <w:rsid w:val="00AA1ED6"/>
    <w:rsid w:val="00AA1FD6"/>
    <w:rsid w:val="00AA20BA"/>
    <w:rsid w:val="00AA2122"/>
    <w:rsid w:val="00AA242D"/>
    <w:rsid w:val="00AA244C"/>
    <w:rsid w:val="00AA255F"/>
    <w:rsid w:val="00AA2565"/>
    <w:rsid w:val="00AA25F1"/>
    <w:rsid w:val="00AA2604"/>
    <w:rsid w:val="00AA2843"/>
    <w:rsid w:val="00AA2B10"/>
    <w:rsid w:val="00AA2C0D"/>
    <w:rsid w:val="00AA3102"/>
    <w:rsid w:val="00AA32A1"/>
    <w:rsid w:val="00AA3956"/>
    <w:rsid w:val="00AA3C48"/>
    <w:rsid w:val="00AA3EA2"/>
    <w:rsid w:val="00AA4157"/>
    <w:rsid w:val="00AA4194"/>
    <w:rsid w:val="00AA4304"/>
    <w:rsid w:val="00AA445E"/>
    <w:rsid w:val="00AA45AD"/>
    <w:rsid w:val="00AA45B3"/>
    <w:rsid w:val="00AA4624"/>
    <w:rsid w:val="00AA48DF"/>
    <w:rsid w:val="00AA4957"/>
    <w:rsid w:val="00AA4A93"/>
    <w:rsid w:val="00AA4AA2"/>
    <w:rsid w:val="00AA4AD4"/>
    <w:rsid w:val="00AA4C8C"/>
    <w:rsid w:val="00AA4CFB"/>
    <w:rsid w:val="00AA4D25"/>
    <w:rsid w:val="00AA4DFA"/>
    <w:rsid w:val="00AA5239"/>
    <w:rsid w:val="00AA54B4"/>
    <w:rsid w:val="00AA5964"/>
    <w:rsid w:val="00AA5978"/>
    <w:rsid w:val="00AA5CA7"/>
    <w:rsid w:val="00AA6141"/>
    <w:rsid w:val="00AA6291"/>
    <w:rsid w:val="00AA62FD"/>
    <w:rsid w:val="00AA63AE"/>
    <w:rsid w:val="00AA681A"/>
    <w:rsid w:val="00AA69E2"/>
    <w:rsid w:val="00AA6A3F"/>
    <w:rsid w:val="00AA6E33"/>
    <w:rsid w:val="00AA7043"/>
    <w:rsid w:val="00AA70C4"/>
    <w:rsid w:val="00AA7130"/>
    <w:rsid w:val="00AA7227"/>
    <w:rsid w:val="00AA729D"/>
    <w:rsid w:val="00AA72B9"/>
    <w:rsid w:val="00AA757C"/>
    <w:rsid w:val="00AA7AD2"/>
    <w:rsid w:val="00AA7BA1"/>
    <w:rsid w:val="00AA7CC7"/>
    <w:rsid w:val="00AA7D7E"/>
    <w:rsid w:val="00AA7F80"/>
    <w:rsid w:val="00AB017E"/>
    <w:rsid w:val="00AB03DF"/>
    <w:rsid w:val="00AB04ED"/>
    <w:rsid w:val="00AB060E"/>
    <w:rsid w:val="00AB065D"/>
    <w:rsid w:val="00AB098A"/>
    <w:rsid w:val="00AB0B99"/>
    <w:rsid w:val="00AB0C2F"/>
    <w:rsid w:val="00AB0E7D"/>
    <w:rsid w:val="00AB0E7F"/>
    <w:rsid w:val="00AB0F5B"/>
    <w:rsid w:val="00AB15D8"/>
    <w:rsid w:val="00AB164C"/>
    <w:rsid w:val="00AB1704"/>
    <w:rsid w:val="00AB188E"/>
    <w:rsid w:val="00AB18A6"/>
    <w:rsid w:val="00AB18F3"/>
    <w:rsid w:val="00AB1C97"/>
    <w:rsid w:val="00AB1FF1"/>
    <w:rsid w:val="00AB20DD"/>
    <w:rsid w:val="00AB21F3"/>
    <w:rsid w:val="00AB22A5"/>
    <w:rsid w:val="00AB2431"/>
    <w:rsid w:val="00AB24A9"/>
    <w:rsid w:val="00AB27F2"/>
    <w:rsid w:val="00AB2AE7"/>
    <w:rsid w:val="00AB2AFB"/>
    <w:rsid w:val="00AB2BF4"/>
    <w:rsid w:val="00AB2D25"/>
    <w:rsid w:val="00AB302A"/>
    <w:rsid w:val="00AB319B"/>
    <w:rsid w:val="00AB31C1"/>
    <w:rsid w:val="00AB349F"/>
    <w:rsid w:val="00AB350C"/>
    <w:rsid w:val="00AB3709"/>
    <w:rsid w:val="00AB3A58"/>
    <w:rsid w:val="00AB3BDA"/>
    <w:rsid w:val="00AB409C"/>
    <w:rsid w:val="00AB40E6"/>
    <w:rsid w:val="00AB411E"/>
    <w:rsid w:val="00AB4422"/>
    <w:rsid w:val="00AB4484"/>
    <w:rsid w:val="00AB4614"/>
    <w:rsid w:val="00AB47E9"/>
    <w:rsid w:val="00AB483E"/>
    <w:rsid w:val="00AB4B0E"/>
    <w:rsid w:val="00AB4D70"/>
    <w:rsid w:val="00AB4E97"/>
    <w:rsid w:val="00AB512A"/>
    <w:rsid w:val="00AB51E1"/>
    <w:rsid w:val="00AB541D"/>
    <w:rsid w:val="00AB560D"/>
    <w:rsid w:val="00AB5653"/>
    <w:rsid w:val="00AB59AD"/>
    <w:rsid w:val="00AB59CE"/>
    <w:rsid w:val="00AB5BB7"/>
    <w:rsid w:val="00AB5BBD"/>
    <w:rsid w:val="00AB5C84"/>
    <w:rsid w:val="00AB5DD7"/>
    <w:rsid w:val="00AB5EE9"/>
    <w:rsid w:val="00AB5F8D"/>
    <w:rsid w:val="00AB5FF3"/>
    <w:rsid w:val="00AB6601"/>
    <w:rsid w:val="00AB67B3"/>
    <w:rsid w:val="00AB67D2"/>
    <w:rsid w:val="00AB6998"/>
    <w:rsid w:val="00AB6CB4"/>
    <w:rsid w:val="00AB6CD1"/>
    <w:rsid w:val="00AB7232"/>
    <w:rsid w:val="00AB738A"/>
    <w:rsid w:val="00AB744A"/>
    <w:rsid w:val="00AB7463"/>
    <w:rsid w:val="00AB748E"/>
    <w:rsid w:val="00AB76A6"/>
    <w:rsid w:val="00AB77E1"/>
    <w:rsid w:val="00AB7A1B"/>
    <w:rsid w:val="00AB7A61"/>
    <w:rsid w:val="00AB7BA2"/>
    <w:rsid w:val="00AB7D0F"/>
    <w:rsid w:val="00AB7DDB"/>
    <w:rsid w:val="00AB7ED6"/>
    <w:rsid w:val="00AB7F72"/>
    <w:rsid w:val="00AB7FC8"/>
    <w:rsid w:val="00AC003D"/>
    <w:rsid w:val="00AC02B8"/>
    <w:rsid w:val="00AC045C"/>
    <w:rsid w:val="00AC0483"/>
    <w:rsid w:val="00AC0728"/>
    <w:rsid w:val="00AC0821"/>
    <w:rsid w:val="00AC0920"/>
    <w:rsid w:val="00AC0D3E"/>
    <w:rsid w:val="00AC102B"/>
    <w:rsid w:val="00AC1051"/>
    <w:rsid w:val="00AC117E"/>
    <w:rsid w:val="00AC1221"/>
    <w:rsid w:val="00AC12D5"/>
    <w:rsid w:val="00AC12EE"/>
    <w:rsid w:val="00AC13EE"/>
    <w:rsid w:val="00AC1639"/>
    <w:rsid w:val="00AC17B6"/>
    <w:rsid w:val="00AC1975"/>
    <w:rsid w:val="00AC198A"/>
    <w:rsid w:val="00AC1BD4"/>
    <w:rsid w:val="00AC1C0E"/>
    <w:rsid w:val="00AC1C2D"/>
    <w:rsid w:val="00AC1D1E"/>
    <w:rsid w:val="00AC1F3C"/>
    <w:rsid w:val="00AC1FB0"/>
    <w:rsid w:val="00AC20EA"/>
    <w:rsid w:val="00AC22BC"/>
    <w:rsid w:val="00AC242B"/>
    <w:rsid w:val="00AC24D9"/>
    <w:rsid w:val="00AC2502"/>
    <w:rsid w:val="00AC2717"/>
    <w:rsid w:val="00AC2759"/>
    <w:rsid w:val="00AC2B0E"/>
    <w:rsid w:val="00AC2D92"/>
    <w:rsid w:val="00AC3196"/>
    <w:rsid w:val="00AC3209"/>
    <w:rsid w:val="00AC32F9"/>
    <w:rsid w:val="00AC3617"/>
    <w:rsid w:val="00AC3633"/>
    <w:rsid w:val="00AC36A5"/>
    <w:rsid w:val="00AC3875"/>
    <w:rsid w:val="00AC38F4"/>
    <w:rsid w:val="00AC3948"/>
    <w:rsid w:val="00AC396F"/>
    <w:rsid w:val="00AC3A69"/>
    <w:rsid w:val="00AC3AC1"/>
    <w:rsid w:val="00AC3AC5"/>
    <w:rsid w:val="00AC3B70"/>
    <w:rsid w:val="00AC3D44"/>
    <w:rsid w:val="00AC3DF7"/>
    <w:rsid w:val="00AC4054"/>
    <w:rsid w:val="00AC4065"/>
    <w:rsid w:val="00AC40D5"/>
    <w:rsid w:val="00AC4220"/>
    <w:rsid w:val="00AC4B15"/>
    <w:rsid w:val="00AC4E0A"/>
    <w:rsid w:val="00AC52DC"/>
    <w:rsid w:val="00AC531A"/>
    <w:rsid w:val="00AC55A3"/>
    <w:rsid w:val="00AC5666"/>
    <w:rsid w:val="00AC58C5"/>
    <w:rsid w:val="00AC5983"/>
    <w:rsid w:val="00AC59A3"/>
    <w:rsid w:val="00AC5A8B"/>
    <w:rsid w:val="00AC5C95"/>
    <w:rsid w:val="00AC5EB6"/>
    <w:rsid w:val="00AC5F6A"/>
    <w:rsid w:val="00AC5FEA"/>
    <w:rsid w:val="00AC60A5"/>
    <w:rsid w:val="00AC613D"/>
    <w:rsid w:val="00AC6186"/>
    <w:rsid w:val="00AC61E3"/>
    <w:rsid w:val="00AC6420"/>
    <w:rsid w:val="00AC65E4"/>
    <w:rsid w:val="00AC6766"/>
    <w:rsid w:val="00AC67FE"/>
    <w:rsid w:val="00AC6AC0"/>
    <w:rsid w:val="00AC6B5B"/>
    <w:rsid w:val="00AC6BF2"/>
    <w:rsid w:val="00AC6DE9"/>
    <w:rsid w:val="00AC71BA"/>
    <w:rsid w:val="00AC72E5"/>
    <w:rsid w:val="00AC75FE"/>
    <w:rsid w:val="00AC767F"/>
    <w:rsid w:val="00AC7CBA"/>
    <w:rsid w:val="00AC7D5C"/>
    <w:rsid w:val="00AD0038"/>
    <w:rsid w:val="00AD02D5"/>
    <w:rsid w:val="00AD0519"/>
    <w:rsid w:val="00AD06B4"/>
    <w:rsid w:val="00AD0986"/>
    <w:rsid w:val="00AD0A6D"/>
    <w:rsid w:val="00AD0B13"/>
    <w:rsid w:val="00AD0D2C"/>
    <w:rsid w:val="00AD0DF1"/>
    <w:rsid w:val="00AD0EB2"/>
    <w:rsid w:val="00AD0EFC"/>
    <w:rsid w:val="00AD10CF"/>
    <w:rsid w:val="00AD12CA"/>
    <w:rsid w:val="00AD14EB"/>
    <w:rsid w:val="00AD181D"/>
    <w:rsid w:val="00AD195B"/>
    <w:rsid w:val="00AD1966"/>
    <w:rsid w:val="00AD1C9E"/>
    <w:rsid w:val="00AD2029"/>
    <w:rsid w:val="00AD215E"/>
    <w:rsid w:val="00AD22CA"/>
    <w:rsid w:val="00AD2321"/>
    <w:rsid w:val="00AD23BB"/>
    <w:rsid w:val="00AD2502"/>
    <w:rsid w:val="00AD2522"/>
    <w:rsid w:val="00AD2727"/>
    <w:rsid w:val="00AD2767"/>
    <w:rsid w:val="00AD2788"/>
    <w:rsid w:val="00AD29BC"/>
    <w:rsid w:val="00AD2A7A"/>
    <w:rsid w:val="00AD2AFA"/>
    <w:rsid w:val="00AD2C76"/>
    <w:rsid w:val="00AD2DE9"/>
    <w:rsid w:val="00AD2E78"/>
    <w:rsid w:val="00AD2FED"/>
    <w:rsid w:val="00AD30D7"/>
    <w:rsid w:val="00AD341B"/>
    <w:rsid w:val="00AD34C1"/>
    <w:rsid w:val="00AD3505"/>
    <w:rsid w:val="00AD35E6"/>
    <w:rsid w:val="00AD374F"/>
    <w:rsid w:val="00AD3786"/>
    <w:rsid w:val="00AD3D2F"/>
    <w:rsid w:val="00AD3EEE"/>
    <w:rsid w:val="00AD3EF3"/>
    <w:rsid w:val="00AD4210"/>
    <w:rsid w:val="00AD425E"/>
    <w:rsid w:val="00AD427B"/>
    <w:rsid w:val="00AD42A3"/>
    <w:rsid w:val="00AD43A5"/>
    <w:rsid w:val="00AD4570"/>
    <w:rsid w:val="00AD45C2"/>
    <w:rsid w:val="00AD47AA"/>
    <w:rsid w:val="00AD4EE7"/>
    <w:rsid w:val="00AD4EE9"/>
    <w:rsid w:val="00AD4F8E"/>
    <w:rsid w:val="00AD53C1"/>
    <w:rsid w:val="00AD5430"/>
    <w:rsid w:val="00AD586D"/>
    <w:rsid w:val="00AD589A"/>
    <w:rsid w:val="00AD5BDE"/>
    <w:rsid w:val="00AD5E0F"/>
    <w:rsid w:val="00AD60B0"/>
    <w:rsid w:val="00AD6303"/>
    <w:rsid w:val="00AD6543"/>
    <w:rsid w:val="00AD65DE"/>
    <w:rsid w:val="00AD6839"/>
    <w:rsid w:val="00AD68C2"/>
    <w:rsid w:val="00AD6925"/>
    <w:rsid w:val="00AD694C"/>
    <w:rsid w:val="00AD69B3"/>
    <w:rsid w:val="00AD6CD9"/>
    <w:rsid w:val="00AD6D7C"/>
    <w:rsid w:val="00AD7051"/>
    <w:rsid w:val="00AD7212"/>
    <w:rsid w:val="00AD7395"/>
    <w:rsid w:val="00AD776A"/>
    <w:rsid w:val="00AD7814"/>
    <w:rsid w:val="00AD799B"/>
    <w:rsid w:val="00AD7BEF"/>
    <w:rsid w:val="00AD7C9A"/>
    <w:rsid w:val="00AD7DA6"/>
    <w:rsid w:val="00AD7E38"/>
    <w:rsid w:val="00AD7F07"/>
    <w:rsid w:val="00AD7FBC"/>
    <w:rsid w:val="00AE00D1"/>
    <w:rsid w:val="00AE0287"/>
    <w:rsid w:val="00AE08B0"/>
    <w:rsid w:val="00AE0AAE"/>
    <w:rsid w:val="00AE0C6C"/>
    <w:rsid w:val="00AE0E49"/>
    <w:rsid w:val="00AE1004"/>
    <w:rsid w:val="00AE113A"/>
    <w:rsid w:val="00AE1163"/>
    <w:rsid w:val="00AE1511"/>
    <w:rsid w:val="00AE1544"/>
    <w:rsid w:val="00AE1568"/>
    <w:rsid w:val="00AE15AD"/>
    <w:rsid w:val="00AE15E8"/>
    <w:rsid w:val="00AE168F"/>
    <w:rsid w:val="00AE16F0"/>
    <w:rsid w:val="00AE176F"/>
    <w:rsid w:val="00AE17E7"/>
    <w:rsid w:val="00AE17F6"/>
    <w:rsid w:val="00AE180A"/>
    <w:rsid w:val="00AE1CB4"/>
    <w:rsid w:val="00AE1CC3"/>
    <w:rsid w:val="00AE1DDE"/>
    <w:rsid w:val="00AE1F04"/>
    <w:rsid w:val="00AE232F"/>
    <w:rsid w:val="00AE23A8"/>
    <w:rsid w:val="00AE2465"/>
    <w:rsid w:val="00AE257E"/>
    <w:rsid w:val="00AE29FE"/>
    <w:rsid w:val="00AE2A80"/>
    <w:rsid w:val="00AE2AA6"/>
    <w:rsid w:val="00AE2B7F"/>
    <w:rsid w:val="00AE2DF8"/>
    <w:rsid w:val="00AE2F90"/>
    <w:rsid w:val="00AE2FC6"/>
    <w:rsid w:val="00AE2FF3"/>
    <w:rsid w:val="00AE336A"/>
    <w:rsid w:val="00AE3453"/>
    <w:rsid w:val="00AE3542"/>
    <w:rsid w:val="00AE3685"/>
    <w:rsid w:val="00AE3811"/>
    <w:rsid w:val="00AE39C4"/>
    <w:rsid w:val="00AE3C74"/>
    <w:rsid w:val="00AE3CBE"/>
    <w:rsid w:val="00AE3DC7"/>
    <w:rsid w:val="00AE44D6"/>
    <w:rsid w:val="00AE4D02"/>
    <w:rsid w:val="00AE4D09"/>
    <w:rsid w:val="00AE4D3E"/>
    <w:rsid w:val="00AE4E07"/>
    <w:rsid w:val="00AE4E0A"/>
    <w:rsid w:val="00AE4F38"/>
    <w:rsid w:val="00AE500B"/>
    <w:rsid w:val="00AE5149"/>
    <w:rsid w:val="00AE524D"/>
    <w:rsid w:val="00AE52D2"/>
    <w:rsid w:val="00AE53A6"/>
    <w:rsid w:val="00AE543C"/>
    <w:rsid w:val="00AE583A"/>
    <w:rsid w:val="00AE5952"/>
    <w:rsid w:val="00AE5A4F"/>
    <w:rsid w:val="00AE5C4F"/>
    <w:rsid w:val="00AE5C84"/>
    <w:rsid w:val="00AE61DD"/>
    <w:rsid w:val="00AE6266"/>
    <w:rsid w:val="00AE62AD"/>
    <w:rsid w:val="00AE630F"/>
    <w:rsid w:val="00AE63AB"/>
    <w:rsid w:val="00AE662B"/>
    <w:rsid w:val="00AE68B0"/>
    <w:rsid w:val="00AE691A"/>
    <w:rsid w:val="00AE6936"/>
    <w:rsid w:val="00AE6EE1"/>
    <w:rsid w:val="00AE7010"/>
    <w:rsid w:val="00AE791B"/>
    <w:rsid w:val="00AE7992"/>
    <w:rsid w:val="00AE7A01"/>
    <w:rsid w:val="00AE7A14"/>
    <w:rsid w:val="00AE7C74"/>
    <w:rsid w:val="00AE7F01"/>
    <w:rsid w:val="00AF0180"/>
    <w:rsid w:val="00AF0592"/>
    <w:rsid w:val="00AF0740"/>
    <w:rsid w:val="00AF0827"/>
    <w:rsid w:val="00AF0835"/>
    <w:rsid w:val="00AF083A"/>
    <w:rsid w:val="00AF09AD"/>
    <w:rsid w:val="00AF0C63"/>
    <w:rsid w:val="00AF0C8D"/>
    <w:rsid w:val="00AF0D6B"/>
    <w:rsid w:val="00AF0F80"/>
    <w:rsid w:val="00AF113C"/>
    <w:rsid w:val="00AF1166"/>
    <w:rsid w:val="00AF118D"/>
    <w:rsid w:val="00AF1321"/>
    <w:rsid w:val="00AF1590"/>
    <w:rsid w:val="00AF15F6"/>
    <w:rsid w:val="00AF17E8"/>
    <w:rsid w:val="00AF1926"/>
    <w:rsid w:val="00AF19C1"/>
    <w:rsid w:val="00AF1B36"/>
    <w:rsid w:val="00AF1B7E"/>
    <w:rsid w:val="00AF1E22"/>
    <w:rsid w:val="00AF1F23"/>
    <w:rsid w:val="00AF2070"/>
    <w:rsid w:val="00AF2092"/>
    <w:rsid w:val="00AF20CD"/>
    <w:rsid w:val="00AF2197"/>
    <w:rsid w:val="00AF232E"/>
    <w:rsid w:val="00AF24B0"/>
    <w:rsid w:val="00AF26AB"/>
    <w:rsid w:val="00AF27CB"/>
    <w:rsid w:val="00AF27F5"/>
    <w:rsid w:val="00AF27F9"/>
    <w:rsid w:val="00AF28CE"/>
    <w:rsid w:val="00AF2996"/>
    <w:rsid w:val="00AF29D3"/>
    <w:rsid w:val="00AF2A75"/>
    <w:rsid w:val="00AF2ACE"/>
    <w:rsid w:val="00AF2D55"/>
    <w:rsid w:val="00AF2D8C"/>
    <w:rsid w:val="00AF2ED5"/>
    <w:rsid w:val="00AF36C4"/>
    <w:rsid w:val="00AF3766"/>
    <w:rsid w:val="00AF3771"/>
    <w:rsid w:val="00AF37B6"/>
    <w:rsid w:val="00AF3B83"/>
    <w:rsid w:val="00AF3BA4"/>
    <w:rsid w:val="00AF3D4F"/>
    <w:rsid w:val="00AF3EE7"/>
    <w:rsid w:val="00AF40EA"/>
    <w:rsid w:val="00AF4157"/>
    <w:rsid w:val="00AF41A9"/>
    <w:rsid w:val="00AF429A"/>
    <w:rsid w:val="00AF42F0"/>
    <w:rsid w:val="00AF4669"/>
    <w:rsid w:val="00AF47EC"/>
    <w:rsid w:val="00AF489E"/>
    <w:rsid w:val="00AF4D3E"/>
    <w:rsid w:val="00AF4D85"/>
    <w:rsid w:val="00AF4DDF"/>
    <w:rsid w:val="00AF51AC"/>
    <w:rsid w:val="00AF51F4"/>
    <w:rsid w:val="00AF52DE"/>
    <w:rsid w:val="00AF53DA"/>
    <w:rsid w:val="00AF5469"/>
    <w:rsid w:val="00AF5518"/>
    <w:rsid w:val="00AF5579"/>
    <w:rsid w:val="00AF5584"/>
    <w:rsid w:val="00AF5650"/>
    <w:rsid w:val="00AF5722"/>
    <w:rsid w:val="00AF5BFA"/>
    <w:rsid w:val="00AF5C9E"/>
    <w:rsid w:val="00AF5CCF"/>
    <w:rsid w:val="00AF5E56"/>
    <w:rsid w:val="00AF5F95"/>
    <w:rsid w:val="00AF5FAC"/>
    <w:rsid w:val="00AF60B8"/>
    <w:rsid w:val="00AF631E"/>
    <w:rsid w:val="00AF66A6"/>
    <w:rsid w:val="00AF6AA2"/>
    <w:rsid w:val="00AF6B23"/>
    <w:rsid w:val="00AF6CD9"/>
    <w:rsid w:val="00AF6F5C"/>
    <w:rsid w:val="00AF73EF"/>
    <w:rsid w:val="00AF7438"/>
    <w:rsid w:val="00AF74A8"/>
    <w:rsid w:val="00AF759D"/>
    <w:rsid w:val="00AF76A5"/>
    <w:rsid w:val="00AF780A"/>
    <w:rsid w:val="00AF7814"/>
    <w:rsid w:val="00AF7857"/>
    <w:rsid w:val="00AF786A"/>
    <w:rsid w:val="00AF7998"/>
    <w:rsid w:val="00AF7F3E"/>
    <w:rsid w:val="00B0015C"/>
    <w:rsid w:val="00B00223"/>
    <w:rsid w:val="00B0039C"/>
    <w:rsid w:val="00B005DB"/>
    <w:rsid w:val="00B00A66"/>
    <w:rsid w:val="00B00B2C"/>
    <w:rsid w:val="00B00C18"/>
    <w:rsid w:val="00B00D51"/>
    <w:rsid w:val="00B00D81"/>
    <w:rsid w:val="00B00D93"/>
    <w:rsid w:val="00B00E0E"/>
    <w:rsid w:val="00B00E93"/>
    <w:rsid w:val="00B00F51"/>
    <w:rsid w:val="00B01186"/>
    <w:rsid w:val="00B0121D"/>
    <w:rsid w:val="00B014B6"/>
    <w:rsid w:val="00B01753"/>
    <w:rsid w:val="00B018E1"/>
    <w:rsid w:val="00B0199D"/>
    <w:rsid w:val="00B01D4B"/>
    <w:rsid w:val="00B01D68"/>
    <w:rsid w:val="00B01E1A"/>
    <w:rsid w:val="00B01E71"/>
    <w:rsid w:val="00B02290"/>
    <w:rsid w:val="00B02340"/>
    <w:rsid w:val="00B023F4"/>
    <w:rsid w:val="00B02429"/>
    <w:rsid w:val="00B02432"/>
    <w:rsid w:val="00B02447"/>
    <w:rsid w:val="00B02631"/>
    <w:rsid w:val="00B027CF"/>
    <w:rsid w:val="00B02811"/>
    <w:rsid w:val="00B02862"/>
    <w:rsid w:val="00B02885"/>
    <w:rsid w:val="00B029AF"/>
    <w:rsid w:val="00B02A16"/>
    <w:rsid w:val="00B031FB"/>
    <w:rsid w:val="00B032F4"/>
    <w:rsid w:val="00B032F7"/>
    <w:rsid w:val="00B033F0"/>
    <w:rsid w:val="00B034F4"/>
    <w:rsid w:val="00B03670"/>
    <w:rsid w:val="00B0388D"/>
    <w:rsid w:val="00B03926"/>
    <w:rsid w:val="00B03AC3"/>
    <w:rsid w:val="00B03B03"/>
    <w:rsid w:val="00B03C97"/>
    <w:rsid w:val="00B03DD6"/>
    <w:rsid w:val="00B044E2"/>
    <w:rsid w:val="00B04566"/>
    <w:rsid w:val="00B04571"/>
    <w:rsid w:val="00B04700"/>
    <w:rsid w:val="00B04881"/>
    <w:rsid w:val="00B04930"/>
    <w:rsid w:val="00B04BCF"/>
    <w:rsid w:val="00B04D11"/>
    <w:rsid w:val="00B04D52"/>
    <w:rsid w:val="00B04E28"/>
    <w:rsid w:val="00B04F94"/>
    <w:rsid w:val="00B04FD5"/>
    <w:rsid w:val="00B05171"/>
    <w:rsid w:val="00B051CC"/>
    <w:rsid w:val="00B051DB"/>
    <w:rsid w:val="00B0524A"/>
    <w:rsid w:val="00B05548"/>
    <w:rsid w:val="00B05551"/>
    <w:rsid w:val="00B055A2"/>
    <w:rsid w:val="00B055CC"/>
    <w:rsid w:val="00B0564B"/>
    <w:rsid w:val="00B05665"/>
    <w:rsid w:val="00B05A87"/>
    <w:rsid w:val="00B05A89"/>
    <w:rsid w:val="00B05AC4"/>
    <w:rsid w:val="00B05B7A"/>
    <w:rsid w:val="00B05BFF"/>
    <w:rsid w:val="00B05FCF"/>
    <w:rsid w:val="00B05FE9"/>
    <w:rsid w:val="00B0621C"/>
    <w:rsid w:val="00B06367"/>
    <w:rsid w:val="00B06651"/>
    <w:rsid w:val="00B0681E"/>
    <w:rsid w:val="00B06984"/>
    <w:rsid w:val="00B0698A"/>
    <w:rsid w:val="00B06CCE"/>
    <w:rsid w:val="00B0724B"/>
    <w:rsid w:val="00B072B9"/>
    <w:rsid w:val="00B073F4"/>
    <w:rsid w:val="00B07401"/>
    <w:rsid w:val="00B07517"/>
    <w:rsid w:val="00B07A3E"/>
    <w:rsid w:val="00B07B56"/>
    <w:rsid w:val="00B07BC3"/>
    <w:rsid w:val="00B07CB8"/>
    <w:rsid w:val="00B07CCD"/>
    <w:rsid w:val="00B07D72"/>
    <w:rsid w:val="00B07E28"/>
    <w:rsid w:val="00B1018E"/>
    <w:rsid w:val="00B103F8"/>
    <w:rsid w:val="00B10764"/>
    <w:rsid w:val="00B107C8"/>
    <w:rsid w:val="00B10A2C"/>
    <w:rsid w:val="00B11090"/>
    <w:rsid w:val="00B11285"/>
    <w:rsid w:val="00B11395"/>
    <w:rsid w:val="00B11923"/>
    <w:rsid w:val="00B119B9"/>
    <w:rsid w:val="00B11AB5"/>
    <w:rsid w:val="00B11BB6"/>
    <w:rsid w:val="00B11D04"/>
    <w:rsid w:val="00B11D76"/>
    <w:rsid w:val="00B12028"/>
    <w:rsid w:val="00B124A3"/>
    <w:rsid w:val="00B127F5"/>
    <w:rsid w:val="00B128DF"/>
    <w:rsid w:val="00B12B3A"/>
    <w:rsid w:val="00B12BCB"/>
    <w:rsid w:val="00B12D04"/>
    <w:rsid w:val="00B12D53"/>
    <w:rsid w:val="00B1324A"/>
    <w:rsid w:val="00B134B8"/>
    <w:rsid w:val="00B1362F"/>
    <w:rsid w:val="00B13739"/>
    <w:rsid w:val="00B13944"/>
    <w:rsid w:val="00B13CC0"/>
    <w:rsid w:val="00B13D41"/>
    <w:rsid w:val="00B14132"/>
    <w:rsid w:val="00B142E8"/>
    <w:rsid w:val="00B14404"/>
    <w:rsid w:val="00B14438"/>
    <w:rsid w:val="00B14461"/>
    <w:rsid w:val="00B14467"/>
    <w:rsid w:val="00B1446B"/>
    <w:rsid w:val="00B14543"/>
    <w:rsid w:val="00B14789"/>
    <w:rsid w:val="00B149F1"/>
    <w:rsid w:val="00B14A34"/>
    <w:rsid w:val="00B14B41"/>
    <w:rsid w:val="00B14E63"/>
    <w:rsid w:val="00B14E99"/>
    <w:rsid w:val="00B14F3C"/>
    <w:rsid w:val="00B1549C"/>
    <w:rsid w:val="00B1575A"/>
    <w:rsid w:val="00B15958"/>
    <w:rsid w:val="00B15B38"/>
    <w:rsid w:val="00B15B8A"/>
    <w:rsid w:val="00B15EFF"/>
    <w:rsid w:val="00B15F43"/>
    <w:rsid w:val="00B1604A"/>
    <w:rsid w:val="00B160B2"/>
    <w:rsid w:val="00B161C1"/>
    <w:rsid w:val="00B16209"/>
    <w:rsid w:val="00B16312"/>
    <w:rsid w:val="00B1640F"/>
    <w:rsid w:val="00B164DF"/>
    <w:rsid w:val="00B165BA"/>
    <w:rsid w:val="00B16636"/>
    <w:rsid w:val="00B1687D"/>
    <w:rsid w:val="00B1690F"/>
    <w:rsid w:val="00B16D57"/>
    <w:rsid w:val="00B16EDC"/>
    <w:rsid w:val="00B16EE7"/>
    <w:rsid w:val="00B16F3E"/>
    <w:rsid w:val="00B170F7"/>
    <w:rsid w:val="00B1710D"/>
    <w:rsid w:val="00B172E9"/>
    <w:rsid w:val="00B17454"/>
    <w:rsid w:val="00B17667"/>
    <w:rsid w:val="00B176B9"/>
    <w:rsid w:val="00B17709"/>
    <w:rsid w:val="00B177F4"/>
    <w:rsid w:val="00B179DE"/>
    <w:rsid w:val="00B17C3C"/>
    <w:rsid w:val="00B200C1"/>
    <w:rsid w:val="00B201D9"/>
    <w:rsid w:val="00B2020D"/>
    <w:rsid w:val="00B20259"/>
    <w:rsid w:val="00B202B5"/>
    <w:rsid w:val="00B20836"/>
    <w:rsid w:val="00B20A94"/>
    <w:rsid w:val="00B21083"/>
    <w:rsid w:val="00B2114C"/>
    <w:rsid w:val="00B2136F"/>
    <w:rsid w:val="00B214C6"/>
    <w:rsid w:val="00B21589"/>
    <w:rsid w:val="00B216AB"/>
    <w:rsid w:val="00B216FB"/>
    <w:rsid w:val="00B21A12"/>
    <w:rsid w:val="00B21A89"/>
    <w:rsid w:val="00B21D1B"/>
    <w:rsid w:val="00B21D38"/>
    <w:rsid w:val="00B21EAC"/>
    <w:rsid w:val="00B21F95"/>
    <w:rsid w:val="00B21FDF"/>
    <w:rsid w:val="00B220EE"/>
    <w:rsid w:val="00B2227B"/>
    <w:rsid w:val="00B223A4"/>
    <w:rsid w:val="00B22400"/>
    <w:rsid w:val="00B2248E"/>
    <w:rsid w:val="00B224F2"/>
    <w:rsid w:val="00B225C8"/>
    <w:rsid w:val="00B2285C"/>
    <w:rsid w:val="00B229A2"/>
    <w:rsid w:val="00B229B9"/>
    <w:rsid w:val="00B22B59"/>
    <w:rsid w:val="00B22D28"/>
    <w:rsid w:val="00B22E05"/>
    <w:rsid w:val="00B22EB7"/>
    <w:rsid w:val="00B22FF4"/>
    <w:rsid w:val="00B231E3"/>
    <w:rsid w:val="00B23243"/>
    <w:rsid w:val="00B232A5"/>
    <w:rsid w:val="00B2351F"/>
    <w:rsid w:val="00B2355F"/>
    <w:rsid w:val="00B23658"/>
    <w:rsid w:val="00B23756"/>
    <w:rsid w:val="00B239A0"/>
    <w:rsid w:val="00B239AD"/>
    <w:rsid w:val="00B23AE1"/>
    <w:rsid w:val="00B23BFA"/>
    <w:rsid w:val="00B23CD0"/>
    <w:rsid w:val="00B24087"/>
    <w:rsid w:val="00B240BE"/>
    <w:rsid w:val="00B24196"/>
    <w:rsid w:val="00B2420F"/>
    <w:rsid w:val="00B24617"/>
    <w:rsid w:val="00B24736"/>
    <w:rsid w:val="00B24C77"/>
    <w:rsid w:val="00B24E5F"/>
    <w:rsid w:val="00B251FD"/>
    <w:rsid w:val="00B25315"/>
    <w:rsid w:val="00B25450"/>
    <w:rsid w:val="00B2548B"/>
    <w:rsid w:val="00B254B0"/>
    <w:rsid w:val="00B25538"/>
    <w:rsid w:val="00B25560"/>
    <w:rsid w:val="00B25B5A"/>
    <w:rsid w:val="00B25B9B"/>
    <w:rsid w:val="00B25CEC"/>
    <w:rsid w:val="00B25F3D"/>
    <w:rsid w:val="00B26190"/>
    <w:rsid w:val="00B26233"/>
    <w:rsid w:val="00B262B3"/>
    <w:rsid w:val="00B2638B"/>
    <w:rsid w:val="00B26527"/>
    <w:rsid w:val="00B26895"/>
    <w:rsid w:val="00B26B45"/>
    <w:rsid w:val="00B26D50"/>
    <w:rsid w:val="00B2723B"/>
    <w:rsid w:val="00B274C3"/>
    <w:rsid w:val="00B27506"/>
    <w:rsid w:val="00B27672"/>
    <w:rsid w:val="00B276AE"/>
    <w:rsid w:val="00B278FA"/>
    <w:rsid w:val="00B2793C"/>
    <w:rsid w:val="00B2797F"/>
    <w:rsid w:val="00B27AF4"/>
    <w:rsid w:val="00B27C01"/>
    <w:rsid w:val="00B27CFD"/>
    <w:rsid w:val="00B30290"/>
    <w:rsid w:val="00B302CF"/>
    <w:rsid w:val="00B302E3"/>
    <w:rsid w:val="00B302FE"/>
    <w:rsid w:val="00B30A75"/>
    <w:rsid w:val="00B30B4C"/>
    <w:rsid w:val="00B310BC"/>
    <w:rsid w:val="00B313D1"/>
    <w:rsid w:val="00B31494"/>
    <w:rsid w:val="00B315B0"/>
    <w:rsid w:val="00B315B4"/>
    <w:rsid w:val="00B31868"/>
    <w:rsid w:val="00B31A62"/>
    <w:rsid w:val="00B31F80"/>
    <w:rsid w:val="00B31FC3"/>
    <w:rsid w:val="00B3205C"/>
    <w:rsid w:val="00B320AF"/>
    <w:rsid w:val="00B321B0"/>
    <w:rsid w:val="00B32377"/>
    <w:rsid w:val="00B323D0"/>
    <w:rsid w:val="00B325AE"/>
    <w:rsid w:val="00B326A7"/>
    <w:rsid w:val="00B32969"/>
    <w:rsid w:val="00B32ECF"/>
    <w:rsid w:val="00B33032"/>
    <w:rsid w:val="00B330D8"/>
    <w:rsid w:val="00B33186"/>
    <w:rsid w:val="00B3319D"/>
    <w:rsid w:val="00B332CE"/>
    <w:rsid w:val="00B3334C"/>
    <w:rsid w:val="00B3338B"/>
    <w:rsid w:val="00B333F6"/>
    <w:rsid w:val="00B33533"/>
    <w:rsid w:val="00B33787"/>
    <w:rsid w:val="00B337CD"/>
    <w:rsid w:val="00B33FA5"/>
    <w:rsid w:val="00B34323"/>
    <w:rsid w:val="00B34556"/>
    <w:rsid w:val="00B3456B"/>
    <w:rsid w:val="00B348DF"/>
    <w:rsid w:val="00B34B0D"/>
    <w:rsid w:val="00B34BBD"/>
    <w:rsid w:val="00B34C93"/>
    <w:rsid w:val="00B34D0A"/>
    <w:rsid w:val="00B34D42"/>
    <w:rsid w:val="00B34F77"/>
    <w:rsid w:val="00B351A9"/>
    <w:rsid w:val="00B35219"/>
    <w:rsid w:val="00B35282"/>
    <w:rsid w:val="00B35439"/>
    <w:rsid w:val="00B35469"/>
    <w:rsid w:val="00B3577B"/>
    <w:rsid w:val="00B3583B"/>
    <w:rsid w:val="00B3593A"/>
    <w:rsid w:val="00B35C6C"/>
    <w:rsid w:val="00B35FED"/>
    <w:rsid w:val="00B36056"/>
    <w:rsid w:val="00B3612A"/>
    <w:rsid w:val="00B361EC"/>
    <w:rsid w:val="00B36334"/>
    <w:rsid w:val="00B36375"/>
    <w:rsid w:val="00B363AB"/>
    <w:rsid w:val="00B363D3"/>
    <w:rsid w:val="00B3644F"/>
    <w:rsid w:val="00B36671"/>
    <w:rsid w:val="00B367DC"/>
    <w:rsid w:val="00B36810"/>
    <w:rsid w:val="00B36918"/>
    <w:rsid w:val="00B36E26"/>
    <w:rsid w:val="00B36FD1"/>
    <w:rsid w:val="00B37063"/>
    <w:rsid w:val="00B3720B"/>
    <w:rsid w:val="00B37225"/>
    <w:rsid w:val="00B374DC"/>
    <w:rsid w:val="00B377B3"/>
    <w:rsid w:val="00B37A03"/>
    <w:rsid w:val="00B37A70"/>
    <w:rsid w:val="00B37A8F"/>
    <w:rsid w:val="00B37B0F"/>
    <w:rsid w:val="00B37B7E"/>
    <w:rsid w:val="00B37C10"/>
    <w:rsid w:val="00B37C9A"/>
    <w:rsid w:val="00B37CF9"/>
    <w:rsid w:val="00B37F2D"/>
    <w:rsid w:val="00B37FEF"/>
    <w:rsid w:val="00B4009B"/>
    <w:rsid w:val="00B40173"/>
    <w:rsid w:val="00B401E0"/>
    <w:rsid w:val="00B40231"/>
    <w:rsid w:val="00B402FD"/>
    <w:rsid w:val="00B405D5"/>
    <w:rsid w:val="00B406AC"/>
    <w:rsid w:val="00B406DE"/>
    <w:rsid w:val="00B40BFC"/>
    <w:rsid w:val="00B40D76"/>
    <w:rsid w:val="00B40EDA"/>
    <w:rsid w:val="00B40F56"/>
    <w:rsid w:val="00B4123F"/>
    <w:rsid w:val="00B41556"/>
    <w:rsid w:val="00B415B6"/>
    <w:rsid w:val="00B41730"/>
    <w:rsid w:val="00B4178E"/>
    <w:rsid w:val="00B41865"/>
    <w:rsid w:val="00B41895"/>
    <w:rsid w:val="00B41A95"/>
    <w:rsid w:val="00B41D27"/>
    <w:rsid w:val="00B420A2"/>
    <w:rsid w:val="00B4210C"/>
    <w:rsid w:val="00B4227D"/>
    <w:rsid w:val="00B42292"/>
    <w:rsid w:val="00B42476"/>
    <w:rsid w:val="00B42EAB"/>
    <w:rsid w:val="00B431C4"/>
    <w:rsid w:val="00B43748"/>
    <w:rsid w:val="00B43BED"/>
    <w:rsid w:val="00B43C94"/>
    <w:rsid w:val="00B43D27"/>
    <w:rsid w:val="00B43D28"/>
    <w:rsid w:val="00B43D6B"/>
    <w:rsid w:val="00B43DEF"/>
    <w:rsid w:val="00B43E09"/>
    <w:rsid w:val="00B4438C"/>
    <w:rsid w:val="00B4457A"/>
    <w:rsid w:val="00B44AD3"/>
    <w:rsid w:val="00B44B62"/>
    <w:rsid w:val="00B44C38"/>
    <w:rsid w:val="00B44E06"/>
    <w:rsid w:val="00B44E5E"/>
    <w:rsid w:val="00B44E7E"/>
    <w:rsid w:val="00B44F3C"/>
    <w:rsid w:val="00B450BB"/>
    <w:rsid w:val="00B450CA"/>
    <w:rsid w:val="00B452B1"/>
    <w:rsid w:val="00B45456"/>
    <w:rsid w:val="00B4584D"/>
    <w:rsid w:val="00B45BED"/>
    <w:rsid w:val="00B45F40"/>
    <w:rsid w:val="00B4600F"/>
    <w:rsid w:val="00B46180"/>
    <w:rsid w:val="00B4647C"/>
    <w:rsid w:val="00B4665C"/>
    <w:rsid w:val="00B46930"/>
    <w:rsid w:val="00B469A1"/>
    <w:rsid w:val="00B469AA"/>
    <w:rsid w:val="00B469B4"/>
    <w:rsid w:val="00B46A8D"/>
    <w:rsid w:val="00B46A92"/>
    <w:rsid w:val="00B46DDA"/>
    <w:rsid w:val="00B46E6A"/>
    <w:rsid w:val="00B46E9D"/>
    <w:rsid w:val="00B47096"/>
    <w:rsid w:val="00B4739C"/>
    <w:rsid w:val="00B473C0"/>
    <w:rsid w:val="00B47461"/>
    <w:rsid w:val="00B47533"/>
    <w:rsid w:val="00B47755"/>
    <w:rsid w:val="00B47B9B"/>
    <w:rsid w:val="00B47BE3"/>
    <w:rsid w:val="00B47C2A"/>
    <w:rsid w:val="00B47E83"/>
    <w:rsid w:val="00B47F0B"/>
    <w:rsid w:val="00B47FA0"/>
    <w:rsid w:val="00B500DC"/>
    <w:rsid w:val="00B5023D"/>
    <w:rsid w:val="00B50272"/>
    <w:rsid w:val="00B502D9"/>
    <w:rsid w:val="00B506AB"/>
    <w:rsid w:val="00B506BE"/>
    <w:rsid w:val="00B50A97"/>
    <w:rsid w:val="00B50E61"/>
    <w:rsid w:val="00B50FB1"/>
    <w:rsid w:val="00B50FF6"/>
    <w:rsid w:val="00B510D7"/>
    <w:rsid w:val="00B51241"/>
    <w:rsid w:val="00B51706"/>
    <w:rsid w:val="00B517D9"/>
    <w:rsid w:val="00B518C3"/>
    <w:rsid w:val="00B518FE"/>
    <w:rsid w:val="00B51926"/>
    <w:rsid w:val="00B519A7"/>
    <w:rsid w:val="00B51A9D"/>
    <w:rsid w:val="00B51B0E"/>
    <w:rsid w:val="00B51B44"/>
    <w:rsid w:val="00B51BA1"/>
    <w:rsid w:val="00B51BB2"/>
    <w:rsid w:val="00B51C14"/>
    <w:rsid w:val="00B520BC"/>
    <w:rsid w:val="00B52198"/>
    <w:rsid w:val="00B523C0"/>
    <w:rsid w:val="00B524CB"/>
    <w:rsid w:val="00B52709"/>
    <w:rsid w:val="00B52937"/>
    <w:rsid w:val="00B52A85"/>
    <w:rsid w:val="00B52CAC"/>
    <w:rsid w:val="00B52E1E"/>
    <w:rsid w:val="00B52EB2"/>
    <w:rsid w:val="00B53044"/>
    <w:rsid w:val="00B53048"/>
    <w:rsid w:val="00B530DB"/>
    <w:rsid w:val="00B53214"/>
    <w:rsid w:val="00B53288"/>
    <w:rsid w:val="00B535A1"/>
    <w:rsid w:val="00B537C2"/>
    <w:rsid w:val="00B538E8"/>
    <w:rsid w:val="00B53931"/>
    <w:rsid w:val="00B5394C"/>
    <w:rsid w:val="00B53970"/>
    <w:rsid w:val="00B53A37"/>
    <w:rsid w:val="00B53AB2"/>
    <w:rsid w:val="00B53DD1"/>
    <w:rsid w:val="00B54022"/>
    <w:rsid w:val="00B54046"/>
    <w:rsid w:val="00B54067"/>
    <w:rsid w:val="00B5428E"/>
    <w:rsid w:val="00B54357"/>
    <w:rsid w:val="00B543DF"/>
    <w:rsid w:val="00B54417"/>
    <w:rsid w:val="00B5460D"/>
    <w:rsid w:val="00B548FD"/>
    <w:rsid w:val="00B549CB"/>
    <w:rsid w:val="00B54A32"/>
    <w:rsid w:val="00B54BC8"/>
    <w:rsid w:val="00B54E70"/>
    <w:rsid w:val="00B54FBB"/>
    <w:rsid w:val="00B5532D"/>
    <w:rsid w:val="00B5539D"/>
    <w:rsid w:val="00B55456"/>
    <w:rsid w:val="00B5561E"/>
    <w:rsid w:val="00B557C0"/>
    <w:rsid w:val="00B5588B"/>
    <w:rsid w:val="00B55A4B"/>
    <w:rsid w:val="00B55B04"/>
    <w:rsid w:val="00B55B36"/>
    <w:rsid w:val="00B55EDC"/>
    <w:rsid w:val="00B55FF2"/>
    <w:rsid w:val="00B563F1"/>
    <w:rsid w:val="00B564CD"/>
    <w:rsid w:val="00B56532"/>
    <w:rsid w:val="00B56534"/>
    <w:rsid w:val="00B567D5"/>
    <w:rsid w:val="00B568F5"/>
    <w:rsid w:val="00B56BBB"/>
    <w:rsid w:val="00B56CBA"/>
    <w:rsid w:val="00B56F17"/>
    <w:rsid w:val="00B56FD9"/>
    <w:rsid w:val="00B5745C"/>
    <w:rsid w:val="00B57504"/>
    <w:rsid w:val="00B57F6E"/>
    <w:rsid w:val="00B6004E"/>
    <w:rsid w:val="00B6012B"/>
    <w:rsid w:val="00B60360"/>
    <w:rsid w:val="00B604F7"/>
    <w:rsid w:val="00B606E4"/>
    <w:rsid w:val="00B60A42"/>
    <w:rsid w:val="00B60CC9"/>
    <w:rsid w:val="00B60D67"/>
    <w:rsid w:val="00B60DCE"/>
    <w:rsid w:val="00B60DE5"/>
    <w:rsid w:val="00B60FC0"/>
    <w:rsid w:val="00B60FCA"/>
    <w:rsid w:val="00B611D5"/>
    <w:rsid w:val="00B613AB"/>
    <w:rsid w:val="00B6155C"/>
    <w:rsid w:val="00B6157B"/>
    <w:rsid w:val="00B6165E"/>
    <w:rsid w:val="00B6170D"/>
    <w:rsid w:val="00B617C9"/>
    <w:rsid w:val="00B61911"/>
    <w:rsid w:val="00B61AAF"/>
    <w:rsid w:val="00B61DB1"/>
    <w:rsid w:val="00B625BB"/>
    <w:rsid w:val="00B62892"/>
    <w:rsid w:val="00B628B1"/>
    <w:rsid w:val="00B628F2"/>
    <w:rsid w:val="00B62A31"/>
    <w:rsid w:val="00B62B07"/>
    <w:rsid w:val="00B62BF0"/>
    <w:rsid w:val="00B62F17"/>
    <w:rsid w:val="00B63168"/>
    <w:rsid w:val="00B6318C"/>
    <w:rsid w:val="00B632F6"/>
    <w:rsid w:val="00B633A9"/>
    <w:rsid w:val="00B6344C"/>
    <w:rsid w:val="00B63703"/>
    <w:rsid w:val="00B637CE"/>
    <w:rsid w:val="00B63F49"/>
    <w:rsid w:val="00B644A9"/>
    <w:rsid w:val="00B64644"/>
    <w:rsid w:val="00B6498B"/>
    <w:rsid w:val="00B64A03"/>
    <w:rsid w:val="00B64AC5"/>
    <w:rsid w:val="00B64AF8"/>
    <w:rsid w:val="00B64C47"/>
    <w:rsid w:val="00B64CDB"/>
    <w:rsid w:val="00B65272"/>
    <w:rsid w:val="00B65347"/>
    <w:rsid w:val="00B6560C"/>
    <w:rsid w:val="00B6560F"/>
    <w:rsid w:val="00B656B9"/>
    <w:rsid w:val="00B65841"/>
    <w:rsid w:val="00B65C0D"/>
    <w:rsid w:val="00B65CB5"/>
    <w:rsid w:val="00B65DE1"/>
    <w:rsid w:val="00B65F54"/>
    <w:rsid w:val="00B6618E"/>
    <w:rsid w:val="00B662A6"/>
    <w:rsid w:val="00B66519"/>
    <w:rsid w:val="00B66783"/>
    <w:rsid w:val="00B66785"/>
    <w:rsid w:val="00B66807"/>
    <w:rsid w:val="00B66A96"/>
    <w:rsid w:val="00B66B6C"/>
    <w:rsid w:val="00B66B84"/>
    <w:rsid w:val="00B66EE7"/>
    <w:rsid w:val="00B66FAA"/>
    <w:rsid w:val="00B67027"/>
    <w:rsid w:val="00B671FA"/>
    <w:rsid w:val="00B67247"/>
    <w:rsid w:val="00B672B3"/>
    <w:rsid w:val="00B672BC"/>
    <w:rsid w:val="00B67392"/>
    <w:rsid w:val="00B6758A"/>
    <w:rsid w:val="00B6774B"/>
    <w:rsid w:val="00B677FB"/>
    <w:rsid w:val="00B67D6E"/>
    <w:rsid w:val="00B67F9B"/>
    <w:rsid w:val="00B67FAA"/>
    <w:rsid w:val="00B67FC4"/>
    <w:rsid w:val="00B702BA"/>
    <w:rsid w:val="00B70352"/>
    <w:rsid w:val="00B70367"/>
    <w:rsid w:val="00B70480"/>
    <w:rsid w:val="00B7054B"/>
    <w:rsid w:val="00B70969"/>
    <w:rsid w:val="00B70E7D"/>
    <w:rsid w:val="00B70F44"/>
    <w:rsid w:val="00B71136"/>
    <w:rsid w:val="00B71208"/>
    <w:rsid w:val="00B7124E"/>
    <w:rsid w:val="00B714FE"/>
    <w:rsid w:val="00B7168F"/>
    <w:rsid w:val="00B71A33"/>
    <w:rsid w:val="00B71BB4"/>
    <w:rsid w:val="00B71BF4"/>
    <w:rsid w:val="00B71BF8"/>
    <w:rsid w:val="00B71FF3"/>
    <w:rsid w:val="00B7211A"/>
    <w:rsid w:val="00B72146"/>
    <w:rsid w:val="00B7241D"/>
    <w:rsid w:val="00B72876"/>
    <w:rsid w:val="00B72AF0"/>
    <w:rsid w:val="00B72C05"/>
    <w:rsid w:val="00B72D47"/>
    <w:rsid w:val="00B72D5F"/>
    <w:rsid w:val="00B730B3"/>
    <w:rsid w:val="00B730F2"/>
    <w:rsid w:val="00B730F5"/>
    <w:rsid w:val="00B73294"/>
    <w:rsid w:val="00B732CF"/>
    <w:rsid w:val="00B733DF"/>
    <w:rsid w:val="00B735C2"/>
    <w:rsid w:val="00B737EB"/>
    <w:rsid w:val="00B7394D"/>
    <w:rsid w:val="00B73B27"/>
    <w:rsid w:val="00B73C1F"/>
    <w:rsid w:val="00B73C2F"/>
    <w:rsid w:val="00B73CB5"/>
    <w:rsid w:val="00B73F2D"/>
    <w:rsid w:val="00B73FBC"/>
    <w:rsid w:val="00B74162"/>
    <w:rsid w:val="00B741BD"/>
    <w:rsid w:val="00B7420E"/>
    <w:rsid w:val="00B7421F"/>
    <w:rsid w:val="00B748B1"/>
    <w:rsid w:val="00B749D3"/>
    <w:rsid w:val="00B74A59"/>
    <w:rsid w:val="00B74B18"/>
    <w:rsid w:val="00B74C80"/>
    <w:rsid w:val="00B74EBE"/>
    <w:rsid w:val="00B754D7"/>
    <w:rsid w:val="00B756A3"/>
    <w:rsid w:val="00B757AB"/>
    <w:rsid w:val="00B75950"/>
    <w:rsid w:val="00B75B8B"/>
    <w:rsid w:val="00B76200"/>
    <w:rsid w:val="00B76326"/>
    <w:rsid w:val="00B76346"/>
    <w:rsid w:val="00B7667C"/>
    <w:rsid w:val="00B766D5"/>
    <w:rsid w:val="00B767BE"/>
    <w:rsid w:val="00B7682B"/>
    <w:rsid w:val="00B7688B"/>
    <w:rsid w:val="00B76C10"/>
    <w:rsid w:val="00B76E82"/>
    <w:rsid w:val="00B7758C"/>
    <w:rsid w:val="00B775EE"/>
    <w:rsid w:val="00B7769D"/>
    <w:rsid w:val="00B77704"/>
    <w:rsid w:val="00B7781A"/>
    <w:rsid w:val="00B778F0"/>
    <w:rsid w:val="00B77AC1"/>
    <w:rsid w:val="00B77BA7"/>
    <w:rsid w:val="00B77BDB"/>
    <w:rsid w:val="00B77CE4"/>
    <w:rsid w:val="00B77D7E"/>
    <w:rsid w:val="00B77E16"/>
    <w:rsid w:val="00B77ED5"/>
    <w:rsid w:val="00B80067"/>
    <w:rsid w:val="00B80160"/>
    <w:rsid w:val="00B80389"/>
    <w:rsid w:val="00B80648"/>
    <w:rsid w:val="00B80809"/>
    <w:rsid w:val="00B80827"/>
    <w:rsid w:val="00B80914"/>
    <w:rsid w:val="00B80A20"/>
    <w:rsid w:val="00B80A2A"/>
    <w:rsid w:val="00B80BFE"/>
    <w:rsid w:val="00B80C98"/>
    <w:rsid w:val="00B8112B"/>
    <w:rsid w:val="00B81341"/>
    <w:rsid w:val="00B815EC"/>
    <w:rsid w:val="00B818EA"/>
    <w:rsid w:val="00B81926"/>
    <w:rsid w:val="00B81A09"/>
    <w:rsid w:val="00B81A88"/>
    <w:rsid w:val="00B81D92"/>
    <w:rsid w:val="00B81F0F"/>
    <w:rsid w:val="00B82009"/>
    <w:rsid w:val="00B8206E"/>
    <w:rsid w:val="00B82360"/>
    <w:rsid w:val="00B824BA"/>
    <w:rsid w:val="00B825A4"/>
    <w:rsid w:val="00B82715"/>
    <w:rsid w:val="00B829E0"/>
    <w:rsid w:val="00B82B9C"/>
    <w:rsid w:val="00B82D8F"/>
    <w:rsid w:val="00B82F65"/>
    <w:rsid w:val="00B82FA9"/>
    <w:rsid w:val="00B83222"/>
    <w:rsid w:val="00B83542"/>
    <w:rsid w:val="00B835FD"/>
    <w:rsid w:val="00B83650"/>
    <w:rsid w:val="00B837EF"/>
    <w:rsid w:val="00B8399A"/>
    <w:rsid w:val="00B83B91"/>
    <w:rsid w:val="00B83D68"/>
    <w:rsid w:val="00B83FBE"/>
    <w:rsid w:val="00B83FE4"/>
    <w:rsid w:val="00B8430A"/>
    <w:rsid w:val="00B8444E"/>
    <w:rsid w:val="00B844E0"/>
    <w:rsid w:val="00B84528"/>
    <w:rsid w:val="00B845BF"/>
    <w:rsid w:val="00B84939"/>
    <w:rsid w:val="00B8494D"/>
    <w:rsid w:val="00B849AD"/>
    <w:rsid w:val="00B84BC5"/>
    <w:rsid w:val="00B84D68"/>
    <w:rsid w:val="00B84EFB"/>
    <w:rsid w:val="00B854AE"/>
    <w:rsid w:val="00B8552D"/>
    <w:rsid w:val="00B8553D"/>
    <w:rsid w:val="00B8577E"/>
    <w:rsid w:val="00B8578D"/>
    <w:rsid w:val="00B857D7"/>
    <w:rsid w:val="00B85825"/>
    <w:rsid w:val="00B85905"/>
    <w:rsid w:val="00B85B73"/>
    <w:rsid w:val="00B85CD6"/>
    <w:rsid w:val="00B85D42"/>
    <w:rsid w:val="00B85F33"/>
    <w:rsid w:val="00B8614E"/>
    <w:rsid w:val="00B86154"/>
    <w:rsid w:val="00B86169"/>
    <w:rsid w:val="00B8633D"/>
    <w:rsid w:val="00B863EC"/>
    <w:rsid w:val="00B86500"/>
    <w:rsid w:val="00B8654E"/>
    <w:rsid w:val="00B86628"/>
    <w:rsid w:val="00B86806"/>
    <w:rsid w:val="00B86A63"/>
    <w:rsid w:val="00B86AA2"/>
    <w:rsid w:val="00B86C13"/>
    <w:rsid w:val="00B86C73"/>
    <w:rsid w:val="00B86CAB"/>
    <w:rsid w:val="00B86E99"/>
    <w:rsid w:val="00B872E8"/>
    <w:rsid w:val="00B8731F"/>
    <w:rsid w:val="00B87422"/>
    <w:rsid w:val="00B876A9"/>
    <w:rsid w:val="00B87778"/>
    <w:rsid w:val="00B87838"/>
    <w:rsid w:val="00B8783E"/>
    <w:rsid w:val="00B87927"/>
    <w:rsid w:val="00B87AA2"/>
    <w:rsid w:val="00B87BD0"/>
    <w:rsid w:val="00B87C94"/>
    <w:rsid w:val="00B87DCC"/>
    <w:rsid w:val="00B87E42"/>
    <w:rsid w:val="00B87F26"/>
    <w:rsid w:val="00B901A7"/>
    <w:rsid w:val="00B90210"/>
    <w:rsid w:val="00B904D9"/>
    <w:rsid w:val="00B90530"/>
    <w:rsid w:val="00B909FB"/>
    <w:rsid w:val="00B90C81"/>
    <w:rsid w:val="00B90CD9"/>
    <w:rsid w:val="00B90D0D"/>
    <w:rsid w:val="00B90FD9"/>
    <w:rsid w:val="00B914B5"/>
    <w:rsid w:val="00B915A9"/>
    <w:rsid w:val="00B9165F"/>
    <w:rsid w:val="00B91E2D"/>
    <w:rsid w:val="00B91E6C"/>
    <w:rsid w:val="00B91E6E"/>
    <w:rsid w:val="00B92239"/>
    <w:rsid w:val="00B92561"/>
    <w:rsid w:val="00B926DD"/>
    <w:rsid w:val="00B927B8"/>
    <w:rsid w:val="00B92AEA"/>
    <w:rsid w:val="00B92B43"/>
    <w:rsid w:val="00B92D95"/>
    <w:rsid w:val="00B92E87"/>
    <w:rsid w:val="00B92F4D"/>
    <w:rsid w:val="00B92F7A"/>
    <w:rsid w:val="00B932FB"/>
    <w:rsid w:val="00B93BDF"/>
    <w:rsid w:val="00B93C57"/>
    <w:rsid w:val="00B93DD8"/>
    <w:rsid w:val="00B94014"/>
    <w:rsid w:val="00B940D5"/>
    <w:rsid w:val="00B94333"/>
    <w:rsid w:val="00B9435A"/>
    <w:rsid w:val="00B9439C"/>
    <w:rsid w:val="00B94427"/>
    <w:rsid w:val="00B9442B"/>
    <w:rsid w:val="00B94499"/>
    <w:rsid w:val="00B945A1"/>
    <w:rsid w:val="00B947E8"/>
    <w:rsid w:val="00B94910"/>
    <w:rsid w:val="00B94A66"/>
    <w:rsid w:val="00B94C67"/>
    <w:rsid w:val="00B94D74"/>
    <w:rsid w:val="00B94D77"/>
    <w:rsid w:val="00B94DE6"/>
    <w:rsid w:val="00B94E36"/>
    <w:rsid w:val="00B952DC"/>
    <w:rsid w:val="00B9584C"/>
    <w:rsid w:val="00B9599F"/>
    <w:rsid w:val="00B95A80"/>
    <w:rsid w:val="00B95F18"/>
    <w:rsid w:val="00B95FA3"/>
    <w:rsid w:val="00B9605E"/>
    <w:rsid w:val="00B9608F"/>
    <w:rsid w:val="00B96375"/>
    <w:rsid w:val="00B963B1"/>
    <w:rsid w:val="00B964C5"/>
    <w:rsid w:val="00B964EE"/>
    <w:rsid w:val="00B964F9"/>
    <w:rsid w:val="00B96962"/>
    <w:rsid w:val="00B96998"/>
    <w:rsid w:val="00B96A01"/>
    <w:rsid w:val="00B97153"/>
    <w:rsid w:val="00B9716E"/>
    <w:rsid w:val="00B97308"/>
    <w:rsid w:val="00B9780E"/>
    <w:rsid w:val="00B97A3C"/>
    <w:rsid w:val="00B97E3A"/>
    <w:rsid w:val="00B97F28"/>
    <w:rsid w:val="00BA0118"/>
    <w:rsid w:val="00BA01C7"/>
    <w:rsid w:val="00BA02DF"/>
    <w:rsid w:val="00BA02FA"/>
    <w:rsid w:val="00BA040C"/>
    <w:rsid w:val="00BA0673"/>
    <w:rsid w:val="00BA067E"/>
    <w:rsid w:val="00BA0790"/>
    <w:rsid w:val="00BA0DB6"/>
    <w:rsid w:val="00BA0E33"/>
    <w:rsid w:val="00BA0FB2"/>
    <w:rsid w:val="00BA1074"/>
    <w:rsid w:val="00BA112B"/>
    <w:rsid w:val="00BA119D"/>
    <w:rsid w:val="00BA1416"/>
    <w:rsid w:val="00BA147E"/>
    <w:rsid w:val="00BA158D"/>
    <w:rsid w:val="00BA16AA"/>
    <w:rsid w:val="00BA1707"/>
    <w:rsid w:val="00BA18E7"/>
    <w:rsid w:val="00BA1B27"/>
    <w:rsid w:val="00BA1C1C"/>
    <w:rsid w:val="00BA1C4D"/>
    <w:rsid w:val="00BA1DCA"/>
    <w:rsid w:val="00BA1FAC"/>
    <w:rsid w:val="00BA2195"/>
    <w:rsid w:val="00BA223D"/>
    <w:rsid w:val="00BA234A"/>
    <w:rsid w:val="00BA24BC"/>
    <w:rsid w:val="00BA25DB"/>
    <w:rsid w:val="00BA2618"/>
    <w:rsid w:val="00BA2731"/>
    <w:rsid w:val="00BA2860"/>
    <w:rsid w:val="00BA2893"/>
    <w:rsid w:val="00BA2C77"/>
    <w:rsid w:val="00BA2E8B"/>
    <w:rsid w:val="00BA3426"/>
    <w:rsid w:val="00BA36E0"/>
    <w:rsid w:val="00BA3862"/>
    <w:rsid w:val="00BA38B1"/>
    <w:rsid w:val="00BA3AE5"/>
    <w:rsid w:val="00BA3B7D"/>
    <w:rsid w:val="00BA3EF5"/>
    <w:rsid w:val="00BA4099"/>
    <w:rsid w:val="00BA41DE"/>
    <w:rsid w:val="00BA423C"/>
    <w:rsid w:val="00BA436C"/>
    <w:rsid w:val="00BA4522"/>
    <w:rsid w:val="00BA4693"/>
    <w:rsid w:val="00BA4C6E"/>
    <w:rsid w:val="00BA5371"/>
    <w:rsid w:val="00BA5A29"/>
    <w:rsid w:val="00BA5B44"/>
    <w:rsid w:val="00BA5BF8"/>
    <w:rsid w:val="00BA5DA9"/>
    <w:rsid w:val="00BA5E5D"/>
    <w:rsid w:val="00BA5F2F"/>
    <w:rsid w:val="00BA5FAB"/>
    <w:rsid w:val="00BA60C1"/>
    <w:rsid w:val="00BA6264"/>
    <w:rsid w:val="00BA6382"/>
    <w:rsid w:val="00BA65E3"/>
    <w:rsid w:val="00BA6757"/>
    <w:rsid w:val="00BA681B"/>
    <w:rsid w:val="00BA69CD"/>
    <w:rsid w:val="00BA6C0D"/>
    <w:rsid w:val="00BA6D65"/>
    <w:rsid w:val="00BA6D98"/>
    <w:rsid w:val="00BA6F29"/>
    <w:rsid w:val="00BA71CE"/>
    <w:rsid w:val="00BA73FF"/>
    <w:rsid w:val="00BA74B3"/>
    <w:rsid w:val="00BA7888"/>
    <w:rsid w:val="00BA796F"/>
    <w:rsid w:val="00BA7AE1"/>
    <w:rsid w:val="00BB006D"/>
    <w:rsid w:val="00BB00F3"/>
    <w:rsid w:val="00BB01BC"/>
    <w:rsid w:val="00BB03EC"/>
    <w:rsid w:val="00BB0782"/>
    <w:rsid w:val="00BB07B0"/>
    <w:rsid w:val="00BB0973"/>
    <w:rsid w:val="00BB09FD"/>
    <w:rsid w:val="00BB0AA5"/>
    <w:rsid w:val="00BB0DBA"/>
    <w:rsid w:val="00BB122F"/>
    <w:rsid w:val="00BB1368"/>
    <w:rsid w:val="00BB1452"/>
    <w:rsid w:val="00BB15DE"/>
    <w:rsid w:val="00BB16D9"/>
    <w:rsid w:val="00BB180C"/>
    <w:rsid w:val="00BB18A5"/>
    <w:rsid w:val="00BB1A05"/>
    <w:rsid w:val="00BB1A59"/>
    <w:rsid w:val="00BB1E60"/>
    <w:rsid w:val="00BB1FB3"/>
    <w:rsid w:val="00BB1FC0"/>
    <w:rsid w:val="00BB20BD"/>
    <w:rsid w:val="00BB2258"/>
    <w:rsid w:val="00BB22FC"/>
    <w:rsid w:val="00BB2395"/>
    <w:rsid w:val="00BB23C6"/>
    <w:rsid w:val="00BB23CC"/>
    <w:rsid w:val="00BB2487"/>
    <w:rsid w:val="00BB257C"/>
    <w:rsid w:val="00BB2795"/>
    <w:rsid w:val="00BB27DD"/>
    <w:rsid w:val="00BB2A6F"/>
    <w:rsid w:val="00BB2C8C"/>
    <w:rsid w:val="00BB3355"/>
    <w:rsid w:val="00BB336C"/>
    <w:rsid w:val="00BB35A9"/>
    <w:rsid w:val="00BB35CC"/>
    <w:rsid w:val="00BB3676"/>
    <w:rsid w:val="00BB374D"/>
    <w:rsid w:val="00BB378C"/>
    <w:rsid w:val="00BB37E3"/>
    <w:rsid w:val="00BB38A5"/>
    <w:rsid w:val="00BB39C9"/>
    <w:rsid w:val="00BB3A59"/>
    <w:rsid w:val="00BB3C2F"/>
    <w:rsid w:val="00BB3C38"/>
    <w:rsid w:val="00BB3C54"/>
    <w:rsid w:val="00BB4199"/>
    <w:rsid w:val="00BB4425"/>
    <w:rsid w:val="00BB4559"/>
    <w:rsid w:val="00BB46D2"/>
    <w:rsid w:val="00BB4806"/>
    <w:rsid w:val="00BB497E"/>
    <w:rsid w:val="00BB4C41"/>
    <w:rsid w:val="00BB4C9D"/>
    <w:rsid w:val="00BB4EDA"/>
    <w:rsid w:val="00BB5044"/>
    <w:rsid w:val="00BB52BF"/>
    <w:rsid w:val="00BB5319"/>
    <w:rsid w:val="00BB57BF"/>
    <w:rsid w:val="00BB5CC6"/>
    <w:rsid w:val="00BB5D28"/>
    <w:rsid w:val="00BB5EB7"/>
    <w:rsid w:val="00BB6046"/>
    <w:rsid w:val="00BB6439"/>
    <w:rsid w:val="00BB64BC"/>
    <w:rsid w:val="00BB662E"/>
    <w:rsid w:val="00BB67D2"/>
    <w:rsid w:val="00BB67DD"/>
    <w:rsid w:val="00BB68F8"/>
    <w:rsid w:val="00BB6B12"/>
    <w:rsid w:val="00BB6D61"/>
    <w:rsid w:val="00BB6F37"/>
    <w:rsid w:val="00BB7200"/>
    <w:rsid w:val="00BB7330"/>
    <w:rsid w:val="00BB7466"/>
    <w:rsid w:val="00BB747B"/>
    <w:rsid w:val="00BB78A3"/>
    <w:rsid w:val="00BB79C9"/>
    <w:rsid w:val="00BB79CC"/>
    <w:rsid w:val="00BB7A42"/>
    <w:rsid w:val="00BB7A86"/>
    <w:rsid w:val="00BB7CA9"/>
    <w:rsid w:val="00BC0009"/>
    <w:rsid w:val="00BC004E"/>
    <w:rsid w:val="00BC021A"/>
    <w:rsid w:val="00BC02C1"/>
    <w:rsid w:val="00BC039D"/>
    <w:rsid w:val="00BC0474"/>
    <w:rsid w:val="00BC04BF"/>
    <w:rsid w:val="00BC0584"/>
    <w:rsid w:val="00BC06FF"/>
    <w:rsid w:val="00BC0759"/>
    <w:rsid w:val="00BC092A"/>
    <w:rsid w:val="00BC09E8"/>
    <w:rsid w:val="00BC0BB4"/>
    <w:rsid w:val="00BC12E5"/>
    <w:rsid w:val="00BC13CF"/>
    <w:rsid w:val="00BC1539"/>
    <w:rsid w:val="00BC155D"/>
    <w:rsid w:val="00BC15B0"/>
    <w:rsid w:val="00BC17EF"/>
    <w:rsid w:val="00BC184C"/>
    <w:rsid w:val="00BC18EE"/>
    <w:rsid w:val="00BC1E2A"/>
    <w:rsid w:val="00BC24BE"/>
    <w:rsid w:val="00BC25AA"/>
    <w:rsid w:val="00BC2619"/>
    <w:rsid w:val="00BC2929"/>
    <w:rsid w:val="00BC297A"/>
    <w:rsid w:val="00BC2DF9"/>
    <w:rsid w:val="00BC2E4C"/>
    <w:rsid w:val="00BC31C8"/>
    <w:rsid w:val="00BC3259"/>
    <w:rsid w:val="00BC3564"/>
    <w:rsid w:val="00BC358F"/>
    <w:rsid w:val="00BC36FE"/>
    <w:rsid w:val="00BC370E"/>
    <w:rsid w:val="00BC3815"/>
    <w:rsid w:val="00BC387F"/>
    <w:rsid w:val="00BC3904"/>
    <w:rsid w:val="00BC3ABC"/>
    <w:rsid w:val="00BC3BD8"/>
    <w:rsid w:val="00BC3E17"/>
    <w:rsid w:val="00BC3F9A"/>
    <w:rsid w:val="00BC4001"/>
    <w:rsid w:val="00BC4018"/>
    <w:rsid w:val="00BC4336"/>
    <w:rsid w:val="00BC437E"/>
    <w:rsid w:val="00BC457A"/>
    <w:rsid w:val="00BC4683"/>
    <w:rsid w:val="00BC485D"/>
    <w:rsid w:val="00BC4B15"/>
    <w:rsid w:val="00BC4C1E"/>
    <w:rsid w:val="00BC4D03"/>
    <w:rsid w:val="00BC4DAA"/>
    <w:rsid w:val="00BC4DCD"/>
    <w:rsid w:val="00BC4F68"/>
    <w:rsid w:val="00BC4F9F"/>
    <w:rsid w:val="00BC5060"/>
    <w:rsid w:val="00BC5099"/>
    <w:rsid w:val="00BC52B3"/>
    <w:rsid w:val="00BC5725"/>
    <w:rsid w:val="00BC575B"/>
    <w:rsid w:val="00BC58D8"/>
    <w:rsid w:val="00BC5A00"/>
    <w:rsid w:val="00BC5DFA"/>
    <w:rsid w:val="00BC5ECF"/>
    <w:rsid w:val="00BC5F45"/>
    <w:rsid w:val="00BC6015"/>
    <w:rsid w:val="00BC60AB"/>
    <w:rsid w:val="00BC6274"/>
    <w:rsid w:val="00BC6471"/>
    <w:rsid w:val="00BC65E6"/>
    <w:rsid w:val="00BC6852"/>
    <w:rsid w:val="00BC6997"/>
    <w:rsid w:val="00BC6A47"/>
    <w:rsid w:val="00BC6A96"/>
    <w:rsid w:val="00BC6B19"/>
    <w:rsid w:val="00BC6E69"/>
    <w:rsid w:val="00BC6EB9"/>
    <w:rsid w:val="00BC70E5"/>
    <w:rsid w:val="00BC7310"/>
    <w:rsid w:val="00BC7390"/>
    <w:rsid w:val="00BC7AD5"/>
    <w:rsid w:val="00BC7AEF"/>
    <w:rsid w:val="00BD0074"/>
    <w:rsid w:val="00BD019B"/>
    <w:rsid w:val="00BD0368"/>
    <w:rsid w:val="00BD0520"/>
    <w:rsid w:val="00BD0664"/>
    <w:rsid w:val="00BD078C"/>
    <w:rsid w:val="00BD079D"/>
    <w:rsid w:val="00BD07C5"/>
    <w:rsid w:val="00BD0869"/>
    <w:rsid w:val="00BD089F"/>
    <w:rsid w:val="00BD0A83"/>
    <w:rsid w:val="00BD0BF8"/>
    <w:rsid w:val="00BD0CD3"/>
    <w:rsid w:val="00BD0D2F"/>
    <w:rsid w:val="00BD1034"/>
    <w:rsid w:val="00BD11DB"/>
    <w:rsid w:val="00BD1291"/>
    <w:rsid w:val="00BD13DC"/>
    <w:rsid w:val="00BD147C"/>
    <w:rsid w:val="00BD14B3"/>
    <w:rsid w:val="00BD1696"/>
    <w:rsid w:val="00BD1A34"/>
    <w:rsid w:val="00BD1BBA"/>
    <w:rsid w:val="00BD1E53"/>
    <w:rsid w:val="00BD2031"/>
    <w:rsid w:val="00BD21E8"/>
    <w:rsid w:val="00BD222C"/>
    <w:rsid w:val="00BD243E"/>
    <w:rsid w:val="00BD26AA"/>
    <w:rsid w:val="00BD281E"/>
    <w:rsid w:val="00BD283B"/>
    <w:rsid w:val="00BD2882"/>
    <w:rsid w:val="00BD28F8"/>
    <w:rsid w:val="00BD296D"/>
    <w:rsid w:val="00BD29E8"/>
    <w:rsid w:val="00BD2B12"/>
    <w:rsid w:val="00BD2C0E"/>
    <w:rsid w:val="00BD2C9E"/>
    <w:rsid w:val="00BD2E4C"/>
    <w:rsid w:val="00BD2E6A"/>
    <w:rsid w:val="00BD3087"/>
    <w:rsid w:val="00BD31D7"/>
    <w:rsid w:val="00BD335D"/>
    <w:rsid w:val="00BD3369"/>
    <w:rsid w:val="00BD37A3"/>
    <w:rsid w:val="00BD3A5E"/>
    <w:rsid w:val="00BD3A63"/>
    <w:rsid w:val="00BD3FCE"/>
    <w:rsid w:val="00BD40D3"/>
    <w:rsid w:val="00BD4448"/>
    <w:rsid w:val="00BD454F"/>
    <w:rsid w:val="00BD4669"/>
    <w:rsid w:val="00BD4860"/>
    <w:rsid w:val="00BD48BC"/>
    <w:rsid w:val="00BD4CC1"/>
    <w:rsid w:val="00BD50C5"/>
    <w:rsid w:val="00BD521F"/>
    <w:rsid w:val="00BD525F"/>
    <w:rsid w:val="00BD5736"/>
    <w:rsid w:val="00BD5874"/>
    <w:rsid w:val="00BD5895"/>
    <w:rsid w:val="00BD590D"/>
    <w:rsid w:val="00BD5ACC"/>
    <w:rsid w:val="00BD5BD4"/>
    <w:rsid w:val="00BD5D3C"/>
    <w:rsid w:val="00BD5E7D"/>
    <w:rsid w:val="00BD604D"/>
    <w:rsid w:val="00BD60F9"/>
    <w:rsid w:val="00BD6531"/>
    <w:rsid w:val="00BD659D"/>
    <w:rsid w:val="00BD6742"/>
    <w:rsid w:val="00BD6805"/>
    <w:rsid w:val="00BD6A55"/>
    <w:rsid w:val="00BD6AFF"/>
    <w:rsid w:val="00BD6C25"/>
    <w:rsid w:val="00BD6C74"/>
    <w:rsid w:val="00BD6E5A"/>
    <w:rsid w:val="00BD709A"/>
    <w:rsid w:val="00BD70EA"/>
    <w:rsid w:val="00BD7115"/>
    <w:rsid w:val="00BD71E7"/>
    <w:rsid w:val="00BD722C"/>
    <w:rsid w:val="00BD72A4"/>
    <w:rsid w:val="00BD72C6"/>
    <w:rsid w:val="00BD7471"/>
    <w:rsid w:val="00BD74BE"/>
    <w:rsid w:val="00BD77A2"/>
    <w:rsid w:val="00BD77BC"/>
    <w:rsid w:val="00BD77F0"/>
    <w:rsid w:val="00BD786D"/>
    <w:rsid w:val="00BD7B6D"/>
    <w:rsid w:val="00BD7DB4"/>
    <w:rsid w:val="00BD7FD4"/>
    <w:rsid w:val="00BE0154"/>
    <w:rsid w:val="00BE0343"/>
    <w:rsid w:val="00BE07FE"/>
    <w:rsid w:val="00BE0905"/>
    <w:rsid w:val="00BE0E5A"/>
    <w:rsid w:val="00BE0FDC"/>
    <w:rsid w:val="00BE100A"/>
    <w:rsid w:val="00BE1097"/>
    <w:rsid w:val="00BE10E4"/>
    <w:rsid w:val="00BE15C1"/>
    <w:rsid w:val="00BE160E"/>
    <w:rsid w:val="00BE18BD"/>
    <w:rsid w:val="00BE18DD"/>
    <w:rsid w:val="00BE1C62"/>
    <w:rsid w:val="00BE1CD4"/>
    <w:rsid w:val="00BE1D09"/>
    <w:rsid w:val="00BE1D5D"/>
    <w:rsid w:val="00BE1EE3"/>
    <w:rsid w:val="00BE2217"/>
    <w:rsid w:val="00BE2251"/>
    <w:rsid w:val="00BE2316"/>
    <w:rsid w:val="00BE25F2"/>
    <w:rsid w:val="00BE2977"/>
    <w:rsid w:val="00BE2AA6"/>
    <w:rsid w:val="00BE2B67"/>
    <w:rsid w:val="00BE30F2"/>
    <w:rsid w:val="00BE3330"/>
    <w:rsid w:val="00BE3744"/>
    <w:rsid w:val="00BE3777"/>
    <w:rsid w:val="00BE37BE"/>
    <w:rsid w:val="00BE37F3"/>
    <w:rsid w:val="00BE385D"/>
    <w:rsid w:val="00BE3875"/>
    <w:rsid w:val="00BE39BE"/>
    <w:rsid w:val="00BE3ED4"/>
    <w:rsid w:val="00BE3FFE"/>
    <w:rsid w:val="00BE4107"/>
    <w:rsid w:val="00BE458B"/>
    <w:rsid w:val="00BE49E2"/>
    <w:rsid w:val="00BE4B9A"/>
    <w:rsid w:val="00BE4DFC"/>
    <w:rsid w:val="00BE547E"/>
    <w:rsid w:val="00BE5542"/>
    <w:rsid w:val="00BE56CD"/>
    <w:rsid w:val="00BE5784"/>
    <w:rsid w:val="00BE581A"/>
    <w:rsid w:val="00BE5AA8"/>
    <w:rsid w:val="00BE5D48"/>
    <w:rsid w:val="00BE6208"/>
    <w:rsid w:val="00BE63F7"/>
    <w:rsid w:val="00BE640C"/>
    <w:rsid w:val="00BE65DF"/>
    <w:rsid w:val="00BE6838"/>
    <w:rsid w:val="00BE6A8F"/>
    <w:rsid w:val="00BE6B7A"/>
    <w:rsid w:val="00BE6DEB"/>
    <w:rsid w:val="00BE6FF8"/>
    <w:rsid w:val="00BE7095"/>
    <w:rsid w:val="00BE73D9"/>
    <w:rsid w:val="00BE7555"/>
    <w:rsid w:val="00BE7667"/>
    <w:rsid w:val="00BE769A"/>
    <w:rsid w:val="00BE7E3F"/>
    <w:rsid w:val="00BE7E7E"/>
    <w:rsid w:val="00BE7EA5"/>
    <w:rsid w:val="00BF02B9"/>
    <w:rsid w:val="00BF056E"/>
    <w:rsid w:val="00BF0716"/>
    <w:rsid w:val="00BF0BB7"/>
    <w:rsid w:val="00BF0CB0"/>
    <w:rsid w:val="00BF0D7E"/>
    <w:rsid w:val="00BF0DD8"/>
    <w:rsid w:val="00BF0EF3"/>
    <w:rsid w:val="00BF12A1"/>
    <w:rsid w:val="00BF12D9"/>
    <w:rsid w:val="00BF1352"/>
    <w:rsid w:val="00BF1432"/>
    <w:rsid w:val="00BF1589"/>
    <w:rsid w:val="00BF1644"/>
    <w:rsid w:val="00BF18CF"/>
    <w:rsid w:val="00BF1C91"/>
    <w:rsid w:val="00BF22A3"/>
    <w:rsid w:val="00BF245D"/>
    <w:rsid w:val="00BF2535"/>
    <w:rsid w:val="00BF25AB"/>
    <w:rsid w:val="00BF25F5"/>
    <w:rsid w:val="00BF280F"/>
    <w:rsid w:val="00BF286A"/>
    <w:rsid w:val="00BF2917"/>
    <w:rsid w:val="00BF2C62"/>
    <w:rsid w:val="00BF2D07"/>
    <w:rsid w:val="00BF2DE9"/>
    <w:rsid w:val="00BF2DED"/>
    <w:rsid w:val="00BF2F5D"/>
    <w:rsid w:val="00BF31C5"/>
    <w:rsid w:val="00BF32FE"/>
    <w:rsid w:val="00BF3426"/>
    <w:rsid w:val="00BF3643"/>
    <w:rsid w:val="00BF3924"/>
    <w:rsid w:val="00BF3944"/>
    <w:rsid w:val="00BF3A84"/>
    <w:rsid w:val="00BF3BBA"/>
    <w:rsid w:val="00BF3CFB"/>
    <w:rsid w:val="00BF3D2A"/>
    <w:rsid w:val="00BF4430"/>
    <w:rsid w:val="00BF46B0"/>
    <w:rsid w:val="00BF49AD"/>
    <w:rsid w:val="00BF49FC"/>
    <w:rsid w:val="00BF4AA3"/>
    <w:rsid w:val="00BF4AAD"/>
    <w:rsid w:val="00BF523A"/>
    <w:rsid w:val="00BF5264"/>
    <w:rsid w:val="00BF52BA"/>
    <w:rsid w:val="00BF53A5"/>
    <w:rsid w:val="00BF546F"/>
    <w:rsid w:val="00BF54D0"/>
    <w:rsid w:val="00BF5545"/>
    <w:rsid w:val="00BF55F2"/>
    <w:rsid w:val="00BF56A6"/>
    <w:rsid w:val="00BF6070"/>
    <w:rsid w:val="00BF60E7"/>
    <w:rsid w:val="00BF60EF"/>
    <w:rsid w:val="00BF6241"/>
    <w:rsid w:val="00BF672F"/>
    <w:rsid w:val="00BF674D"/>
    <w:rsid w:val="00BF692D"/>
    <w:rsid w:val="00BF699D"/>
    <w:rsid w:val="00BF6A23"/>
    <w:rsid w:val="00BF6A9F"/>
    <w:rsid w:val="00BF6B01"/>
    <w:rsid w:val="00BF6B48"/>
    <w:rsid w:val="00BF6C65"/>
    <w:rsid w:val="00BF6D30"/>
    <w:rsid w:val="00BF6DF3"/>
    <w:rsid w:val="00BF6E98"/>
    <w:rsid w:val="00BF6FFC"/>
    <w:rsid w:val="00BF7368"/>
    <w:rsid w:val="00BF75EF"/>
    <w:rsid w:val="00BF78A8"/>
    <w:rsid w:val="00BF78D4"/>
    <w:rsid w:val="00BF793D"/>
    <w:rsid w:val="00BF7A76"/>
    <w:rsid w:val="00BF7C8D"/>
    <w:rsid w:val="00BF7D2C"/>
    <w:rsid w:val="00BF7EBC"/>
    <w:rsid w:val="00BF7F17"/>
    <w:rsid w:val="00C00580"/>
    <w:rsid w:val="00C0067B"/>
    <w:rsid w:val="00C006AB"/>
    <w:rsid w:val="00C00A76"/>
    <w:rsid w:val="00C0115E"/>
    <w:rsid w:val="00C0128D"/>
    <w:rsid w:val="00C012B6"/>
    <w:rsid w:val="00C01580"/>
    <w:rsid w:val="00C01630"/>
    <w:rsid w:val="00C017AF"/>
    <w:rsid w:val="00C0186C"/>
    <w:rsid w:val="00C01ABA"/>
    <w:rsid w:val="00C01AEA"/>
    <w:rsid w:val="00C01CE7"/>
    <w:rsid w:val="00C01D99"/>
    <w:rsid w:val="00C01DCC"/>
    <w:rsid w:val="00C01F59"/>
    <w:rsid w:val="00C02410"/>
    <w:rsid w:val="00C027BC"/>
    <w:rsid w:val="00C028DC"/>
    <w:rsid w:val="00C02A2D"/>
    <w:rsid w:val="00C02A43"/>
    <w:rsid w:val="00C02E58"/>
    <w:rsid w:val="00C030EE"/>
    <w:rsid w:val="00C03547"/>
    <w:rsid w:val="00C0354B"/>
    <w:rsid w:val="00C03770"/>
    <w:rsid w:val="00C0390E"/>
    <w:rsid w:val="00C039E2"/>
    <w:rsid w:val="00C03D01"/>
    <w:rsid w:val="00C03F6F"/>
    <w:rsid w:val="00C046C0"/>
    <w:rsid w:val="00C04924"/>
    <w:rsid w:val="00C04C86"/>
    <w:rsid w:val="00C04D47"/>
    <w:rsid w:val="00C04E11"/>
    <w:rsid w:val="00C04E56"/>
    <w:rsid w:val="00C04EA7"/>
    <w:rsid w:val="00C04EB9"/>
    <w:rsid w:val="00C04F22"/>
    <w:rsid w:val="00C04F83"/>
    <w:rsid w:val="00C059D3"/>
    <w:rsid w:val="00C05A05"/>
    <w:rsid w:val="00C05AC8"/>
    <w:rsid w:val="00C05CE4"/>
    <w:rsid w:val="00C05D42"/>
    <w:rsid w:val="00C05EA5"/>
    <w:rsid w:val="00C05EB5"/>
    <w:rsid w:val="00C05F2D"/>
    <w:rsid w:val="00C05F49"/>
    <w:rsid w:val="00C060FB"/>
    <w:rsid w:val="00C063BF"/>
    <w:rsid w:val="00C06570"/>
    <w:rsid w:val="00C065C3"/>
    <w:rsid w:val="00C0675E"/>
    <w:rsid w:val="00C068EF"/>
    <w:rsid w:val="00C06A17"/>
    <w:rsid w:val="00C06BD1"/>
    <w:rsid w:val="00C06C5C"/>
    <w:rsid w:val="00C06D13"/>
    <w:rsid w:val="00C06EFE"/>
    <w:rsid w:val="00C0700E"/>
    <w:rsid w:val="00C0705B"/>
    <w:rsid w:val="00C070E6"/>
    <w:rsid w:val="00C071EC"/>
    <w:rsid w:val="00C07374"/>
    <w:rsid w:val="00C0778C"/>
    <w:rsid w:val="00C07A12"/>
    <w:rsid w:val="00C07B88"/>
    <w:rsid w:val="00C07CD7"/>
    <w:rsid w:val="00C07F03"/>
    <w:rsid w:val="00C07FAD"/>
    <w:rsid w:val="00C10035"/>
    <w:rsid w:val="00C1013D"/>
    <w:rsid w:val="00C1025A"/>
    <w:rsid w:val="00C103C2"/>
    <w:rsid w:val="00C1050C"/>
    <w:rsid w:val="00C1064C"/>
    <w:rsid w:val="00C1088E"/>
    <w:rsid w:val="00C10960"/>
    <w:rsid w:val="00C10E63"/>
    <w:rsid w:val="00C11328"/>
    <w:rsid w:val="00C113F0"/>
    <w:rsid w:val="00C11658"/>
    <w:rsid w:val="00C117DF"/>
    <w:rsid w:val="00C11D32"/>
    <w:rsid w:val="00C11ED1"/>
    <w:rsid w:val="00C11F36"/>
    <w:rsid w:val="00C12162"/>
    <w:rsid w:val="00C12190"/>
    <w:rsid w:val="00C1219C"/>
    <w:rsid w:val="00C12386"/>
    <w:rsid w:val="00C12449"/>
    <w:rsid w:val="00C12582"/>
    <w:rsid w:val="00C12679"/>
    <w:rsid w:val="00C1270F"/>
    <w:rsid w:val="00C12733"/>
    <w:rsid w:val="00C129E4"/>
    <w:rsid w:val="00C12CDE"/>
    <w:rsid w:val="00C12E66"/>
    <w:rsid w:val="00C12FDD"/>
    <w:rsid w:val="00C13120"/>
    <w:rsid w:val="00C13269"/>
    <w:rsid w:val="00C132A2"/>
    <w:rsid w:val="00C1333A"/>
    <w:rsid w:val="00C134F0"/>
    <w:rsid w:val="00C13643"/>
    <w:rsid w:val="00C13683"/>
    <w:rsid w:val="00C1371B"/>
    <w:rsid w:val="00C13C22"/>
    <w:rsid w:val="00C13F29"/>
    <w:rsid w:val="00C14003"/>
    <w:rsid w:val="00C1407B"/>
    <w:rsid w:val="00C14347"/>
    <w:rsid w:val="00C1448F"/>
    <w:rsid w:val="00C14561"/>
    <w:rsid w:val="00C149F3"/>
    <w:rsid w:val="00C14CC5"/>
    <w:rsid w:val="00C14D1B"/>
    <w:rsid w:val="00C14E50"/>
    <w:rsid w:val="00C14FCA"/>
    <w:rsid w:val="00C15037"/>
    <w:rsid w:val="00C15671"/>
    <w:rsid w:val="00C156F9"/>
    <w:rsid w:val="00C1598D"/>
    <w:rsid w:val="00C15A3B"/>
    <w:rsid w:val="00C15C88"/>
    <w:rsid w:val="00C15D99"/>
    <w:rsid w:val="00C15DA5"/>
    <w:rsid w:val="00C15F43"/>
    <w:rsid w:val="00C161AA"/>
    <w:rsid w:val="00C161CE"/>
    <w:rsid w:val="00C16315"/>
    <w:rsid w:val="00C16360"/>
    <w:rsid w:val="00C16490"/>
    <w:rsid w:val="00C16690"/>
    <w:rsid w:val="00C16694"/>
    <w:rsid w:val="00C166E2"/>
    <w:rsid w:val="00C16706"/>
    <w:rsid w:val="00C16CED"/>
    <w:rsid w:val="00C16D71"/>
    <w:rsid w:val="00C16D79"/>
    <w:rsid w:val="00C16D8D"/>
    <w:rsid w:val="00C170E6"/>
    <w:rsid w:val="00C171A4"/>
    <w:rsid w:val="00C17273"/>
    <w:rsid w:val="00C1758D"/>
    <w:rsid w:val="00C17750"/>
    <w:rsid w:val="00C17787"/>
    <w:rsid w:val="00C17A43"/>
    <w:rsid w:val="00C17A77"/>
    <w:rsid w:val="00C17B67"/>
    <w:rsid w:val="00C17C61"/>
    <w:rsid w:val="00C17E9C"/>
    <w:rsid w:val="00C2024D"/>
    <w:rsid w:val="00C202B3"/>
    <w:rsid w:val="00C2047C"/>
    <w:rsid w:val="00C2055B"/>
    <w:rsid w:val="00C2060D"/>
    <w:rsid w:val="00C2079F"/>
    <w:rsid w:val="00C20825"/>
    <w:rsid w:val="00C20965"/>
    <w:rsid w:val="00C209F5"/>
    <w:rsid w:val="00C20D1A"/>
    <w:rsid w:val="00C20F3D"/>
    <w:rsid w:val="00C20FB7"/>
    <w:rsid w:val="00C21175"/>
    <w:rsid w:val="00C21186"/>
    <w:rsid w:val="00C216D8"/>
    <w:rsid w:val="00C21781"/>
    <w:rsid w:val="00C21964"/>
    <w:rsid w:val="00C21B36"/>
    <w:rsid w:val="00C21DA1"/>
    <w:rsid w:val="00C21E6E"/>
    <w:rsid w:val="00C21EE0"/>
    <w:rsid w:val="00C22016"/>
    <w:rsid w:val="00C2209F"/>
    <w:rsid w:val="00C22516"/>
    <w:rsid w:val="00C226A1"/>
    <w:rsid w:val="00C227E8"/>
    <w:rsid w:val="00C22A70"/>
    <w:rsid w:val="00C22C4B"/>
    <w:rsid w:val="00C22D10"/>
    <w:rsid w:val="00C22F22"/>
    <w:rsid w:val="00C22F6F"/>
    <w:rsid w:val="00C22FF7"/>
    <w:rsid w:val="00C230B8"/>
    <w:rsid w:val="00C233FB"/>
    <w:rsid w:val="00C2344D"/>
    <w:rsid w:val="00C2346C"/>
    <w:rsid w:val="00C23682"/>
    <w:rsid w:val="00C23739"/>
    <w:rsid w:val="00C238D7"/>
    <w:rsid w:val="00C238E0"/>
    <w:rsid w:val="00C2399C"/>
    <w:rsid w:val="00C246B0"/>
    <w:rsid w:val="00C24774"/>
    <w:rsid w:val="00C247C4"/>
    <w:rsid w:val="00C24944"/>
    <w:rsid w:val="00C24A7E"/>
    <w:rsid w:val="00C24DFE"/>
    <w:rsid w:val="00C24F13"/>
    <w:rsid w:val="00C24F1D"/>
    <w:rsid w:val="00C24F29"/>
    <w:rsid w:val="00C2522C"/>
    <w:rsid w:val="00C25476"/>
    <w:rsid w:val="00C25A55"/>
    <w:rsid w:val="00C25B75"/>
    <w:rsid w:val="00C25C7A"/>
    <w:rsid w:val="00C25D86"/>
    <w:rsid w:val="00C25F68"/>
    <w:rsid w:val="00C260E9"/>
    <w:rsid w:val="00C261A3"/>
    <w:rsid w:val="00C2622B"/>
    <w:rsid w:val="00C262E9"/>
    <w:rsid w:val="00C26369"/>
    <w:rsid w:val="00C2642A"/>
    <w:rsid w:val="00C26518"/>
    <w:rsid w:val="00C26698"/>
    <w:rsid w:val="00C2673C"/>
    <w:rsid w:val="00C269F4"/>
    <w:rsid w:val="00C26AB4"/>
    <w:rsid w:val="00C26B4F"/>
    <w:rsid w:val="00C26C7F"/>
    <w:rsid w:val="00C26C8E"/>
    <w:rsid w:val="00C26D16"/>
    <w:rsid w:val="00C26D6E"/>
    <w:rsid w:val="00C26EE8"/>
    <w:rsid w:val="00C26F53"/>
    <w:rsid w:val="00C270A9"/>
    <w:rsid w:val="00C270CF"/>
    <w:rsid w:val="00C273ED"/>
    <w:rsid w:val="00C278D0"/>
    <w:rsid w:val="00C27BAA"/>
    <w:rsid w:val="00C27BC5"/>
    <w:rsid w:val="00C27CF0"/>
    <w:rsid w:val="00C27E57"/>
    <w:rsid w:val="00C30258"/>
    <w:rsid w:val="00C30297"/>
    <w:rsid w:val="00C306CD"/>
    <w:rsid w:val="00C308F4"/>
    <w:rsid w:val="00C30ABB"/>
    <w:rsid w:val="00C30DD4"/>
    <w:rsid w:val="00C30E1B"/>
    <w:rsid w:val="00C30EA0"/>
    <w:rsid w:val="00C30F0F"/>
    <w:rsid w:val="00C310F4"/>
    <w:rsid w:val="00C3115D"/>
    <w:rsid w:val="00C31450"/>
    <w:rsid w:val="00C315FA"/>
    <w:rsid w:val="00C3164D"/>
    <w:rsid w:val="00C31658"/>
    <w:rsid w:val="00C3195B"/>
    <w:rsid w:val="00C319B4"/>
    <w:rsid w:val="00C31CCB"/>
    <w:rsid w:val="00C31E11"/>
    <w:rsid w:val="00C31E3F"/>
    <w:rsid w:val="00C31E57"/>
    <w:rsid w:val="00C31FB0"/>
    <w:rsid w:val="00C32345"/>
    <w:rsid w:val="00C323FD"/>
    <w:rsid w:val="00C32822"/>
    <w:rsid w:val="00C32BDE"/>
    <w:rsid w:val="00C32C07"/>
    <w:rsid w:val="00C32C93"/>
    <w:rsid w:val="00C32D25"/>
    <w:rsid w:val="00C32DB8"/>
    <w:rsid w:val="00C3303A"/>
    <w:rsid w:val="00C33153"/>
    <w:rsid w:val="00C332CA"/>
    <w:rsid w:val="00C3334F"/>
    <w:rsid w:val="00C333CC"/>
    <w:rsid w:val="00C33420"/>
    <w:rsid w:val="00C33643"/>
    <w:rsid w:val="00C336E5"/>
    <w:rsid w:val="00C337A0"/>
    <w:rsid w:val="00C3387E"/>
    <w:rsid w:val="00C33922"/>
    <w:rsid w:val="00C3398A"/>
    <w:rsid w:val="00C339E7"/>
    <w:rsid w:val="00C33C32"/>
    <w:rsid w:val="00C33C59"/>
    <w:rsid w:val="00C33D12"/>
    <w:rsid w:val="00C33EC3"/>
    <w:rsid w:val="00C33F46"/>
    <w:rsid w:val="00C3400A"/>
    <w:rsid w:val="00C341AF"/>
    <w:rsid w:val="00C34270"/>
    <w:rsid w:val="00C34515"/>
    <w:rsid w:val="00C346B5"/>
    <w:rsid w:val="00C347E0"/>
    <w:rsid w:val="00C34B29"/>
    <w:rsid w:val="00C34F79"/>
    <w:rsid w:val="00C3506E"/>
    <w:rsid w:val="00C35286"/>
    <w:rsid w:val="00C35288"/>
    <w:rsid w:val="00C35422"/>
    <w:rsid w:val="00C35491"/>
    <w:rsid w:val="00C355BF"/>
    <w:rsid w:val="00C35626"/>
    <w:rsid w:val="00C357B3"/>
    <w:rsid w:val="00C3588C"/>
    <w:rsid w:val="00C359AB"/>
    <w:rsid w:val="00C35AD3"/>
    <w:rsid w:val="00C35D81"/>
    <w:rsid w:val="00C35F13"/>
    <w:rsid w:val="00C35FD7"/>
    <w:rsid w:val="00C360F1"/>
    <w:rsid w:val="00C361C6"/>
    <w:rsid w:val="00C3631C"/>
    <w:rsid w:val="00C363DA"/>
    <w:rsid w:val="00C363E7"/>
    <w:rsid w:val="00C363ED"/>
    <w:rsid w:val="00C366DC"/>
    <w:rsid w:val="00C366E0"/>
    <w:rsid w:val="00C366E8"/>
    <w:rsid w:val="00C36956"/>
    <w:rsid w:val="00C36AE7"/>
    <w:rsid w:val="00C36AF4"/>
    <w:rsid w:val="00C36D70"/>
    <w:rsid w:val="00C36DF3"/>
    <w:rsid w:val="00C36F47"/>
    <w:rsid w:val="00C37010"/>
    <w:rsid w:val="00C37056"/>
    <w:rsid w:val="00C37580"/>
    <w:rsid w:val="00C37600"/>
    <w:rsid w:val="00C376A8"/>
    <w:rsid w:val="00C37A2F"/>
    <w:rsid w:val="00C37AAA"/>
    <w:rsid w:val="00C37B52"/>
    <w:rsid w:val="00C37BD4"/>
    <w:rsid w:val="00C37C12"/>
    <w:rsid w:val="00C37D0A"/>
    <w:rsid w:val="00C400D9"/>
    <w:rsid w:val="00C401B1"/>
    <w:rsid w:val="00C401E5"/>
    <w:rsid w:val="00C40371"/>
    <w:rsid w:val="00C40900"/>
    <w:rsid w:val="00C40A80"/>
    <w:rsid w:val="00C40A97"/>
    <w:rsid w:val="00C40C1A"/>
    <w:rsid w:val="00C40D54"/>
    <w:rsid w:val="00C40E59"/>
    <w:rsid w:val="00C40FBF"/>
    <w:rsid w:val="00C411F2"/>
    <w:rsid w:val="00C4145A"/>
    <w:rsid w:val="00C4150E"/>
    <w:rsid w:val="00C41689"/>
    <w:rsid w:val="00C41833"/>
    <w:rsid w:val="00C41B2C"/>
    <w:rsid w:val="00C41B5A"/>
    <w:rsid w:val="00C41CAC"/>
    <w:rsid w:val="00C41E54"/>
    <w:rsid w:val="00C4200F"/>
    <w:rsid w:val="00C420A2"/>
    <w:rsid w:val="00C4217E"/>
    <w:rsid w:val="00C421CF"/>
    <w:rsid w:val="00C422B8"/>
    <w:rsid w:val="00C423A6"/>
    <w:rsid w:val="00C424B4"/>
    <w:rsid w:val="00C42615"/>
    <w:rsid w:val="00C427A2"/>
    <w:rsid w:val="00C42987"/>
    <w:rsid w:val="00C42B16"/>
    <w:rsid w:val="00C42BC0"/>
    <w:rsid w:val="00C42D50"/>
    <w:rsid w:val="00C42ECB"/>
    <w:rsid w:val="00C43078"/>
    <w:rsid w:val="00C43916"/>
    <w:rsid w:val="00C4391B"/>
    <w:rsid w:val="00C44177"/>
    <w:rsid w:val="00C441FD"/>
    <w:rsid w:val="00C443FA"/>
    <w:rsid w:val="00C445E0"/>
    <w:rsid w:val="00C44616"/>
    <w:rsid w:val="00C4484E"/>
    <w:rsid w:val="00C448DE"/>
    <w:rsid w:val="00C44A34"/>
    <w:rsid w:val="00C44A44"/>
    <w:rsid w:val="00C44C3D"/>
    <w:rsid w:val="00C44E59"/>
    <w:rsid w:val="00C44E8F"/>
    <w:rsid w:val="00C4514E"/>
    <w:rsid w:val="00C45249"/>
    <w:rsid w:val="00C452A4"/>
    <w:rsid w:val="00C45514"/>
    <w:rsid w:val="00C45683"/>
    <w:rsid w:val="00C45C56"/>
    <w:rsid w:val="00C4627D"/>
    <w:rsid w:val="00C463D2"/>
    <w:rsid w:val="00C46793"/>
    <w:rsid w:val="00C46847"/>
    <w:rsid w:val="00C46F32"/>
    <w:rsid w:val="00C46F77"/>
    <w:rsid w:val="00C46F95"/>
    <w:rsid w:val="00C46FEE"/>
    <w:rsid w:val="00C473AA"/>
    <w:rsid w:val="00C474DF"/>
    <w:rsid w:val="00C476E3"/>
    <w:rsid w:val="00C47726"/>
    <w:rsid w:val="00C47A1F"/>
    <w:rsid w:val="00C500A6"/>
    <w:rsid w:val="00C500BE"/>
    <w:rsid w:val="00C50314"/>
    <w:rsid w:val="00C50415"/>
    <w:rsid w:val="00C50487"/>
    <w:rsid w:val="00C509B7"/>
    <w:rsid w:val="00C50A82"/>
    <w:rsid w:val="00C50B48"/>
    <w:rsid w:val="00C50C47"/>
    <w:rsid w:val="00C50D37"/>
    <w:rsid w:val="00C50E08"/>
    <w:rsid w:val="00C50EDA"/>
    <w:rsid w:val="00C50FFA"/>
    <w:rsid w:val="00C51147"/>
    <w:rsid w:val="00C51284"/>
    <w:rsid w:val="00C512F2"/>
    <w:rsid w:val="00C51CE8"/>
    <w:rsid w:val="00C52077"/>
    <w:rsid w:val="00C52081"/>
    <w:rsid w:val="00C5241B"/>
    <w:rsid w:val="00C525A0"/>
    <w:rsid w:val="00C52A28"/>
    <w:rsid w:val="00C52D1B"/>
    <w:rsid w:val="00C52D40"/>
    <w:rsid w:val="00C52FC3"/>
    <w:rsid w:val="00C53017"/>
    <w:rsid w:val="00C53180"/>
    <w:rsid w:val="00C532EE"/>
    <w:rsid w:val="00C53362"/>
    <w:rsid w:val="00C5340C"/>
    <w:rsid w:val="00C53426"/>
    <w:rsid w:val="00C539EE"/>
    <w:rsid w:val="00C53ACB"/>
    <w:rsid w:val="00C53B48"/>
    <w:rsid w:val="00C53C1C"/>
    <w:rsid w:val="00C53C48"/>
    <w:rsid w:val="00C53CF4"/>
    <w:rsid w:val="00C53DEA"/>
    <w:rsid w:val="00C53EC7"/>
    <w:rsid w:val="00C5402D"/>
    <w:rsid w:val="00C54039"/>
    <w:rsid w:val="00C54242"/>
    <w:rsid w:val="00C542EF"/>
    <w:rsid w:val="00C54307"/>
    <w:rsid w:val="00C5435B"/>
    <w:rsid w:val="00C5464D"/>
    <w:rsid w:val="00C5468D"/>
    <w:rsid w:val="00C547E0"/>
    <w:rsid w:val="00C5489C"/>
    <w:rsid w:val="00C5495C"/>
    <w:rsid w:val="00C549FA"/>
    <w:rsid w:val="00C54B94"/>
    <w:rsid w:val="00C54DFE"/>
    <w:rsid w:val="00C54F8D"/>
    <w:rsid w:val="00C54F94"/>
    <w:rsid w:val="00C54FCC"/>
    <w:rsid w:val="00C54FE2"/>
    <w:rsid w:val="00C551CF"/>
    <w:rsid w:val="00C5547A"/>
    <w:rsid w:val="00C5553D"/>
    <w:rsid w:val="00C555AC"/>
    <w:rsid w:val="00C55627"/>
    <w:rsid w:val="00C55647"/>
    <w:rsid w:val="00C55A6A"/>
    <w:rsid w:val="00C55DA9"/>
    <w:rsid w:val="00C55EDA"/>
    <w:rsid w:val="00C55F00"/>
    <w:rsid w:val="00C55FD5"/>
    <w:rsid w:val="00C5601B"/>
    <w:rsid w:val="00C56119"/>
    <w:rsid w:val="00C567FB"/>
    <w:rsid w:val="00C57023"/>
    <w:rsid w:val="00C570E1"/>
    <w:rsid w:val="00C573D1"/>
    <w:rsid w:val="00C57473"/>
    <w:rsid w:val="00C574D2"/>
    <w:rsid w:val="00C575E0"/>
    <w:rsid w:val="00C57638"/>
    <w:rsid w:val="00C57681"/>
    <w:rsid w:val="00C57744"/>
    <w:rsid w:val="00C577AE"/>
    <w:rsid w:val="00C578E3"/>
    <w:rsid w:val="00C5793C"/>
    <w:rsid w:val="00C579D8"/>
    <w:rsid w:val="00C57D43"/>
    <w:rsid w:val="00C57ED7"/>
    <w:rsid w:val="00C6022D"/>
    <w:rsid w:val="00C60440"/>
    <w:rsid w:val="00C604EF"/>
    <w:rsid w:val="00C6069C"/>
    <w:rsid w:val="00C60867"/>
    <w:rsid w:val="00C60B0F"/>
    <w:rsid w:val="00C60D91"/>
    <w:rsid w:val="00C61301"/>
    <w:rsid w:val="00C61336"/>
    <w:rsid w:val="00C613BA"/>
    <w:rsid w:val="00C6166D"/>
    <w:rsid w:val="00C61840"/>
    <w:rsid w:val="00C618DE"/>
    <w:rsid w:val="00C61BCA"/>
    <w:rsid w:val="00C62219"/>
    <w:rsid w:val="00C624CE"/>
    <w:rsid w:val="00C624D3"/>
    <w:rsid w:val="00C62524"/>
    <w:rsid w:val="00C6261A"/>
    <w:rsid w:val="00C626A9"/>
    <w:rsid w:val="00C628CC"/>
    <w:rsid w:val="00C6298D"/>
    <w:rsid w:val="00C62B45"/>
    <w:rsid w:val="00C62B59"/>
    <w:rsid w:val="00C62D57"/>
    <w:rsid w:val="00C62E14"/>
    <w:rsid w:val="00C62E6E"/>
    <w:rsid w:val="00C6308B"/>
    <w:rsid w:val="00C6308E"/>
    <w:rsid w:val="00C630F7"/>
    <w:rsid w:val="00C63252"/>
    <w:rsid w:val="00C633C0"/>
    <w:rsid w:val="00C6345E"/>
    <w:rsid w:val="00C63486"/>
    <w:rsid w:val="00C63562"/>
    <w:rsid w:val="00C6367C"/>
    <w:rsid w:val="00C63704"/>
    <w:rsid w:val="00C637D1"/>
    <w:rsid w:val="00C63826"/>
    <w:rsid w:val="00C6388C"/>
    <w:rsid w:val="00C63AF6"/>
    <w:rsid w:val="00C63B54"/>
    <w:rsid w:val="00C63C39"/>
    <w:rsid w:val="00C63D5D"/>
    <w:rsid w:val="00C63D64"/>
    <w:rsid w:val="00C63F59"/>
    <w:rsid w:val="00C6439D"/>
    <w:rsid w:val="00C64443"/>
    <w:rsid w:val="00C647AB"/>
    <w:rsid w:val="00C64838"/>
    <w:rsid w:val="00C6484A"/>
    <w:rsid w:val="00C649FA"/>
    <w:rsid w:val="00C64AA8"/>
    <w:rsid w:val="00C64BB7"/>
    <w:rsid w:val="00C64C37"/>
    <w:rsid w:val="00C64C5D"/>
    <w:rsid w:val="00C64CA5"/>
    <w:rsid w:val="00C64CC1"/>
    <w:rsid w:val="00C64D03"/>
    <w:rsid w:val="00C64E9C"/>
    <w:rsid w:val="00C64F2C"/>
    <w:rsid w:val="00C64FD6"/>
    <w:rsid w:val="00C65167"/>
    <w:rsid w:val="00C65487"/>
    <w:rsid w:val="00C654BB"/>
    <w:rsid w:val="00C6550C"/>
    <w:rsid w:val="00C65594"/>
    <w:rsid w:val="00C655B6"/>
    <w:rsid w:val="00C656E6"/>
    <w:rsid w:val="00C657BF"/>
    <w:rsid w:val="00C65AB7"/>
    <w:rsid w:val="00C65C27"/>
    <w:rsid w:val="00C65C30"/>
    <w:rsid w:val="00C65CD8"/>
    <w:rsid w:val="00C65F7B"/>
    <w:rsid w:val="00C660B5"/>
    <w:rsid w:val="00C661C4"/>
    <w:rsid w:val="00C66488"/>
    <w:rsid w:val="00C66528"/>
    <w:rsid w:val="00C665F7"/>
    <w:rsid w:val="00C66658"/>
    <w:rsid w:val="00C6673B"/>
    <w:rsid w:val="00C66879"/>
    <w:rsid w:val="00C66882"/>
    <w:rsid w:val="00C66995"/>
    <w:rsid w:val="00C67098"/>
    <w:rsid w:val="00C670F1"/>
    <w:rsid w:val="00C670F8"/>
    <w:rsid w:val="00C67165"/>
    <w:rsid w:val="00C6716B"/>
    <w:rsid w:val="00C673C8"/>
    <w:rsid w:val="00C673F2"/>
    <w:rsid w:val="00C675B0"/>
    <w:rsid w:val="00C67746"/>
    <w:rsid w:val="00C67AB5"/>
    <w:rsid w:val="00C700CD"/>
    <w:rsid w:val="00C7011C"/>
    <w:rsid w:val="00C70223"/>
    <w:rsid w:val="00C7026D"/>
    <w:rsid w:val="00C70782"/>
    <w:rsid w:val="00C708AB"/>
    <w:rsid w:val="00C70C1C"/>
    <w:rsid w:val="00C70CF6"/>
    <w:rsid w:val="00C70D85"/>
    <w:rsid w:val="00C70D9C"/>
    <w:rsid w:val="00C70DDF"/>
    <w:rsid w:val="00C70DFF"/>
    <w:rsid w:val="00C70E33"/>
    <w:rsid w:val="00C7103D"/>
    <w:rsid w:val="00C71343"/>
    <w:rsid w:val="00C713ED"/>
    <w:rsid w:val="00C71434"/>
    <w:rsid w:val="00C714C2"/>
    <w:rsid w:val="00C715DC"/>
    <w:rsid w:val="00C71808"/>
    <w:rsid w:val="00C719D6"/>
    <w:rsid w:val="00C71B51"/>
    <w:rsid w:val="00C71C9D"/>
    <w:rsid w:val="00C71E75"/>
    <w:rsid w:val="00C720E1"/>
    <w:rsid w:val="00C72318"/>
    <w:rsid w:val="00C723D6"/>
    <w:rsid w:val="00C724E6"/>
    <w:rsid w:val="00C725E1"/>
    <w:rsid w:val="00C72676"/>
    <w:rsid w:val="00C727B1"/>
    <w:rsid w:val="00C72A7A"/>
    <w:rsid w:val="00C72C5B"/>
    <w:rsid w:val="00C72CF0"/>
    <w:rsid w:val="00C72EA7"/>
    <w:rsid w:val="00C730BD"/>
    <w:rsid w:val="00C7321B"/>
    <w:rsid w:val="00C737ED"/>
    <w:rsid w:val="00C73870"/>
    <w:rsid w:val="00C738B4"/>
    <w:rsid w:val="00C739BB"/>
    <w:rsid w:val="00C73B42"/>
    <w:rsid w:val="00C73B45"/>
    <w:rsid w:val="00C73B67"/>
    <w:rsid w:val="00C73BA9"/>
    <w:rsid w:val="00C73C10"/>
    <w:rsid w:val="00C73E25"/>
    <w:rsid w:val="00C740D8"/>
    <w:rsid w:val="00C7434B"/>
    <w:rsid w:val="00C743D7"/>
    <w:rsid w:val="00C74744"/>
    <w:rsid w:val="00C747A5"/>
    <w:rsid w:val="00C74B76"/>
    <w:rsid w:val="00C74BBE"/>
    <w:rsid w:val="00C74C9D"/>
    <w:rsid w:val="00C74DD5"/>
    <w:rsid w:val="00C74E10"/>
    <w:rsid w:val="00C74F9B"/>
    <w:rsid w:val="00C750EC"/>
    <w:rsid w:val="00C751D8"/>
    <w:rsid w:val="00C75222"/>
    <w:rsid w:val="00C75291"/>
    <w:rsid w:val="00C753A4"/>
    <w:rsid w:val="00C75599"/>
    <w:rsid w:val="00C75750"/>
    <w:rsid w:val="00C7579E"/>
    <w:rsid w:val="00C75901"/>
    <w:rsid w:val="00C75BDB"/>
    <w:rsid w:val="00C75C7F"/>
    <w:rsid w:val="00C75D2C"/>
    <w:rsid w:val="00C75E74"/>
    <w:rsid w:val="00C7625A"/>
    <w:rsid w:val="00C76265"/>
    <w:rsid w:val="00C7632D"/>
    <w:rsid w:val="00C7640C"/>
    <w:rsid w:val="00C764F3"/>
    <w:rsid w:val="00C76551"/>
    <w:rsid w:val="00C76ABB"/>
    <w:rsid w:val="00C76AC7"/>
    <w:rsid w:val="00C76B65"/>
    <w:rsid w:val="00C76B90"/>
    <w:rsid w:val="00C76D6F"/>
    <w:rsid w:val="00C76DCA"/>
    <w:rsid w:val="00C76E72"/>
    <w:rsid w:val="00C76EE2"/>
    <w:rsid w:val="00C76F4C"/>
    <w:rsid w:val="00C7704B"/>
    <w:rsid w:val="00C77095"/>
    <w:rsid w:val="00C771E0"/>
    <w:rsid w:val="00C774D3"/>
    <w:rsid w:val="00C774F5"/>
    <w:rsid w:val="00C77782"/>
    <w:rsid w:val="00C77790"/>
    <w:rsid w:val="00C77953"/>
    <w:rsid w:val="00C77CFF"/>
    <w:rsid w:val="00C77D03"/>
    <w:rsid w:val="00C77F04"/>
    <w:rsid w:val="00C80022"/>
    <w:rsid w:val="00C800B5"/>
    <w:rsid w:val="00C800F8"/>
    <w:rsid w:val="00C80208"/>
    <w:rsid w:val="00C80316"/>
    <w:rsid w:val="00C80324"/>
    <w:rsid w:val="00C80383"/>
    <w:rsid w:val="00C804CF"/>
    <w:rsid w:val="00C80536"/>
    <w:rsid w:val="00C80715"/>
    <w:rsid w:val="00C80948"/>
    <w:rsid w:val="00C80952"/>
    <w:rsid w:val="00C80B2B"/>
    <w:rsid w:val="00C80BA8"/>
    <w:rsid w:val="00C80CEE"/>
    <w:rsid w:val="00C80E21"/>
    <w:rsid w:val="00C80E4D"/>
    <w:rsid w:val="00C811A5"/>
    <w:rsid w:val="00C815C6"/>
    <w:rsid w:val="00C815C7"/>
    <w:rsid w:val="00C817AC"/>
    <w:rsid w:val="00C81AE8"/>
    <w:rsid w:val="00C81DAA"/>
    <w:rsid w:val="00C820AA"/>
    <w:rsid w:val="00C8229F"/>
    <w:rsid w:val="00C823CE"/>
    <w:rsid w:val="00C82443"/>
    <w:rsid w:val="00C82566"/>
    <w:rsid w:val="00C825AE"/>
    <w:rsid w:val="00C8262F"/>
    <w:rsid w:val="00C8264E"/>
    <w:rsid w:val="00C827D6"/>
    <w:rsid w:val="00C8294B"/>
    <w:rsid w:val="00C829A4"/>
    <w:rsid w:val="00C82A4A"/>
    <w:rsid w:val="00C82BCD"/>
    <w:rsid w:val="00C82E9A"/>
    <w:rsid w:val="00C82F2A"/>
    <w:rsid w:val="00C833F9"/>
    <w:rsid w:val="00C83479"/>
    <w:rsid w:val="00C835B6"/>
    <w:rsid w:val="00C837E0"/>
    <w:rsid w:val="00C838B3"/>
    <w:rsid w:val="00C83C40"/>
    <w:rsid w:val="00C83C8F"/>
    <w:rsid w:val="00C83CF7"/>
    <w:rsid w:val="00C83D1E"/>
    <w:rsid w:val="00C84007"/>
    <w:rsid w:val="00C840AF"/>
    <w:rsid w:val="00C84117"/>
    <w:rsid w:val="00C8415C"/>
    <w:rsid w:val="00C84205"/>
    <w:rsid w:val="00C84236"/>
    <w:rsid w:val="00C846EB"/>
    <w:rsid w:val="00C84720"/>
    <w:rsid w:val="00C84987"/>
    <w:rsid w:val="00C8499C"/>
    <w:rsid w:val="00C84AC3"/>
    <w:rsid w:val="00C84C90"/>
    <w:rsid w:val="00C84D94"/>
    <w:rsid w:val="00C84DF5"/>
    <w:rsid w:val="00C84FD1"/>
    <w:rsid w:val="00C85314"/>
    <w:rsid w:val="00C853BC"/>
    <w:rsid w:val="00C85A91"/>
    <w:rsid w:val="00C85AEF"/>
    <w:rsid w:val="00C85B5E"/>
    <w:rsid w:val="00C85BDF"/>
    <w:rsid w:val="00C85C0E"/>
    <w:rsid w:val="00C85C61"/>
    <w:rsid w:val="00C85E3B"/>
    <w:rsid w:val="00C86208"/>
    <w:rsid w:val="00C86298"/>
    <w:rsid w:val="00C8683B"/>
    <w:rsid w:val="00C86850"/>
    <w:rsid w:val="00C86C59"/>
    <w:rsid w:val="00C86C79"/>
    <w:rsid w:val="00C86D71"/>
    <w:rsid w:val="00C86DE8"/>
    <w:rsid w:val="00C86E60"/>
    <w:rsid w:val="00C86F06"/>
    <w:rsid w:val="00C86F8D"/>
    <w:rsid w:val="00C87070"/>
    <w:rsid w:val="00C875C6"/>
    <w:rsid w:val="00C87618"/>
    <w:rsid w:val="00C87AE8"/>
    <w:rsid w:val="00C87C7A"/>
    <w:rsid w:val="00C87CA9"/>
    <w:rsid w:val="00C902D0"/>
    <w:rsid w:val="00C9039F"/>
    <w:rsid w:val="00C90520"/>
    <w:rsid w:val="00C906F1"/>
    <w:rsid w:val="00C90798"/>
    <w:rsid w:val="00C9093F"/>
    <w:rsid w:val="00C909E2"/>
    <w:rsid w:val="00C90A84"/>
    <w:rsid w:val="00C90B7F"/>
    <w:rsid w:val="00C90C3E"/>
    <w:rsid w:val="00C90E00"/>
    <w:rsid w:val="00C90FCB"/>
    <w:rsid w:val="00C91228"/>
    <w:rsid w:val="00C9168A"/>
    <w:rsid w:val="00C917BF"/>
    <w:rsid w:val="00C91A4F"/>
    <w:rsid w:val="00C91A83"/>
    <w:rsid w:val="00C91B58"/>
    <w:rsid w:val="00C91BA1"/>
    <w:rsid w:val="00C91C75"/>
    <w:rsid w:val="00C91E30"/>
    <w:rsid w:val="00C91F03"/>
    <w:rsid w:val="00C91FEF"/>
    <w:rsid w:val="00C920C2"/>
    <w:rsid w:val="00C9217B"/>
    <w:rsid w:val="00C921BE"/>
    <w:rsid w:val="00C921E5"/>
    <w:rsid w:val="00C92205"/>
    <w:rsid w:val="00C92214"/>
    <w:rsid w:val="00C9253F"/>
    <w:rsid w:val="00C9258C"/>
    <w:rsid w:val="00C925C3"/>
    <w:rsid w:val="00C92610"/>
    <w:rsid w:val="00C92806"/>
    <w:rsid w:val="00C92A2E"/>
    <w:rsid w:val="00C92B46"/>
    <w:rsid w:val="00C92B92"/>
    <w:rsid w:val="00C92CED"/>
    <w:rsid w:val="00C92E7A"/>
    <w:rsid w:val="00C92F4F"/>
    <w:rsid w:val="00C935A0"/>
    <w:rsid w:val="00C939AB"/>
    <w:rsid w:val="00C93ADD"/>
    <w:rsid w:val="00C93CC0"/>
    <w:rsid w:val="00C93F59"/>
    <w:rsid w:val="00C93FE0"/>
    <w:rsid w:val="00C9421E"/>
    <w:rsid w:val="00C94592"/>
    <w:rsid w:val="00C94617"/>
    <w:rsid w:val="00C946C5"/>
    <w:rsid w:val="00C94A31"/>
    <w:rsid w:val="00C94C43"/>
    <w:rsid w:val="00C94D07"/>
    <w:rsid w:val="00C94D8C"/>
    <w:rsid w:val="00C94E6A"/>
    <w:rsid w:val="00C94FAA"/>
    <w:rsid w:val="00C94FF8"/>
    <w:rsid w:val="00C95152"/>
    <w:rsid w:val="00C951BB"/>
    <w:rsid w:val="00C95255"/>
    <w:rsid w:val="00C957F2"/>
    <w:rsid w:val="00C959DD"/>
    <w:rsid w:val="00C95B0B"/>
    <w:rsid w:val="00C95C87"/>
    <w:rsid w:val="00C95D1F"/>
    <w:rsid w:val="00C95EC8"/>
    <w:rsid w:val="00C960D9"/>
    <w:rsid w:val="00C96145"/>
    <w:rsid w:val="00C9614B"/>
    <w:rsid w:val="00C9635C"/>
    <w:rsid w:val="00C9640F"/>
    <w:rsid w:val="00C964E0"/>
    <w:rsid w:val="00C9658E"/>
    <w:rsid w:val="00C965C2"/>
    <w:rsid w:val="00C96B4B"/>
    <w:rsid w:val="00C96BDB"/>
    <w:rsid w:val="00C96E77"/>
    <w:rsid w:val="00C96EA0"/>
    <w:rsid w:val="00C96FD3"/>
    <w:rsid w:val="00C9728D"/>
    <w:rsid w:val="00C976B0"/>
    <w:rsid w:val="00C97705"/>
    <w:rsid w:val="00C9796F"/>
    <w:rsid w:val="00C97E27"/>
    <w:rsid w:val="00C97E9B"/>
    <w:rsid w:val="00CA0116"/>
    <w:rsid w:val="00CA01DE"/>
    <w:rsid w:val="00CA0A1B"/>
    <w:rsid w:val="00CA0B5D"/>
    <w:rsid w:val="00CA0BAF"/>
    <w:rsid w:val="00CA0CFF"/>
    <w:rsid w:val="00CA0DBD"/>
    <w:rsid w:val="00CA15D8"/>
    <w:rsid w:val="00CA1642"/>
    <w:rsid w:val="00CA19D2"/>
    <w:rsid w:val="00CA1D0D"/>
    <w:rsid w:val="00CA1EBC"/>
    <w:rsid w:val="00CA1F1D"/>
    <w:rsid w:val="00CA2276"/>
    <w:rsid w:val="00CA23B9"/>
    <w:rsid w:val="00CA24DD"/>
    <w:rsid w:val="00CA2511"/>
    <w:rsid w:val="00CA28BC"/>
    <w:rsid w:val="00CA28E6"/>
    <w:rsid w:val="00CA292A"/>
    <w:rsid w:val="00CA2C4E"/>
    <w:rsid w:val="00CA2DA2"/>
    <w:rsid w:val="00CA2DCF"/>
    <w:rsid w:val="00CA2F0D"/>
    <w:rsid w:val="00CA2FDB"/>
    <w:rsid w:val="00CA309A"/>
    <w:rsid w:val="00CA31B3"/>
    <w:rsid w:val="00CA3590"/>
    <w:rsid w:val="00CA37D9"/>
    <w:rsid w:val="00CA3A46"/>
    <w:rsid w:val="00CA3B11"/>
    <w:rsid w:val="00CA3EF9"/>
    <w:rsid w:val="00CA3F05"/>
    <w:rsid w:val="00CA3F0D"/>
    <w:rsid w:val="00CA44EC"/>
    <w:rsid w:val="00CA47E2"/>
    <w:rsid w:val="00CA4915"/>
    <w:rsid w:val="00CA49B7"/>
    <w:rsid w:val="00CA49B8"/>
    <w:rsid w:val="00CA4A17"/>
    <w:rsid w:val="00CA4BC0"/>
    <w:rsid w:val="00CA4BD6"/>
    <w:rsid w:val="00CA4CB6"/>
    <w:rsid w:val="00CA4D27"/>
    <w:rsid w:val="00CA4DDD"/>
    <w:rsid w:val="00CA4EFC"/>
    <w:rsid w:val="00CA4F5E"/>
    <w:rsid w:val="00CA5125"/>
    <w:rsid w:val="00CA53E0"/>
    <w:rsid w:val="00CA54BC"/>
    <w:rsid w:val="00CA54ED"/>
    <w:rsid w:val="00CA570A"/>
    <w:rsid w:val="00CA5960"/>
    <w:rsid w:val="00CA5AAB"/>
    <w:rsid w:val="00CA5B1A"/>
    <w:rsid w:val="00CA5CA8"/>
    <w:rsid w:val="00CA5E9E"/>
    <w:rsid w:val="00CA622E"/>
    <w:rsid w:val="00CA6320"/>
    <w:rsid w:val="00CA6384"/>
    <w:rsid w:val="00CA6420"/>
    <w:rsid w:val="00CA64F1"/>
    <w:rsid w:val="00CA68A3"/>
    <w:rsid w:val="00CA6B62"/>
    <w:rsid w:val="00CA6DD0"/>
    <w:rsid w:val="00CA6FED"/>
    <w:rsid w:val="00CA70C6"/>
    <w:rsid w:val="00CA71F3"/>
    <w:rsid w:val="00CA7240"/>
    <w:rsid w:val="00CA7296"/>
    <w:rsid w:val="00CA7307"/>
    <w:rsid w:val="00CA740A"/>
    <w:rsid w:val="00CA76E1"/>
    <w:rsid w:val="00CA7740"/>
    <w:rsid w:val="00CA77BD"/>
    <w:rsid w:val="00CA7D79"/>
    <w:rsid w:val="00CB0074"/>
    <w:rsid w:val="00CB0157"/>
    <w:rsid w:val="00CB0633"/>
    <w:rsid w:val="00CB0643"/>
    <w:rsid w:val="00CB0797"/>
    <w:rsid w:val="00CB0A92"/>
    <w:rsid w:val="00CB0DAB"/>
    <w:rsid w:val="00CB0EE7"/>
    <w:rsid w:val="00CB0FDA"/>
    <w:rsid w:val="00CB1054"/>
    <w:rsid w:val="00CB105B"/>
    <w:rsid w:val="00CB126E"/>
    <w:rsid w:val="00CB156D"/>
    <w:rsid w:val="00CB1581"/>
    <w:rsid w:val="00CB16C8"/>
    <w:rsid w:val="00CB192C"/>
    <w:rsid w:val="00CB1AA3"/>
    <w:rsid w:val="00CB1B0B"/>
    <w:rsid w:val="00CB1B64"/>
    <w:rsid w:val="00CB1C76"/>
    <w:rsid w:val="00CB1D84"/>
    <w:rsid w:val="00CB1E5B"/>
    <w:rsid w:val="00CB1EEE"/>
    <w:rsid w:val="00CB1F0D"/>
    <w:rsid w:val="00CB1F8E"/>
    <w:rsid w:val="00CB1FA7"/>
    <w:rsid w:val="00CB2048"/>
    <w:rsid w:val="00CB23AE"/>
    <w:rsid w:val="00CB246F"/>
    <w:rsid w:val="00CB2660"/>
    <w:rsid w:val="00CB26FC"/>
    <w:rsid w:val="00CB28E9"/>
    <w:rsid w:val="00CB28FB"/>
    <w:rsid w:val="00CB29A4"/>
    <w:rsid w:val="00CB29AA"/>
    <w:rsid w:val="00CB2A23"/>
    <w:rsid w:val="00CB2E6B"/>
    <w:rsid w:val="00CB2F18"/>
    <w:rsid w:val="00CB317C"/>
    <w:rsid w:val="00CB3306"/>
    <w:rsid w:val="00CB3314"/>
    <w:rsid w:val="00CB335E"/>
    <w:rsid w:val="00CB350E"/>
    <w:rsid w:val="00CB3706"/>
    <w:rsid w:val="00CB370B"/>
    <w:rsid w:val="00CB3847"/>
    <w:rsid w:val="00CB3AF1"/>
    <w:rsid w:val="00CB3C1E"/>
    <w:rsid w:val="00CB3C53"/>
    <w:rsid w:val="00CB3DD3"/>
    <w:rsid w:val="00CB40B8"/>
    <w:rsid w:val="00CB424F"/>
    <w:rsid w:val="00CB4380"/>
    <w:rsid w:val="00CB463C"/>
    <w:rsid w:val="00CB47B5"/>
    <w:rsid w:val="00CB4947"/>
    <w:rsid w:val="00CB4949"/>
    <w:rsid w:val="00CB4B6D"/>
    <w:rsid w:val="00CB4BB6"/>
    <w:rsid w:val="00CB4C58"/>
    <w:rsid w:val="00CB4E46"/>
    <w:rsid w:val="00CB50EF"/>
    <w:rsid w:val="00CB514D"/>
    <w:rsid w:val="00CB5205"/>
    <w:rsid w:val="00CB52ED"/>
    <w:rsid w:val="00CB537B"/>
    <w:rsid w:val="00CB5739"/>
    <w:rsid w:val="00CB58F1"/>
    <w:rsid w:val="00CB59F5"/>
    <w:rsid w:val="00CB5AF0"/>
    <w:rsid w:val="00CB5B7C"/>
    <w:rsid w:val="00CB5CA5"/>
    <w:rsid w:val="00CB6AC2"/>
    <w:rsid w:val="00CB6B5E"/>
    <w:rsid w:val="00CB6E71"/>
    <w:rsid w:val="00CB6EE7"/>
    <w:rsid w:val="00CB7071"/>
    <w:rsid w:val="00CB722B"/>
    <w:rsid w:val="00CB7345"/>
    <w:rsid w:val="00CB78E7"/>
    <w:rsid w:val="00CB7A27"/>
    <w:rsid w:val="00CB7B64"/>
    <w:rsid w:val="00CB7B8D"/>
    <w:rsid w:val="00CC00CF"/>
    <w:rsid w:val="00CC02EA"/>
    <w:rsid w:val="00CC04FB"/>
    <w:rsid w:val="00CC060A"/>
    <w:rsid w:val="00CC06AE"/>
    <w:rsid w:val="00CC0756"/>
    <w:rsid w:val="00CC07F3"/>
    <w:rsid w:val="00CC0803"/>
    <w:rsid w:val="00CC08D5"/>
    <w:rsid w:val="00CC08E4"/>
    <w:rsid w:val="00CC0D2B"/>
    <w:rsid w:val="00CC0DF5"/>
    <w:rsid w:val="00CC0E2A"/>
    <w:rsid w:val="00CC0E47"/>
    <w:rsid w:val="00CC0F09"/>
    <w:rsid w:val="00CC11D0"/>
    <w:rsid w:val="00CC146C"/>
    <w:rsid w:val="00CC1889"/>
    <w:rsid w:val="00CC18DF"/>
    <w:rsid w:val="00CC19FE"/>
    <w:rsid w:val="00CC1D44"/>
    <w:rsid w:val="00CC1D49"/>
    <w:rsid w:val="00CC1D88"/>
    <w:rsid w:val="00CC1DFF"/>
    <w:rsid w:val="00CC1E19"/>
    <w:rsid w:val="00CC2011"/>
    <w:rsid w:val="00CC2091"/>
    <w:rsid w:val="00CC222D"/>
    <w:rsid w:val="00CC2280"/>
    <w:rsid w:val="00CC2677"/>
    <w:rsid w:val="00CC2812"/>
    <w:rsid w:val="00CC2B26"/>
    <w:rsid w:val="00CC2C24"/>
    <w:rsid w:val="00CC2D0B"/>
    <w:rsid w:val="00CC2E3D"/>
    <w:rsid w:val="00CC2F27"/>
    <w:rsid w:val="00CC3037"/>
    <w:rsid w:val="00CC3257"/>
    <w:rsid w:val="00CC346C"/>
    <w:rsid w:val="00CC355C"/>
    <w:rsid w:val="00CC3567"/>
    <w:rsid w:val="00CC35A0"/>
    <w:rsid w:val="00CC387A"/>
    <w:rsid w:val="00CC38AC"/>
    <w:rsid w:val="00CC396F"/>
    <w:rsid w:val="00CC39AB"/>
    <w:rsid w:val="00CC3C22"/>
    <w:rsid w:val="00CC3D68"/>
    <w:rsid w:val="00CC3F5C"/>
    <w:rsid w:val="00CC4470"/>
    <w:rsid w:val="00CC46E1"/>
    <w:rsid w:val="00CC48E3"/>
    <w:rsid w:val="00CC4B03"/>
    <w:rsid w:val="00CC4DF9"/>
    <w:rsid w:val="00CC4E34"/>
    <w:rsid w:val="00CC4F15"/>
    <w:rsid w:val="00CC4FCC"/>
    <w:rsid w:val="00CC4FD9"/>
    <w:rsid w:val="00CC5051"/>
    <w:rsid w:val="00CC53DA"/>
    <w:rsid w:val="00CC5487"/>
    <w:rsid w:val="00CC5544"/>
    <w:rsid w:val="00CC5554"/>
    <w:rsid w:val="00CC559D"/>
    <w:rsid w:val="00CC566F"/>
    <w:rsid w:val="00CC594C"/>
    <w:rsid w:val="00CC639A"/>
    <w:rsid w:val="00CC64A2"/>
    <w:rsid w:val="00CC64B3"/>
    <w:rsid w:val="00CC65B2"/>
    <w:rsid w:val="00CC66FA"/>
    <w:rsid w:val="00CC6721"/>
    <w:rsid w:val="00CC68E8"/>
    <w:rsid w:val="00CC690D"/>
    <w:rsid w:val="00CC6ADB"/>
    <w:rsid w:val="00CC6AE3"/>
    <w:rsid w:val="00CC6BBD"/>
    <w:rsid w:val="00CC6C60"/>
    <w:rsid w:val="00CC6C86"/>
    <w:rsid w:val="00CC6EAA"/>
    <w:rsid w:val="00CC7245"/>
    <w:rsid w:val="00CC7322"/>
    <w:rsid w:val="00CC768F"/>
    <w:rsid w:val="00CC7A30"/>
    <w:rsid w:val="00CC7B60"/>
    <w:rsid w:val="00CD02A3"/>
    <w:rsid w:val="00CD02B4"/>
    <w:rsid w:val="00CD03E2"/>
    <w:rsid w:val="00CD04CF"/>
    <w:rsid w:val="00CD0638"/>
    <w:rsid w:val="00CD07EA"/>
    <w:rsid w:val="00CD07F8"/>
    <w:rsid w:val="00CD0A04"/>
    <w:rsid w:val="00CD0C0A"/>
    <w:rsid w:val="00CD0C13"/>
    <w:rsid w:val="00CD0E3A"/>
    <w:rsid w:val="00CD1491"/>
    <w:rsid w:val="00CD1582"/>
    <w:rsid w:val="00CD1644"/>
    <w:rsid w:val="00CD16BE"/>
    <w:rsid w:val="00CD1700"/>
    <w:rsid w:val="00CD1997"/>
    <w:rsid w:val="00CD19BB"/>
    <w:rsid w:val="00CD19D5"/>
    <w:rsid w:val="00CD1AB2"/>
    <w:rsid w:val="00CD1E32"/>
    <w:rsid w:val="00CD1EC5"/>
    <w:rsid w:val="00CD1F00"/>
    <w:rsid w:val="00CD2004"/>
    <w:rsid w:val="00CD225A"/>
    <w:rsid w:val="00CD22CF"/>
    <w:rsid w:val="00CD231D"/>
    <w:rsid w:val="00CD23AF"/>
    <w:rsid w:val="00CD24CA"/>
    <w:rsid w:val="00CD2596"/>
    <w:rsid w:val="00CD2754"/>
    <w:rsid w:val="00CD2A0E"/>
    <w:rsid w:val="00CD2A86"/>
    <w:rsid w:val="00CD2A8C"/>
    <w:rsid w:val="00CD2BF1"/>
    <w:rsid w:val="00CD2CDC"/>
    <w:rsid w:val="00CD2D6D"/>
    <w:rsid w:val="00CD319E"/>
    <w:rsid w:val="00CD344A"/>
    <w:rsid w:val="00CD3C0B"/>
    <w:rsid w:val="00CD3C11"/>
    <w:rsid w:val="00CD3C6A"/>
    <w:rsid w:val="00CD3DA7"/>
    <w:rsid w:val="00CD3ECF"/>
    <w:rsid w:val="00CD3FFF"/>
    <w:rsid w:val="00CD417D"/>
    <w:rsid w:val="00CD4184"/>
    <w:rsid w:val="00CD4270"/>
    <w:rsid w:val="00CD461D"/>
    <w:rsid w:val="00CD47A5"/>
    <w:rsid w:val="00CD4856"/>
    <w:rsid w:val="00CD4B9F"/>
    <w:rsid w:val="00CD4C21"/>
    <w:rsid w:val="00CD4FF1"/>
    <w:rsid w:val="00CD518F"/>
    <w:rsid w:val="00CD51BB"/>
    <w:rsid w:val="00CD52EC"/>
    <w:rsid w:val="00CD535C"/>
    <w:rsid w:val="00CD5556"/>
    <w:rsid w:val="00CD5699"/>
    <w:rsid w:val="00CD57AA"/>
    <w:rsid w:val="00CD5944"/>
    <w:rsid w:val="00CD5ADE"/>
    <w:rsid w:val="00CD5B9B"/>
    <w:rsid w:val="00CD5C11"/>
    <w:rsid w:val="00CD5C12"/>
    <w:rsid w:val="00CD5E3E"/>
    <w:rsid w:val="00CD5FB2"/>
    <w:rsid w:val="00CD5FEB"/>
    <w:rsid w:val="00CD615D"/>
    <w:rsid w:val="00CD615F"/>
    <w:rsid w:val="00CD650E"/>
    <w:rsid w:val="00CD654B"/>
    <w:rsid w:val="00CD65B2"/>
    <w:rsid w:val="00CD68E6"/>
    <w:rsid w:val="00CD6DF9"/>
    <w:rsid w:val="00CD6EDB"/>
    <w:rsid w:val="00CD6F97"/>
    <w:rsid w:val="00CD7328"/>
    <w:rsid w:val="00CD74C4"/>
    <w:rsid w:val="00CD7580"/>
    <w:rsid w:val="00CD759E"/>
    <w:rsid w:val="00CD7788"/>
    <w:rsid w:val="00CD77C0"/>
    <w:rsid w:val="00CD77E0"/>
    <w:rsid w:val="00CD780F"/>
    <w:rsid w:val="00CD78B3"/>
    <w:rsid w:val="00CD799C"/>
    <w:rsid w:val="00CD7AB4"/>
    <w:rsid w:val="00CD7AB6"/>
    <w:rsid w:val="00CD7AFA"/>
    <w:rsid w:val="00CD7BA8"/>
    <w:rsid w:val="00CD7C08"/>
    <w:rsid w:val="00CE000E"/>
    <w:rsid w:val="00CE0025"/>
    <w:rsid w:val="00CE00D9"/>
    <w:rsid w:val="00CE015E"/>
    <w:rsid w:val="00CE018C"/>
    <w:rsid w:val="00CE022A"/>
    <w:rsid w:val="00CE036E"/>
    <w:rsid w:val="00CE054D"/>
    <w:rsid w:val="00CE059C"/>
    <w:rsid w:val="00CE074D"/>
    <w:rsid w:val="00CE07BB"/>
    <w:rsid w:val="00CE0AFD"/>
    <w:rsid w:val="00CE0B88"/>
    <w:rsid w:val="00CE0BE0"/>
    <w:rsid w:val="00CE0BFF"/>
    <w:rsid w:val="00CE0C2C"/>
    <w:rsid w:val="00CE0FD6"/>
    <w:rsid w:val="00CE1335"/>
    <w:rsid w:val="00CE140A"/>
    <w:rsid w:val="00CE145C"/>
    <w:rsid w:val="00CE1620"/>
    <w:rsid w:val="00CE170D"/>
    <w:rsid w:val="00CE174C"/>
    <w:rsid w:val="00CE1AA2"/>
    <w:rsid w:val="00CE1AF8"/>
    <w:rsid w:val="00CE1B72"/>
    <w:rsid w:val="00CE1DA5"/>
    <w:rsid w:val="00CE1DA8"/>
    <w:rsid w:val="00CE1ED6"/>
    <w:rsid w:val="00CE223E"/>
    <w:rsid w:val="00CE24D2"/>
    <w:rsid w:val="00CE25EF"/>
    <w:rsid w:val="00CE27D7"/>
    <w:rsid w:val="00CE27DF"/>
    <w:rsid w:val="00CE2814"/>
    <w:rsid w:val="00CE2820"/>
    <w:rsid w:val="00CE29A6"/>
    <w:rsid w:val="00CE2AD6"/>
    <w:rsid w:val="00CE2B61"/>
    <w:rsid w:val="00CE2CA6"/>
    <w:rsid w:val="00CE2F79"/>
    <w:rsid w:val="00CE3227"/>
    <w:rsid w:val="00CE36ED"/>
    <w:rsid w:val="00CE3803"/>
    <w:rsid w:val="00CE3877"/>
    <w:rsid w:val="00CE38E5"/>
    <w:rsid w:val="00CE3E7E"/>
    <w:rsid w:val="00CE4028"/>
    <w:rsid w:val="00CE4035"/>
    <w:rsid w:val="00CE4222"/>
    <w:rsid w:val="00CE4301"/>
    <w:rsid w:val="00CE4317"/>
    <w:rsid w:val="00CE433D"/>
    <w:rsid w:val="00CE4372"/>
    <w:rsid w:val="00CE4453"/>
    <w:rsid w:val="00CE4558"/>
    <w:rsid w:val="00CE45B9"/>
    <w:rsid w:val="00CE468F"/>
    <w:rsid w:val="00CE4724"/>
    <w:rsid w:val="00CE4784"/>
    <w:rsid w:val="00CE48DC"/>
    <w:rsid w:val="00CE4A32"/>
    <w:rsid w:val="00CE4A39"/>
    <w:rsid w:val="00CE4ADF"/>
    <w:rsid w:val="00CE4B4A"/>
    <w:rsid w:val="00CE4C22"/>
    <w:rsid w:val="00CE4D17"/>
    <w:rsid w:val="00CE4DF7"/>
    <w:rsid w:val="00CE4E2B"/>
    <w:rsid w:val="00CE4E70"/>
    <w:rsid w:val="00CE5150"/>
    <w:rsid w:val="00CE5169"/>
    <w:rsid w:val="00CE5214"/>
    <w:rsid w:val="00CE52BC"/>
    <w:rsid w:val="00CE5415"/>
    <w:rsid w:val="00CE56C0"/>
    <w:rsid w:val="00CE58E2"/>
    <w:rsid w:val="00CE5B6B"/>
    <w:rsid w:val="00CE5E2F"/>
    <w:rsid w:val="00CE5E64"/>
    <w:rsid w:val="00CE607F"/>
    <w:rsid w:val="00CE609D"/>
    <w:rsid w:val="00CE6401"/>
    <w:rsid w:val="00CE668F"/>
    <w:rsid w:val="00CE67F4"/>
    <w:rsid w:val="00CE6931"/>
    <w:rsid w:val="00CE6973"/>
    <w:rsid w:val="00CE6A72"/>
    <w:rsid w:val="00CE6B35"/>
    <w:rsid w:val="00CE6BA9"/>
    <w:rsid w:val="00CE6C24"/>
    <w:rsid w:val="00CE6C52"/>
    <w:rsid w:val="00CE6ED2"/>
    <w:rsid w:val="00CE6F49"/>
    <w:rsid w:val="00CE6FBD"/>
    <w:rsid w:val="00CE7124"/>
    <w:rsid w:val="00CE7134"/>
    <w:rsid w:val="00CE72D0"/>
    <w:rsid w:val="00CE7570"/>
    <w:rsid w:val="00CE769C"/>
    <w:rsid w:val="00CE76A1"/>
    <w:rsid w:val="00CE7A9A"/>
    <w:rsid w:val="00CE7B3F"/>
    <w:rsid w:val="00CE7B45"/>
    <w:rsid w:val="00CE7BF4"/>
    <w:rsid w:val="00CE7DF7"/>
    <w:rsid w:val="00CE7FE5"/>
    <w:rsid w:val="00CF006A"/>
    <w:rsid w:val="00CF008B"/>
    <w:rsid w:val="00CF0101"/>
    <w:rsid w:val="00CF01FE"/>
    <w:rsid w:val="00CF050B"/>
    <w:rsid w:val="00CF0526"/>
    <w:rsid w:val="00CF055A"/>
    <w:rsid w:val="00CF06B6"/>
    <w:rsid w:val="00CF0C62"/>
    <w:rsid w:val="00CF0DD4"/>
    <w:rsid w:val="00CF0F16"/>
    <w:rsid w:val="00CF0F23"/>
    <w:rsid w:val="00CF0F95"/>
    <w:rsid w:val="00CF110C"/>
    <w:rsid w:val="00CF1198"/>
    <w:rsid w:val="00CF1248"/>
    <w:rsid w:val="00CF142B"/>
    <w:rsid w:val="00CF155F"/>
    <w:rsid w:val="00CF1574"/>
    <w:rsid w:val="00CF1575"/>
    <w:rsid w:val="00CF1608"/>
    <w:rsid w:val="00CF1699"/>
    <w:rsid w:val="00CF1754"/>
    <w:rsid w:val="00CF176B"/>
    <w:rsid w:val="00CF1DF3"/>
    <w:rsid w:val="00CF1E50"/>
    <w:rsid w:val="00CF20A4"/>
    <w:rsid w:val="00CF20FC"/>
    <w:rsid w:val="00CF2273"/>
    <w:rsid w:val="00CF2443"/>
    <w:rsid w:val="00CF24F4"/>
    <w:rsid w:val="00CF25CE"/>
    <w:rsid w:val="00CF26EC"/>
    <w:rsid w:val="00CF279F"/>
    <w:rsid w:val="00CF27AB"/>
    <w:rsid w:val="00CF2BE7"/>
    <w:rsid w:val="00CF2C62"/>
    <w:rsid w:val="00CF2C82"/>
    <w:rsid w:val="00CF2CFE"/>
    <w:rsid w:val="00CF2E8B"/>
    <w:rsid w:val="00CF2F84"/>
    <w:rsid w:val="00CF33D4"/>
    <w:rsid w:val="00CF369F"/>
    <w:rsid w:val="00CF3797"/>
    <w:rsid w:val="00CF37AF"/>
    <w:rsid w:val="00CF37F5"/>
    <w:rsid w:val="00CF3922"/>
    <w:rsid w:val="00CF3A4C"/>
    <w:rsid w:val="00CF3DC7"/>
    <w:rsid w:val="00CF3F0D"/>
    <w:rsid w:val="00CF3F90"/>
    <w:rsid w:val="00CF3FF1"/>
    <w:rsid w:val="00CF4175"/>
    <w:rsid w:val="00CF43D3"/>
    <w:rsid w:val="00CF45F6"/>
    <w:rsid w:val="00CF4814"/>
    <w:rsid w:val="00CF4910"/>
    <w:rsid w:val="00CF498C"/>
    <w:rsid w:val="00CF4996"/>
    <w:rsid w:val="00CF4ABC"/>
    <w:rsid w:val="00CF4D65"/>
    <w:rsid w:val="00CF4E65"/>
    <w:rsid w:val="00CF4EE7"/>
    <w:rsid w:val="00CF4F06"/>
    <w:rsid w:val="00CF5297"/>
    <w:rsid w:val="00CF531C"/>
    <w:rsid w:val="00CF533A"/>
    <w:rsid w:val="00CF5417"/>
    <w:rsid w:val="00CF5728"/>
    <w:rsid w:val="00CF5A6B"/>
    <w:rsid w:val="00CF5CC8"/>
    <w:rsid w:val="00CF5D0A"/>
    <w:rsid w:val="00CF6087"/>
    <w:rsid w:val="00CF66B0"/>
    <w:rsid w:val="00CF6734"/>
    <w:rsid w:val="00CF6C6F"/>
    <w:rsid w:val="00CF7025"/>
    <w:rsid w:val="00CF71BA"/>
    <w:rsid w:val="00CF72B4"/>
    <w:rsid w:val="00CF74D6"/>
    <w:rsid w:val="00CF757B"/>
    <w:rsid w:val="00CF763E"/>
    <w:rsid w:val="00CF7A4D"/>
    <w:rsid w:val="00CF7AE3"/>
    <w:rsid w:val="00CF7B01"/>
    <w:rsid w:val="00D00001"/>
    <w:rsid w:val="00D0000D"/>
    <w:rsid w:val="00D00022"/>
    <w:rsid w:val="00D0008E"/>
    <w:rsid w:val="00D00364"/>
    <w:rsid w:val="00D00485"/>
    <w:rsid w:val="00D004DB"/>
    <w:rsid w:val="00D004FE"/>
    <w:rsid w:val="00D00587"/>
    <w:rsid w:val="00D005A5"/>
    <w:rsid w:val="00D00873"/>
    <w:rsid w:val="00D00874"/>
    <w:rsid w:val="00D00900"/>
    <w:rsid w:val="00D009B1"/>
    <w:rsid w:val="00D00FA4"/>
    <w:rsid w:val="00D00FA9"/>
    <w:rsid w:val="00D00FCC"/>
    <w:rsid w:val="00D01196"/>
    <w:rsid w:val="00D0126F"/>
    <w:rsid w:val="00D01454"/>
    <w:rsid w:val="00D0161D"/>
    <w:rsid w:val="00D01709"/>
    <w:rsid w:val="00D0186E"/>
    <w:rsid w:val="00D0193D"/>
    <w:rsid w:val="00D01B45"/>
    <w:rsid w:val="00D01CF4"/>
    <w:rsid w:val="00D01F0D"/>
    <w:rsid w:val="00D01F1D"/>
    <w:rsid w:val="00D01F48"/>
    <w:rsid w:val="00D01F87"/>
    <w:rsid w:val="00D02027"/>
    <w:rsid w:val="00D0221F"/>
    <w:rsid w:val="00D02463"/>
    <w:rsid w:val="00D026BD"/>
    <w:rsid w:val="00D026FE"/>
    <w:rsid w:val="00D02875"/>
    <w:rsid w:val="00D02C1C"/>
    <w:rsid w:val="00D02CBF"/>
    <w:rsid w:val="00D02D8D"/>
    <w:rsid w:val="00D02EC8"/>
    <w:rsid w:val="00D02FEA"/>
    <w:rsid w:val="00D031A9"/>
    <w:rsid w:val="00D032A2"/>
    <w:rsid w:val="00D0355C"/>
    <w:rsid w:val="00D03780"/>
    <w:rsid w:val="00D03794"/>
    <w:rsid w:val="00D03810"/>
    <w:rsid w:val="00D038E4"/>
    <w:rsid w:val="00D03917"/>
    <w:rsid w:val="00D039FB"/>
    <w:rsid w:val="00D03A05"/>
    <w:rsid w:val="00D03A6C"/>
    <w:rsid w:val="00D03B43"/>
    <w:rsid w:val="00D03BD7"/>
    <w:rsid w:val="00D03E54"/>
    <w:rsid w:val="00D03E84"/>
    <w:rsid w:val="00D04014"/>
    <w:rsid w:val="00D04270"/>
    <w:rsid w:val="00D042F8"/>
    <w:rsid w:val="00D043B2"/>
    <w:rsid w:val="00D046B0"/>
    <w:rsid w:val="00D047D6"/>
    <w:rsid w:val="00D0497B"/>
    <w:rsid w:val="00D049AD"/>
    <w:rsid w:val="00D04CEB"/>
    <w:rsid w:val="00D04D63"/>
    <w:rsid w:val="00D04DC1"/>
    <w:rsid w:val="00D04DCD"/>
    <w:rsid w:val="00D0510B"/>
    <w:rsid w:val="00D052B3"/>
    <w:rsid w:val="00D053EB"/>
    <w:rsid w:val="00D05414"/>
    <w:rsid w:val="00D0548A"/>
    <w:rsid w:val="00D055B5"/>
    <w:rsid w:val="00D05782"/>
    <w:rsid w:val="00D05786"/>
    <w:rsid w:val="00D05A9D"/>
    <w:rsid w:val="00D05F8A"/>
    <w:rsid w:val="00D05FA5"/>
    <w:rsid w:val="00D05FB1"/>
    <w:rsid w:val="00D05FBF"/>
    <w:rsid w:val="00D062E5"/>
    <w:rsid w:val="00D06516"/>
    <w:rsid w:val="00D066A7"/>
    <w:rsid w:val="00D06963"/>
    <w:rsid w:val="00D06C33"/>
    <w:rsid w:val="00D06FAD"/>
    <w:rsid w:val="00D06FCC"/>
    <w:rsid w:val="00D07226"/>
    <w:rsid w:val="00D07303"/>
    <w:rsid w:val="00D07351"/>
    <w:rsid w:val="00D07352"/>
    <w:rsid w:val="00D078E4"/>
    <w:rsid w:val="00D078E9"/>
    <w:rsid w:val="00D079E9"/>
    <w:rsid w:val="00D07A50"/>
    <w:rsid w:val="00D07CF6"/>
    <w:rsid w:val="00D07E82"/>
    <w:rsid w:val="00D101F7"/>
    <w:rsid w:val="00D105A1"/>
    <w:rsid w:val="00D108C7"/>
    <w:rsid w:val="00D108E8"/>
    <w:rsid w:val="00D10AB9"/>
    <w:rsid w:val="00D10ACC"/>
    <w:rsid w:val="00D10BC4"/>
    <w:rsid w:val="00D10C6F"/>
    <w:rsid w:val="00D10D80"/>
    <w:rsid w:val="00D10DCF"/>
    <w:rsid w:val="00D10E87"/>
    <w:rsid w:val="00D10F82"/>
    <w:rsid w:val="00D1112D"/>
    <w:rsid w:val="00D11385"/>
    <w:rsid w:val="00D1144D"/>
    <w:rsid w:val="00D1161A"/>
    <w:rsid w:val="00D1194B"/>
    <w:rsid w:val="00D11C1A"/>
    <w:rsid w:val="00D11D25"/>
    <w:rsid w:val="00D11D39"/>
    <w:rsid w:val="00D11E65"/>
    <w:rsid w:val="00D11F22"/>
    <w:rsid w:val="00D1212B"/>
    <w:rsid w:val="00D122A3"/>
    <w:rsid w:val="00D122E2"/>
    <w:rsid w:val="00D124AA"/>
    <w:rsid w:val="00D12529"/>
    <w:rsid w:val="00D126C1"/>
    <w:rsid w:val="00D1283F"/>
    <w:rsid w:val="00D1284F"/>
    <w:rsid w:val="00D12A0B"/>
    <w:rsid w:val="00D12B9C"/>
    <w:rsid w:val="00D12C6C"/>
    <w:rsid w:val="00D12DC6"/>
    <w:rsid w:val="00D131F1"/>
    <w:rsid w:val="00D133B5"/>
    <w:rsid w:val="00D134E9"/>
    <w:rsid w:val="00D14035"/>
    <w:rsid w:val="00D140B6"/>
    <w:rsid w:val="00D14278"/>
    <w:rsid w:val="00D142BA"/>
    <w:rsid w:val="00D143D2"/>
    <w:rsid w:val="00D144E4"/>
    <w:rsid w:val="00D145DE"/>
    <w:rsid w:val="00D145EC"/>
    <w:rsid w:val="00D145F5"/>
    <w:rsid w:val="00D1472F"/>
    <w:rsid w:val="00D1476B"/>
    <w:rsid w:val="00D1485F"/>
    <w:rsid w:val="00D14CA4"/>
    <w:rsid w:val="00D14CAE"/>
    <w:rsid w:val="00D14D6E"/>
    <w:rsid w:val="00D150B9"/>
    <w:rsid w:val="00D1518C"/>
    <w:rsid w:val="00D151E0"/>
    <w:rsid w:val="00D1526B"/>
    <w:rsid w:val="00D153E6"/>
    <w:rsid w:val="00D153FC"/>
    <w:rsid w:val="00D158D9"/>
    <w:rsid w:val="00D15987"/>
    <w:rsid w:val="00D15C11"/>
    <w:rsid w:val="00D15C12"/>
    <w:rsid w:val="00D15C40"/>
    <w:rsid w:val="00D15D50"/>
    <w:rsid w:val="00D1617A"/>
    <w:rsid w:val="00D161ED"/>
    <w:rsid w:val="00D16715"/>
    <w:rsid w:val="00D1676B"/>
    <w:rsid w:val="00D16861"/>
    <w:rsid w:val="00D1699A"/>
    <w:rsid w:val="00D169EE"/>
    <w:rsid w:val="00D16FD0"/>
    <w:rsid w:val="00D171E5"/>
    <w:rsid w:val="00D172D7"/>
    <w:rsid w:val="00D17469"/>
    <w:rsid w:val="00D175BA"/>
    <w:rsid w:val="00D175F9"/>
    <w:rsid w:val="00D177EA"/>
    <w:rsid w:val="00D178D9"/>
    <w:rsid w:val="00D17975"/>
    <w:rsid w:val="00D179A5"/>
    <w:rsid w:val="00D17A75"/>
    <w:rsid w:val="00D17C12"/>
    <w:rsid w:val="00D201F6"/>
    <w:rsid w:val="00D203F5"/>
    <w:rsid w:val="00D20D7B"/>
    <w:rsid w:val="00D20DF3"/>
    <w:rsid w:val="00D20FF2"/>
    <w:rsid w:val="00D20FF5"/>
    <w:rsid w:val="00D21339"/>
    <w:rsid w:val="00D216BD"/>
    <w:rsid w:val="00D21A3D"/>
    <w:rsid w:val="00D21CE2"/>
    <w:rsid w:val="00D21D1C"/>
    <w:rsid w:val="00D21D70"/>
    <w:rsid w:val="00D21D82"/>
    <w:rsid w:val="00D21DDB"/>
    <w:rsid w:val="00D21E5A"/>
    <w:rsid w:val="00D220EE"/>
    <w:rsid w:val="00D22147"/>
    <w:rsid w:val="00D22295"/>
    <w:rsid w:val="00D223E9"/>
    <w:rsid w:val="00D22426"/>
    <w:rsid w:val="00D2261D"/>
    <w:rsid w:val="00D22681"/>
    <w:rsid w:val="00D226E8"/>
    <w:rsid w:val="00D227ED"/>
    <w:rsid w:val="00D22B41"/>
    <w:rsid w:val="00D22C6C"/>
    <w:rsid w:val="00D22CFA"/>
    <w:rsid w:val="00D22DB7"/>
    <w:rsid w:val="00D23137"/>
    <w:rsid w:val="00D23260"/>
    <w:rsid w:val="00D233EC"/>
    <w:rsid w:val="00D234C4"/>
    <w:rsid w:val="00D23688"/>
    <w:rsid w:val="00D236F0"/>
    <w:rsid w:val="00D23752"/>
    <w:rsid w:val="00D238F0"/>
    <w:rsid w:val="00D23980"/>
    <w:rsid w:val="00D23ECD"/>
    <w:rsid w:val="00D23F75"/>
    <w:rsid w:val="00D241A7"/>
    <w:rsid w:val="00D2423E"/>
    <w:rsid w:val="00D2424C"/>
    <w:rsid w:val="00D24301"/>
    <w:rsid w:val="00D243F2"/>
    <w:rsid w:val="00D24450"/>
    <w:rsid w:val="00D2446A"/>
    <w:rsid w:val="00D247CF"/>
    <w:rsid w:val="00D2503B"/>
    <w:rsid w:val="00D25174"/>
    <w:rsid w:val="00D25230"/>
    <w:rsid w:val="00D25415"/>
    <w:rsid w:val="00D254E9"/>
    <w:rsid w:val="00D2566A"/>
    <w:rsid w:val="00D25A75"/>
    <w:rsid w:val="00D25AC1"/>
    <w:rsid w:val="00D25B9E"/>
    <w:rsid w:val="00D25C2A"/>
    <w:rsid w:val="00D25D5B"/>
    <w:rsid w:val="00D25E38"/>
    <w:rsid w:val="00D26273"/>
    <w:rsid w:val="00D2670D"/>
    <w:rsid w:val="00D2675F"/>
    <w:rsid w:val="00D26AED"/>
    <w:rsid w:val="00D26B03"/>
    <w:rsid w:val="00D26B09"/>
    <w:rsid w:val="00D26FCC"/>
    <w:rsid w:val="00D27250"/>
    <w:rsid w:val="00D272E4"/>
    <w:rsid w:val="00D27572"/>
    <w:rsid w:val="00D27B26"/>
    <w:rsid w:val="00D27B5B"/>
    <w:rsid w:val="00D27C3D"/>
    <w:rsid w:val="00D27C8E"/>
    <w:rsid w:val="00D27CDA"/>
    <w:rsid w:val="00D27D7B"/>
    <w:rsid w:val="00D27DF9"/>
    <w:rsid w:val="00D27F09"/>
    <w:rsid w:val="00D27F93"/>
    <w:rsid w:val="00D300A0"/>
    <w:rsid w:val="00D303BE"/>
    <w:rsid w:val="00D30759"/>
    <w:rsid w:val="00D3096C"/>
    <w:rsid w:val="00D30999"/>
    <w:rsid w:val="00D30F90"/>
    <w:rsid w:val="00D310B5"/>
    <w:rsid w:val="00D311C8"/>
    <w:rsid w:val="00D311DB"/>
    <w:rsid w:val="00D313A2"/>
    <w:rsid w:val="00D31412"/>
    <w:rsid w:val="00D31654"/>
    <w:rsid w:val="00D316A1"/>
    <w:rsid w:val="00D316AE"/>
    <w:rsid w:val="00D31804"/>
    <w:rsid w:val="00D31881"/>
    <w:rsid w:val="00D319F8"/>
    <w:rsid w:val="00D31C77"/>
    <w:rsid w:val="00D31D67"/>
    <w:rsid w:val="00D323CA"/>
    <w:rsid w:val="00D32432"/>
    <w:rsid w:val="00D3244A"/>
    <w:rsid w:val="00D32545"/>
    <w:rsid w:val="00D3285B"/>
    <w:rsid w:val="00D329F1"/>
    <w:rsid w:val="00D330D9"/>
    <w:rsid w:val="00D332FD"/>
    <w:rsid w:val="00D3339B"/>
    <w:rsid w:val="00D3356E"/>
    <w:rsid w:val="00D33676"/>
    <w:rsid w:val="00D336EA"/>
    <w:rsid w:val="00D33A14"/>
    <w:rsid w:val="00D33B7B"/>
    <w:rsid w:val="00D33D84"/>
    <w:rsid w:val="00D343AF"/>
    <w:rsid w:val="00D343FC"/>
    <w:rsid w:val="00D34526"/>
    <w:rsid w:val="00D345AA"/>
    <w:rsid w:val="00D346BE"/>
    <w:rsid w:val="00D346FD"/>
    <w:rsid w:val="00D347FC"/>
    <w:rsid w:val="00D34CF7"/>
    <w:rsid w:val="00D34D28"/>
    <w:rsid w:val="00D34D88"/>
    <w:rsid w:val="00D34E04"/>
    <w:rsid w:val="00D34EDE"/>
    <w:rsid w:val="00D350F5"/>
    <w:rsid w:val="00D353DD"/>
    <w:rsid w:val="00D3559D"/>
    <w:rsid w:val="00D355F0"/>
    <w:rsid w:val="00D35663"/>
    <w:rsid w:val="00D3578E"/>
    <w:rsid w:val="00D35AF5"/>
    <w:rsid w:val="00D35BD9"/>
    <w:rsid w:val="00D35D5C"/>
    <w:rsid w:val="00D35D8D"/>
    <w:rsid w:val="00D35E37"/>
    <w:rsid w:val="00D35F99"/>
    <w:rsid w:val="00D3601C"/>
    <w:rsid w:val="00D3604B"/>
    <w:rsid w:val="00D3646C"/>
    <w:rsid w:val="00D364A8"/>
    <w:rsid w:val="00D3651F"/>
    <w:rsid w:val="00D3677E"/>
    <w:rsid w:val="00D36952"/>
    <w:rsid w:val="00D36F22"/>
    <w:rsid w:val="00D36F9E"/>
    <w:rsid w:val="00D373BD"/>
    <w:rsid w:val="00D373D3"/>
    <w:rsid w:val="00D37E85"/>
    <w:rsid w:val="00D37F77"/>
    <w:rsid w:val="00D401E2"/>
    <w:rsid w:val="00D40682"/>
    <w:rsid w:val="00D406A9"/>
    <w:rsid w:val="00D40771"/>
    <w:rsid w:val="00D407DA"/>
    <w:rsid w:val="00D40885"/>
    <w:rsid w:val="00D409AC"/>
    <w:rsid w:val="00D40B4E"/>
    <w:rsid w:val="00D40D4E"/>
    <w:rsid w:val="00D41296"/>
    <w:rsid w:val="00D412EF"/>
    <w:rsid w:val="00D4152B"/>
    <w:rsid w:val="00D41651"/>
    <w:rsid w:val="00D41908"/>
    <w:rsid w:val="00D41A4C"/>
    <w:rsid w:val="00D41EA5"/>
    <w:rsid w:val="00D41F0E"/>
    <w:rsid w:val="00D42000"/>
    <w:rsid w:val="00D4241C"/>
    <w:rsid w:val="00D4265A"/>
    <w:rsid w:val="00D42757"/>
    <w:rsid w:val="00D429E5"/>
    <w:rsid w:val="00D429EA"/>
    <w:rsid w:val="00D42E31"/>
    <w:rsid w:val="00D42E4D"/>
    <w:rsid w:val="00D4306D"/>
    <w:rsid w:val="00D433DA"/>
    <w:rsid w:val="00D433DE"/>
    <w:rsid w:val="00D434D0"/>
    <w:rsid w:val="00D434D1"/>
    <w:rsid w:val="00D4353B"/>
    <w:rsid w:val="00D43669"/>
    <w:rsid w:val="00D43AA8"/>
    <w:rsid w:val="00D43AC8"/>
    <w:rsid w:val="00D43D6C"/>
    <w:rsid w:val="00D43D71"/>
    <w:rsid w:val="00D4433F"/>
    <w:rsid w:val="00D443E1"/>
    <w:rsid w:val="00D447E4"/>
    <w:rsid w:val="00D44DDF"/>
    <w:rsid w:val="00D44F6F"/>
    <w:rsid w:val="00D4501B"/>
    <w:rsid w:val="00D4517C"/>
    <w:rsid w:val="00D4519C"/>
    <w:rsid w:val="00D4519D"/>
    <w:rsid w:val="00D451E2"/>
    <w:rsid w:val="00D45219"/>
    <w:rsid w:val="00D45294"/>
    <w:rsid w:val="00D454EF"/>
    <w:rsid w:val="00D4551B"/>
    <w:rsid w:val="00D45660"/>
    <w:rsid w:val="00D45856"/>
    <w:rsid w:val="00D45895"/>
    <w:rsid w:val="00D45967"/>
    <w:rsid w:val="00D45C29"/>
    <w:rsid w:val="00D45D0B"/>
    <w:rsid w:val="00D45E86"/>
    <w:rsid w:val="00D460A0"/>
    <w:rsid w:val="00D46437"/>
    <w:rsid w:val="00D46444"/>
    <w:rsid w:val="00D465C5"/>
    <w:rsid w:val="00D46B43"/>
    <w:rsid w:val="00D46BF2"/>
    <w:rsid w:val="00D46D03"/>
    <w:rsid w:val="00D46EB6"/>
    <w:rsid w:val="00D472FC"/>
    <w:rsid w:val="00D47328"/>
    <w:rsid w:val="00D473CE"/>
    <w:rsid w:val="00D47466"/>
    <w:rsid w:val="00D475CB"/>
    <w:rsid w:val="00D47657"/>
    <w:rsid w:val="00D4786D"/>
    <w:rsid w:val="00D47CA6"/>
    <w:rsid w:val="00D47CE8"/>
    <w:rsid w:val="00D47D2E"/>
    <w:rsid w:val="00D47E53"/>
    <w:rsid w:val="00D502AE"/>
    <w:rsid w:val="00D502FE"/>
    <w:rsid w:val="00D507BA"/>
    <w:rsid w:val="00D50879"/>
    <w:rsid w:val="00D50991"/>
    <w:rsid w:val="00D50C22"/>
    <w:rsid w:val="00D50DD0"/>
    <w:rsid w:val="00D50E20"/>
    <w:rsid w:val="00D51357"/>
    <w:rsid w:val="00D51610"/>
    <w:rsid w:val="00D51778"/>
    <w:rsid w:val="00D519A1"/>
    <w:rsid w:val="00D52029"/>
    <w:rsid w:val="00D52438"/>
    <w:rsid w:val="00D5243E"/>
    <w:rsid w:val="00D5268D"/>
    <w:rsid w:val="00D52750"/>
    <w:rsid w:val="00D52890"/>
    <w:rsid w:val="00D529F0"/>
    <w:rsid w:val="00D532AE"/>
    <w:rsid w:val="00D5351E"/>
    <w:rsid w:val="00D535A5"/>
    <w:rsid w:val="00D5361A"/>
    <w:rsid w:val="00D53934"/>
    <w:rsid w:val="00D53A77"/>
    <w:rsid w:val="00D53CEC"/>
    <w:rsid w:val="00D54098"/>
    <w:rsid w:val="00D542A9"/>
    <w:rsid w:val="00D54422"/>
    <w:rsid w:val="00D54506"/>
    <w:rsid w:val="00D5456B"/>
    <w:rsid w:val="00D5461A"/>
    <w:rsid w:val="00D54830"/>
    <w:rsid w:val="00D54912"/>
    <w:rsid w:val="00D54A4F"/>
    <w:rsid w:val="00D54D5A"/>
    <w:rsid w:val="00D54DB6"/>
    <w:rsid w:val="00D54E4A"/>
    <w:rsid w:val="00D54E70"/>
    <w:rsid w:val="00D54E9D"/>
    <w:rsid w:val="00D54F46"/>
    <w:rsid w:val="00D54FB7"/>
    <w:rsid w:val="00D54FD5"/>
    <w:rsid w:val="00D55124"/>
    <w:rsid w:val="00D5546F"/>
    <w:rsid w:val="00D55511"/>
    <w:rsid w:val="00D5566A"/>
    <w:rsid w:val="00D5566B"/>
    <w:rsid w:val="00D5572E"/>
    <w:rsid w:val="00D5577E"/>
    <w:rsid w:val="00D55982"/>
    <w:rsid w:val="00D55B12"/>
    <w:rsid w:val="00D55C86"/>
    <w:rsid w:val="00D55CD8"/>
    <w:rsid w:val="00D55CFB"/>
    <w:rsid w:val="00D55D56"/>
    <w:rsid w:val="00D56010"/>
    <w:rsid w:val="00D56113"/>
    <w:rsid w:val="00D561A7"/>
    <w:rsid w:val="00D5620B"/>
    <w:rsid w:val="00D562D8"/>
    <w:rsid w:val="00D5634B"/>
    <w:rsid w:val="00D56897"/>
    <w:rsid w:val="00D56CDB"/>
    <w:rsid w:val="00D56E77"/>
    <w:rsid w:val="00D56F05"/>
    <w:rsid w:val="00D5714C"/>
    <w:rsid w:val="00D571D0"/>
    <w:rsid w:val="00D57205"/>
    <w:rsid w:val="00D572BA"/>
    <w:rsid w:val="00D5735E"/>
    <w:rsid w:val="00D57488"/>
    <w:rsid w:val="00D5765A"/>
    <w:rsid w:val="00D57691"/>
    <w:rsid w:val="00D576FF"/>
    <w:rsid w:val="00D57834"/>
    <w:rsid w:val="00D57A32"/>
    <w:rsid w:val="00D57A3C"/>
    <w:rsid w:val="00D57AE1"/>
    <w:rsid w:val="00D57CBA"/>
    <w:rsid w:val="00D57E73"/>
    <w:rsid w:val="00D57FBE"/>
    <w:rsid w:val="00D57FDD"/>
    <w:rsid w:val="00D6003C"/>
    <w:rsid w:val="00D600AC"/>
    <w:rsid w:val="00D600C2"/>
    <w:rsid w:val="00D60287"/>
    <w:rsid w:val="00D60631"/>
    <w:rsid w:val="00D60AED"/>
    <w:rsid w:val="00D60AFC"/>
    <w:rsid w:val="00D60E95"/>
    <w:rsid w:val="00D612FB"/>
    <w:rsid w:val="00D6138D"/>
    <w:rsid w:val="00D6143F"/>
    <w:rsid w:val="00D614AD"/>
    <w:rsid w:val="00D61910"/>
    <w:rsid w:val="00D61982"/>
    <w:rsid w:val="00D61AFF"/>
    <w:rsid w:val="00D61BCF"/>
    <w:rsid w:val="00D61BEA"/>
    <w:rsid w:val="00D61E92"/>
    <w:rsid w:val="00D61F49"/>
    <w:rsid w:val="00D61FA6"/>
    <w:rsid w:val="00D620FA"/>
    <w:rsid w:val="00D62359"/>
    <w:rsid w:val="00D62867"/>
    <w:rsid w:val="00D62D22"/>
    <w:rsid w:val="00D62F39"/>
    <w:rsid w:val="00D62F6A"/>
    <w:rsid w:val="00D62FE3"/>
    <w:rsid w:val="00D6307B"/>
    <w:rsid w:val="00D631B5"/>
    <w:rsid w:val="00D6324C"/>
    <w:rsid w:val="00D633AF"/>
    <w:rsid w:val="00D63470"/>
    <w:rsid w:val="00D6392F"/>
    <w:rsid w:val="00D63970"/>
    <w:rsid w:val="00D63B71"/>
    <w:rsid w:val="00D63CCA"/>
    <w:rsid w:val="00D63D48"/>
    <w:rsid w:val="00D63D85"/>
    <w:rsid w:val="00D63E9B"/>
    <w:rsid w:val="00D64006"/>
    <w:rsid w:val="00D640D1"/>
    <w:rsid w:val="00D64103"/>
    <w:rsid w:val="00D641B2"/>
    <w:rsid w:val="00D641D4"/>
    <w:rsid w:val="00D642BE"/>
    <w:rsid w:val="00D643F4"/>
    <w:rsid w:val="00D644F8"/>
    <w:rsid w:val="00D6464D"/>
    <w:rsid w:val="00D6466B"/>
    <w:rsid w:val="00D64677"/>
    <w:rsid w:val="00D647A5"/>
    <w:rsid w:val="00D649BE"/>
    <w:rsid w:val="00D64A75"/>
    <w:rsid w:val="00D64A84"/>
    <w:rsid w:val="00D64B7E"/>
    <w:rsid w:val="00D64BE4"/>
    <w:rsid w:val="00D64F98"/>
    <w:rsid w:val="00D64FFA"/>
    <w:rsid w:val="00D653B3"/>
    <w:rsid w:val="00D653DD"/>
    <w:rsid w:val="00D6565B"/>
    <w:rsid w:val="00D656ED"/>
    <w:rsid w:val="00D6579F"/>
    <w:rsid w:val="00D65F84"/>
    <w:rsid w:val="00D6628E"/>
    <w:rsid w:val="00D662F4"/>
    <w:rsid w:val="00D664D5"/>
    <w:rsid w:val="00D66512"/>
    <w:rsid w:val="00D6661A"/>
    <w:rsid w:val="00D6670C"/>
    <w:rsid w:val="00D6674A"/>
    <w:rsid w:val="00D668BE"/>
    <w:rsid w:val="00D66B7C"/>
    <w:rsid w:val="00D66E57"/>
    <w:rsid w:val="00D66E69"/>
    <w:rsid w:val="00D67078"/>
    <w:rsid w:val="00D67097"/>
    <w:rsid w:val="00D670E1"/>
    <w:rsid w:val="00D67186"/>
    <w:rsid w:val="00D6775E"/>
    <w:rsid w:val="00D67804"/>
    <w:rsid w:val="00D67ABD"/>
    <w:rsid w:val="00D67AF4"/>
    <w:rsid w:val="00D67B25"/>
    <w:rsid w:val="00D67CA5"/>
    <w:rsid w:val="00D67E60"/>
    <w:rsid w:val="00D67EAF"/>
    <w:rsid w:val="00D67FC1"/>
    <w:rsid w:val="00D701F7"/>
    <w:rsid w:val="00D70238"/>
    <w:rsid w:val="00D7040D"/>
    <w:rsid w:val="00D70557"/>
    <w:rsid w:val="00D706CD"/>
    <w:rsid w:val="00D70897"/>
    <w:rsid w:val="00D70974"/>
    <w:rsid w:val="00D70A12"/>
    <w:rsid w:val="00D70AE8"/>
    <w:rsid w:val="00D70D20"/>
    <w:rsid w:val="00D70F1E"/>
    <w:rsid w:val="00D70F64"/>
    <w:rsid w:val="00D70F76"/>
    <w:rsid w:val="00D71277"/>
    <w:rsid w:val="00D71522"/>
    <w:rsid w:val="00D71806"/>
    <w:rsid w:val="00D7187E"/>
    <w:rsid w:val="00D71A68"/>
    <w:rsid w:val="00D71A8D"/>
    <w:rsid w:val="00D71BAE"/>
    <w:rsid w:val="00D71ECD"/>
    <w:rsid w:val="00D7203B"/>
    <w:rsid w:val="00D7250D"/>
    <w:rsid w:val="00D72955"/>
    <w:rsid w:val="00D72B0A"/>
    <w:rsid w:val="00D72BB3"/>
    <w:rsid w:val="00D72D3C"/>
    <w:rsid w:val="00D72D51"/>
    <w:rsid w:val="00D72D94"/>
    <w:rsid w:val="00D72E5D"/>
    <w:rsid w:val="00D7312D"/>
    <w:rsid w:val="00D737F6"/>
    <w:rsid w:val="00D738C7"/>
    <w:rsid w:val="00D73934"/>
    <w:rsid w:val="00D739B6"/>
    <w:rsid w:val="00D73BD5"/>
    <w:rsid w:val="00D73EAA"/>
    <w:rsid w:val="00D73F43"/>
    <w:rsid w:val="00D740CE"/>
    <w:rsid w:val="00D7412C"/>
    <w:rsid w:val="00D742E6"/>
    <w:rsid w:val="00D74408"/>
    <w:rsid w:val="00D7490B"/>
    <w:rsid w:val="00D74AA8"/>
    <w:rsid w:val="00D74F2D"/>
    <w:rsid w:val="00D75091"/>
    <w:rsid w:val="00D751AD"/>
    <w:rsid w:val="00D75255"/>
    <w:rsid w:val="00D754CD"/>
    <w:rsid w:val="00D75705"/>
    <w:rsid w:val="00D7571C"/>
    <w:rsid w:val="00D759DF"/>
    <w:rsid w:val="00D75B4B"/>
    <w:rsid w:val="00D75BAC"/>
    <w:rsid w:val="00D75BD0"/>
    <w:rsid w:val="00D75C4D"/>
    <w:rsid w:val="00D75E9C"/>
    <w:rsid w:val="00D76460"/>
    <w:rsid w:val="00D767D5"/>
    <w:rsid w:val="00D76B11"/>
    <w:rsid w:val="00D76B76"/>
    <w:rsid w:val="00D76C73"/>
    <w:rsid w:val="00D76D99"/>
    <w:rsid w:val="00D76E88"/>
    <w:rsid w:val="00D770A9"/>
    <w:rsid w:val="00D770EE"/>
    <w:rsid w:val="00D77200"/>
    <w:rsid w:val="00D7722B"/>
    <w:rsid w:val="00D772A8"/>
    <w:rsid w:val="00D774E2"/>
    <w:rsid w:val="00D774EC"/>
    <w:rsid w:val="00D774F1"/>
    <w:rsid w:val="00D77A2F"/>
    <w:rsid w:val="00D77E33"/>
    <w:rsid w:val="00D77F43"/>
    <w:rsid w:val="00D80283"/>
    <w:rsid w:val="00D8047F"/>
    <w:rsid w:val="00D8079D"/>
    <w:rsid w:val="00D807B0"/>
    <w:rsid w:val="00D807B9"/>
    <w:rsid w:val="00D80821"/>
    <w:rsid w:val="00D80A5B"/>
    <w:rsid w:val="00D80E5E"/>
    <w:rsid w:val="00D8114B"/>
    <w:rsid w:val="00D813B7"/>
    <w:rsid w:val="00D818EF"/>
    <w:rsid w:val="00D81BDB"/>
    <w:rsid w:val="00D81C71"/>
    <w:rsid w:val="00D81F35"/>
    <w:rsid w:val="00D81F63"/>
    <w:rsid w:val="00D81FA1"/>
    <w:rsid w:val="00D8236E"/>
    <w:rsid w:val="00D823FF"/>
    <w:rsid w:val="00D8245A"/>
    <w:rsid w:val="00D824DC"/>
    <w:rsid w:val="00D825BB"/>
    <w:rsid w:val="00D827A6"/>
    <w:rsid w:val="00D82900"/>
    <w:rsid w:val="00D82ACF"/>
    <w:rsid w:val="00D82C27"/>
    <w:rsid w:val="00D82C8C"/>
    <w:rsid w:val="00D82C91"/>
    <w:rsid w:val="00D82CCA"/>
    <w:rsid w:val="00D82D81"/>
    <w:rsid w:val="00D82DE9"/>
    <w:rsid w:val="00D82F8C"/>
    <w:rsid w:val="00D82F97"/>
    <w:rsid w:val="00D83072"/>
    <w:rsid w:val="00D8308E"/>
    <w:rsid w:val="00D830DD"/>
    <w:rsid w:val="00D8333E"/>
    <w:rsid w:val="00D83398"/>
    <w:rsid w:val="00D833D9"/>
    <w:rsid w:val="00D83591"/>
    <w:rsid w:val="00D83686"/>
    <w:rsid w:val="00D836A0"/>
    <w:rsid w:val="00D836CA"/>
    <w:rsid w:val="00D8370A"/>
    <w:rsid w:val="00D8389F"/>
    <w:rsid w:val="00D83964"/>
    <w:rsid w:val="00D83B44"/>
    <w:rsid w:val="00D83BD9"/>
    <w:rsid w:val="00D83DDD"/>
    <w:rsid w:val="00D83E1B"/>
    <w:rsid w:val="00D83FE6"/>
    <w:rsid w:val="00D840C6"/>
    <w:rsid w:val="00D84179"/>
    <w:rsid w:val="00D84409"/>
    <w:rsid w:val="00D84754"/>
    <w:rsid w:val="00D849BE"/>
    <w:rsid w:val="00D84C39"/>
    <w:rsid w:val="00D84C4B"/>
    <w:rsid w:val="00D84CB8"/>
    <w:rsid w:val="00D84E05"/>
    <w:rsid w:val="00D84FC8"/>
    <w:rsid w:val="00D8501B"/>
    <w:rsid w:val="00D85158"/>
    <w:rsid w:val="00D8548D"/>
    <w:rsid w:val="00D854C4"/>
    <w:rsid w:val="00D8550E"/>
    <w:rsid w:val="00D85530"/>
    <w:rsid w:val="00D85917"/>
    <w:rsid w:val="00D859AC"/>
    <w:rsid w:val="00D85B92"/>
    <w:rsid w:val="00D85DA2"/>
    <w:rsid w:val="00D86334"/>
    <w:rsid w:val="00D865EE"/>
    <w:rsid w:val="00D86613"/>
    <w:rsid w:val="00D86666"/>
    <w:rsid w:val="00D86696"/>
    <w:rsid w:val="00D866C4"/>
    <w:rsid w:val="00D866C6"/>
    <w:rsid w:val="00D866CE"/>
    <w:rsid w:val="00D866E2"/>
    <w:rsid w:val="00D86788"/>
    <w:rsid w:val="00D86803"/>
    <w:rsid w:val="00D86860"/>
    <w:rsid w:val="00D86A68"/>
    <w:rsid w:val="00D86D06"/>
    <w:rsid w:val="00D86F2D"/>
    <w:rsid w:val="00D86F68"/>
    <w:rsid w:val="00D87468"/>
    <w:rsid w:val="00D87576"/>
    <w:rsid w:val="00D877B2"/>
    <w:rsid w:val="00D8796C"/>
    <w:rsid w:val="00D87CA6"/>
    <w:rsid w:val="00D87D42"/>
    <w:rsid w:val="00D87DD3"/>
    <w:rsid w:val="00D90398"/>
    <w:rsid w:val="00D9049D"/>
    <w:rsid w:val="00D90609"/>
    <w:rsid w:val="00D908A2"/>
    <w:rsid w:val="00D90B75"/>
    <w:rsid w:val="00D90C2C"/>
    <w:rsid w:val="00D90C35"/>
    <w:rsid w:val="00D90C5D"/>
    <w:rsid w:val="00D9121E"/>
    <w:rsid w:val="00D913AF"/>
    <w:rsid w:val="00D9149E"/>
    <w:rsid w:val="00D914B7"/>
    <w:rsid w:val="00D9177E"/>
    <w:rsid w:val="00D917FF"/>
    <w:rsid w:val="00D91977"/>
    <w:rsid w:val="00D919EB"/>
    <w:rsid w:val="00D91A38"/>
    <w:rsid w:val="00D91B11"/>
    <w:rsid w:val="00D91B6A"/>
    <w:rsid w:val="00D91EF7"/>
    <w:rsid w:val="00D927D1"/>
    <w:rsid w:val="00D92845"/>
    <w:rsid w:val="00D928B7"/>
    <w:rsid w:val="00D92A4C"/>
    <w:rsid w:val="00D92D85"/>
    <w:rsid w:val="00D92E5D"/>
    <w:rsid w:val="00D93168"/>
    <w:rsid w:val="00D931FC"/>
    <w:rsid w:val="00D9346D"/>
    <w:rsid w:val="00D93473"/>
    <w:rsid w:val="00D93778"/>
    <w:rsid w:val="00D93950"/>
    <w:rsid w:val="00D939D2"/>
    <w:rsid w:val="00D93B8A"/>
    <w:rsid w:val="00D93D46"/>
    <w:rsid w:val="00D93ED4"/>
    <w:rsid w:val="00D94242"/>
    <w:rsid w:val="00D942D9"/>
    <w:rsid w:val="00D9432F"/>
    <w:rsid w:val="00D944E3"/>
    <w:rsid w:val="00D945A0"/>
    <w:rsid w:val="00D9475A"/>
    <w:rsid w:val="00D9496D"/>
    <w:rsid w:val="00D94A40"/>
    <w:rsid w:val="00D94A86"/>
    <w:rsid w:val="00D94C7C"/>
    <w:rsid w:val="00D94DCF"/>
    <w:rsid w:val="00D94E80"/>
    <w:rsid w:val="00D94EAE"/>
    <w:rsid w:val="00D94F89"/>
    <w:rsid w:val="00D9526E"/>
    <w:rsid w:val="00D95531"/>
    <w:rsid w:val="00D95687"/>
    <w:rsid w:val="00D9574F"/>
    <w:rsid w:val="00D95949"/>
    <w:rsid w:val="00D95A1A"/>
    <w:rsid w:val="00D95EEC"/>
    <w:rsid w:val="00D96001"/>
    <w:rsid w:val="00D96491"/>
    <w:rsid w:val="00D966DC"/>
    <w:rsid w:val="00D9687C"/>
    <w:rsid w:val="00D9693E"/>
    <w:rsid w:val="00D96AF5"/>
    <w:rsid w:val="00D96C07"/>
    <w:rsid w:val="00D96C74"/>
    <w:rsid w:val="00D96D42"/>
    <w:rsid w:val="00D96F79"/>
    <w:rsid w:val="00D97294"/>
    <w:rsid w:val="00D972FC"/>
    <w:rsid w:val="00D973C3"/>
    <w:rsid w:val="00D975D8"/>
    <w:rsid w:val="00D9794D"/>
    <w:rsid w:val="00D9799F"/>
    <w:rsid w:val="00D97D03"/>
    <w:rsid w:val="00D97D1B"/>
    <w:rsid w:val="00D97F12"/>
    <w:rsid w:val="00DA0295"/>
    <w:rsid w:val="00DA0471"/>
    <w:rsid w:val="00DA0510"/>
    <w:rsid w:val="00DA0668"/>
    <w:rsid w:val="00DA07D3"/>
    <w:rsid w:val="00DA07E0"/>
    <w:rsid w:val="00DA07EF"/>
    <w:rsid w:val="00DA12D1"/>
    <w:rsid w:val="00DA1471"/>
    <w:rsid w:val="00DA16E6"/>
    <w:rsid w:val="00DA173C"/>
    <w:rsid w:val="00DA18FA"/>
    <w:rsid w:val="00DA1970"/>
    <w:rsid w:val="00DA1C08"/>
    <w:rsid w:val="00DA1CC3"/>
    <w:rsid w:val="00DA1CD4"/>
    <w:rsid w:val="00DA1DBC"/>
    <w:rsid w:val="00DA1DEF"/>
    <w:rsid w:val="00DA2008"/>
    <w:rsid w:val="00DA20FE"/>
    <w:rsid w:val="00DA215A"/>
    <w:rsid w:val="00DA232B"/>
    <w:rsid w:val="00DA2380"/>
    <w:rsid w:val="00DA23B2"/>
    <w:rsid w:val="00DA262E"/>
    <w:rsid w:val="00DA26DD"/>
    <w:rsid w:val="00DA292B"/>
    <w:rsid w:val="00DA2A5D"/>
    <w:rsid w:val="00DA2BAD"/>
    <w:rsid w:val="00DA2D84"/>
    <w:rsid w:val="00DA30FA"/>
    <w:rsid w:val="00DA3590"/>
    <w:rsid w:val="00DA361A"/>
    <w:rsid w:val="00DA3789"/>
    <w:rsid w:val="00DA39A5"/>
    <w:rsid w:val="00DA3DA5"/>
    <w:rsid w:val="00DA4050"/>
    <w:rsid w:val="00DA4365"/>
    <w:rsid w:val="00DA4687"/>
    <w:rsid w:val="00DA49BB"/>
    <w:rsid w:val="00DA4A18"/>
    <w:rsid w:val="00DA4C86"/>
    <w:rsid w:val="00DA4F03"/>
    <w:rsid w:val="00DA4F0C"/>
    <w:rsid w:val="00DA504C"/>
    <w:rsid w:val="00DA52BF"/>
    <w:rsid w:val="00DA52F3"/>
    <w:rsid w:val="00DA5446"/>
    <w:rsid w:val="00DA54B8"/>
    <w:rsid w:val="00DA565B"/>
    <w:rsid w:val="00DA56B8"/>
    <w:rsid w:val="00DA586F"/>
    <w:rsid w:val="00DA58B2"/>
    <w:rsid w:val="00DA5979"/>
    <w:rsid w:val="00DA608C"/>
    <w:rsid w:val="00DA6220"/>
    <w:rsid w:val="00DA638E"/>
    <w:rsid w:val="00DA63B8"/>
    <w:rsid w:val="00DA6A29"/>
    <w:rsid w:val="00DA6B94"/>
    <w:rsid w:val="00DA6DA0"/>
    <w:rsid w:val="00DA6DD3"/>
    <w:rsid w:val="00DA6E79"/>
    <w:rsid w:val="00DA6EC1"/>
    <w:rsid w:val="00DA6ED3"/>
    <w:rsid w:val="00DA73EC"/>
    <w:rsid w:val="00DA7787"/>
    <w:rsid w:val="00DA77CD"/>
    <w:rsid w:val="00DA7A40"/>
    <w:rsid w:val="00DA7C73"/>
    <w:rsid w:val="00DA7EB8"/>
    <w:rsid w:val="00DB0313"/>
    <w:rsid w:val="00DB031B"/>
    <w:rsid w:val="00DB04B9"/>
    <w:rsid w:val="00DB0668"/>
    <w:rsid w:val="00DB08DA"/>
    <w:rsid w:val="00DB0B31"/>
    <w:rsid w:val="00DB0C45"/>
    <w:rsid w:val="00DB0F73"/>
    <w:rsid w:val="00DB125E"/>
    <w:rsid w:val="00DB143A"/>
    <w:rsid w:val="00DB1556"/>
    <w:rsid w:val="00DB1798"/>
    <w:rsid w:val="00DB1808"/>
    <w:rsid w:val="00DB19A6"/>
    <w:rsid w:val="00DB1A70"/>
    <w:rsid w:val="00DB1AEB"/>
    <w:rsid w:val="00DB1D15"/>
    <w:rsid w:val="00DB1F09"/>
    <w:rsid w:val="00DB2062"/>
    <w:rsid w:val="00DB2104"/>
    <w:rsid w:val="00DB220A"/>
    <w:rsid w:val="00DB22BB"/>
    <w:rsid w:val="00DB2775"/>
    <w:rsid w:val="00DB2D79"/>
    <w:rsid w:val="00DB2F6F"/>
    <w:rsid w:val="00DB3009"/>
    <w:rsid w:val="00DB309D"/>
    <w:rsid w:val="00DB30DB"/>
    <w:rsid w:val="00DB323F"/>
    <w:rsid w:val="00DB33B2"/>
    <w:rsid w:val="00DB368F"/>
    <w:rsid w:val="00DB38D4"/>
    <w:rsid w:val="00DB38DE"/>
    <w:rsid w:val="00DB3A23"/>
    <w:rsid w:val="00DB3B16"/>
    <w:rsid w:val="00DB3C6E"/>
    <w:rsid w:val="00DB3FA5"/>
    <w:rsid w:val="00DB4138"/>
    <w:rsid w:val="00DB4427"/>
    <w:rsid w:val="00DB4512"/>
    <w:rsid w:val="00DB45A7"/>
    <w:rsid w:val="00DB470E"/>
    <w:rsid w:val="00DB4782"/>
    <w:rsid w:val="00DB486A"/>
    <w:rsid w:val="00DB48B7"/>
    <w:rsid w:val="00DB48BF"/>
    <w:rsid w:val="00DB4BBA"/>
    <w:rsid w:val="00DB4EDA"/>
    <w:rsid w:val="00DB4F19"/>
    <w:rsid w:val="00DB54C8"/>
    <w:rsid w:val="00DB55B4"/>
    <w:rsid w:val="00DB563A"/>
    <w:rsid w:val="00DB58A5"/>
    <w:rsid w:val="00DB5A9F"/>
    <w:rsid w:val="00DB5B0B"/>
    <w:rsid w:val="00DB5CBB"/>
    <w:rsid w:val="00DB5E34"/>
    <w:rsid w:val="00DB5FA1"/>
    <w:rsid w:val="00DB5FC7"/>
    <w:rsid w:val="00DB637C"/>
    <w:rsid w:val="00DB63B3"/>
    <w:rsid w:val="00DB6442"/>
    <w:rsid w:val="00DB65BD"/>
    <w:rsid w:val="00DB6841"/>
    <w:rsid w:val="00DB6CDE"/>
    <w:rsid w:val="00DB6E2E"/>
    <w:rsid w:val="00DB6ECA"/>
    <w:rsid w:val="00DB7026"/>
    <w:rsid w:val="00DB72BC"/>
    <w:rsid w:val="00DB7407"/>
    <w:rsid w:val="00DB752D"/>
    <w:rsid w:val="00DB7989"/>
    <w:rsid w:val="00DB79C2"/>
    <w:rsid w:val="00DB7F09"/>
    <w:rsid w:val="00DC00E8"/>
    <w:rsid w:val="00DC010E"/>
    <w:rsid w:val="00DC0B5D"/>
    <w:rsid w:val="00DC0BFF"/>
    <w:rsid w:val="00DC0D02"/>
    <w:rsid w:val="00DC0E13"/>
    <w:rsid w:val="00DC0FF6"/>
    <w:rsid w:val="00DC10A1"/>
    <w:rsid w:val="00DC10E3"/>
    <w:rsid w:val="00DC11CA"/>
    <w:rsid w:val="00DC1298"/>
    <w:rsid w:val="00DC12DD"/>
    <w:rsid w:val="00DC1691"/>
    <w:rsid w:val="00DC1C56"/>
    <w:rsid w:val="00DC1DBD"/>
    <w:rsid w:val="00DC1F5D"/>
    <w:rsid w:val="00DC20FB"/>
    <w:rsid w:val="00DC225E"/>
    <w:rsid w:val="00DC22FC"/>
    <w:rsid w:val="00DC2480"/>
    <w:rsid w:val="00DC24FE"/>
    <w:rsid w:val="00DC25F8"/>
    <w:rsid w:val="00DC27B9"/>
    <w:rsid w:val="00DC27F5"/>
    <w:rsid w:val="00DC28E1"/>
    <w:rsid w:val="00DC29AF"/>
    <w:rsid w:val="00DC29CE"/>
    <w:rsid w:val="00DC2A88"/>
    <w:rsid w:val="00DC2BC4"/>
    <w:rsid w:val="00DC2C65"/>
    <w:rsid w:val="00DC2F36"/>
    <w:rsid w:val="00DC300C"/>
    <w:rsid w:val="00DC3042"/>
    <w:rsid w:val="00DC3099"/>
    <w:rsid w:val="00DC3211"/>
    <w:rsid w:val="00DC3388"/>
    <w:rsid w:val="00DC36CA"/>
    <w:rsid w:val="00DC37AE"/>
    <w:rsid w:val="00DC37F1"/>
    <w:rsid w:val="00DC389D"/>
    <w:rsid w:val="00DC38E6"/>
    <w:rsid w:val="00DC3A10"/>
    <w:rsid w:val="00DC3B31"/>
    <w:rsid w:val="00DC3BEF"/>
    <w:rsid w:val="00DC3DF8"/>
    <w:rsid w:val="00DC4230"/>
    <w:rsid w:val="00DC431A"/>
    <w:rsid w:val="00DC46AB"/>
    <w:rsid w:val="00DC46B0"/>
    <w:rsid w:val="00DC4756"/>
    <w:rsid w:val="00DC479E"/>
    <w:rsid w:val="00DC47FA"/>
    <w:rsid w:val="00DC4810"/>
    <w:rsid w:val="00DC49B8"/>
    <w:rsid w:val="00DC4AEE"/>
    <w:rsid w:val="00DC4CD2"/>
    <w:rsid w:val="00DC4D00"/>
    <w:rsid w:val="00DC5111"/>
    <w:rsid w:val="00DC5175"/>
    <w:rsid w:val="00DC51A6"/>
    <w:rsid w:val="00DC51C7"/>
    <w:rsid w:val="00DC5434"/>
    <w:rsid w:val="00DC5683"/>
    <w:rsid w:val="00DC5990"/>
    <w:rsid w:val="00DC59B2"/>
    <w:rsid w:val="00DC5AA8"/>
    <w:rsid w:val="00DC5AC6"/>
    <w:rsid w:val="00DC5DB5"/>
    <w:rsid w:val="00DC5EDC"/>
    <w:rsid w:val="00DC6263"/>
    <w:rsid w:val="00DC6379"/>
    <w:rsid w:val="00DC64A5"/>
    <w:rsid w:val="00DC650E"/>
    <w:rsid w:val="00DC67EE"/>
    <w:rsid w:val="00DC6895"/>
    <w:rsid w:val="00DC68E9"/>
    <w:rsid w:val="00DC69C3"/>
    <w:rsid w:val="00DC6A30"/>
    <w:rsid w:val="00DC6AA5"/>
    <w:rsid w:val="00DC6AAD"/>
    <w:rsid w:val="00DC6B33"/>
    <w:rsid w:val="00DC6C8A"/>
    <w:rsid w:val="00DC6F6F"/>
    <w:rsid w:val="00DC7165"/>
    <w:rsid w:val="00DC71B8"/>
    <w:rsid w:val="00DC71BE"/>
    <w:rsid w:val="00DC7263"/>
    <w:rsid w:val="00DC7361"/>
    <w:rsid w:val="00DC740E"/>
    <w:rsid w:val="00DC74C8"/>
    <w:rsid w:val="00DC75BF"/>
    <w:rsid w:val="00DC75F9"/>
    <w:rsid w:val="00DC76A4"/>
    <w:rsid w:val="00DC7715"/>
    <w:rsid w:val="00DC778D"/>
    <w:rsid w:val="00DC783E"/>
    <w:rsid w:val="00DC7867"/>
    <w:rsid w:val="00DC799B"/>
    <w:rsid w:val="00DC7A3B"/>
    <w:rsid w:val="00DC7AAA"/>
    <w:rsid w:val="00DC7AF7"/>
    <w:rsid w:val="00DC7D53"/>
    <w:rsid w:val="00DC7E0D"/>
    <w:rsid w:val="00DC7E6C"/>
    <w:rsid w:val="00DC7F17"/>
    <w:rsid w:val="00DC7F3C"/>
    <w:rsid w:val="00DD0286"/>
    <w:rsid w:val="00DD02C3"/>
    <w:rsid w:val="00DD034F"/>
    <w:rsid w:val="00DD056D"/>
    <w:rsid w:val="00DD06F7"/>
    <w:rsid w:val="00DD0835"/>
    <w:rsid w:val="00DD0849"/>
    <w:rsid w:val="00DD0A9F"/>
    <w:rsid w:val="00DD0C64"/>
    <w:rsid w:val="00DD0D70"/>
    <w:rsid w:val="00DD0FC3"/>
    <w:rsid w:val="00DD0FF7"/>
    <w:rsid w:val="00DD15DA"/>
    <w:rsid w:val="00DD166F"/>
    <w:rsid w:val="00DD16A0"/>
    <w:rsid w:val="00DD17AE"/>
    <w:rsid w:val="00DD17C9"/>
    <w:rsid w:val="00DD17DF"/>
    <w:rsid w:val="00DD19EE"/>
    <w:rsid w:val="00DD1B6E"/>
    <w:rsid w:val="00DD1D12"/>
    <w:rsid w:val="00DD1E57"/>
    <w:rsid w:val="00DD203E"/>
    <w:rsid w:val="00DD26DF"/>
    <w:rsid w:val="00DD27EC"/>
    <w:rsid w:val="00DD2933"/>
    <w:rsid w:val="00DD29F8"/>
    <w:rsid w:val="00DD2C27"/>
    <w:rsid w:val="00DD2C5D"/>
    <w:rsid w:val="00DD2D06"/>
    <w:rsid w:val="00DD2D14"/>
    <w:rsid w:val="00DD2D79"/>
    <w:rsid w:val="00DD306D"/>
    <w:rsid w:val="00DD32B9"/>
    <w:rsid w:val="00DD3358"/>
    <w:rsid w:val="00DD369D"/>
    <w:rsid w:val="00DD36D7"/>
    <w:rsid w:val="00DD36FF"/>
    <w:rsid w:val="00DD3812"/>
    <w:rsid w:val="00DD3887"/>
    <w:rsid w:val="00DD3A19"/>
    <w:rsid w:val="00DD3A4F"/>
    <w:rsid w:val="00DD3B79"/>
    <w:rsid w:val="00DD3E72"/>
    <w:rsid w:val="00DD3F2A"/>
    <w:rsid w:val="00DD4063"/>
    <w:rsid w:val="00DD4196"/>
    <w:rsid w:val="00DD4287"/>
    <w:rsid w:val="00DD438A"/>
    <w:rsid w:val="00DD46D3"/>
    <w:rsid w:val="00DD46E3"/>
    <w:rsid w:val="00DD46F9"/>
    <w:rsid w:val="00DD47E5"/>
    <w:rsid w:val="00DD48C1"/>
    <w:rsid w:val="00DD49BC"/>
    <w:rsid w:val="00DD4F38"/>
    <w:rsid w:val="00DD503A"/>
    <w:rsid w:val="00DD513F"/>
    <w:rsid w:val="00DD5371"/>
    <w:rsid w:val="00DD5614"/>
    <w:rsid w:val="00DD5686"/>
    <w:rsid w:val="00DD58AD"/>
    <w:rsid w:val="00DD5B32"/>
    <w:rsid w:val="00DD5DAF"/>
    <w:rsid w:val="00DD5F81"/>
    <w:rsid w:val="00DD6010"/>
    <w:rsid w:val="00DD611F"/>
    <w:rsid w:val="00DD6215"/>
    <w:rsid w:val="00DD6555"/>
    <w:rsid w:val="00DD66D7"/>
    <w:rsid w:val="00DD7047"/>
    <w:rsid w:val="00DD7097"/>
    <w:rsid w:val="00DD734A"/>
    <w:rsid w:val="00DD74BD"/>
    <w:rsid w:val="00DD754C"/>
    <w:rsid w:val="00DD7650"/>
    <w:rsid w:val="00DD76D3"/>
    <w:rsid w:val="00DD77A1"/>
    <w:rsid w:val="00DD78DA"/>
    <w:rsid w:val="00DD79D5"/>
    <w:rsid w:val="00DD79D6"/>
    <w:rsid w:val="00DD7A32"/>
    <w:rsid w:val="00DD7B04"/>
    <w:rsid w:val="00DD7CF5"/>
    <w:rsid w:val="00DD7D23"/>
    <w:rsid w:val="00DD7EA4"/>
    <w:rsid w:val="00DD7EAA"/>
    <w:rsid w:val="00DE0112"/>
    <w:rsid w:val="00DE014F"/>
    <w:rsid w:val="00DE01CA"/>
    <w:rsid w:val="00DE02B3"/>
    <w:rsid w:val="00DE02C2"/>
    <w:rsid w:val="00DE065D"/>
    <w:rsid w:val="00DE0672"/>
    <w:rsid w:val="00DE0836"/>
    <w:rsid w:val="00DE1042"/>
    <w:rsid w:val="00DE111D"/>
    <w:rsid w:val="00DE1156"/>
    <w:rsid w:val="00DE1358"/>
    <w:rsid w:val="00DE1440"/>
    <w:rsid w:val="00DE1564"/>
    <w:rsid w:val="00DE15F8"/>
    <w:rsid w:val="00DE1832"/>
    <w:rsid w:val="00DE1858"/>
    <w:rsid w:val="00DE197D"/>
    <w:rsid w:val="00DE19F9"/>
    <w:rsid w:val="00DE1A5B"/>
    <w:rsid w:val="00DE1ACA"/>
    <w:rsid w:val="00DE1BA6"/>
    <w:rsid w:val="00DE1BEB"/>
    <w:rsid w:val="00DE1DBB"/>
    <w:rsid w:val="00DE1FB2"/>
    <w:rsid w:val="00DE20E5"/>
    <w:rsid w:val="00DE2249"/>
    <w:rsid w:val="00DE2415"/>
    <w:rsid w:val="00DE2545"/>
    <w:rsid w:val="00DE25E7"/>
    <w:rsid w:val="00DE2643"/>
    <w:rsid w:val="00DE2763"/>
    <w:rsid w:val="00DE287D"/>
    <w:rsid w:val="00DE2A87"/>
    <w:rsid w:val="00DE2B4C"/>
    <w:rsid w:val="00DE2DC9"/>
    <w:rsid w:val="00DE2ED5"/>
    <w:rsid w:val="00DE30C7"/>
    <w:rsid w:val="00DE33A8"/>
    <w:rsid w:val="00DE33CD"/>
    <w:rsid w:val="00DE33FC"/>
    <w:rsid w:val="00DE3419"/>
    <w:rsid w:val="00DE3484"/>
    <w:rsid w:val="00DE3545"/>
    <w:rsid w:val="00DE383B"/>
    <w:rsid w:val="00DE3A53"/>
    <w:rsid w:val="00DE3A8A"/>
    <w:rsid w:val="00DE3ACB"/>
    <w:rsid w:val="00DE3C6F"/>
    <w:rsid w:val="00DE3C77"/>
    <w:rsid w:val="00DE3CC9"/>
    <w:rsid w:val="00DE3DAE"/>
    <w:rsid w:val="00DE3EBA"/>
    <w:rsid w:val="00DE406F"/>
    <w:rsid w:val="00DE4087"/>
    <w:rsid w:val="00DE40E0"/>
    <w:rsid w:val="00DE42EC"/>
    <w:rsid w:val="00DE430E"/>
    <w:rsid w:val="00DE46A9"/>
    <w:rsid w:val="00DE488A"/>
    <w:rsid w:val="00DE4B80"/>
    <w:rsid w:val="00DE4FA5"/>
    <w:rsid w:val="00DE50AD"/>
    <w:rsid w:val="00DE52DB"/>
    <w:rsid w:val="00DE53C1"/>
    <w:rsid w:val="00DE568F"/>
    <w:rsid w:val="00DE56DF"/>
    <w:rsid w:val="00DE575D"/>
    <w:rsid w:val="00DE5B35"/>
    <w:rsid w:val="00DE5C75"/>
    <w:rsid w:val="00DE5CC9"/>
    <w:rsid w:val="00DE5F95"/>
    <w:rsid w:val="00DE6237"/>
    <w:rsid w:val="00DE6713"/>
    <w:rsid w:val="00DE6722"/>
    <w:rsid w:val="00DE6789"/>
    <w:rsid w:val="00DE682E"/>
    <w:rsid w:val="00DE6A99"/>
    <w:rsid w:val="00DE6B8B"/>
    <w:rsid w:val="00DE6CDB"/>
    <w:rsid w:val="00DE6D75"/>
    <w:rsid w:val="00DE6DBB"/>
    <w:rsid w:val="00DE6DE6"/>
    <w:rsid w:val="00DE6E22"/>
    <w:rsid w:val="00DE6E9C"/>
    <w:rsid w:val="00DE70F1"/>
    <w:rsid w:val="00DE7533"/>
    <w:rsid w:val="00DE7A88"/>
    <w:rsid w:val="00DE7AD4"/>
    <w:rsid w:val="00DE7C18"/>
    <w:rsid w:val="00DE7D25"/>
    <w:rsid w:val="00DF00BD"/>
    <w:rsid w:val="00DF019D"/>
    <w:rsid w:val="00DF0238"/>
    <w:rsid w:val="00DF050C"/>
    <w:rsid w:val="00DF0566"/>
    <w:rsid w:val="00DF06FE"/>
    <w:rsid w:val="00DF0901"/>
    <w:rsid w:val="00DF0B68"/>
    <w:rsid w:val="00DF0C19"/>
    <w:rsid w:val="00DF0D26"/>
    <w:rsid w:val="00DF0D61"/>
    <w:rsid w:val="00DF0E3F"/>
    <w:rsid w:val="00DF102F"/>
    <w:rsid w:val="00DF1123"/>
    <w:rsid w:val="00DF1472"/>
    <w:rsid w:val="00DF1650"/>
    <w:rsid w:val="00DF1729"/>
    <w:rsid w:val="00DF18F6"/>
    <w:rsid w:val="00DF1947"/>
    <w:rsid w:val="00DF198C"/>
    <w:rsid w:val="00DF1DDC"/>
    <w:rsid w:val="00DF1E43"/>
    <w:rsid w:val="00DF2673"/>
    <w:rsid w:val="00DF2738"/>
    <w:rsid w:val="00DF2784"/>
    <w:rsid w:val="00DF283E"/>
    <w:rsid w:val="00DF28CD"/>
    <w:rsid w:val="00DF29E2"/>
    <w:rsid w:val="00DF2A27"/>
    <w:rsid w:val="00DF2C4D"/>
    <w:rsid w:val="00DF2D69"/>
    <w:rsid w:val="00DF317C"/>
    <w:rsid w:val="00DF31F7"/>
    <w:rsid w:val="00DF332E"/>
    <w:rsid w:val="00DF3354"/>
    <w:rsid w:val="00DF3670"/>
    <w:rsid w:val="00DF3691"/>
    <w:rsid w:val="00DF3767"/>
    <w:rsid w:val="00DF3BDA"/>
    <w:rsid w:val="00DF3DC4"/>
    <w:rsid w:val="00DF3E86"/>
    <w:rsid w:val="00DF3EA7"/>
    <w:rsid w:val="00DF3F26"/>
    <w:rsid w:val="00DF3FDB"/>
    <w:rsid w:val="00DF42CC"/>
    <w:rsid w:val="00DF42FC"/>
    <w:rsid w:val="00DF43D6"/>
    <w:rsid w:val="00DF4437"/>
    <w:rsid w:val="00DF4483"/>
    <w:rsid w:val="00DF480A"/>
    <w:rsid w:val="00DF490A"/>
    <w:rsid w:val="00DF4CEF"/>
    <w:rsid w:val="00DF4DC4"/>
    <w:rsid w:val="00DF4E6B"/>
    <w:rsid w:val="00DF4F56"/>
    <w:rsid w:val="00DF4F59"/>
    <w:rsid w:val="00DF4F6E"/>
    <w:rsid w:val="00DF5030"/>
    <w:rsid w:val="00DF511C"/>
    <w:rsid w:val="00DF52A5"/>
    <w:rsid w:val="00DF5495"/>
    <w:rsid w:val="00DF54E6"/>
    <w:rsid w:val="00DF552C"/>
    <w:rsid w:val="00DF55D6"/>
    <w:rsid w:val="00DF55E2"/>
    <w:rsid w:val="00DF5720"/>
    <w:rsid w:val="00DF576F"/>
    <w:rsid w:val="00DF5BD8"/>
    <w:rsid w:val="00DF642B"/>
    <w:rsid w:val="00DF6447"/>
    <w:rsid w:val="00DF68EA"/>
    <w:rsid w:val="00DF6919"/>
    <w:rsid w:val="00DF6F61"/>
    <w:rsid w:val="00DF7765"/>
    <w:rsid w:val="00DF7A50"/>
    <w:rsid w:val="00DF7B37"/>
    <w:rsid w:val="00DF7C65"/>
    <w:rsid w:val="00DF7CD0"/>
    <w:rsid w:val="00DF7D81"/>
    <w:rsid w:val="00DF7DAB"/>
    <w:rsid w:val="00DF7EBC"/>
    <w:rsid w:val="00E00100"/>
    <w:rsid w:val="00E00120"/>
    <w:rsid w:val="00E00290"/>
    <w:rsid w:val="00E002E7"/>
    <w:rsid w:val="00E002F1"/>
    <w:rsid w:val="00E0035B"/>
    <w:rsid w:val="00E005FD"/>
    <w:rsid w:val="00E0077E"/>
    <w:rsid w:val="00E00A03"/>
    <w:rsid w:val="00E00A17"/>
    <w:rsid w:val="00E00AEE"/>
    <w:rsid w:val="00E00BE5"/>
    <w:rsid w:val="00E00D7B"/>
    <w:rsid w:val="00E00F9F"/>
    <w:rsid w:val="00E0128C"/>
    <w:rsid w:val="00E012CD"/>
    <w:rsid w:val="00E012E3"/>
    <w:rsid w:val="00E01446"/>
    <w:rsid w:val="00E014B6"/>
    <w:rsid w:val="00E0151A"/>
    <w:rsid w:val="00E0153B"/>
    <w:rsid w:val="00E0155D"/>
    <w:rsid w:val="00E015DA"/>
    <w:rsid w:val="00E01683"/>
    <w:rsid w:val="00E018E7"/>
    <w:rsid w:val="00E0199F"/>
    <w:rsid w:val="00E01B34"/>
    <w:rsid w:val="00E01BB1"/>
    <w:rsid w:val="00E01C95"/>
    <w:rsid w:val="00E02753"/>
    <w:rsid w:val="00E0276E"/>
    <w:rsid w:val="00E02935"/>
    <w:rsid w:val="00E02A1F"/>
    <w:rsid w:val="00E02B2B"/>
    <w:rsid w:val="00E02B6E"/>
    <w:rsid w:val="00E02B90"/>
    <w:rsid w:val="00E02D93"/>
    <w:rsid w:val="00E0305D"/>
    <w:rsid w:val="00E03073"/>
    <w:rsid w:val="00E03351"/>
    <w:rsid w:val="00E034D6"/>
    <w:rsid w:val="00E03932"/>
    <w:rsid w:val="00E03934"/>
    <w:rsid w:val="00E03C2C"/>
    <w:rsid w:val="00E03E66"/>
    <w:rsid w:val="00E04056"/>
    <w:rsid w:val="00E0466E"/>
    <w:rsid w:val="00E046BB"/>
    <w:rsid w:val="00E04909"/>
    <w:rsid w:val="00E0495F"/>
    <w:rsid w:val="00E04961"/>
    <w:rsid w:val="00E04C01"/>
    <w:rsid w:val="00E04DCA"/>
    <w:rsid w:val="00E04E10"/>
    <w:rsid w:val="00E05002"/>
    <w:rsid w:val="00E051B0"/>
    <w:rsid w:val="00E0524B"/>
    <w:rsid w:val="00E052BB"/>
    <w:rsid w:val="00E0551F"/>
    <w:rsid w:val="00E0570C"/>
    <w:rsid w:val="00E05898"/>
    <w:rsid w:val="00E05958"/>
    <w:rsid w:val="00E05984"/>
    <w:rsid w:val="00E05B0D"/>
    <w:rsid w:val="00E05D36"/>
    <w:rsid w:val="00E05DFE"/>
    <w:rsid w:val="00E060B3"/>
    <w:rsid w:val="00E060B4"/>
    <w:rsid w:val="00E062C9"/>
    <w:rsid w:val="00E064B6"/>
    <w:rsid w:val="00E066AF"/>
    <w:rsid w:val="00E06804"/>
    <w:rsid w:val="00E06BF1"/>
    <w:rsid w:val="00E06D3E"/>
    <w:rsid w:val="00E06E3E"/>
    <w:rsid w:val="00E06F2E"/>
    <w:rsid w:val="00E07258"/>
    <w:rsid w:val="00E0734E"/>
    <w:rsid w:val="00E074A5"/>
    <w:rsid w:val="00E07514"/>
    <w:rsid w:val="00E0751F"/>
    <w:rsid w:val="00E0761C"/>
    <w:rsid w:val="00E077D6"/>
    <w:rsid w:val="00E0791A"/>
    <w:rsid w:val="00E079C2"/>
    <w:rsid w:val="00E07D26"/>
    <w:rsid w:val="00E07D32"/>
    <w:rsid w:val="00E07F29"/>
    <w:rsid w:val="00E10000"/>
    <w:rsid w:val="00E101C6"/>
    <w:rsid w:val="00E10205"/>
    <w:rsid w:val="00E102F4"/>
    <w:rsid w:val="00E10366"/>
    <w:rsid w:val="00E105EC"/>
    <w:rsid w:val="00E1087C"/>
    <w:rsid w:val="00E10889"/>
    <w:rsid w:val="00E1095C"/>
    <w:rsid w:val="00E109E8"/>
    <w:rsid w:val="00E10AA5"/>
    <w:rsid w:val="00E10AB5"/>
    <w:rsid w:val="00E10AFC"/>
    <w:rsid w:val="00E10D84"/>
    <w:rsid w:val="00E10E74"/>
    <w:rsid w:val="00E10EBD"/>
    <w:rsid w:val="00E10F5B"/>
    <w:rsid w:val="00E10F7D"/>
    <w:rsid w:val="00E110B0"/>
    <w:rsid w:val="00E1117D"/>
    <w:rsid w:val="00E11216"/>
    <w:rsid w:val="00E115C8"/>
    <w:rsid w:val="00E116F6"/>
    <w:rsid w:val="00E11BF4"/>
    <w:rsid w:val="00E11C03"/>
    <w:rsid w:val="00E11C1B"/>
    <w:rsid w:val="00E11CD1"/>
    <w:rsid w:val="00E11ED5"/>
    <w:rsid w:val="00E11FF5"/>
    <w:rsid w:val="00E1201F"/>
    <w:rsid w:val="00E1206F"/>
    <w:rsid w:val="00E12138"/>
    <w:rsid w:val="00E12267"/>
    <w:rsid w:val="00E12424"/>
    <w:rsid w:val="00E124BD"/>
    <w:rsid w:val="00E126BC"/>
    <w:rsid w:val="00E12901"/>
    <w:rsid w:val="00E12A4B"/>
    <w:rsid w:val="00E12B83"/>
    <w:rsid w:val="00E12BCC"/>
    <w:rsid w:val="00E12CF8"/>
    <w:rsid w:val="00E12FC1"/>
    <w:rsid w:val="00E1318C"/>
    <w:rsid w:val="00E13283"/>
    <w:rsid w:val="00E132FC"/>
    <w:rsid w:val="00E13832"/>
    <w:rsid w:val="00E13B83"/>
    <w:rsid w:val="00E14888"/>
    <w:rsid w:val="00E14A64"/>
    <w:rsid w:val="00E14B09"/>
    <w:rsid w:val="00E14B32"/>
    <w:rsid w:val="00E14C06"/>
    <w:rsid w:val="00E14E55"/>
    <w:rsid w:val="00E15295"/>
    <w:rsid w:val="00E1579E"/>
    <w:rsid w:val="00E159E6"/>
    <w:rsid w:val="00E15ACB"/>
    <w:rsid w:val="00E15BC7"/>
    <w:rsid w:val="00E15D2E"/>
    <w:rsid w:val="00E1618E"/>
    <w:rsid w:val="00E162ED"/>
    <w:rsid w:val="00E1652A"/>
    <w:rsid w:val="00E166D0"/>
    <w:rsid w:val="00E168E1"/>
    <w:rsid w:val="00E16A29"/>
    <w:rsid w:val="00E16CBA"/>
    <w:rsid w:val="00E16E4A"/>
    <w:rsid w:val="00E17142"/>
    <w:rsid w:val="00E1717E"/>
    <w:rsid w:val="00E172DB"/>
    <w:rsid w:val="00E17677"/>
    <w:rsid w:val="00E17B2F"/>
    <w:rsid w:val="00E17C14"/>
    <w:rsid w:val="00E17C3B"/>
    <w:rsid w:val="00E17CBA"/>
    <w:rsid w:val="00E20044"/>
    <w:rsid w:val="00E201E5"/>
    <w:rsid w:val="00E20415"/>
    <w:rsid w:val="00E20677"/>
    <w:rsid w:val="00E2070A"/>
    <w:rsid w:val="00E2091E"/>
    <w:rsid w:val="00E20B3D"/>
    <w:rsid w:val="00E20F8F"/>
    <w:rsid w:val="00E21107"/>
    <w:rsid w:val="00E21171"/>
    <w:rsid w:val="00E213C7"/>
    <w:rsid w:val="00E213D4"/>
    <w:rsid w:val="00E214F8"/>
    <w:rsid w:val="00E216B7"/>
    <w:rsid w:val="00E216FB"/>
    <w:rsid w:val="00E2181B"/>
    <w:rsid w:val="00E21B2B"/>
    <w:rsid w:val="00E21B6C"/>
    <w:rsid w:val="00E21E0A"/>
    <w:rsid w:val="00E22093"/>
    <w:rsid w:val="00E225DA"/>
    <w:rsid w:val="00E226B6"/>
    <w:rsid w:val="00E2285C"/>
    <w:rsid w:val="00E229C3"/>
    <w:rsid w:val="00E22B5A"/>
    <w:rsid w:val="00E22D51"/>
    <w:rsid w:val="00E22DE5"/>
    <w:rsid w:val="00E22ED4"/>
    <w:rsid w:val="00E22FD3"/>
    <w:rsid w:val="00E234D5"/>
    <w:rsid w:val="00E234D8"/>
    <w:rsid w:val="00E2365D"/>
    <w:rsid w:val="00E2369E"/>
    <w:rsid w:val="00E2375D"/>
    <w:rsid w:val="00E23921"/>
    <w:rsid w:val="00E2395F"/>
    <w:rsid w:val="00E23ADE"/>
    <w:rsid w:val="00E23C55"/>
    <w:rsid w:val="00E23C95"/>
    <w:rsid w:val="00E23CB7"/>
    <w:rsid w:val="00E23D63"/>
    <w:rsid w:val="00E23E9A"/>
    <w:rsid w:val="00E242C1"/>
    <w:rsid w:val="00E242E7"/>
    <w:rsid w:val="00E24373"/>
    <w:rsid w:val="00E24398"/>
    <w:rsid w:val="00E245BB"/>
    <w:rsid w:val="00E246A5"/>
    <w:rsid w:val="00E24832"/>
    <w:rsid w:val="00E24A25"/>
    <w:rsid w:val="00E24A29"/>
    <w:rsid w:val="00E24BBB"/>
    <w:rsid w:val="00E24DB8"/>
    <w:rsid w:val="00E24E1A"/>
    <w:rsid w:val="00E24EC5"/>
    <w:rsid w:val="00E250BE"/>
    <w:rsid w:val="00E250C3"/>
    <w:rsid w:val="00E252C2"/>
    <w:rsid w:val="00E253AA"/>
    <w:rsid w:val="00E2589C"/>
    <w:rsid w:val="00E258B5"/>
    <w:rsid w:val="00E258EE"/>
    <w:rsid w:val="00E25994"/>
    <w:rsid w:val="00E259AE"/>
    <w:rsid w:val="00E25A32"/>
    <w:rsid w:val="00E25CDF"/>
    <w:rsid w:val="00E26281"/>
    <w:rsid w:val="00E265C5"/>
    <w:rsid w:val="00E26705"/>
    <w:rsid w:val="00E267F9"/>
    <w:rsid w:val="00E26A41"/>
    <w:rsid w:val="00E26BAD"/>
    <w:rsid w:val="00E26BB3"/>
    <w:rsid w:val="00E26DA6"/>
    <w:rsid w:val="00E26E43"/>
    <w:rsid w:val="00E271E7"/>
    <w:rsid w:val="00E2723B"/>
    <w:rsid w:val="00E272B9"/>
    <w:rsid w:val="00E275BA"/>
    <w:rsid w:val="00E27604"/>
    <w:rsid w:val="00E27923"/>
    <w:rsid w:val="00E279FE"/>
    <w:rsid w:val="00E27B0A"/>
    <w:rsid w:val="00E27BDC"/>
    <w:rsid w:val="00E27C94"/>
    <w:rsid w:val="00E27D73"/>
    <w:rsid w:val="00E27F2B"/>
    <w:rsid w:val="00E27F3E"/>
    <w:rsid w:val="00E27F72"/>
    <w:rsid w:val="00E3004B"/>
    <w:rsid w:val="00E304FD"/>
    <w:rsid w:val="00E30628"/>
    <w:rsid w:val="00E30847"/>
    <w:rsid w:val="00E3095A"/>
    <w:rsid w:val="00E30A51"/>
    <w:rsid w:val="00E30E0E"/>
    <w:rsid w:val="00E30FCB"/>
    <w:rsid w:val="00E313E2"/>
    <w:rsid w:val="00E31794"/>
    <w:rsid w:val="00E317C1"/>
    <w:rsid w:val="00E3184D"/>
    <w:rsid w:val="00E31A95"/>
    <w:rsid w:val="00E31CFE"/>
    <w:rsid w:val="00E31E0A"/>
    <w:rsid w:val="00E31E84"/>
    <w:rsid w:val="00E31F89"/>
    <w:rsid w:val="00E321FF"/>
    <w:rsid w:val="00E3222F"/>
    <w:rsid w:val="00E32265"/>
    <w:rsid w:val="00E322DD"/>
    <w:rsid w:val="00E322EC"/>
    <w:rsid w:val="00E3235C"/>
    <w:rsid w:val="00E32380"/>
    <w:rsid w:val="00E32455"/>
    <w:rsid w:val="00E324BB"/>
    <w:rsid w:val="00E32517"/>
    <w:rsid w:val="00E32B66"/>
    <w:rsid w:val="00E32C8B"/>
    <w:rsid w:val="00E32FB0"/>
    <w:rsid w:val="00E333BE"/>
    <w:rsid w:val="00E333C2"/>
    <w:rsid w:val="00E333D8"/>
    <w:rsid w:val="00E334EE"/>
    <w:rsid w:val="00E33690"/>
    <w:rsid w:val="00E336AB"/>
    <w:rsid w:val="00E337A6"/>
    <w:rsid w:val="00E339C3"/>
    <w:rsid w:val="00E33A05"/>
    <w:rsid w:val="00E33A13"/>
    <w:rsid w:val="00E33C62"/>
    <w:rsid w:val="00E33DC3"/>
    <w:rsid w:val="00E33FAA"/>
    <w:rsid w:val="00E34081"/>
    <w:rsid w:val="00E34527"/>
    <w:rsid w:val="00E3454B"/>
    <w:rsid w:val="00E349A7"/>
    <w:rsid w:val="00E34C03"/>
    <w:rsid w:val="00E34D14"/>
    <w:rsid w:val="00E3525C"/>
    <w:rsid w:val="00E35267"/>
    <w:rsid w:val="00E354F5"/>
    <w:rsid w:val="00E3552D"/>
    <w:rsid w:val="00E35842"/>
    <w:rsid w:val="00E35899"/>
    <w:rsid w:val="00E358C0"/>
    <w:rsid w:val="00E35B7A"/>
    <w:rsid w:val="00E35BCC"/>
    <w:rsid w:val="00E35CB1"/>
    <w:rsid w:val="00E35E72"/>
    <w:rsid w:val="00E35ED5"/>
    <w:rsid w:val="00E36282"/>
    <w:rsid w:val="00E364D0"/>
    <w:rsid w:val="00E365DE"/>
    <w:rsid w:val="00E3660E"/>
    <w:rsid w:val="00E366C5"/>
    <w:rsid w:val="00E36948"/>
    <w:rsid w:val="00E36991"/>
    <w:rsid w:val="00E369F2"/>
    <w:rsid w:val="00E36A94"/>
    <w:rsid w:val="00E36B4F"/>
    <w:rsid w:val="00E36CE6"/>
    <w:rsid w:val="00E36CF3"/>
    <w:rsid w:val="00E36D9B"/>
    <w:rsid w:val="00E36F89"/>
    <w:rsid w:val="00E37057"/>
    <w:rsid w:val="00E37286"/>
    <w:rsid w:val="00E372D0"/>
    <w:rsid w:val="00E37584"/>
    <w:rsid w:val="00E37753"/>
    <w:rsid w:val="00E37C21"/>
    <w:rsid w:val="00E37D66"/>
    <w:rsid w:val="00E37E92"/>
    <w:rsid w:val="00E37E95"/>
    <w:rsid w:val="00E400AC"/>
    <w:rsid w:val="00E40249"/>
    <w:rsid w:val="00E402EA"/>
    <w:rsid w:val="00E40570"/>
    <w:rsid w:val="00E405F2"/>
    <w:rsid w:val="00E406A5"/>
    <w:rsid w:val="00E40774"/>
    <w:rsid w:val="00E40AFD"/>
    <w:rsid w:val="00E40DFF"/>
    <w:rsid w:val="00E40FD0"/>
    <w:rsid w:val="00E410F0"/>
    <w:rsid w:val="00E410F8"/>
    <w:rsid w:val="00E413D9"/>
    <w:rsid w:val="00E41568"/>
    <w:rsid w:val="00E4169A"/>
    <w:rsid w:val="00E41B09"/>
    <w:rsid w:val="00E41C77"/>
    <w:rsid w:val="00E41D50"/>
    <w:rsid w:val="00E41D72"/>
    <w:rsid w:val="00E41DA4"/>
    <w:rsid w:val="00E4204F"/>
    <w:rsid w:val="00E42155"/>
    <w:rsid w:val="00E421C4"/>
    <w:rsid w:val="00E42790"/>
    <w:rsid w:val="00E428E2"/>
    <w:rsid w:val="00E42924"/>
    <w:rsid w:val="00E42BC5"/>
    <w:rsid w:val="00E42E96"/>
    <w:rsid w:val="00E42F62"/>
    <w:rsid w:val="00E43225"/>
    <w:rsid w:val="00E433E1"/>
    <w:rsid w:val="00E433F9"/>
    <w:rsid w:val="00E435D8"/>
    <w:rsid w:val="00E43629"/>
    <w:rsid w:val="00E4381E"/>
    <w:rsid w:val="00E43A14"/>
    <w:rsid w:val="00E43A43"/>
    <w:rsid w:val="00E43ACB"/>
    <w:rsid w:val="00E43DC2"/>
    <w:rsid w:val="00E43DD2"/>
    <w:rsid w:val="00E43F1A"/>
    <w:rsid w:val="00E442C6"/>
    <w:rsid w:val="00E44478"/>
    <w:rsid w:val="00E4449E"/>
    <w:rsid w:val="00E446BD"/>
    <w:rsid w:val="00E44C41"/>
    <w:rsid w:val="00E44CBA"/>
    <w:rsid w:val="00E44DBC"/>
    <w:rsid w:val="00E45186"/>
    <w:rsid w:val="00E453B9"/>
    <w:rsid w:val="00E453C9"/>
    <w:rsid w:val="00E456E7"/>
    <w:rsid w:val="00E45749"/>
    <w:rsid w:val="00E459CE"/>
    <w:rsid w:val="00E45F8B"/>
    <w:rsid w:val="00E46288"/>
    <w:rsid w:val="00E462D1"/>
    <w:rsid w:val="00E46304"/>
    <w:rsid w:val="00E4632B"/>
    <w:rsid w:val="00E4639E"/>
    <w:rsid w:val="00E464EB"/>
    <w:rsid w:val="00E46762"/>
    <w:rsid w:val="00E46946"/>
    <w:rsid w:val="00E46AF2"/>
    <w:rsid w:val="00E46BD0"/>
    <w:rsid w:val="00E46E13"/>
    <w:rsid w:val="00E470B9"/>
    <w:rsid w:val="00E471D1"/>
    <w:rsid w:val="00E47941"/>
    <w:rsid w:val="00E47BDF"/>
    <w:rsid w:val="00E47D54"/>
    <w:rsid w:val="00E501C3"/>
    <w:rsid w:val="00E50455"/>
    <w:rsid w:val="00E505C1"/>
    <w:rsid w:val="00E50755"/>
    <w:rsid w:val="00E5075B"/>
    <w:rsid w:val="00E507CE"/>
    <w:rsid w:val="00E508AA"/>
    <w:rsid w:val="00E50973"/>
    <w:rsid w:val="00E50998"/>
    <w:rsid w:val="00E50B67"/>
    <w:rsid w:val="00E50E7C"/>
    <w:rsid w:val="00E50F7F"/>
    <w:rsid w:val="00E51099"/>
    <w:rsid w:val="00E513C5"/>
    <w:rsid w:val="00E513FD"/>
    <w:rsid w:val="00E51545"/>
    <w:rsid w:val="00E516AA"/>
    <w:rsid w:val="00E517BE"/>
    <w:rsid w:val="00E51CAB"/>
    <w:rsid w:val="00E51D9E"/>
    <w:rsid w:val="00E51EBF"/>
    <w:rsid w:val="00E51F0B"/>
    <w:rsid w:val="00E51F1F"/>
    <w:rsid w:val="00E52012"/>
    <w:rsid w:val="00E520D6"/>
    <w:rsid w:val="00E52622"/>
    <w:rsid w:val="00E5262B"/>
    <w:rsid w:val="00E527C4"/>
    <w:rsid w:val="00E52A6A"/>
    <w:rsid w:val="00E52E6F"/>
    <w:rsid w:val="00E52EC2"/>
    <w:rsid w:val="00E52ED0"/>
    <w:rsid w:val="00E530E6"/>
    <w:rsid w:val="00E531A6"/>
    <w:rsid w:val="00E5366B"/>
    <w:rsid w:val="00E5378E"/>
    <w:rsid w:val="00E537D1"/>
    <w:rsid w:val="00E53804"/>
    <w:rsid w:val="00E540C1"/>
    <w:rsid w:val="00E545BB"/>
    <w:rsid w:val="00E545D2"/>
    <w:rsid w:val="00E5468F"/>
    <w:rsid w:val="00E54710"/>
    <w:rsid w:val="00E549BD"/>
    <w:rsid w:val="00E54B62"/>
    <w:rsid w:val="00E54C4D"/>
    <w:rsid w:val="00E54C78"/>
    <w:rsid w:val="00E54ED0"/>
    <w:rsid w:val="00E5528D"/>
    <w:rsid w:val="00E554A9"/>
    <w:rsid w:val="00E5554D"/>
    <w:rsid w:val="00E557D9"/>
    <w:rsid w:val="00E558E8"/>
    <w:rsid w:val="00E55BB8"/>
    <w:rsid w:val="00E55BDA"/>
    <w:rsid w:val="00E55D61"/>
    <w:rsid w:val="00E55F79"/>
    <w:rsid w:val="00E56038"/>
    <w:rsid w:val="00E561D5"/>
    <w:rsid w:val="00E564A9"/>
    <w:rsid w:val="00E564E3"/>
    <w:rsid w:val="00E5650C"/>
    <w:rsid w:val="00E56542"/>
    <w:rsid w:val="00E56769"/>
    <w:rsid w:val="00E567E6"/>
    <w:rsid w:val="00E568DE"/>
    <w:rsid w:val="00E56971"/>
    <w:rsid w:val="00E569A9"/>
    <w:rsid w:val="00E569AA"/>
    <w:rsid w:val="00E57278"/>
    <w:rsid w:val="00E572CF"/>
    <w:rsid w:val="00E576DF"/>
    <w:rsid w:val="00E5780E"/>
    <w:rsid w:val="00E57EA2"/>
    <w:rsid w:val="00E57F68"/>
    <w:rsid w:val="00E600D7"/>
    <w:rsid w:val="00E602A9"/>
    <w:rsid w:val="00E604B1"/>
    <w:rsid w:val="00E60675"/>
    <w:rsid w:val="00E607CE"/>
    <w:rsid w:val="00E60921"/>
    <w:rsid w:val="00E6099F"/>
    <w:rsid w:val="00E60AFA"/>
    <w:rsid w:val="00E61045"/>
    <w:rsid w:val="00E61175"/>
    <w:rsid w:val="00E6128E"/>
    <w:rsid w:val="00E61484"/>
    <w:rsid w:val="00E61EB1"/>
    <w:rsid w:val="00E61EC9"/>
    <w:rsid w:val="00E61EE2"/>
    <w:rsid w:val="00E621DD"/>
    <w:rsid w:val="00E621FD"/>
    <w:rsid w:val="00E62237"/>
    <w:rsid w:val="00E625AD"/>
    <w:rsid w:val="00E6277C"/>
    <w:rsid w:val="00E62813"/>
    <w:rsid w:val="00E62A82"/>
    <w:rsid w:val="00E62AB4"/>
    <w:rsid w:val="00E62B39"/>
    <w:rsid w:val="00E62B8B"/>
    <w:rsid w:val="00E62CEC"/>
    <w:rsid w:val="00E62DC0"/>
    <w:rsid w:val="00E62E1B"/>
    <w:rsid w:val="00E63184"/>
    <w:rsid w:val="00E6324A"/>
    <w:rsid w:val="00E634B9"/>
    <w:rsid w:val="00E6355D"/>
    <w:rsid w:val="00E63606"/>
    <w:rsid w:val="00E63817"/>
    <w:rsid w:val="00E63848"/>
    <w:rsid w:val="00E63877"/>
    <w:rsid w:val="00E63A0D"/>
    <w:rsid w:val="00E63A76"/>
    <w:rsid w:val="00E63B30"/>
    <w:rsid w:val="00E63B61"/>
    <w:rsid w:val="00E63C1A"/>
    <w:rsid w:val="00E63E74"/>
    <w:rsid w:val="00E63F7F"/>
    <w:rsid w:val="00E640EE"/>
    <w:rsid w:val="00E6445A"/>
    <w:rsid w:val="00E6475F"/>
    <w:rsid w:val="00E649EF"/>
    <w:rsid w:val="00E64ABC"/>
    <w:rsid w:val="00E64B58"/>
    <w:rsid w:val="00E64CA2"/>
    <w:rsid w:val="00E64DA9"/>
    <w:rsid w:val="00E64E4F"/>
    <w:rsid w:val="00E65006"/>
    <w:rsid w:val="00E652C2"/>
    <w:rsid w:val="00E65430"/>
    <w:rsid w:val="00E65763"/>
    <w:rsid w:val="00E658A1"/>
    <w:rsid w:val="00E65AC0"/>
    <w:rsid w:val="00E65B0E"/>
    <w:rsid w:val="00E65C7C"/>
    <w:rsid w:val="00E65CA5"/>
    <w:rsid w:val="00E65CC0"/>
    <w:rsid w:val="00E65D21"/>
    <w:rsid w:val="00E65DD5"/>
    <w:rsid w:val="00E65DDD"/>
    <w:rsid w:val="00E65EAB"/>
    <w:rsid w:val="00E65FD3"/>
    <w:rsid w:val="00E660A7"/>
    <w:rsid w:val="00E66164"/>
    <w:rsid w:val="00E6617F"/>
    <w:rsid w:val="00E661F3"/>
    <w:rsid w:val="00E66325"/>
    <w:rsid w:val="00E66334"/>
    <w:rsid w:val="00E66619"/>
    <w:rsid w:val="00E667BF"/>
    <w:rsid w:val="00E667CD"/>
    <w:rsid w:val="00E668C9"/>
    <w:rsid w:val="00E66BF7"/>
    <w:rsid w:val="00E66C33"/>
    <w:rsid w:val="00E66E91"/>
    <w:rsid w:val="00E6704E"/>
    <w:rsid w:val="00E67156"/>
    <w:rsid w:val="00E6727E"/>
    <w:rsid w:val="00E673DC"/>
    <w:rsid w:val="00E67404"/>
    <w:rsid w:val="00E6764E"/>
    <w:rsid w:val="00E67735"/>
    <w:rsid w:val="00E67737"/>
    <w:rsid w:val="00E67892"/>
    <w:rsid w:val="00E67AF5"/>
    <w:rsid w:val="00E67EEC"/>
    <w:rsid w:val="00E70156"/>
    <w:rsid w:val="00E7017C"/>
    <w:rsid w:val="00E7043F"/>
    <w:rsid w:val="00E70526"/>
    <w:rsid w:val="00E7095C"/>
    <w:rsid w:val="00E70B4F"/>
    <w:rsid w:val="00E70C46"/>
    <w:rsid w:val="00E70CED"/>
    <w:rsid w:val="00E70E3B"/>
    <w:rsid w:val="00E70E42"/>
    <w:rsid w:val="00E710DD"/>
    <w:rsid w:val="00E711D7"/>
    <w:rsid w:val="00E7121C"/>
    <w:rsid w:val="00E716A6"/>
    <w:rsid w:val="00E716AF"/>
    <w:rsid w:val="00E71A3F"/>
    <w:rsid w:val="00E71E0C"/>
    <w:rsid w:val="00E71F2B"/>
    <w:rsid w:val="00E71F42"/>
    <w:rsid w:val="00E71F84"/>
    <w:rsid w:val="00E723D1"/>
    <w:rsid w:val="00E725E5"/>
    <w:rsid w:val="00E72707"/>
    <w:rsid w:val="00E72743"/>
    <w:rsid w:val="00E7296E"/>
    <w:rsid w:val="00E72B30"/>
    <w:rsid w:val="00E72B79"/>
    <w:rsid w:val="00E72D97"/>
    <w:rsid w:val="00E731A1"/>
    <w:rsid w:val="00E732F9"/>
    <w:rsid w:val="00E7337A"/>
    <w:rsid w:val="00E733D4"/>
    <w:rsid w:val="00E7363E"/>
    <w:rsid w:val="00E739CC"/>
    <w:rsid w:val="00E73CA0"/>
    <w:rsid w:val="00E73EB0"/>
    <w:rsid w:val="00E73F75"/>
    <w:rsid w:val="00E73F8C"/>
    <w:rsid w:val="00E740A9"/>
    <w:rsid w:val="00E740B0"/>
    <w:rsid w:val="00E74273"/>
    <w:rsid w:val="00E74710"/>
    <w:rsid w:val="00E7498F"/>
    <w:rsid w:val="00E74BC5"/>
    <w:rsid w:val="00E74CB0"/>
    <w:rsid w:val="00E74D7B"/>
    <w:rsid w:val="00E74D88"/>
    <w:rsid w:val="00E74DDE"/>
    <w:rsid w:val="00E750E1"/>
    <w:rsid w:val="00E754DE"/>
    <w:rsid w:val="00E758FC"/>
    <w:rsid w:val="00E75BC4"/>
    <w:rsid w:val="00E75DCC"/>
    <w:rsid w:val="00E75E2B"/>
    <w:rsid w:val="00E76088"/>
    <w:rsid w:val="00E762DB"/>
    <w:rsid w:val="00E762DD"/>
    <w:rsid w:val="00E7649F"/>
    <w:rsid w:val="00E766A4"/>
    <w:rsid w:val="00E7673F"/>
    <w:rsid w:val="00E76880"/>
    <w:rsid w:val="00E76C5A"/>
    <w:rsid w:val="00E76FB2"/>
    <w:rsid w:val="00E77052"/>
    <w:rsid w:val="00E7723C"/>
    <w:rsid w:val="00E772E3"/>
    <w:rsid w:val="00E7741B"/>
    <w:rsid w:val="00E774DF"/>
    <w:rsid w:val="00E77812"/>
    <w:rsid w:val="00E77846"/>
    <w:rsid w:val="00E7796F"/>
    <w:rsid w:val="00E77996"/>
    <w:rsid w:val="00E77ADF"/>
    <w:rsid w:val="00E77D1B"/>
    <w:rsid w:val="00E77F5A"/>
    <w:rsid w:val="00E80798"/>
    <w:rsid w:val="00E80918"/>
    <w:rsid w:val="00E80B04"/>
    <w:rsid w:val="00E80B5F"/>
    <w:rsid w:val="00E80C1A"/>
    <w:rsid w:val="00E80CF5"/>
    <w:rsid w:val="00E80DAA"/>
    <w:rsid w:val="00E80E99"/>
    <w:rsid w:val="00E810EA"/>
    <w:rsid w:val="00E815BE"/>
    <w:rsid w:val="00E815E1"/>
    <w:rsid w:val="00E818EC"/>
    <w:rsid w:val="00E81B08"/>
    <w:rsid w:val="00E81C1E"/>
    <w:rsid w:val="00E81CBB"/>
    <w:rsid w:val="00E81DAF"/>
    <w:rsid w:val="00E81DB4"/>
    <w:rsid w:val="00E81E7C"/>
    <w:rsid w:val="00E81FFC"/>
    <w:rsid w:val="00E820E6"/>
    <w:rsid w:val="00E821B6"/>
    <w:rsid w:val="00E8223F"/>
    <w:rsid w:val="00E8227F"/>
    <w:rsid w:val="00E822D9"/>
    <w:rsid w:val="00E8252B"/>
    <w:rsid w:val="00E8268D"/>
    <w:rsid w:val="00E826C1"/>
    <w:rsid w:val="00E8273A"/>
    <w:rsid w:val="00E828C0"/>
    <w:rsid w:val="00E82909"/>
    <w:rsid w:val="00E82999"/>
    <w:rsid w:val="00E82C10"/>
    <w:rsid w:val="00E82C63"/>
    <w:rsid w:val="00E82F56"/>
    <w:rsid w:val="00E831D7"/>
    <w:rsid w:val="00E831F3"/>
    <w:rsid w:val="00E83210"/>
    <w:rsid w:val="00E83500"/>
    <w:rsid w:val="00E835D2"/>
    <w:rsid w:val="00E83670"/>
    <w:rsid w:val="00E83736"/>
    <w:rsid w:val="00E838F6"/>
    <w:rsid w:val="00E839FA"/>
    <w:rsid w:val="00E83A3C"/>
    <w:rsid w:val="00E83ABC"/>
    <w:rsid w:val="00E83E20"/>
    <w:rsid w:val="00E83E5D"/>
    <w:rsid w:val="00E84246"/>
    <w:rsid w:val="00E84316"/>
    <w:rsid w:val="00E843A0"/>
    <w:rsid w:val="00E84527"/>
    <w:rsid w:val="00E84758"/>
    <w:rsid w:val="00E847E9"/>
    <w:rsid w:val="00E848DA"/>
    <w:rsid w:val="00E84B99"/>
    <w:rsid w:val="00E84BA9"/>
    <w:rsid w:val="00E84C12"/>
    <w:rsid w:val="00E84C27"/>
    <w:rsid w:val="00E84C58"/>
    <w:rsid w:val="00E84CE6"/>
    <w:rsid w:val="00E84E26"/>
    <w:rsid w:val="00E84EDC"/>
    <w:rsid w:val="00E851BB"/>
    <w:rsid w:val="00E8527C"/>
    <w:rsid w:val="00E85544"/>
    <w:rsid w:val="00E8578A"/>
    <w:rsid w:val="00E858CF"/>
    <w:rsid w:val="00E85949"/>
    <w:rsid w:val="00E85A71"/>
    <w:rsid w:val="00E85AB8"/>
    <w:rsid w:val="00E85B30"/>
    <w:rsid w:val="00E85F35"/>
    <w:rsid w:val="00E8613A"/>
    <w:rsid w:val="00E862E4"/>
    <w:rsid w:val="00E86436"/>
    <w:rsid w:val="00E864A0"/>
    <w:rsid w:val="00E864DE"/>
    <w:rsid w:val="00E867C8"/>
    <w:rsid w:val="00E86802"/>
    <w:rsid w:val="00E869B6"/>
    <w:rsid w:val="00E86BB4"/>
    <w:rsid w:val="00E86F8E"/>
    <w:rsid w:val="00E8702F"/>
    <w:rsid w:val="00E8706E"/>
    <w:rsid w:val="00E87184"/>
    <w:rsid w:val="00E871ED"/>
    <w:rsid w:val="00E873F8"/>
    <w:rsid w:val="00E8743E"/>
    <w:rsid w:val="00E87506"/>
    <w:rsid w:val="00E87665"/>
    <w:rsid w:val="00E877EB"/>
    <w:rsid w:val="00E877FD"/>
    <w:rsid w:val="00E878F7"/>
    <w:rsid w:val="00E900EC"/>
    <w:rsid w:val="00E902B0"/>
    <w:rsid w:val="00E902E8"/>
    <w:rsid w:val="00E90333"/>
    <w:rsid w:val="00E907ED"/>
    <w:rsid w:val="00E9084B"/>
    <w:rsid w:val="00E908D7"/>
    <w:rsid w:val="00E909FC"/>
    <w:rsid w:val="00E90CE5"/>
    <w:rsid w:val="00E90D16"/>
    <w:rsid w:val="00E90D90"/>
    <w:rsid w:val="00E90E16"/>
    <w:rsid w:val="00E91351"/>
    <w:rsid w:val="00E916E7"/>
    <w:rsid w:val="00E91728"/>
    <w:rsid w:val="00E9180F"/>
    <w:rsid w:val="00E91A6F"/>
    <w:rsid w:val="00E91AD1"/>
    <w:rsid w:val="00E91C2F"/>
    <w:rsid w:val="00E91D02"/>
    <w:rsid w:val="00E91D83"/>
    <w:rsid w:val="00E91DA8"/>
    <w:rsid w:val="00E91E3E"/>
    <w:rsid w:val="00E91EEC"/>
    <w:rsid w:val="00E921B2"/>
    <w:rsid w:val="00E922CE"/>
    <w:rsid w:val="00E92829"/>
    <w:rsid w:val="00E92952"/>
    <w:rsid w:val="00E9296B"/>
    <w:rsid w:val="00E929F6"/>
    <w:rsid w:val="00E92AE4"/>
    <w:rsid w:val="00E92B1F"/>
    <w:rsid w:val="00E92BF8"/>
    <w:rsid w:val="00E92C62"/>
    <w:rsid w:val="00E93003"/>
    <w:rsid w:val="00E9327D"/>
    <w:rsid w:val="00E934B8"/>
    <w:rsid w:val="00E9367E"/>
    <w:rsid w:val="00E93739"/>
    <w:rsid w:val="00E937BE"/>
    <w:rsid w:val="00E939A1"/>
    <w:rsid w:val="00E93E9F"/>
    <w:rsid w:val="00E93F84"/>
    <w:rsid w:val="00E944C2"/>
    <w:rsid w:val="00E944FB"/>
    <w:rsid w:val="00E946AF"/>
    <w:rsid w:val="00E94751"/>
    <w:rsid w:val="00E94799"/>
    <w:rsid w:val="00E94917"/>
    <w:rsid w:val="00E94C37"/>
    <w:rsid w:val="00E94C6E"/>
    <w:rsid w:val="00E94CBF"/>
    <w:rsid w:val="00E94D43"/>
    <w:rsid w:val="00E94DEE"/>
    <w:rsid w:val="00E9503F"/>
    <w:rsid w:val="00E95151"/>
    <w:rsid w:val="00E9537C"/>
    <w:rsid w:val="00E953B7"/>
    <w:rsid w:val="00E9551A"/>
    <w:rsid w:val="00E955C9"/>
    <w:rsid w:val="00E95764"/>
    <w:rsid w:val="00E957EA"/>
    <w:rsid w:val="00E95997"/>
    <w:rsid w:val="00E95C2F"/>
    <w:rsid w:val="00E96131"/>
    <w:rsid w:val="00E96357"/>
    <w:rsid w:val="00E96399"/>
    <w:rsid w:val="00E964FA"/>
    <w:rsid w:val="00E9659F"/>
    <w:rsid w:val="00E96AC8"/>
    <w:rsid w:val="00E96BF5"/>
    <w:rsid w:val="00E96D1E"/>
    <w:rsid w:val="00E9741B"/>
    <w:rsid w:val="00E97427"/>
    <w:rsid w:val="00E97440"/>
    <w:rsid w:val="00E979E9"/>
    <w:rsid w:val="00E97A3A"/>
    <w:rsid w:val="00E97A61"/>
    <w:rsid w:val="00E97C19"/>
    <w:rsid w:val="00E97D7D"/>
    <w:rsid w:val="00EA002B"/>
    <w:rsid w:val="00EA015D"/>
    <w:rsid w:val="00EA01CE"/>
    <w:rsid w:val="00EA0218"/>
    <w:rsid w:val="00EA02CA"/>
    <w:rsid w:val="00EA031F"/>
    <w:rsid w:val="00EA058A"/>
    <w:rsid w:val="00EA0628"/>
    <w:rsid w:val="00EA096B"/>
    <w:rsid w:val="00EA09DD"/>
    <w:rsid w:val="00EA0C1A"/>
    <w:rsid w:val="00EA0C6D"/>
    <w:rsid w:val="00EA0CB0"/>
    <w:rsid w:val="00EA0E7C"/>
    <w:rsid w:val="00EA129D"/>
    <w:rsid w:val="00EA1807"/>
    <w:rsid w:val="00EA1920"/>
    <w:rsid w:val="00EA1BAF"/>
    <w:rsid w:val="00EA1C23"/>
    <w:rsid w:val="00EA1F2A"/>
    <w:rsid w:val="00EA1FEB"/>
    <w:rsid w:val="00EA224E"/>
    <w:rsid w:val="00EA233D"/>
    <w:rsid w:val="00EA23AC"/>
    <w:rsid w:val="00EA23EA"/>
    <w:rsid w:val="00EA24E8"/>
    <w:rsid w:val="00EA26BD"/>
    <w:rsid w:val="00EA28A9"/>
    <w:rsid w:val="00EA2D13"/>
    <w:rsid w:val="00EA2D4D"/>
    <w:rsid w:val="00EA2EB8"/>
    <w:rsid w:val="00EA2F87"/>
    <w:rsid w:val="00EA3021"/>
    <w:rsid w:val="00EA30DC"/>
    <w:rsid w:val="00EA31E3"/>
    <w:rsid w:val="00EA32FD"/>
    <w:rsid w:val="00EA348F"/>
    <w:rsid w:val="00EA3510"/>
    <w:rsid w:val="00EA398F"/>
    <w:rsid w:val="00EA3D20"/>
    <w:rsid w:val="00EA3F35"/>
    <w:rsid w:val="00EA3FD4"/>
    <w:rsid w:val="00EA424E"/>
    <w:rsid w:val="00EA42DF"/>
    <w:rsid w:val="00EA4349"/>
    <w:rsid w:val="00EA464F"/>
    <w:rsid w:val="00EA4972"/>
    <w:rsid w:val="00EA4A9D"/>
    <w:rsid w:val="00EA4CF5"/>
    <w:rsid w:val="00EA4E09"/>
    <w:rsid w:val="00EA4E61"/>
    <w:rsid w:val="00EA508E"/>
    <w:rsid w:val="00EA5414"/>
    <w:rsid w:val="00EA557A"/>
    <w:rsid w:val="00EA55DC"/>
    <w:rsid w:val="00EA56AA"/>
    <w:rsid w:val="00EA5734"/>
    <w:rsid w:val="00EA5D29"/>
    <w:rsid w:val="00EA5D36"/>
    <w:rsid w:val="00EA5E6B"/>
    <w:rsid w:val="00EA5F51"/>
    <w:rsid w:val="00EA63C6"/>
    <w:rsid w:val="00EA655B"/>
    <w:rsid w:val="00EA6621"/>
    <w:rsid w:val="00EA6888"/>
    <w:rsid w:val="00EA6D78"/>
    <w:rsid w:val="00EA6D88"/>
    <w:rsid w:val="00EA6DA8"/>
    <w:rsid w:val="00EA6EAB"/>
    <w:rsid w:val="00EA6F2E"/>
    <w:rsid w:val="00EA6FEA"/>
    <w:rsid w:val="00EA71C5"/>
    <w:rsid w:val="00EA72A1"/>
    <w:rsid w:val="00EA72E3"/>
    <w:rsid w:val="00EA72FC"/>
    <w:rsid w:val="00EA7328"/>
    <w:rsid w:val="00EA7332"/>
    <w:rsid w:val="00EA738B"/>
    <w:rsid w:val="00EA74B0"/>
    <w:rsid w:val="00EA74C3"/>
    <w:rsid w:val="00EA750D"/>
    <w:rsid w:val="00EA78DD"/>
    <w:rsid w:val="00EA7AF2"/>
    <w:rsid w:val="00EA7B37"/>
    <w:rsid w:val="00EA7B78"/>
    <w:rsid w:val="00EA7BDE"/>
    <w:rsid w:val="00EA7C3D"/>
    <w:rsid w:val="00EA7D44"/>
    <w:rsid w:val="00EB022E"/>
    <w:rsid w:val="00EB0246"/>
    <w:rsid w:val="00EB077F"/>
    <w:rsid w:val="00EB0C0D"/>
    <w:rsid w:val="00EB0D0E"/>
    <w:rsid w:val="00EB0D52"/>
    <w:rsid w:val="00EB10C2"/>
    <w:rsid w:val="00EB11DA"/>
    <w:rsid w:val="00EB123E"/>
    <w:rsid w:val="00EB12FF"/>
    <w:rsid w:val="00EB132D"/>
    <w:rsid w:val="00EB1605"/>
    <w:rsid w:val="00EB1672"/>
    <w:rsid w:val="00EB16CF"/>
    <w:rsid w:val="00EB1717"/>
    <w:rsid w:val="00EB1961"/>
    <w:rsid w:val="00EB198B"/>
    <w:rsid w:val="00EB19B2"/>
    <w:rsid w:val="00EB1DCA"/>
    <w:rsid w:val="00EB1F75"/>
    <w:rsid w:val="00EB22B7"/>
    <w:rsid w:val="00EB234C"/>
    <w:rsid w:val="00EB24C5"/>
    <w:rsid w:val="00EB2662"/>
    <w:rsid w:val="00EB2663"/>
    <w:rsid w:val="00EB26ED"/>
    <w:rsid w:val="00EB26EF"/>
    <w:rsid w:val="00EB2887"/>
    <w:rsid w:val="00EB29EE"/>
    <w:rsid w:val="00EB2A19"/>
    <w:rsid w:val="00EB2AD3"/>
    <w:rsid w:val="00EB2CF7"/>
    <w:rsid w:val="00EB304B"/>
    <w:rsid w:val="00EB31E1"/>
    <w:rsid w:val="00EB320B"/>
    <w:rsid w:val="00EB3514"/>
    <w:rsid w:val="00EB3618"/>
    <w:rsid w:val="00EB3A17"/>
    <w:rsid w:val="00EB3B73"/>
    <w:rsid w:val="00EB3B95"/>
    <w:rsid w:val="00EB3BFC"/>
    <w:rsid w:val="00EB3E71"/>
    <w:rsid w:val="00EB3F45"/>
    <w:rsid w:val="00EB3F97"/>
    <w:rsid w:val="00EB4083"/>
    <w:rsid w:val="00EB42A7"/>
    <w:rsid w:val="00EB4347"/>
    <w:rsid w:val="00EB47D2"/>
    <w:rsid w:val="00EB4B0B"/>
    <w:rsid w:val="00EB4CAA"/>
    <w:rsid w:val="00EB4D99"/>
    <w:rsid w:val="00EB4E70"/>
    <w:rsid w:val="00EB5546"/>
    <w:rsid w:val="00EB55A0"/>
    <w:rsid w:val="00EB563C"/>
    <w:rsid w:val="00EB56AE"/>
    <w:rsid w:val="00EB5768"/>
    <w:rsid w:val="00EB5852"/>
    <w:rsid w:val="00EB5871"/>
    <w:rsid w:val="00EB58B9"/>
    <w:rsid w:val="00EB5E75"/>
    <w:rsid w:val="00EB5F75"/>
    <w:rsid w:val="00EB5FAD"/>
    <w:rsid w:val="00EB6118"/>
    <w:rsid w:val="00EB61D9"/>
    <w:rsid w:val="00EB6350"/>
    <w:rsid w:val="00EB6388"/>
    <w:rsid w:val="00EB638D"/>
    <w:rsid w:val="00EB64FC"/>
    <w:rsid w:val="00EB6533"/>
    <w:rsid w:val="00EB6553"/>
    <w:rsid w:val="00EB6766"/>
    <w:rsid w:val="00EB6878"/>
    <w:rsid w:val="00EB6E4D"/>
    <w:rsid w:val="00EB6E68"/>
    <w:rsid w:val="00EB6FA9"/>
    <w:rsid w:val="00EB70CC"/>
    <w:rsid w:val="00EB7323"/>
    <w:rsid w:val="00EB74CF"/>
    <w:rsid w:val="00EB7501"/>
    <w:rsid w:val="00EB7693"/>
    <w:rsid w:val="00EB778E"/>
    <w:rsid w:val="00EB78C5"/>
    <w:rsid w:val="00EB7B14"/>
    <w:rsid w:val="00EB7E8E"/>
    <w:rsid w:val="00EC0408"/>
    <w:rsid w:val="00EC04B4"/>
    <w:rsid w:val="00EC0556"/>
    <w:rsid w:val="00EC0615"/>
    <w:rsid w:val="00EC06F4"/>
    <w:rsid w:val="00EC0803"/>
    <w:rsid w:val="00EC0806"/>
    <w:rsid w:val="00EC0A87"/>
    <w:rsid w:val="00EC0B04"/>
    <w:rsid w:val="00EC0CBB"/>
    <w:rsid w:val="00EC11DD"/>
    <w:rsid w:val="00EC13D6"/>
    <w:rsid w:val="00EC14D5"/>
    <w:rsid w:val="00EC1568"/>
    <w:rsid w:val="00EC181F"/>
    <w:rsid w:val="00EC19DE"/>
    <w:rsid w:val="00EC1A6C"/>
    <w:rsid w:val="00EC1ADA"/>
    <w:rsid w:val="00EC1B92"/>
    <w:rsid w:val="00EC1D35"/>
    <w:rsid w:val="00EC1E0A"/>
    <w:rsid w:val="00EC1E0E"/>
    <w:rsid w:val="00EC1E20"/>
    <w:rsid w:val="00EC1FC1"/>
    <w:rsid w:val="00EC217E"/>
    <w:rsid w:val="00EC21B6"/>
    <w:rsid w:val="00EC2207"/>
    <w:rsid w:val="00EC236D"/>
    <w:rsid w:val="00EC25B3"/>
    <w:rsid w:val="00EC2876"/>
    <w:rsid w:val="00EC289A"/>
    <w:rsid w:val="00EC291B"/>
    <w:rsid w:val="00EC2BAB"/>
    <w:rsid w:val="00EC2DD7"/>
    <w:rsid w:val="00EC2FC9"/>
    <w:rsid w:val="00EC306D"/>
    <w:rsid w:val="00EC3206"/>
    <w:rsid w:val="00EC323C"/>
    <w:rsid w:val="00EC331B"/>
    <w:rsid w:val="00EC33E0"/>
    <w:rsid w:val="00EC388E"/>
    <w:rsid w:val="00EC3C60"/>
    <w:rsid w:val="00EC3E53"/>
    <w:rsid w:val="00EC40CC"/>
    <w:rsid w:val="00EC4A16"/>
    <w:rsid w:val="00EC4BE2"/>
    <w:rsid w:val="00EC4F42"/>
    <w:rsid w:val="00EC504B"/>
    <w:rsid w:val="00EC51D6"/>
    <w:rsid w:val="00EC51DB"/>
    <w:rsid w:val="00EC528A"/>
    <w:rsid w:val="00EC52AF"/>
    <w:rsid w:val="00EC5592"/>
    <w:rsid w:val="00EC57FD"/>
    <w:rsid w:val="00EC5974"/>
    <w:rsid w:val="00EC59E9"/>
    <w:rsid w:val="00EC5A22"/>
    <w:rsid w:val="00EC5BB1"/>
    <w:rsid w:val="00EC5BFA"/>
    <w:rsid w:val="00EC5C03"/>
    <w:rsid w:val="00EC61E8"/>
    <w:rsid w:val="00EC62B0"/>
    <w:rsid w:val="00EC6316"/>
    <w:rsid w:val="00EC682F"/>
    <w:rsid w:val="00EC6B16"/>
    <w:rsid w:val="00EC6BB2"/>
    <w:rsid w:val="00EC6BF0"/>
    <w:rsid w:val="00EC7668"/>
    <w:rsid w:val="00EC77B3"/>
    <w:rsid w:val="00EC7B02"/>
    <w:rsid w:val="00EC7DA9"/>
    <w:rsid w:val="00EC7E63"/>
    <w:rsid w:val="00EC7F7A"/>
    <w:rsid w:val="00ED0342"/>
    <w:rsid w:val="00ED04CC"/>
    <w:rsid w:val="00ED07F3"/>
    <w:rsid w:val="00ED08FA"/>
    <w:rsid w:val="00ED0915"/>
    <w:rsid w:val="00ED0A1B"/>
    <w:rsid w:val="00ED0A80"/>
    <w:rsid w:val="00ED0B43"/>
    <w:rsid w:val="00ED0C47"/>
    <w:rsid w:val="00ED0D93"/>
    <w:rsid w:val="00ED0EED"/>
    <w:rsid w:val="00ED12A0"/>
    <w:rsid w:val="00ED1307"/>
    <w:rsid w:val="00ED1490"/>
    <w:rsid w:val="00ED14A0"/>
    <w:rsid w:val="00ED1602"/>
    <w:rsid w:val="00ED1746"/>
    <w:rsid w:val="00ED180B"/>
    <w:rsid w:val="00ED1A6A"/>
    <w:rsid w:val="00ED1EB0"/>
    <w:rsid w:val="00ED2271"/>
    <w:rsid w:val="00ED22F3"/>
    <w:rsid w:val="00ED236D"/>
    <w:rsid w:val="00ED23A5"/>
    <w:rsid w:val="00ED2436"/>
    <w:rsid w:val="00ED2544"/>
    <w:rsid w:val="00ED260C"/>
    <w:rsid w:val="00ED2666"/>
    <w:rsid w:val="00ED2904"/>
    <w:rsid w:val="00ED294E"/>
    <w:rsid w:val="00ED2F03"/>
    <w:rsid w:val="00ED3128"/>
    <w:rsid w:val="00ED312A"/>
    <w:rsid w:val="00ED3431"/>
    <w:rsid w:val="00ED3435"/>
    <w:rsid w:val="00ED358E"/>
    <w:rsid w:val="00ED3694"/>
    <w:rsid w:val="00ED3818"/>
    <w:rsid w:val="00ED3A4E"/>
    <w:rsid w:val="00ED3B72"/>
    <w:rsid w:val="00ED3D0F"/>
    <w:rsid w:val="00ED3D8E"/>
    <w:rsid w:val="00ED3DC2"/>
    <w:rsid w:val="00ED3E27"/>
    <w:rsid w:val="00ED3FB5"/>
    <w:rsid w:val="00ED40C5"/>
    <w:rsid w:val="00ED421C"/>
    <w:rsid w:val="00ED46EB"/>
    <w:rsid w:val="00ED49F6"/>
    <w:rsid w:val="00ED4A47"/>
    <w:rsid w:val="00ED4B28"/>
    <w:rsid w:val="00ED4C37"/>
    <w:rsid w:val="00ED4CAF"/>
    <w:rsid w:val="00ED4CBB"/>
    <w:rsid w:val="00ED4DDF"/>
    <w:rsid w:val="00ED4FF5"/>
    <w:rsid w:val="00ED5197"/>
    <w:rsid w:val="00ED51BD"/>
    <w:rsid w:val="00ED55E0"/>
    <w:rsid w:val="00ED5742"/>
    <w:rsid w:val="00ED585D"/>
    <w:rsid w:val="00ED5965"/>
    <w:rsid w:val="00ED5A20"/>
    <w:rsid w:val="00ED5CCA"/>
    <w:rsid w:val="00ED5D39"/>
    <w:rsid w:val="00ED5E90"/>
    <w:rsid w:val="00ED5F88"/>
    <w:rsid w:val="00ED5FF6"/>
    <w:rsid w:val="00ED6387"/>
    <w:rsid w:val="00ED63C7"/>
    <w:rsid w:val="00ED65F6"/>
    <w:rsid w:val="00ED680C"/>
    <w:rsid w:val="00ED6A71"/>
    <w:rsid w:val="00ED6B44"/>
    <w:rsid w:val="00ED6E08"/>
    <w:rsid w:val="00ED6E4D"/>
    <w:rsid w:val="00ED713B"/>
    <w:rsid w:val="00ED73DB"/>
    <w:rsid w:val="00ED75E9"/>
    <w:rsid w:val="00ED76B3"/>
    <w:rsid w:val="00ED779E"/>
    <w:rsid w:val="00ED7AAE"/>
    <w:rsid w:val="00ED7B30"/>
    <w:rsid w:val="00ED7BAF"/>
    <w:rsid w:val="00ED7D65"/>
    <w:rsid w:val="00ED7E47"/>
    <w:rsid w:val="00ED7EF9"/>
    <w:rsid w:val="00EE0332"/>
    <w:rsid w:val="00EE0346"/>
    <w:rsid w:val="00EE0551"/>
    <w:rsid w:val="00EE055A"/>
    <w:rsid w:val="00EE0CCA"/>
    <w:rsid w:val="00EE0E24"/>
    <w:rsid w:val="00EE0E9D"/>
    <w:rsid w:val="00EE1059"/>
    <w:rsid w:val="00EE109D"/>
    <w:rsid w:val="00EE1118"/>
    <w:rsid w:val="00EE11F0"/>
    <w:rsid w:val="00EE12D3"/>
    <w:rsid w:val="00EE1447"/>
    <w:rsid w:val="00EE14BF"/>
    <w:rsid w:val="00EE187A"/>
    <w:rsid w:val="00EE18DF"/>
    <w:rsid w:val="00EE1BF1"/>
    <w:rsid w:val="00EE1BF2"/>
    <w:rsid w:val="00EE1C0D"/>
    <w:rsid w:val="00EE1E2F"/>
    <w:rsid w:val="00EE1E47"/>
    <w:rsid w:val="00EE1E51"/>
    <w:rsid w:val="00EE1E90"/>
    <w:rsid w:val="00EE2011"/>
    <w:rsid w:val="00EE20DE"/>
    <w:rsid w:val="00EE25C0"/>
    <w:rsid w:val="00EE2641"/>
    <w:rsid w:val="00EE283B"/>
    <w:rsid w:val="00EE2B7E"/>
    <w:rsid w:val="00EE2C29"/>
    <w:rsid w:val="00EE2CE8"/>
    <w:rsid w:val="00EE2E89"/>
    <w:rsid w:val="00EE2E99"/>
    <w:rsid w:val="00EE2F2D"/>
    <w:rsid w:val="00EE2F79"/>
    <w:rsid w:val="00EE31B1"/>
    <w:rsid w:val="00EE355F"/>
    <w:rsid w:val="00EE39E3"/>
    <w:rsid w:val="00EE4111"/>
    <w:rsid w:val="00EE4162"/>
    <w:rsid w:val="00EE420C"/>
    <w:rsid w:val="00EE4221"/>
    <w:rsid w:val="00EE4244"/>
    <w:rsid w:val="00EE46B5"/>
    <w:rsid w:val="00EE46F5"/>
    <w:rsid w:val="00EE4864"/>
    <w:rsid w:val="00EE4A4B"/>
    <w:rsid w:val="00EE4E17"/>
    <w:rsid w:val="00EE4E54"/>
    <w:rsid w:val="00EE4E94"/>
    <w:rsid w:val="00EE4EEB"/>
    <w:rsid w:val="00EE4F0F"/>
    <w:rsid w:val="00EE522E"/>
    <w:rsid w:val="00EE533B"/>
    <w:rsid w:val="00EE5341"/>
    <w:rsid w:val="00EE53C5"/>
    <w:rsid w:val="00EE5405"/>
    <w:rsid w:val="00EE5630"/>
    <w:rsid w:val="00EE59EB"/>
    <w:rsid w:val="00EE5A04"/>
    <w:rsid w:val="00EE5A9D"/>
    <w:rsid w:val="00EE5B38"/>
    <w:rsid w:val="00EE5CC8"/>
    <w:rsid w:val="00EE5D42"/>
    <w:rsid w:val="00EE5DEB"/>
    <w:rsid w:val="00EE5F50"/>
    <w:rsid w:val="00EE5F9F"/>
    <w:rsid w:val="00EE6100"/>
    <w:rsid w:val="00EE615C"/>
    <w:rsid w:val="00EE61D9"/>
    <w:rsid w:val="00EE62F6"/>
    <w:rsid w:val="00EE6334"/>
    <w:rsid w:val="00EE6742"/>
    <w:rsid w:val="00EE68F2"/>
    <w:rsid w:val="00EE6A16"/>
    <w:rsid w:val="00EE6BF9"/>
    <w:rsid w:val="00EE6C4F"/>
    <w:rsid w:val="00EE70D4"/>
    <w:rsid w:val="00EE7317"/>
    <w:rsid w:val="00EE738A"/>
    <w:rsid w:val="00EE740D"/>
    <w:rsid w:val="00EE74B8"/>
    <w:rsid w:val="00EE754C"/>
    <w:rsid w:val="00EE7744"/>
    <w:rsid w:val="00EE782D"/>
    <w:rsid w:val="00EE786D"/>
    <w:rsid w:val="00EE7A46"/>
    <w:rsid w:val="00EE7C9B"/>
    <w:rsid w:val="00EE7D06"/>
    <w:rsid w:val="00EE7FE6"/>
    <w:rsid w:val="00EF001E"/>
    <w:rsid w:val="00EF01D4"/>
    <w:rsid w:val="00EF03E1"/>
    <w:rsid w:val="00EF047C"/>
    <w:rsid w:val="00EF0552"/>
    <w:rsid w:val="00EF07F4"/>
    <w:rsid w:val="00EF0823"/>
    <w:rsid w:val="00EF0856"/>
    <w:rsid w:val="00EF093A"/>
    <w:rsid w:val="00EF0A1A"/>
    <w:rsid w:val="00EF0A7A"/>
    <w:rsid w:val="00EF0EEE"/>
    <w:rsid w:val="00EF111B"/>
    <w:rsid w:val="00EF116F"/>
    <w:rsid w:val="00EF145E"/>
    <w:rsid w:val="00EF162B"/>
    <w:rsid w:val="00EF1667"/>
    <w:rsid w:val="00EF1768"/>
    <w:rsid w:val="00EF177A"/>
    <w:rsid w:val="00EF17FE"/>
    <w:rsid w:val="00EF1DCD"/>
    <w:rsid w:val="00EF1DDC"/>
    <w:rsid w:val="00EF2132"/>
    <w:rsid w:val="00EF22E3"/>
    <w:rsid w:val="00EF237A"/>
    <w:rsid w:val="00EF24C1"/>
    <w:rsid w:val="00EF26FB"/>
    <w:rsid w:val="00EF2B06"/>
    <w:rsid w:val="00EF2B80"/>
    <w:rsid w:val="00EF2BBB"/>
    <w:rsid w:val="00EF2BDB"/>
    <w:rsid w:val="00EF2CBD"/>
    <w:rsid w:val="00EF2EDF"/>
    <w:rsid w:val="00EF2F84"/>
    <w:rsid w:val="00EF2FBC"/>
    <w:rsid w:val="00EF30A4"/>
    <w:rsid w:val="00EF3140"/>
    <w:rsid w:val="00EF338A"/>
    <w:rsid w:val="00EF356C"/>
    <w:rsid w:val="00EF3583"/>
    <w:rsid w:val="00EF3896"/>
    <w:rsid w:val="00EF3AB6"/>
    <w:rsid w:val="00EF3AF7"/>
    <w:rsid w:val="00EF3B00"/>
    <w:rsid w:val="00EF3CEA"/>
    <w:rsid w:val="00EF3F6E"/>
    <w:rsid w:val="00EF434F"/>
    <w:rsid w:val="00EF43A4"/>
    <w:rsid w:val="00EF43BA"/>
    <w:rsid w:val="00EF43C6"/>
    <w:rsid w:val="00EF4493"/>
    <w:rsid w:val="00EF4855"/>
    <w:rsid w:val="00EF4936"/>
    <w:rsid w:val="00EF4970"/>
    <w:rsid w:val="00EF4C9A"/>
    <w:rsid w:val="00EF4CBB"/>
    <w:rsid w:val="00EF4FA7"/>
    <w:rsid w:val="00EF50D8"/>
    <w:rsid w:val="00EF52B5"/>
    <w:rsid w:val="00EF5603"/>
    <w:rsid w:val="00EF562C"/>
    <w:rsid w:val="00EF5A18"/>
    <w:rsid w:val="00EF5BA8"/>
    <w:rsid w:val="00EF5E7D"/>
    <w:rsid w:val="00EF5F2A"/>
    <w:rsid w:val="00EF5FE3"/>
    <w:rsid w:val="00EF6287"/>
    <w:rsid w:val="00EF642C"/>
    <w:rsid w:val="00EF6565"/>
    <w:rsid w:val="00EF686F"/>
    <w:rsid w:val="00EF6C5C"/>
    <w:rsid w:val="00EF6D15"/>
    <w:rsid w:val="00EF6D7A"/>
    <w:rsid w:val="00EF6E7F"/>
    <w:rsid w:val="00EF6FD0"/>
    <w:rsid w:val="00EF7194"/>
    <w:rsid w:val="00EF72A0"/>
    <w:rsid w:val="00EF7335"/>
    <w:rsid w:val="00EF74DA"/>
    <w:rsid w:val="00EF7517"/>
    <w:rsid w:val="00EF78B2"/>
    <w:rsid w:val="00EF7D97"/>
    <w:rsid w:val="00EF7DE8"/>
    <w:rsid w:val="00EF7F2D"/>
    <w:rsid w:val="00F003D7"/>
    <w:rsid w:val="00F0042A"/>
    <w:rsid w:val="00F00515"/>
    <w:rsid w:val="00F0082D"/>
    <w:rsid w:val="00F00878"/>
    <w:rsid w:val="00F00C8E"/>
    <w:rsid w:val="00F00CB0"/>
    <w:rsid w:val="00F00D14"/>
    <w:rsid w:val="00F00E0E"/>
    <w:rsid w:val="00F00FD3"/>
    <w:rsid w:val="00F0128B"/>
    <w:rsid w:val="00F013C5"/>
    <w:rsid w:val="00F015AB"/>
    <w:rsid w:val="00F0166D"/>
    <w:rsid w:val="00F017CC"/>
    <w:rsid w:val="00F01903"/>
    <w:rsid w:val="00F0190F"/>
    <w:rsid w:val="00F019FD"/>
    <w:rsid w:val="00F01A02"/>
    <w:rsid w:val="00F01AA4"/>
    <w:rsid w:val="00F01B5D"/>
    <w:rsid w:val="00F01B91"/>
    <w:rsid w:val="00F01BA2"/>
    <w:rsid w:val="00F01C30"/>
    <w:rsid w:val="00F01D77"/>
    <w:rsid w:val="00F01DD8"/>
    <w:rsid w:val="00F01E37"/>
    <w:rsid w:val="00F01E39"/>
    <w:rsid w:val="00F02004"/>
    <w:rsid w:val="00F02146"/>
    <w:rsid w:val="00F02163"/>
    <w:rsid w:val="00F021E0"/>
    <w:rsid w:val="00F023D5"/>
    <w:rsid w:val="00F0249D"/>
    <w:rsid w:val="00F024C3"/>
    <w:rsid w:val="00F02501"/>
    <w:rsid w:val="00F02562"/>
    <w:rsid w:val="00F0277F"/>
    <w:rsid w:val="00F0283D"/>
    <w:rsid w:val="00F0293B"/>
    <w:rsid w:val="00F0295F"/>
    <w:rsid w:val="00F02ACE"/>
    <w:rsid w:val="00F02C16"/>
    <w:rsid w:val="00F02DF1"/>
    <w:rsid w:val="00F02F94"/>
    <w:rsid w:val="00F03387"/>
    <w:rsid w:val="00F034BE"/>
    <w:rsid w:val="00F035B5"/>
    <w:rsid w:val="00F0360D"/>
    <w:rsid w:val="00F03674"/>
    <w:rsid w:val="00F0390C"/>
    <w:rsid w:val="00F03939"/>
    <w:rsid w:val="00F03B09"/>
    <w:rsid w:val="00F03BE4"/>
    <w:rsid w:val="00F03BEB"/>
    <w:rsid w:val="00F03C70"/>
    <w:rsid w:val="00F03E58"/>
    <w:rsid w:val="00F03F7D"/>
    <w:rsid w:val="00F0439B"/>
    <w:rsid w:val="00F043CB"/>
    <w:rsid w:val="00F045E0"/>
    <w:rsid w:val="00F04705"/>
    <w:rsid w:val="00F0485D"/>
    <w:rsid w:val="00F0485F"/>
    <w:rsid w:val="00F04C3F"/>
    <w:rsid w:val="00F04F7B"/>
    <w:rsid w:val="00F05242"/>
    <w:rsid w:val="00F05393"/>
    <w:rsid w:val="00F053C5"/>
    <w:rsid w:val="00F0546D"/>
    <w:rsid w:val="00F0566F"/>
    <w:rsid w:val="00F05888"/>
    <w:rsid w:val="00F05D35"/>
    <w:rsid w:val="00F05DCE"/>
    <w:rsid w:val="00F05DFC"/>
    <w:rsid w:val="00F05E29"/>
    <w:rsid w:val="00F05E5A"/>
    <w:rsid w:val="00F0634E"/>
    <w:rsid w:val="00F067F2"/>
    <w:rsid w:val="00F06911"/>
    <w:rsid w:val="00F06A30"/>
    <w:rsid w:val="00F06CC1"/>
    <w:rsid w:val="00F072DF"/>
    <w:rsid w:val="00F073BE"/>
    <w:rsid w:val="00F077A0"/>
    <w:rsid w:val="00F0780A"/>
    <w:rsid w:val="00F079D0"/>
    <w:rsid w:val="00F07A45"/>
    <w:rsid w:val="00F07B28"/>
    <w:rsid w:val="00F07C90"/>
    <w:rsid w:val="00F07E7C"/>
    <w:rsid w:val="00F07F87"/>
    <w:rsid w:val="00F1009A"/>
    <w:rsid w:val="00F1027D"/>
    <w:rsid w:val="00F1044C"/>
    <w:rsid w:val="00F104F6"/>
    <w:rsid w:val="00F108E6"/>
    <w:rsid w:val="00F1095F"/>
    <w:rsid w:val="00F10B89"/>
    <w:rsid w:val="00F10BC5"/>
    <w:rsid w:val="00F10BF9"/>
    <w:rsid w:val="00F10D74"/>
    <w:rsid w:val="00F10E87"/>
    <w:rsid w:val="00F11404"/>
    <w:rsid w:val="00F1142F"/>
    <w:rsid w:val="00F11582"/>
    <w:rsid w:val="00F11922"/>
    <w:rsid w:val="00F11967"/>
    <w:rsid w:val="00F11992"/>
    <w:rsid w:val="00F11B01"/>
    <w:rsid w:val="00F11E35"/>
    <w:rsid w:val="00F12277"/>
    <w:rsid w:val="00F127E5"/>
    <w:rsid w:val="00F12837"/>
    <w:rsid w:val="00F12872"/>
    <w:rsid w:val="00F13201"/>
    <w:rsid w:val="00F13362"/>
    <w:rsid w:val="00F133FF"/>
    <w:rsid w:val="00F135EE"/>
    <w:rsid w:val="00F13682"/>
    <w:rsid w:val="00F139F1"/>
    <w:rsid w:val="00F13A30"/>
    <w:rsid w:val="00F13AF2"/>
    <w:rsid w:val="00F13C25"/>
    <w:rsid w:val="00F13D76"/>
    <w:rsid w:val="00F13DF4"/>
    <w:rsid w:val="00F13E1B"/>
    <w:rsid w:val="00F13E3D"/>
    <w:rsid w:val="00F141B5"/>
    <w:rsid w:val="00F14409"/>
    <w:rsid w:val="00F145C5"/>
    <w:rsid w:val="00F1461C"/>
    <w:rsid w:val="00F14640"/>
    <w:rsid w:val="00F146E5"/>
    <w:rsid w:val="00F148EF"/>
    <w:rsid w:val="00F14FF5"/>
    <w:rsid w:val="00F15139"/>
    <w:rsid w:val="00F1515C"/>
    <w:rsid w:val="00F151A9"/>
    <w:rsid w:val="00F1540D"/>
    <w:rsid w:val="00F1543D"/>
    <w:rsid w:val="00F15557"/>
    <w:rsid w:val="00F15640"/>
    <w:rsid w:val="00F158AC"/>
    <w:rsid w:val="00F15C62"/>
    <w:rsid w:val="00F15EFA"/>
    <w:rsid w:val="00F15FCF"/>
    <w:rsid w:val="00F1611D"/>
    <w:rsid w:val="00F162AD"/>
    <w:rsid w:val="00F16337"/>
    <w:rsid w:val="00F16486"/>
    <w:rsid w:val="00F1656E"/>
    <w:rsid w:val="00F16666"/>
    <w:rsid w:val="00F166A7"/>
    <w:rsid w:val="00F1673B"/>
    <w:rsid w:val="00F16776"/>
    <w:rsid w:val="00F16919"/>
    <w:rsid w:val="00F16D10"/>
    <w:rsid w:val="00F17252"/>
    <w:rsid w:val="00F1728E"/>
    <w:rsid w:val="00F178E3"/>
    <w:rsid w:val="00F17AD4"/>
    <w:rsid w:val="00F17ECC"/>
    <w:rsid w:val="00F20111"/>
    <w:rsid w:val="00F20135"/>
    <w:rsid w:val="00F2029B"/>
    <w:rsid w:val="00F20488"/>
    <w:rsid w:val="00F204C9"/>
    <w:rsid w:val="00F2050B"/>
    <w:rsid w:val="00F2050F"/>
    <w:rsid w:val="00F2058F"/>
    <w:rsid w:val="00F209F9"/>
    <w:rsid w:val="00F20CA7"/>
    <w:rsid w:val="00F20D56"/>
    <w:rsid w:val="00F20EDE"/>
    <w:rsid w:val="00F20F8A"/>
    <w:rsid w:val="00F2126C"/>
    <w:rsid w:val="00F21393"/>
    <w:rsid w:val="00F21559"/>
    <w:rsid w:val="00F21743"/>
    <w:rsid w:val="00F21863"/>
    <w:rsid w:val="00F218F5"/>
    <w:rsid w:val="00F21AB1"/>
    <w:rsid w:val="00F21ACA"/>
    <w:rsid w:val="00F21CA2"/>
    <w:rsid w:val="00F21DBC"/>
    <w:rsid w:val="00F21DBD"/>
    <w:rsid w:val="00F21E54"/>
    <w:rsid w:val="00F21EE8"/>
    <w:rsid w:val="00F21F66"/>
    <w:rsid w:val="00F2204A"/>
    <w:rsid w:val="00F2265D"/>
    <w:rsid w:val="00F227F1"/>
    <w:rsid w:val="00F22881"/>
    <w:rsid w:val="00F229A3"/>
    <w:rsid w:val="00F22B36"/>
    <w:rsid w:val="00F22B37"/>
    <w:rsid w:val="00F22B63"/>
    <w:rsid w:val="00F22C53"/>
    <w:rsid w:val="00F22DF1"/>
    <w:rsid w:val="00F22F0A"/>
    <w:rsid w:val="00F22F7E"/>
    <w:rsid w:val="00F22F85"/>
    <w:rsid w:val="00F23059"/>
    <w:rsid w:val="00F231A2"/>
    <w:rsid w:val="00F233CE"/>
    <w:rsid w:val="00F2386E"/>
    <w:rsid w:val="00F23948"/>
    <w:rsid w:val="00F239BC"/>
    <w:rsid w:val="00F23A73"/>
    <w:rsid w:val="00F23DE9"/>
    <w:rsid w:val="00F2417E"/>
    <w:rsid w:val="00F24577"/>
    <w:rsid w:val="00F24689"/>
    <w:rsid w:val="00F247D2"/>
    <w:rsid w:val="00F24B1F"/>
    <w:rsid w:val="00F24BEB"/>
    <w:rsid w:val="00F24DAA"/>
    <w:rsid w:val="00F24E3C"/>
    <w:rsid w:val="00F24FF4"/>
    <w:rsid w:val="00F25079"/>
    <w:rsid w:val="00F25141"/>
    <w:rsid w:val="00F251DE"/>
    <w:rsid w:val="00F251DF"/>
    <w:rsid w:val="00F253E1"/>
    <w:rsid w:val="00F2588F"/>
    <w:rsid w:val="00F2599F"/>
    <w:rsid w:val="00F25C13"/>
    <w:rsid w:val="00F261FB"/>
    <w:rsid w:val="00F2640A"/>
    <w:rsid w:val="00F266C5"/>
    <w:rsid w:val="00F2697F"/>
    <w:rsid w:val="00F269FA"/>
    <w:rsid w:val="00F26AAA"/>
    <w:rsid w:val="00F26B1E"/>
    <w:rsid w:val="00F26B31"/>
    <w:rsid w:val="00F26CD4"/>
    <w:rsid w:val="00F26D52"/>
    <w:rsid w:val="00F26F08"/>
    <w:rsid w:val="00F272FE"/>
    <w:rsid w:val="00F27301"/>
    <w:rsid w:val="00F273B6"/>
    <w:rsid w:val="00F27588"/>
    <w:rsid w:val="00F27786"/>
    <w:rsid w:val="00F279A6"/>
    <w:rsid w:val="00F27A2C"/>
    <w:rsid w:val="00F3021B"/>
    <w:rsid w:val="00F30432"/>
    <w:rsid w:val="00F304A4"/>
    <w:rsid w:val="00F306D3"/>
    <w:rsid w:val="00F3075F"/>
    <w:rsid w:val="00F3076A"/>
    <w:rsid w:val="00F307B7"/>
    <w:rsid w:val="00F308CA"/>
    <w:rsid w:val="00F309B1"/>
    <w:rsid w:val="00F30AE2"/>
    <w:rsid w:val="00F30B3A"/>
    <w:rsid w:val="00F30D60"/>
    <w:rsid w:val="00F30F2A"/>
    <w:rsid w:val="00F30FF3"/>
    <w:rsid w:val="00F31061"/>
    <w:rsid w:val="00F3144D"/>
    <w:rsid w:val="00F31508"/>
    <w:rsid w:val="00F31509"/>
    <w:rsid w:val="00F31653"/>
    <w:rsid w:val="00F31A70"/>
    <w:rsid w:val="00F31C75"/>
    <w:rsid w:val="00F31CB2"/>
    <w:rsid w:val="00F31F95"/>
    <w:rsid w:val="00F3210F"/>
    <w:rsid w:val="00F32143"/>
    <w:rsid w:val="00F322D6"/>
    <w:rsid w:val="00F32339"/>
    <w:rsid w:val="00F32365"/>
    <w:rsid w:val="00F32369"/>
    <w:rsid w:val="00F32796"/>
    <w:rsid w:val="00F32861"/>
    <w:rsid w:val="00F32959"/>
    <w:rsid w:val="00F329E6"/>
    <w:rsid w:val="00F32BA0"/>
    <w:rsid w:val="00F32EDD"/>
    <w:rsid w:val="00F330EF"/>
    <w:rsid w:val="00F330FE"/>
    <w:rsid w:val="00F33260"/>
    <w:rsid w:val="00F33282"/>
    <w:rsid w:val="00F33287"/>
    <w:rsid w:val="00F33321"/>
    <w:rsid w:val="00F33424"/>
    <w:rsid w:val="00F3348F"/>
    <w:rsid w:val="00F334E7"/>
    <w:rsid w:val="00F338C5"/>
    <w:rsid w:val="00F338CE"/>
    <w:rsid w:val="00F33B52"/>
    <w:rsid w:val="00F33DB8"/>
    <w:rsid w:val="00F34289"/>
    <w:rsid w:val="00F343A5"/>
    <w:rsid w:val="00F34488"/>
    <w:rsid w:val="00F344D9"/>
    <w:rsid w:val="00F3490E"/>
    <w:rsid w:val="00F34929"/>
    <w:rsid w:val="00F349CA"/>
    <w:rsid w:val="00F34A84"/>
    <w:rsid w:val="00F34EF6"/>
    <w:rsid w:val="00F350C9"/>
    <w:rsid w:val="00F351AE"/>
    <w:rsid w:val="00F3555B"/>
    <w:rsid w:val="00F35A58"/>
    <w:rsid w:val="00F35AC0"/>
    <w:rsid w:val="00F35B23"/>
    <w:rsid w:val="00F35CFC"/>
    <w:rsid w:val="00F3601C"/>
    <w:rsid w:val="00F3602B"/>
    <w:rsid w:val="00F36033"/>
    <w:rsid w:val="00F36639"/>
    <w:rsid w:val="00F3687F"/>
    <w:rsid w:val="00F368A8"/>
    <w:rsid w:val="00F36B09"/>
    <w:rsid w:val="00F36C09"/>
    <w:rsid w:val="00F36C61"/>
    <w:rsid w:val="00F36CF0"/>
    <w:rsid w:val="00F36D1B"/>
    <w:rsid w:val="00F36FB6"/>
    <w:rsid w:val="00F371FC"/>
    <w:rsid w:val="00F372BD"/>
    <w:rsid w:val="00F37A0F"/>
    <w:rsid w:val="00F37A6A"/>
    <w:rsid w:val="00F37B15"/>
    <w:rsid w:val="00F37C97"/>
    <w:rsid w:val="00F37D97"/>
    <w:rsid w:val="00F4008E"/>
    <w:rsid w:val="00F4013C"/>
    <w:rsid w:val="00F404BB"/>
    <w:rsid w:val="00F40A39"/>
    <w:rsid w:val="00F412AB"/>
    <w:rsid w:val="00F41A6E"/>
    <w:rsid w:val="00F41BF9"/>
    <w:rsid w:val="00F41F6B"/>
    <w:rsid w:val="00F42001"/>
    <w:rsid w:val="00F420C2"/>
    <w:rsid w:val="00F421F7"/>
    <w:rsid w:val="00F42340"/>
    <w:rsid w:val="00F4248A"/>
    <w:rsid w:val="00F42642"/>
    <w:rsid w:val="00F42744"/>
    <w:rsid w:val="00F428B9"/>
    <w:rsid w:val="00F428EA"/>
    <w:rsid w:val="00F42E8E"/>
    <w:rsid w:val="00F42EB7"/>
    <w:rsid w:val="00F4310C"/>
    <w:rsid w:val="00F43157"/>
    <w:rsid w:val="00F43236"/>
    <w:rsid w:val="00F433F9"/>
    <w:rsid w:val="00F43765"/>
    <w:rsid w:val="00F4384B"/>
    <w:rsid w:val="00F43CD7"/>
    <w:rsid w:val="00F43E64"/>
    <w:rsid w:val="00F43FAB"/>
    <w:rsid w:val="00F44434"/>
    <w:rsid w:val="00F44663"/>
    <w:rsid w:val="00F4475B"/>
    <w:rsid w:val="00F44B19"/>
    <w:rsid w:val="00F44B1B"/>
    <w:rsid w:val="00F44ED5"/>
    <w:rsid w:val="00F4509A"/>
    <w:rsid w:val="00F456DF"/>
    <w:rsid w:val="00F4570D"/>
    <w:rsid w:val="00F45760"/>
    <w:rsid w:val="00F459E9"/>
    <w:rsid w:val="00F45D2F"/>
    <w:rsid w:val="00F46056"/>
    <w:rsid w:val="00F46200"/>
    <w:rsid w:val="00F4627C"/>
    <w:rsid w:val="00F46364"/>
    <w:rsid w:val="00F464C4"/>
    <w:rsid w:val="00F4656C"/>
    <w:rsid w:val="00F465A3"/>
    <w:rsid w:val="00F46845"/>
    <w:rsid w:val="00F468B4"/>
    <w:rsid w:val="00F46C5B"/>
    <w:rsid w:val="00F46CC4"/>
    <w:rsid w:val="00F46CCD"/>
    <w:rsid w:val="00F46DB3"/>
    <w:rsid w:val="00F46E61"/>
    <w:rsid w:val="00F46E86"/>
    <w:rsid w:val="00F47208"/>
    <w:rsid w:val="00F47332"/>
    <w:rsid w:val="00F4738A"/>
    <w:rsid w:val="00F473A3"/>
    <w:rsid w:val="00F4745A"/>
    <w:rsid w:val="00F4773E"/>
    <w:rsid w:val="00F47EFF"/>
    <w:rsid w:val="00F47F9C"/>
    <w:rsid w:val="00F50077"/>
    <w:rsid w:val="00F502FC"/>
    <w:rsid w:val="00F5032D"/>
    <w:rsid w:val="00F503C6"/>
    <w:rsid w:val="00F50602"/>
    <w:rsid w:val="00F5069D"/>
    <w:rsid w:val="00F509F0"/>
    <w:rsid w:val="00F50AAA"/>
    <w:rsid w:val="00F50C9C"/>
    <w:rsid w:val="00F50CAB"/>
    <w:rsid w:val="00F50D5C"/>
    <w:rsid w:val="00F50D5E"/>
    <w:rsid w:val="00F50D9A"/>
    <w:rsid w:val="00F50E23"/>
    <w:rsid w:val="00F50F46"/>
    <w:rsid w:val="00F51170"/>
    <w:rsid w:val="00F51228"/>
    <w:rsid w:val="00F5131F"/>
    <w:rsid w:val="00F514B8"/>
    <w:rsid w:val="00F51624"/>
    <w:rsid w:val="00F519A1"/>
    <w:rsid w:val="00F51AF7"/>
    <w:rsid w:val="00F51B33"/>
    <w:rsid w:val="00F51D7F"/>
    <w:rsid w:val="00F51E59"/>
    <w:rsid w:val="00F522E9"/>
    <w:rsid w:val="00F526DF"/>
    <w:rsid w:val="00F52B5E"/>
    <w:rsid w:val="00F52F04"/>
    <w:rsid w:val="00F5377C"/>
    <w:rsid w:val="00F53931"/>
    <w:rsid w:val="00F53A68"/>
    <w:rsid w:val="00F54110"/>
    <w:rsid w:val="00F544A9"/>
    <w:rsid w:val="00F54630"/>
    <w:rsid w:val="00F548B3"/>
    <w:rsid w:val="00F54B0B"/>
    <w:rsid w:val="00F54C97"/>
    <w:rsid w:val="00F54D3B"/>
    <w:rsid w:val="00F54F89"/>
    <w:rsid w:val="00F5501C"/>
    <w:rsid w:val="00F551EC"/>
    <w:rsid w:val="00F5529F"/>
    <w:rsid w:val="00F5544C"/>
    <w:rsid w:val="00F55553"/>
    <w:rsid w:val="00F55D31"/>
    <w:rsid w:val="00F55D69"/>
    <w:rsid w:val="00F55FA6"/>
    <w:rsid w:val="00F56149"/>
    <w:rsid w:val="00F56482"/>
    <w:rsid w:val="00F564C5"/>
    <w:rsid w:val="00F566E4"/>
    <w:rsid w:val="00F56745"/>
    <w:rsid w:val="00F56824"/>
    <w:rsid w:val="00F56945"/>
    <w:rsid w:val="00F56A0C"/>
    <w:rsid w:val="00F56DCD"/>
    <w:rsid w:val="00F56DDF"/>
    <w:rsid w:val="00F56F97"/>
    <w:rsid w:val="00F57225"/>
    <w:rsid w:val="00F5724F"/>
    <w:rsid w:val="00F57278"/>
    <w:rsid w:val="00F57279"/>
    <w:rsid w:val="00F5746E"/>
    <w:rsid w:val="00F574F9"/>
    <w:rsid w:val="00F57652"/>
    <w:rsid w:val="00F578A5"/>
    <w:rsid w:val="00F57BDB"/>
    <w:rsid w:val="00F57BED"/>
    <w:rsid w:val="00F57D13"/>
    <w:rsid w:val="00F57D20"/>
    <w:rsid w:val="00F57DCF"/>
    <w:rsid w:val="00F60198"/>
    <w:rsid w:val="00F601FF"/>
    <w:rsid w:val="00F60293"/>
    <w:rsid w:val="00F603F9"/>
    <w:rsid w:val="00F606A2"/>
    <w:rsid w:val="00F607E5"/>
    <w:rsid w:val="00F609DE"/>
    <w:rsid w:val="00F60AB5"/>
    <w:rsid w:val="00F60B2F"/>
    <w:rsid w:val="00F60D32"/>
    <w:rsid w:val="00F6105A"/>
    <w:rsid w:val="00F61177"/>
    <w:rsid w:val="00F6134E"/>
    <w:rsid w:val="00F61421"/>
    <w:rsid w:val="00F61427"/>
    <w:rsid w:val="00F61435"/>
    <w:rsid w:val="00F61B03"/>
    <w:rsid w:val="00F61BEA"/>
    <w:rsid w:val="00F61C95"/>
    <w:rsid w:val="00F61D16"/>
    <w:rsid w:val="00F61D8E"/>
    <w:rsid w:val="00F62165"/>
    <w:rsid w:val="00F627D5"/>
    <w:rsid w:val="00F62C28"/>
    <w:rsid w:val="00F62E93"/>
    <w:rsid w:val="00F62F78"/>
    <w:rsid w:val="00F632F0"/>
    <w:rsid w:val="00F63401"/>
    <w:rsid w:val="00F6376C"/>
    <w:rsid w:val="00F63858"/>
    <w:rsid w:val="00F6392F"/>
    <w:rsid w:val="00F63C7B"/>
    <w:rsid w:val="00F63D99"/>
    <w:rsid w:val="00F63FF9"/>
    <w:rsid w:val="00F640CB"/>
    <w:rsid w:val="00F641D5"/>
    <w:rsid w:val="00F64430"/>
    <w:rsid w:val="00F645C7"/>
    <w:rsid w:val="00F64AB4"/>
    <w:rsid w:val="00F65145"/>
    <w:rsid w:val="00F652A6"/>
    <w:rsid w:val="00F653ED"/>
    <w:rsid w:val="00F65556"/>
    <w:rsid w:val="00F656C1"/>
    <w:rsid w:val="00F6574B"/>
    <w:rsid w:val="00F657A9"/>
    <w:rsid w:val="00F65A79"/>
    <w:rsid w:val="00F65CD5"/>
    <w:rsid w:val="00F65EF4"/>
    <w:rsid w:val="00F65F62"/>
    <w:rsid w:val="00F65F9F"/>
    <w:rsid w:val="00F66100"/>
    <w:rsid w:val="00F6682E"/>
    <w:rsid w:val="00F668FF"/>
    <w:rsid w:val="00F669CD"/>
    <w:rsid w:val="00F66A4B"/>
    <w:rsid w:val="00F66C9E"/>
    <w:rsid w:val="00F66D76"/>
    <w:rsid w:val="00F66DF8"/>
    <w:rsid w:val="00F66EAF"/>
    <w:rsid w:val="00F66F98"/>
    <w:rsid w:val="00F67113"/>
    <w:rsid w:val="00F67352"/>
    <w:rsid w:val="00F6738C"/>
    <w:rsid w:val="00F676AE"/>
    <w:rsid w:val="00F676F0"/>
    <w:rsid w:val="00F67861"/>
    <w:rsid w:val="00F67ADD"/>
    <w:rsid w:val="00F67EA6"/>
    <w:rsid w:val="00F7017A"/>
    <w:rsid w:val="00F701AA"/>
    <w:rsid w:val="00F7051B"/>
    <w:rsid w:val="00F7056D"/>
    <w:rsid w:val="00F7070F"/>
    <w:rsid w:val="00F7090C"/>
    <w:rsid w:val="00F709A1"/>
    <w:rsid w:val="00F70A1E"/>
    <w:rsid w:val="00F70A9A"/>
    <w:rsid w:val="00F70BC4"/>
    <w:rsid w:val="00F70C55"/>
    <w:rsid w:val="00F70D18"/>
    <w:rsid w:val="00F70D75"/>
    <w:rsid w:val="00F70DC3"/>
    <w:rsid w:val="00F70E36"/>
    <w:rsid w:val="00F70E4B"/>
    <w:rsid w:val="00F70E4C"/>
    <w:rsid w:val="00F70F27"/>
    <w:rsid w:val="00F710A3"/>
    <w:rsid w:val="00F713A1"/>
    <w:rsid w:val="00F71634"/>
    <w:rsid w:val="00F7175B"/>
    <w:rsid w:val="00F71794"/>
    <w:rsid w:val="00F7179B"/>
    <w:rsid w:val="00F71820"/>
    <w:rsid w:val="00F7185E"/>
    <w:rsid w:val="00F71CF0"/>
    <w:rsid w:val="00F71DA7"/>
    <w:rsid w:val="00F71E66"/>
    <w:rsid w:val="00F71EE8"/>
    <w:rsid w:val="00F720B4"/>
    <w:rsid w:val="00F722B3"/>
    <w:rsid w:val="00F72362"/>
    <w:rsid w:val="00F729E6"/>
    <w:rsid w:val="00F72C60"/>
    <w:rsid w:val="00F73116"/>
    <w:rsid w:val="00F737DB"/>
    <w:rsid w:val="00F7383C"/>
    <w:rsid w:val="00F7388F"/>
    <w:rsid w:val="00F73BCE"/>
    <w:rsid w:val="00F73C0B"/>
    <w:rsid w:val="00F7425C"/>
    <w:rsid w:val="00F7447B"/>
    <w:rsid w:val="00F74558"/>
    <w:rsid w:val="00F74618"/>
    <w:rsid w:val="00F74653"/>
    <w:rsid w:val="00F747F6"/>
    <w:rsid w:val="00F74AA7"/>
    <w:rsid w:val="00F74BB3"/>
    <w:rsid w:val="00F751F6"/>
    <w:rsid w:val="00F753A8"/>
    <w:rsid w:val="00F756A5"/>
    <w:rsid w:val="00F7583C"/>
    <w:rsid w:val="00F75E51"/>
    <w:rsid w:val="00F75E81"/>
    <w:rsid w:val="00F7613A"/>
    <w:rsid w:val="00F76502"/>
    <w:rsid w:val="00F7659D"/>
    <w:rsid w:val="00F766D0"/>
    <w:rsid w:val="00F7696B"/>
    <w:rsid w:val="00F769C0"/>
    <w:rsid w:val="00F76D64"/>
    <w:rsid w:val="00F76D84"/>
    <w:rsid w:val="00F76F1E"/>
    <w:rsid w:val="00F77182"/>
    <w:rsid w:val="00F7723D"/>
    <w:rsid w:val="00F7729E"/>
    <w:rsid w:val="00F7730B"/>
    <w:rsid w:val="00F774AA"/>
    <w:rsid w:val="00F776D0"/>
    <w:rsid w:val="00F7786C"/>
    <w:rsid w:val="00F77C58"/>
    <w:rsid w:val="00F77E2B"/>
    <w:rsid w:val="00F80123"/>
    <w:rsid w:val="00F80295"/>
    <w:rsid w:val="00F8048E"/>
    <w:rsid w:val="00F8057C"/>
    <w:rsid w:val="00F8073F"/>
    <w:rsid w:val="00F80B42"/>
    <w:rsid w:val="00F80C5F"/>
    <w:rsid w:val="00F80EFB"/>
    <w:rsid w:val="00F80FAB"/>
    <w:rsid w:val="00F81028"/>
    <w:rsid w:val="00F8104E"/>
    <w:rsid w:val="00F81136"/>
    <w:rsid w:val="00F81273"/>
    <w:rsid w:val="00F81589"/>
    <w:rsid w:val="00F817C2"/>
    <w:rsid w:val="00F818A6"/>
    <w:rsid w:val="00F81A00"/>
    <w:rsid w:val="00F81A1D"/>
    <w:rsid w:val="00F81A47"/>
    <w:rsid w:val="00F81A7C"/>
    <w:rsid w:val="00F81CFD"/>
    <w:rsid w:val="00F81DB5"/>
    <w:rsid w:val="00F81DC7"/>
    <w:rsid w:val="00F82221"/>
    <w:rsid w:val="00F824F2"/>
    <w:rsid w:val="00F82716"/>
    <w:rsid w:val="00F82746"/>
    <w:rsid w:val="00F82B83"/>
    <w:rsid w:val="00F82C05"/>
    <w:rsid w:val="00F82ED7"/>
    <w:rsid w:val="00F833C2"/>
    <w:rsid w:val="00F836F9"/>
    <w:rsid w:val="00F83779"/>
    <w:rsid w:val="00F83C54"/>
    <w:rsid w:val="00F83D02"/>
    <w:rsid w:val="00F83D15"/>
    <w:rsid w:val="00F83E53"/>
    <w:rsid w:val="00F83EC3"/>
    <w:rsid w:val="00F84073"/>
    <w:rsid w:val="00F840D8"/>
    <w:rsid w:val="00F8433C"/>
    <w:rsid w:val="00F843A6"/>
    <w:rsid w:val="00F8448E"/>
    <w:rsid w:val="00F84501"/>
    <w:rsid w:val="00F8450D"/>
    <w:rsid w:val="00F845D7"/>
    <w:rsid w:val="00F84718"/>
    <w:rsid w:val="00F84AF0"/>
    <w:rsid w:val="00F84DED"/>
    <w:rsid w:val="00F85052"/>
    <w:rsid w:val="00F85112"/>
    <w:rsid w:val="00F85250"/>
    <w:rsid w:val="00F85362"/>
    <w:rsid w:val="00F8539D"/>
    <w:rsid w:val="00F85547"/>
    <w:rsid w:val="00F85591"/>
    <w:rsid w:val="00F8565F"/>
    <w:rsid w:val="00F85868"/>
    <w:rsid w:val="00F85B22"/>
    <w:rsid w:val="00F85BB1"/>
    <w:rsid w:val="00F85BE3"/>
    <w:rsid w:val="00F85CB1"/>
    <w:rsid w:val="00F86490"/>
    <w:rsid w:val="00F86896"/>
    <w:rsid w:val="00F868D7"/>
    <w:rsid w:val="00F86A9A"/>
    <w:rsid w:val="00F86AC5"/>
    <w:rsid w:val="00F8734E"/>
    <w:rsid w:val="00F87471"/>
    <w:rsid w:val="00F875F6"/>
    <w:rsid w:val="00F876A1"/>
    <w:rsid w:val="00F87DAD"/>
    <w:rsid w:val="00F87F52"/>
    <w:rsid w:val="00F87FA1"/>
    <w:rsid w:val="00F903FA"/>
    <w:rsid w:val="00F904D2"/>
    <w:rsid w:val="00F906AB"/>
    <w:rsid w:val="00F90838"/>
    <w:rsid w:val="00F9086F"/>
    <w:rsid w:val="00F908A7"/>
    <w:rsid w:val="00F90AB0"/>
    <w:rsid w:val="00F90AB6"/>
    <w:rsid w:val="00F90BB3"/>
    <w:rsid w:val="00F90E06"/>
    <w:rsid w:val="00F90E3E"/>
    <w:rsid w:val="00F90E69"/>
    <w:rsid w:val="00F9108C"/>
    <w:rsid w:val="00F9110B"/>
    <w:rsid w:val="00F911F5"/>
    <w:rsid w:val="00F91372"/>
    <w:rsid w:val="00F913C2"/>
    <w:rsid w:val="00F91671"/>
    <w:rsid w:val="00F9179B"/>
    <w:rsid w:val="00F91C62"/>
    <w:rsid w:val="00F91EC9"/>
    <w:rsid w:val="00F92168"/>
    <w:rsid w:val="00F9225E"/>
    <w:rsid w:val="00F92279"/>
    <w:rsid w:val="00F923EA"/>
    <w:rsid w:val="00F925E8"/>
    <w:rsid w:val="00F92667"/>
    <w:rsid w:val="00F9266F"/>
    <w:rsid w:val="00F927A1"/>
    <w:rsid w:val="00F9286E"/>
    <w:rsid w:val="00F928CC"/>
    <w:rsid w:val="00F92968"/>
    <w:rsid w:val="00F92999"/>
    <w:rsid w:val="00F92A9A"/>
    <w:rsid w:val="00F92AD0"/>
    <w:rsid w:val="00F92B19"/>
    <w:rsid w:val="00F92C06"/>
    <w:rsid w:val="00F92FA9"/>
    <w:rsid w:val="00F93328"/>
    <w:rsid w:val="00F9343D"/>
    <w:rsid w:val="00F93552"/>
    <w:rsid w:val="00F93731"/>
    <w:rsid w:val="00F937DD"/>
    <w:rsid w:val="00F937FA"/>
    <w:rsid w:val="00F9381D"/>
    <w:rsid w:val="00F93911"/>
    <w:rsid w:val="00F93ACA"/>
    <w:rsid w:val="00F93D0B"/>
    <w:rsid w:val="00F93E45"/>
    <w:rsid w:val="00F93EEC"/>
    <w:rsid w:val="00F9412E"/>
    <w:rsid w:val="00F9416A"/>
    <w:rsid w:val="00F943E6"/>
    <w:rsid w:val="00F94448"/>
    <w:rsid w:val="00F94617"/>
    <w:rsid w:val="00F9480C"/>
    <w:rsid w:val="00F94BDE"/>
    <w:rsid w:val="00F94C3F"/>
    <w:rsid w:val="00F94CA0"/>
    <w:rsid w:val="00F94D6A"/>
    <w:rsid w:val="00F94E33"/>
    <w:rsid w:val="00F94ECD"/>
    <w:rsid w:val="00F9529A"/>
    <w:rsid w:val="00F956EA"/>
    <w:rsid w:val="00F96479"/>
    <w:rsid w:val="00F9668A"/>
    <w:rsid w:val="00F96719"/>
    <w:rsid w:val="00F969DF"/>
    <w:rsid w:val="00F96D2E"/>
    <w:rsid w:val="00F96D72"/>
    <w:rsid w:val="00F96F0B"/>
    <w:rsid w:val="00F96F26"/>
    <w:rsid w:val="00F96F3A"/>
    <w:rsid w:val="00F9711D"/>
    <w:rsid w:val="00F97351"/>
    <w:rsid w:val="00F97601"/>
    <w:rsid w:val="00F97BFF"/>
    <w:rsid w:val="00F97C1E"/>
    <w:rsid w:val="00F97CB4"/>
    <w:rsid w:val="00F97D33"/>
    <w:rsid w:val="00F97ED8"/>
    <w:rsid w:val="00F97F52"/>
    <w:rsid w:val="00F97F88"/>
    <w:rsid w:val="00F97FDB"/>
    <w:rsid w:val="00FA0156"/>
    <w:rsid w:val="00FA018E"/>
    <w:rsid w:val="00FA025B"/>
    <w:rsid w:val="00FA067D"/>
    <w:rsid w:val="00FA07E6"/>
    <w:rsid w:val="00FA0AEF"/>
    <w:rsid w:val="00FA0C52"/>
    <w:rsid w:val="00FA0C61"/>
    <w:rsid w:val="00FA0D07"/>
    <w:rsid w:val="00FA0D08"/>
    <w:rsid w:val="00FA0E61"/>
    <w:rsid w:val="00FA0F01"/>
    <w:rsid w:val="00FA119A"/>
    <w:rsid w:val="00FA13BD"/>
    <w:rsid w:val="00FA1433"/>
    <w:rsid w:val="00FA1512"/>
    <w:rsid w:val="00FA1555"/>
    <w:rsid w:val="00FA1612"/>
    <w:rsid w:val="00FA1C5C"/>
    <w:rsid w:val="00FA1D36"/>
    <w:rsid w:val="00FA1FBB"/>
    <w:rsid w:val="00FA1FFD"/>
    <w:rsid w:val="00FA2003"/>
    <w:rsid w:val="00FA2199"/>
    <w:rsid w:val="00FA221A"/>
    <w:rsid w:val="00FA2252"/>
    <w:rsid w:val="00FA226D"/>
    <w:rsid w:val="00FA2284"/>
    <w:rsid w:val="00FA22BD"/>
    <w:rsid w:val="00FA2465"/>
    <w:rsid w:val="00FA26A7"/>
    <w:rsid w:val="00FA2835"/>
    <w:rsid w:val="00FA28A8"/>
    <w:rsid w:val="00FA28AF"/>
    <w:rsid w:val="00FA2C9E"/>
    <w:rsid w:val="00FA2CE5"/>
    <w:rsid w:val="00FA2E48"/>
    <w:rsid w:val="00FA2F81"/>
    <w:rsid w:val="00FA327D"/>
    <w:rsid w:val="00FA3285"/>
    <w:rsid w:val="00FA3591"/>
    <w:rsid w:val="00FA360F"/>
    <w:rsid w:val="00FA3617"/>
    <w:rsid w:val="00FA3985"/>
    <w:rsid w:val="00FA3C7C"/>
    <w:rsid w:val="00FA3E7F"/>
    <w:rsid w:val="00FA40C3"/>
    <w:rsid w:val="00FA40FC"/>
    <w:rsid w:val="00FA416F"/>
    <w:rsid w:val="00FA428B"/>
    <w:rsid w:val="00FA42F3"/>
    <w:rsid w:val="00FA43C6"/>
    <w:rsid w:val="00FA47EF"/>
    <w:rsid w:val="00FA4AC4"/>
    <w:rsid w:val="00FA4D1C"/>
    <w:rsid w:val="00FA5177"/>
    <w:rsid w:val="00FA5248"/>
    <w:rsid w:val="00FA5721"/>
    <w:rsid w:val="00FA57F9"/>
    <w:rsid w:val="00FA580C"/>
    <w:rsid w:val="00FA5C3F"/>
    <w:rsid w:val="00FA5E8A"/>
    <w:rsid w:val="00FA5EFC"/>
    <w:rsid w:val="00FA5F0B"/>
    <w:rsid w:val="00FA6211"/>
    <w:rsid w:val="00FA63A4"/>
    <w:rsid w:val="00FA6692"/>
    <w:rsid w:val="00FA67DB"/>
    <w:rsid w:val="00FA695A"/>
    <w:rsid w:val="00FA6ACE"/>
    <w:rsid w:val="00FA6B09"/>
    <w:rsid w:val="00FA6D3F"/>
    <w:rsid w:val="00FA6D87"/>
    <w:rsid w:val="00FA700C"/>
    <w:rsid w:val="00FA7059"/>
    <w:rsid w:val="00FA7209"/>
    <w:rsid w:val="00FA785E"/>
    <w:rsid w:val="00FA78CC"/>
    <w:rsid w:val="00FA7A1F"/>
    <w:rsid w:val="00FA7BF4"/>
    <w:rsid w:val="00FA7C87"/>
    <w:rsid w:val="00FA7F35"/>
    <w:rsid w:val="00FB01CD"/>
    <w:rsid w:val="00FB0458"/>
    <w:rsid w:val="00FB06C7"/>
    <w:rsid w:val="00FB06D7"/>
    <w:rsid w:val="00FB071B"/>
    <w:rsid w:val="00FB0741"/>
    <w:rsid w:val="00FB08BF"/>
    <w:rsid w:val="00FB0C7D"/>
    <w:rsid w:val="00FB0EC4"/>
    <w:rsid w:val="00FB0ED8"/>
    <w:rsid w:val="00FB0F49"/>
    <w:rsid w:val="00FB11C3"/>
    <w:rsid w:val="00FB1206"/>
    <w:rsid w:val="00FB126F"/>
    <w:rsid w:val="00FB12D3"/>
    <w:rsid w:val="00FB1504"/>
    <w:rsid w:val="00FB16FE"/>
    <w:rsid w:val="00FB1855"/>
    <w:rsid w:val="00FB1EC2"/>
    <w:rsid w:val="00FB209C"/>
    <w:rsid w:val="00FB2115"/>
    <w:rsid w:val="00FB21BF"/>
    <w:rsid w:val="00FB21EE"/>
    <w:rsid w:val="00FB22E8"/>
    <w:rsid w:val="00FB26E6"/>
    <w:rsid w:val="00FB2833"/>
    <w:rsid w:val="00FB28DE"/>
    <w:rsid w:val="00FB2F41"/>
    <w:rsid w:val="00FB31C9"/>
    <w:rsid w:val="00FB326F"/>
    <w:rsid w:val="00FB342B"/>
    <w:rsid w:val="00FB37C8"/>
    <w:rsid w:val="00FB380A"/>
    <w:rsid w:val="00FB384A"/>
    <w:rsid w:val="00FB38BA"/>
    <w:rsid w:val="00FB3B96"/>
    <w:rsid w:val="00FB3D88"/>
    <w:rsid w:val="00FB4249"/>
    <w:rsid w:val="00FB42F5"/>
    <w:rsid w:val="00FB4514"/>
    <w:rsid w:val="00FB489F"/>
    <w:rsid w:val="00FB4D21"/>
    <w:rsid w:val="00FB4D5A"/>
    <w:rsid w:val="00FB507D"/>
    <w:rsid w:val="00FB51E7"/>
    <w:rsid w:val="00FB535E"/>
    <w:rsid w:val="00FB56F8"/>
    <w:rsid w:val="00FB5BBB"/>
    <w:rsid w:val="00FB5DE6"/>
    <w:rsid w:val="00FB5E3F"/>
    <w:rsid w:val="00FB5E6C"/>
    <w:rsid w:val="00FB5E6E"/>
    <w:rsid w:val="00FB5EDB"/>
    <w:rsid w:val="00FB609C"/>
    <w:rsid w:val="00FB624D"/>
    <w:rsid w:val="00FB67F4"/>
    <w:rsid w:val="00FB6BB3"/>
    <w:rsid w:val="00FB6DC5"/>
    <w:rsid w:val="00FB721C"/>
    <w:rsid w:val="00FB73FA"/>
    <w:rsid w:val="00FB7439"/>
    <w:rsid w:val="00FB751C"/>
    <w:rsid w:val="00FB75C9"/>
    <w:rsid w:val="00FB762B"/>
    <w:rsid w:val="00FB7654"/>
    <w:rsid w:val="00FB7684"/>
    <w:rsid w:val="00FB76A6"/>
    <w:rsid w:val="00FB795A"/>
    <w:rsid w:val="00FB79E5"/>
    <w:rsid w:val="00FB7B9B"/>
    <w:rsid w:val="00FB7C7E"/>
    <w:rsid w:val="00FB7D61"/>
    <w:rsid w:val="00FB7FC0"/>
    <w:rsid w:val="00FC005E"/>
    <w:rsid w:val="00FC0404"/>
    <w:rsid w:val="00FC0709"/>
    <w:rsid w:val="00FC095A"/>
    <w:rsid w:val="00FC0B31"/>
    <w:rsid w:val="00FC0C36"/>
    <w:rsid w:val="00FC0D81"/>
    <w:rsid w:val="00FC1038"/>
    <w:rsid w:val="00FC114D"/>
    <w:rsid w:val="00FC15D2"/>
    <w:rsid w:val="00FC15F2"/>
    <w:rsid w:val="00FC18E4"/>
    <w:rsid w:val="00FC1CAF"/>
    <w:rsid w:val="00FC1FE6"/>
    <w:rsid w:val="00FC1FFA"/>
    <w:rsid w:val="00FC205C"/>
    <w:rsid w:val="00FC20E9"/>
    <w:rsid w:val="00FC2283"/>
    <w:rsid w:val="00FC23FA"/>
    <w:rsid w:val="00FC2633"/>
    <w:rsid w:val="00FC2723"/>
    <w:rsid w:val="00FC2D49"/>
    <w:rsid w:val="00FC2FC6"/>
    <w:rsid w:val="00FC3059"/>
    <w:rsid w:val="00FC3149"/>
    <w:rsid w:val="00FC31E8"/>
    <w:rsid w:val="00FC320B"/>
    <w:rsid w:val="00FC3477"/>
    <w:rsid w:val="00FC34E6"/>
    <w:rsid w:val="00FC35D1"/>
    <w:rsid w:val="00FC366E"/>
    <w:rsid w:val="00FC381E"/>
    <w:rsid w:val="00FC3930"/>
    <w:rsid w:val="00FC397A"/>
    <w:rsid w:val="00FC39AA"/>
    <w:rsid w:val="00FC3B17"/>
    <w:rsid w:val="00FC40DF"/>
    <w:rsid w:val="00FC42A9"/>
    <w:rsid w:val="00FC43C2"/>
    <w:rsid w:val="00FC44BC"/>
    <w:rsid w:val="00FC44CC"/>
    <w:rsid w:val="00FC48CC"/>
    <w:rsid w:val="00FC4954"/>
    <w:rsid w:val="00FC49EA"/>
    <w:rsid w:val="00FC4BEB"/>
    <w:rsid w:val="00FC4E90"/>
    <w:rsid w:val="00FC5004"/>
    <w:rsid w:val="00FC528A"/>
    <w:rsid w:val="00FC5795"/>
    <w:rsid w:val="00FC58AB"/>
    <w:rsid w:val="00FC5B03"/>
    <w:rsid w:val="00FC5B12"/>
    <w:rsid w:val="00FC5B8C"/>
    <w:rsid w:val="00FC5C29"/>
    <w:rsid w:val="00FC5C5C"/>
    <w:rsid w:val="00FC5D71"/>
    <w:rsid w:val="00FC5E7F"/>
    <w:rsid w:val="00FC5EB2"/>
    <w:rsid w:val="00FC5F26"/>
    <w:rsid w:val="00FC5FBF"/>
    <w:rsid w:val="00FC6004"/>
    <w:rsid w:val="00FC61B3"/>
    <w:rsid w:val="00FC61D5"/>
    <w:rsid w:val="00FC6379"/>
    <w:rsid w:val="00FC63D0"/>
    <w:rsid w:val="00FC6452"/>
    <w:rsid w:val="00FC6540"/>
    <w:rsid w:val="00FC6594"/>
    <w:rsid w:val="00FC6663"/>
    <w:rsid w:val="00FC66C0"/>
    <w:rsid w:val="00FC66C7"/>
    <w:rsid w:val="00FC67B1"/>
    <w:rsid w:val="00FC67C3"/>
    <w:rsid w:val="00FC68B8"/>
    <w:rsid w:val="00FC696D"/>
    <w:rsid w:val="00FC6ADA"/>
    <w:rsid w:val="00FC6E58"/>
    <w:rsid w:val="00FC6E5B"/>
    <w:rsid w:val="00FC6F9B"/>
    <w:rsid w:val="00FC742C"/>
    <w:rsid w:val="00FC75EE"/>
    <w:rsid w:val="00FC76A3"/>
    <w:rsid w:val="00FC76F0"/>
    <w:rsid w:val="00FC78E2"/>
    <w:rsid w:val="00FC7955"/>
    <w:rsid w:val="00FC79AA"/>
    <w:rsid w:val="00FC7BDA"/>
    <w:rsid w:val="00FC7C54"/>
    <w:rsid w:val="00FC7C72"/>
    <w:rsid w:val="00FC7D7B"/>
    <w:rsid w:val="00FD0191"/>
    <w:rsid w:val="00FD01A6"/>
    <w:rsid w:val="00FD0393"/>
    <w:rsid w:val="00FD076F"/>
    <w:rsid w:val="00FD0878"/>
    <w:rsid w:val="00FD0BE0"/>
    <w:rsid w:val="00FD0C11"/>
    <w:rsid w:val="00FD0E78"/>
    <w:rsid w:val="00FD0EC4"/>
    <w:rsid w:val="00FD1038"/>
    <w:rsid w:val="00FD1547"/>
    <w:rsid w:val="00FD1708"/>
    <w:rsid w:val="00FD18FF"/>
    <w:rsid w:val="00FD1C56"/>
    <w:rsid w:val="00FD1CA8"/>
    <w:rsid w:val="00FD1F4F"/>
    <w:rsid w:val="00FD1FF9"/>
    <w:rsid w:val="00FD2031"/>
    <w:rsid w:val="00FD217E"/>
    <w:rsid w:val="00FD21AA"/>
    <w:rsid w:val="00FD2400"/>
    <w:rsid w:val="00FD2411"/>
    <w:rsid w:val="00FD2681"/>
    <w:rsid w:val="00FD2828"/>
    <w:rsid w:val="00FD2931"/>
    <w:rsid w:val="00FD296F"/>
    <w:rsid w:val="00FD2F01"/>
    <w:rsid w:val="00FD2FAE"/>
    <w:rsid w:val="00FD2FF0"/>
    <w:rsid w:val="00FD3246"/>
    <w:rsid w:val="00FD3342"/>
    <w:rsid w:val="00FD33BF"/>
    <w:rsid w:val="00FD36C3"/>
    <w:rsid w:val="00FD36CD"/>
    <w:rsid w:val="00FD3BD6"/>
    <w:rsid w:val="00FD3D4E"/>
    <w:rsid w:val="00FD3DF5"/>
    <w:rsid w:val="00FD3F7E"/>
    <w:rsid w:val="00FD403C"/>
    <w:rsid w:val="00FD4074"/>
    <w:rsid w:val="00FD40D0"/>
    <w:rsid w:val="00FD41B6"/>
    <w:rsid w:val="00FD44D2"/>
    <w:rsid w:val="00FD46DA"/>
    <w:rsid w:val="00FD4815"/>
    <w:rsid w:val="00FD4A05"/>
    <w:rsid w:val="00FD4BAC"/>
    <w:rsid w:val="00FD4C6A"/>
    <w:rsid w:val="00FD4CF0"/>
    <w:rsid w:val="00FD4EF3"/>
    <w:rsid w:val="00FD4FD3"/>
    <w:rsid w:val="00FD5248"/>
    <w:rsid w:val="00FD539A"/>
    <w:rsid w:val="00FD5709"/>
    <w:rsid w:val="00FD5BCF"/>
    <w:rsid w:val="00FD5DAA"/>
    <w:rsid w:val="00FD5F58"/>
    <w:rsid w:val="00FD65AC"/>
    <w:rsid w:val="00FD6756"/>
    <w:rsid w:val="00FD6979"/>
    <w:rsid w:val="00FD6A1E"/>
    <w:rsid w:val="00FD6B76"/>
    <w:rsid w:val="00FD6C14"/>
    <w:rsid w:val="00FD6CE3"/>
    <w:rsid w:val="00FD6D47"/>
    <w:rsid w:val="00FD6D8D"/>
    <w:rsid w:val="00FD73A2"/>
    <w:rsid w:val="00FD7787"/>
    <w:rsid w:val="00FD77CF"/>
    <w:rsid w:val="00FD781E"/>
    <w:rsid w:val="00FD79E3"/>
    <w:rsid w:val="00FD7A47"/>
    <w:rsid w:val="00FD7B39"/>
    <w:rsid w:val="00FD7BD3"/>
    <w:rsid w:val="00FD7CC0"/>
    <w:rsid w:val="00FD7DD8"/>
    <w:rsid w:val="00FD7ED1"/>
    <w:rsid w:val="00FE04FA"/>
    <w:rsid w:val="00FE0537"/>
    <w:rsid w:val="00FE05A1"/>
    <w:rsid w:val="00FE06FF"/>
    <w:rsid w:val="00FE08D0"/>
    <w:rsid w:val="00FE0AAE"/>
    <w:rsid w:val="00FE0B36"/>
    <w:rsid w:val="00FE0BFE"/>
    <w:rsid w:val="00FE0C1A"/>
    <w:rsid w:val="00FE0D52"/>
    <w:rsid w:val="00FE118F"/>
    <w:rsid w:val="00FE12A8"/>
    <w:rsid w:val="00FE132E"/>
    <w:rsid w:val="00FE1379"/>
    <w:rsid w:val="00FE14C3"/>
    <w:rsid w:val="00FE153E"/>
    <w:rsid w:val="00FE160D"/>
    <w:rsid w:val="00FE176B"/>
    <w:rsid w:val="00FE18BE"/>
    <w:rsid w:val="00FE18F9"/>
    <w:rsid w:val="00FE1914"/>
    <w:rsid w:val="00FE1A1F"/>
    <w:rsid w:val="00FE1BE0"/>
    <w:rsid w:val="00FE20B4"/>
    <w:rsid w:val="00FE2298"/>
    <w:rsid w:val="00FE2458"/>
    <w:rsid w:val="00FE2477"/>
    <w:rsid w:val="00FE27C8"/>
    <w:rsid w:val="00FE28AC"/>
    <w:rsid w:val="00FE29A3"/>
    <w:rsid w:val="00FE2B58"/>
    <w:rsid w:val="00FE2C13"/>
    <w:rsid w:val="00FE2C98"/>
    <w:rsid w:val="00FE2F80"/>
    <w:rsid w:val="00FE30FC"/>
    <w:rsid w:val="00FE34D1"/>
    <w:rsid w:val="00FE35A9"/>
    <w:rsid w:val="00FE3719"/>
    <w:rsid w:val="00FE395B"/>
    <w:rsid w:val="00FE3B6B"/>
    <w:rsid w:val="00FE3CC7"/>
    <w:rsid w:val="00FE3DEE"/>
    <w:rsid w:val="00FE3E22"/>
    <w:rsid w:val="00FE3E82"/>
    <w:rsid w:val="00FE4145"/>
    <w:rsid w:val="00FE41DB"/>
    <w:rsid w:val="00FE42E4"/>
    <w:rsid w:val="00FE43C5"/>
    <w:rsid w:val="00FE44F8"/>
    <w:rsid w:val="00FE45C7"/>
    <w:rsid w:val="00FE46EA"/>
    <w:rsid w:val="00FE478D"/>
    <w:rsid w:val="00FE4903"/>
    <w:rsid w:val="00FE4C8E"/>
    <w:rsid w:val="00FE4FA1"/>
    <w:rsid w:val="00FE52E6"/>
    <w:rsid w:val="00FE53E6"/>
    <w:rsid w:val="00FE5508"/>
    <w:rsid w:val="00FE5607"/>
    <w:rsid w:val="00FE5A5C"/>
    <w:rsid w:val="00FE5B03"/>
    <w:rsid w:val="00FE5BA3"/>
    <w:rsid w:val="00FE5E45"/>
    <w:rsid w:val="00FE633A"/>
    <w:rsid w:val="00FE6500"/>
    <w:rsid w:val="00FE65B5"/>
    <w:rsid w:val="00FE67C1"/>
    <w:rsid w:val="00FE687A"/>
    <w:rsid w:val="00FE68F6"/>
    <w:rsid w:val="00FE693C"/>
    <w:rsid w:val="00FE69AA"/>
    <w:rsid w:val="00FE6A92"/>
    <w:rsid w:val="00FE6D37"/>
    <w:rsid w:val="00FE6DB4"/>
    <w:rsid w:val="00FE6EA5"/>
    <w:rsid w:val="00FE7128"/>
    <w:rsid w:val="00FE715E"/>
    <w:rsid w:val="00FE7545"/>
    <w:rsid w:val="00FE7548"/>
    <w:rsid w:val="00FE755A"/>
    <w:rsid w:val="00FE7634"/>
    <w:rsid w:val="00FE7917"/>
    <w:rsid w:val="00FE7A07"/>
    <w:rsid w:val="00FE7CC9"/>
    <w:rsid w:val="00FE7D1E"/>
    <w:rsid w:val="00FE7DC2"/>
    <w:rsid w:val="00FE7E9A"/>
    <w:rsid w:val="00FE7FDC"/>
    <w:rsid w:val="00FF0016"/>
    <w:rsid w:val="00FF0169"/>
    <w:rsid w:val="00FF01BA"/>
    <w:rsid w:val="00FF05D9"/>
    <w:rsid w:val="00FF09D6"/>
    <w:rsid w:val="00FF0B91"/>
    <w:rsid w:val="00FF0BB3"/>
    <w:rsid w:val="00FF0DFE"/>
    <w:rsid w:val="00FF112C"/>
    <w:rsid w:val="00FF1164"/>
    <w:rsid w:val="00FF117C"/>
    <w:rsid w:val="00FF122C"/>
    <w:rsid w:val="00FF13D9"/>
    <w:rsid w:val="00FF14A7"/>
    <w:rsid w:val="00FF1762"/>
    <w:rsid w:val="00FF18B1"/>
    <w:rsid w:val="00FF1B60"/>
    <w:rsid w:val="00FF1BD9"/>
    <w:rsid w:val="00FF1D70"/>
    <w:rsid w:val="00FF21EB"/>
    <w:rsid w:val="00FF231F"/>
    <w:rsid w:val="00FF277A"/>
    <w:rsid w:val="00FF2B10"/>
    <w:rsid w:val="00FF2C16"/>
    <w:rsid w:val="00FF2ECD"/>
    <w:rsid w:val="00FF308B"/>
    <w:rsid w:val="00FF31DB"/>
    <w:rsid w:val="00FF321F"/>
    <w:rsid w:val="00FF3317"/>
    <w:rsid w:val="00FF3474"/>
    <w:rsid w:val="00FF35C1"/>
    <w:rsid w:val="00FF369F"/>
    <w:rsid w:val="00FF3720"/>
    <w:rsid w:val="00FF375F"/>
    <w:rsid w:val="00FF37F1"/>
    <w:rsid w:val="00FF3A6A"/>
    <w:rsid w:val="00FF3D86"/>
    <w:rsid w:val="00FF4144"/>
    <w:rsid w:val="00FF414E"/>
    <w:rsid w:val="00FF439B"/>
    <w:rsid w:val="00FF464B"/>
    <w:rsid w:val="00FF46A2"/>
    <w:rsid w:val="00FF4760"/>
    <w:rsid w:val="00FF47F6"/>
    <w:rsid w:val="00FF4EF9"/>
    <w:rsid w:val="00FF507A"/>
    <w:rsid w:val="00FF5AC3"/>
    <w:rsid w:val="00FF5AEE"/>
    <w:rsid w:val="00FF5BA1"/>
    <w:rsid w:val="00FF5E94"/>
    <w:rsid w:val="00FF62A0"/>
    <w:rsid w:val="00FF6387"/>
    <w:rsid w:val="00FF63AE"/>
    <w:rsid w:val="00FF6471"/>
    <w:rsid w:val="00FF6495"/>
    <w:rsid w:val="00FF64F4"/>
    <w:rsid w:val="00FF6507"/>
    <w:rsid w:val="00FF675E"/>
    <w:rsid w:val="00FF6764"/>
    <w:rsid w:val="00FF67DE"/>
    <w:rsid w:val="00FF6988"/>
    <w:rsid w:val="00FF69E1"/>
    <w:rsid w:val="00FF6B2E"/>
    <w:rsid w:val="00FF6CC8"/>
    <w:rsid w:val="00FF6D42"/>
    <w:rsid w:val="00FF6DDA"/>
    <w:rsid w:val="00FF7425"/>
    <w:rsid w:val="00FF7AC3"/>
    <w:rsid w:val="00FF7C00"/>
    <w:rsid w:val="00FF7D3D"/>
    <w:rsid w:val="00FF7D51"/>
    <w:rsid w:val="00FF7DD0"/>
    <w:rsid w:val="00FF7E87"/>
    <w:rsid w:val="079223BD"/>
    <w:rsid w:val="0A5CB6FA"/>
    <w:rsid w:val="0CA01058"/>
    <w:rsid w:val="0EE84E41"/>
    <w:rsid w:val="0F9FB1AE"/>
    <w:rsid w:val="11475EF2"/>
    <w:rsid w:val="1188C901"/>
    <w:rsid w:val="162C4141"/>
    <w:rsid w:val="1B992954"/>
    <w:rsid w:val="20F3F551"/>
    <w:rsid w:val="21A36A79"/>
    <w:rsid w:val="21D701FD"/>
    <w:rsid w:val="221B2C26"/>
    <w:rsid w:val="229FC074"/>
    <w:rsid w:val="22AC6BBB"/>
    <w:rsid w:val="252EF990"/>
    <w:rsid w:val="28A7BF99"/>
    <w:rsid w:val="2B034344"/>
    <w:rsid w:val="2C88D11F"/>
    <w:rsid w:val="2E219F16"/>
    <w:rsid w:val="33CFE985"/>
    <w:rsid w:val="352992EB"/>
    <w:rsid w:val="38339BCA"/>
    <w:rsid w:val="3AC0B752"/>
    <w:rsid w:val="3AE57565"/>
    <w:rsid w:val="458B0B20"/>
    <w:rsid w:val="463A1E12"/>
    <w:rsid w:val="463A4B4E"/>
    <w:rsid w:val="4B22204D"/>
    <w:rsid w:val="4C09DE39"/>
    <w:rsid w:val="4D947F94"/>
    <w:rsid w:val="4DB292C9"/>
    <w:rsid w:val="4EF6ECC8"/>
    <w:rsid w:val="523141A0"/>
    <w:rsid w:val="52C9DEAD"/>
    <w:rsid w:val="5387A295"/>
    <w:rsid w:val="555785CA"/>
    <w:rsid w:val="557E5591"/>
    <w:rsid w:val="595A7636"/>
    <w:rsid w:val="596416E1"/>
    <w:rsid w:val="5A32B668"/>
    <w:rsid w:val="5D7CD226"/>
    <w:rsid w:val="5D811B62"/>
    <w:rsid w:val="62FEF130"/>
    <w:rsid w:val="6374FA91"/>
    <w:rsid w:val="643C74FF"/>
    <w:rsid w:val="680B769A"/>
    <w:rsid w:val="69018527"/>
    <w:rsid w:val="6AD04DC0"/>
    <w:rsid w:val="6C18A9D3"/>
    <w:rsid w:val="6C4D6E27"/>
    <w:rsid w:val="6F365620"/>
    <w:rsid w:val="72B303CA"/>
    <w:rsid w:val="7333DB67"/>
    <w:rsid w:val="794D33DD"/>
    <w:rsid w:val="7F418CD1"/>
    <w:rsid w:val="7FB61469"/>
    <w:rsid w:val="7FE3D0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3C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232"/>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F11C4"/>
    <w:pPr>
      <w:spacing w:line="600" w:lineRule="exact"/>
      <w:outlineLvl w:val="0"/>
    </w:pPr>
    <w:rPr>
      <w:b/>
      <w:bCs w:val="0"/>
      <w:color w:val="3C0E40"/>
      <w:sz w:val="56"/>
    </w:rPr>
  </w:style>
  <w:style w:type="paragraph" w:styleId="Heading2">
    <w:name w:val="heading 2"/>
    <w:basedOn w:val="HeadingBase"/>
    <w:next w:val="Normal"/>
    <w:link w:val="Heading2Char"/>
    <w:qFormat/>
    <w:rsid w:val="00642CF8"/>
    <w:pPr>
      <w:spacing w:before="360" w:line="460" w:lineRule="exact"/>
      <w:outlineLvl w:val="1"/>
    </w:pPr>
    <w:rPr>
      <w:bCs w:val="0"/>
      <w:iCs/>
      <w:color w:val="002B54"/>
      <w:szCs w:val="28"/>
    </w:rPr>
  </w:style>
  <w:style w:type="paragraph" w:styleId="Heading3">
    <w:name w:val="heading 3"/>
    <w:basedOn w:val="HeadingBase"/>
    <w:next w:val="Normal"/>
    <w:link w:val="Heading3Char"/>
    <w:qFormat/>
    <w:rsid w:val="00071983"/>
    <w:pPr>
      <w:spacing w:before="320"/>
      <w:outlineLvl w:val="2"/>
    </w:pPr>
    <w:rPr>
      <w:bCs w:val="0"/>
      <w:color w:val="002B54"/>
      <w:sz w:val="36"/>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4D4D4D"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5F5F5F" w:themeColor="accent5"/>
      <w:sz w:val="23"/>
      <w:szCs w:val="22"/>
    </w:rPr>
  </w:style>
  <w:style w:type="paragraph" w:styleId="Heading7">
    <w:name w:val="heading 7"/>
    <w:basedOn w:val="Normal"/>
    <w:next w:val="Normal"/>
    <w:link w:val="Heading7Char"/>
    <w:uiPriority w:val="9"/>
    <w:semiHidden/>
    <w:unhideWhenUsed/>
    <w:rsid w:val="00082D4C"/>
    <w:pPr>
      <w:keepNext/>
      <w:keepLines/>
      <w:spacing w:before="40" w:after="0"/>
      <w:outlineLvl w:val="6"/>
    </w:pPr>
    <w:rPr>
      <w:rFonts w:asciiTheme="majorHAnsi" w:eastAsiaTheme="majorEastAsia" w:hAnsiTheme="majorHAnsi" w:cstheme="majorBidi"/>
      <w:i/>
      <w:iCs/>
      <w:color w:val="727272" w:themeColor="accent1" w:themeShade="7F"/>
    </w:rPr>
  </w:style>
  <w:style w:type="paragraph" w:styleId="Heading8">
    <w:name w:val="heading 8"/>
    <w:basedOn w:val="Normal"/>
    <w:next w:val="Normal"/>
    <w:link w:val="Heading8Char"/>
    <w:uiPriority w:val="9"/>
    <w:semiHidden/>
    <w:unhideWhenUsed/>
    <w:qFormat/>
    <w:rsid w:val="00082D4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82D4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3C0E40"/>
      <w:kern w:val="32"/>
      <w:sz w:val="56"/>
      <w:szCs w:val="36"/>
      <w:lang w:eastAsia="en-AU"/>
    </w:rPr>
  </w:style>
  <w:style w:type="character" w:customStyle="1" w:styleId="Heading2Char">
    <w:name w:val="Heading 2 Char"/>
    <w:basedOn w:val="DefaultParagraphFont"/>
    <w:link w:val="Heading2"/>
    <w:rsid w:val="0039150C"/>
    <w:rPr>
      <w:rFonts w:asciiTheme="majorHAnsi" w:eastAsia="Times New Roman" w:hAnsiTheme="majorHAnsi" w:cs="Arial"/>
      <w:iCs/>
      <w:color w:val="002B54"/>
      <w:kern w:val="32"/>
      <w:sz w:val="48"/>
      <w:szCs w:val="28"/>
      <w:lang w:eastAsia="en-AU"/>
    </w:rPr>
  </w:style>
  <w:style w:type="character" w:customStyle="1" w:styleId="Heading3Char">
    <w:name w:val="Heading 3 Char"/>
    <w:basedOn w:val="DefaultParagraphFont"/>
    <w:link w:val="Heading3"/>
    <w:rsid w:val="0039150C"/>
    <w:rPr>
      <w:rFonts w:asciiTheme="majorHAnsi" w:eastAsia="Times New Roman" w:hAnsiTheme="majorHAnsi" w:cs="Arial"/>
      <w:color w:val="002B54"/>
      <w:kern w:val="32"/>
      <w:sz w:val="36"/>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4D4D4D"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5F5F5F"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4D4D4D" w:themeColor="accent6"/>
      <w:sz w:val="20"/>
    </w:rPr>
  </w:style>
  <w:style w:type="paragraph" w:customStyle="1" w:styleId="AlphaParagraph">
    <w:name w:val="Alpha Paragraph"/>
    <w:basedOn w:val="Normal"/>
    <w:qFormat/>
    <w:rsid w:val="000E0B74"/>
    <w:pPr>
      <w:numPr>
        <w:ilvl w:val="1"/>
        <w:numId w:val="8"/>
      </w:numPr>
      <w:spacing w:before="0"/>
    </w:pPr>
  </w:style>
  <w:style w:type="character" w:customStyle="1" w:styleId="DashChar">
    <w:name w:val="Dash Char"/>
    <w:basedOn w:val="DefaultParagraphFont"/>
    <w:link w:val="Dash"/>
    <w:locked/>
    <w:rsid w:val="00513387"/>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aliases w:val="Body Char,Bullet + line Char,Bullets Char,L Char,List Paragraph Char,List Paragraph1 Char,List Paragraph11 Char,List Paragraph2 Char,Number Char,Recommendation Char,b + line Char,b + line Char Char,b Char,b Char Char,b1 Char,level 1 Char,L C"/>
    <w:basedOn w:val="DefaultParagraphFont"/>
    <w:link w:val="Bullet"/>
    <w:qFormat/>
    <w:locked/>
    <w:rsid w:val="00CB246F"/>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AD181D"/>
    <w:pPr>
      <w:numPr>
        <w:numId w:val="10"/>
      </w:numPr>
      <w:spacing w:before="120" w:after="60" w:line="276" w:lineRule="auto"/>
      <w:ind w:left="340" w:hanging="340"/>
    </w:pPr>
  </w:style>
  <w:style w:type="paragraph" w:customStyle="1" w:styleId="ChartandTableFootnoteAlpha">
    <w:name w:val="Chart and Table Footnote Alpha"/>
    <w:rsid w:val="0039150C"/>
    <w:pPr>
      <w:numPr>
        <w:numId w:val="6"/>
      </w:numPr>
      <w:spacing w:before="40" w:after="40" w:line="240" w:lineRule="auto"/>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4E307D"/>
    <w:pPr>
      <w:keepNext/>
      <w:spacing w:before="0" w:after="360"/>
    </w:pPr>
    <w:rPr>
      <w:color w:val="auto"/>
      <w:sz w:val="32"/>
    </w:rPr>
  </w:style>
  <w:style w:type="paragraph" w:customStyle="1" w:styleId="Dash">
    <w:name w:val="Dash"/>
    <w:basedOn w:val="Normal"/>
    <w:link w:val="DashChar"/>
    <w:qFormat/>
    <w:rsid w:val="006F3908"/>
    <w:pPr>
      <w:numPr>
        <w:ilvl w:val="1"/>
        <w:numId w:val="10"/>
      </w:numPr>
      <w:spacing w:before="120" w:after="120"/>
      <w:ind w:left="680" w:hanging="340"/>
    </w:pPr>
  </w:style>
  <w:style w:type="paragraph" w:customStyle="1" w:styleId="DoubleDot">
    <w:name w:val="Double Dot"/>
    <w:basedOn w:val="Normal"/>
    <w:link w:val="DoubleDotChar"/>
    <w:qFormat/>
    <w:rsid w:val="00D54098"/>
    <w:pPr>
      <w:numPr>
        <w:ilvl w:val="2"/>
        <w:numId w:val="10"/>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200940"/>
    <w:pPr>
      <w:numPr>
        <w:numId w:val="5"/>
      </w:numPr>
      <w:spacing w:before="0" w:after="120"/>
    </w:pPr>
  </w:style>
  <w:style w:type="paragraph" w:customStyle="1" w:styleId="OutlineNumbered2">
    <w:name w:val="Outline Numbered 2"/>
    <w:basedOn w:val="Normal"/>
    <w:rsid w:val="000E0B74"/>
    <w:pPr>
      <w:numPr>
        <w:ilvl w:val="1"/>
        <w:numId w:val="5"/>
      </w:numPr>
      <w:spacing w:before="0"/>
    </w:pPr>
  </w:style>
  <w:style w:type="paragraph" w:customStyle="1" w:styleId="OutlineNumbered3">
    <w:name w:val="Outline Numbered 3"/>
    <w:basedOn w:val="Normal"/>
    <w:rsid w:val="000E0B74"/>
    <w:pPr>
      <w:numPr>
        <w:ilvl w:val="2"/>
        <w:numId w:val="5"/>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5F5F5F"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1D5D9A"/>
    <w:pPr>
      <w:spacing w:before="40" w:after="40" w:line="240" w:lineRule="auto"/>
    </w:pPr>
    <w:rPr>
      <w:rFonts w:ascii="Calibri" w:eastAsia="Times New Roman" w:hAnsi="Calibri" w:cs="Times New Roman"/>
      <w:sz w:val="18"/>
      <w:szCs w:val="20"/>
      <w:lang w:eastAsia="en-AU"/>
    </w:rPr>
    <w:tblPr>
      <w:tblStyleRowBandSize w:val="1"/>
      <w:tblBorders>
        <w:bottom w:val="single" w:sz="4" w:space="0" w:color="auto"/>
      </w:tblBorders>
      <w:tblCellMar>
        <w:top w:w="28" w:type="dxa"/>
        <w:bottom w:w="28" w:type="dxa"/>
      </w:tblCellMar>
    </w:tblPr>
    <w:tcPr>
      <w:shd w:val="clear" w:color="auto" w:fill="auto"/>
    </w:tcPr>
    <w:tblStylePr w:type="firstRow">
      <w:pPr>
        <w:wordWrap/>
        <w:spacing w:beforeLines="0" w:before="40" w:beforeAutospacing="0" w:afterLines="0" w:after="40" w:afterAutospacing="0"/>
        <w:jc w:val="left"/>
      </w:pPr>
      <w:rPr>
        <w:rFonts w:asciiTheme="majorHAnsi" w:hAnsiTheme="majorHAnsi"/>
        <w:b w:val="0"/>
        <w:color w:val="E6E6E6" w:themeColor="accent1"/>
        <w:sz w:val="20"/>
      </w:rPr>
      <w:tblPr/>
      <w:tcPr>
        <w:tcBorders>
          <w:bottom w:val="single" w:sz="4" w:space="0" w:color="4D4D4D" w:themeColor="accent6"/>
        </w:tcBorders>
        <w:shd w:val="clear" w:color="auto" w:fill="auto"/>
      </w:tcPr>
    </w:tblStylePr>
    <w:tblStylePr w:type="band1Horz">
      <w:tblPr/>
      <w:tcPr>
        <w:shd w:val="clear" w:color="auto" w:fill="auto"/>
      </w:tcPr>
    </w:tblStylePr>
    <w:tblStylePr w:type="band2Horz">
      <w:tblPr/>
      <w:tcPr>
        <w:shd w:val="clear" w:color="auto" w:fill="F4F0EC"/>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9"/>
      </w:numPr>
    </w:pPr>
  </w:style>
  <w:style w:type="paragraph" w:customStyle="1" w:styleId="Heading1Numbered">
    <w:name w:val="Heading 1 Numbered"/>
    <w:basedOn w:val="Heading1"/>
    <w:next w:val="Normal"/>
    <w:rsid w:val="00EE1BF1"/>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7"/>
      </w:numPr>
      <w:ind w:left="284" w:hanging="284"/>
    </w:pPr>
  </w:style>
  <w:style w:type="paragraph" w:customStyle="1" w:styleId="Heading3Numbered">
    <w:name w:val="Heading 3 Numbered"/>
    <w:basedOn w:val="Heading3"/>
    <w:rsid w:val="00EE1BF1"/>
    <w:pPr>
      <w:numPr>
        <w:ilvl w:val="2"/>
        <w:numId w:val="7"/>
      </w:numPr>
      <w:ind w:left="284" w:hanging="284"/>
    </w:pPr>
  </w:style>
  <w:style w:type="paragraph" w:styleId="Title">
    <w:name w:val="Title"/>
    <w:basedOn w:val="Normal"/>
    <w:next w:val="Normal"/>
    <w:link w:val="TitleChar"/>
    <w:uiPriority w:val="10"/>
    <w:rsid w:val="005A7676"/>
    <w:pPr>
      <w:spacing w:before="9480" w:after="300"/>
      <w:contextualSpacing/>
      <w:outlineLvl w:val="0"/>
    </w:pPr>
    <w:rPr>
      <w:rFonts w:asciiTheme="majorHAnsi" w:eastAsiaTheme="majorEastAsia" w:hAnsiTheme="majorHAnsi" w:cstheme="majorBidi"/>
      <w:b/>
      <w:color w:val="002B54"/>
      <w:spacing w:val="5"/>
      <w:kern w:val="28"/>
      <w:sz w:val="56"/>
      <w:szCs w:val="52"/>
    </w:rPr>
  </w:style>
  <w:style w:type="character" w:customStyle="1" w:styleId="TitleChar">
    <w:name w:val="Title Char"/>
    <w:basedOn w:val="DefaultParagraphFont"/>
    <w:link w:val="Title"/>
    <w:uiPriority w:val="10"/>
    <w:rsid w:val="005A7676"/>
    <w:rPr>
      <w:rFonts w:asciiTheme="majorHAnsi" w:eastAsiaTheme="majorEastAsia" w:hAnsiTheme="majorHAnsi" w:cstheme="majorBidi"/>
      <w:b/>
      <w:color w:val="002B54"/>
      <w:spacing w:val="5"/>
      <w:kern w:val="28"/>
      <w:sz w:val="56"/>
      <w:szCs w:val="52"/>
      <w:lang w:eastAsia="en-AU"/>
    </w:rPr>
  </w:style>
  <w:style w:type="paragraph" w:styleId="Subtitle">
    <w:name w:val="Subtitle"/>
    <w:basedOn w:val="Normal"/>
    <w:next w:val="Normal"/>
    <w:link w:val="SubtitleChar"/>
    <w:uiPriority w:val="11"/>
    <w:rsid w:val="005A7676"/>
    <w:pPr>
      <w:numPr>
        <w:ilvl w:val="1"/>
      </w:numPr>
    </w:pPr>
    <w:rPr>
      <w:rFonts w:asciiTheme="majorHAnsi" w:eastAsiaTheme="majorEastAsia" w:hAnsiTheme="majorHAnsi" w:cstheme="majorBidi"/>
      <w:iCs/>
      <w:color w:val="002B54"/>
      <w:sz w:val="36"/>
      <w:szCs w:val="44"/>
    </w:rPr>
  </w:style>
  <w:style w:type="character" w:customStyle="1" w:styleId="SubtitleChar">
    <w:name w:val="Subtitle Char"/>
    <w:basedOn w:val="DefaultParagraphFont"/>
    <w:link w:val="Subtitle"/>
    <w:uiPriority w:val="11"/>
    <w:rsid w:val="005A7676"/>
    <w:rPr>
      <w:rFonts w:asciiTheme="majorHAnsi" w:eastAsiaTheme="majorEastAsia" w:hAnsiTheme="majorHAnsi" w:cstheme="majorBidi"/>
      <w:iCs/>
      <w:color w:val="002B54"/>
      <w:sz w:val="36"/>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C723D6"/>
    <w:pPr>
      <w:keepNext/>
      <w:spacing w:before="0" w:after="0"/>
    </w:pPr>
    <w:rPr>
      <w:color w:val="auto"/>
      <w:sz w:val="20"/>
    </w:rPr>
  </w:style>
  <w:style w:type="character" w:customStyle="1" w:styleId="HeaderChar">
    <w:name w:val="Header Char"/>
    <w:basedOn w:val="DefaultParagraphFont"/>
    <w:link w:val="Header"/>
    <w:uiPriority w:val="99"/>
    <w:rsid w:val="00C723D6"/>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4E307D"/>
    <w:rPr>
      <w:rFonts w:eastAsia="Times New Roman" w:cs="Times New Roman"/>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000000" w:themeColor="text2"/>
      <w:sz w:val="36"/>
      <w:szCs w:val="36"/>
    </w:rPr>
  </w:style>
  <w:style w:type="paragraph" w:styleId="ListParagraph">
    <w:name w:val="List Paragraph"/>
    <w:basedOn w:val="Normal"/>
    <w:uiPriority w:val="34"/>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style>
  <w:style w:type="paragraph" w:customStyle="1" w:styleId="HeaderOdd">
    <w:name w:val="Header Odd"/>
    <w:basedOn w:val="Header"/>
    <w:qFormat/>
    <w:rsid w:val="00420CD3"/>
    <w:pPr>
      <w:jc w:val="right"/>
    </w:pPr>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11"/>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character" w:styleId="UnresolvedMention">
    <w:name w:val="Unresolved Mention"/>
    <w:basedOn w:val="DefaultParagraphFont"/>
    <w:uiPriority w:val="99"/>
    <w:semiHidden/>
    <w:unhideWhenUsed/>
    <w:rsid w:val="00AC102B"/>
    <w:rPr>
      <w:color w:val="605E5C"/>
      <w:shd w:val="clear" w:color="auto" w:fill="E1DFDD"/>
    </w:rPr>
  </w:style>
  <w:style w:type="character" w:styleId="Emphasis">
    <w:name w:val="Emphasis"/>
    <w:basedOn w:val="DefaultParagraphFont"/>
    <w:uiPriority w:val="20"/>
    <w:rsid w:val="005005F5"/>
    <w:rPr>
      <w:i/>
      <w:iCs/>
    </w:rPr>
  </w:style>
  <w:style w:type="table" w:customStyle="1" w:styleId="SidebySideChartTable">
    <w:name w:val="Side by Side Chart Table"/>
    <w:basedOn w:val="TableNormal"/>
    <w:uiPriority w:val="99"/>
    <w:rsid w:val="00BB0973"/>
    <w:pPr>
      <w:spacing w:after="0" w:line="240" w:lineRule="auto"/>
    </w:pPr>
    <w:tblPr>
      <w:tblStyleRowBandSize w:val="1"/>
      <w:tblStyleColBandSize w:val="1"/>
      <w:tblCellMar>
        <w:left w:w="0" w:type="dxa"/>
        <w:right w:w="0" w:type="dxa"/>
      </w:tblCellMar>
    </w:tblPr>
    <w:trPr>
      <w:cantSplit/>
    </w:trPr>
    <w:tblStylePr w:type="firstRow">
      <w:tblPr/>
      <w:trPr>
        <w:cantSplit/>
        <w:tblHeader/>
      </w:trPr>
    </w:tblStylePr>
  </w:style>
  <w:style w:type="table" w:customStyle="1" w:styleId="BoxStyle">
    <w:name w:val="Box Style"/>
    <w:basedOn w:val="TableNormal"/>
    <w:uiPriority w:val="99"/>
    <w:rsid w:val="004E7897"/>
    <w:pPr>
      <w:spacing w:after="0" w:line="240" w:lineRule="auto"/>
    </w:pPr>
    <w:rPr>
      <w:sz w:val="20"/>
    </w:rPr>
    <w:tblPr>
      <w:tblCellMar>
        <w:top w:w="284" w:type="dxa"/>
        <w:left w:w="284" w:type="dxa"/>
        <w:bottom w:w="284" w:type="dxa"/>
        <w:right w:w="284" w:type="dxa"/>
      </w:tblCellMar>
    </w:tblPr>
    <w:tcPr>
      <w:shd w:val="clear" w:color="auto" w:fill="F8F8F8" w:themeFill="background2"/>
    </w:tcPr>
  </w:style>
  <w:style w:type="character" w:styleId="Strong">
    <w:name w:val="Strong"/>
    <w:basedOn w:val="DefaultParagraphFont"/>
    <w:qFormat/>
    <w:rsid w:val="00372D99"/>
    <w:rPr>
      <w:b/>
      <w:bCs/>
    </w:rPr>
  </w:style>
  <w:style w:type="table" w:customStyle="1" w:styleId="TableGrid1">
    <w:name w:val="Table Grid1"/>
    <w:basedOn w:val="TableNormal"/>
    <w:next w:val="TableGrid"/>
    <w:uiPriority w:val="39"/>
    <w:rsid w:val="004B15A6"/>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sz w:val="20"/>
      </w:rPr>
      <w:tblPr/>
      <w:tcPr>
        <w:shd w:val="clear" w:color="auto" w:fill="F8F8F8"/>
      </w:tcPr>
    </w:tblStylePr>
  </w:style>
  <w:style w:type="table" w:styleId="TableGridLight">
    <w:name w:val="Grid Table Light"/>
    <w:basedOn w:val="TableNormal"/>
    <w:uiPriority w:val="40"/>
    <w:rsid w:val="005404D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46B4F"/>
    <w:pPr>
      <w:spacing w:before="100" w:beforeAutospacing="1" w:after="100" w:afterAutospacing="1"/>
    </w:pPr>
    <w:rPr>
      <w:rFonts w:ascii="Times New Roman" w:hAnsi="Times New Roman"/>
      <w:color w:val="auto"/>
      <w:sz w:val="24"/>
      <w:szCs w:val="24"/>
    </w:rPr>
  </w:style>
  <w:style w:type="paragraph" w:customStyle="1" w:styleId="paragraph">
    <w:name w:val="paragraph"/>
    <w:basedOn w:val="Normal"/>
    <w:rsid w:val="00946B4F"/>
    <w:pPr>
      <w:spacing w:before="100" w:beforeAutospacing="1" w:after="100" w:afterAutospacing="1"/>
    </w:pPr>
    <w:rPr>
      <w:rFonts w:ascii="Times New Roman" w:hAnsi="Times New Roman"/>
      <w:color w:val="auto"/>
      <w:sz w:val="24"/>
      <w:szCs w:val="24"/>
    </w:rPr>
  </w:style>
  <w:style w:type="character" w:customStyle="1" w:styleId="textrun">
    <w:name w:val="textrun"/>
    <w:basedOn w:val="DefaultParagraphFont"/>
    <w:rsid w:val="00946B4F"/>
  </w:style>
  <w:style w:type="character" w:customStyle="1" w:styleId="normaltextrun">
    <w:name w:val="normaltextrun"/>
    <w:basedOn w:val="DefaultParagraphFont"/>
    <w:rsid w:val="00946B4F"/>
  </w:style>
  <w:style w:type="character" w:customStyle="1" w:styleId="eop">
    <w:name w:val="eop"/>
    <w:basedOn w:val="DefaultParagraphFont"/>
    <w:rsid w:val="00946B4F"/>
  </w:style>
  <w:style w:type="paragraph" w:customStyle="1" w:styleId="outlineelement">
    <w:name w:val="outlineelement"/>
    <w:basedOn w:val="Normal"/>
    <w:rsid w:val="00946B4F"/>
    <w:pPr>
      <w:spacing w:before="100" w:beforeAutospacing="1" w:after="100" w:afterAutospacing="1"/>
    </w:pPr>
    <w:rPr>
      <w:rFonts w:ascii="Times New Roman" w:hAnsi="Times New Roman"/>
      <w:color w:val="auto"/>
      <w:sz w:val="24"/>
      <w:szCs w:val="24"/>
    </w:rPr>
  </w:style>
  <w:style w:type="character" w:customStyle="1" w:styleId="superscript">
    <w:name w:val="superscript"/>
    <w:basedOn w:val="DefaultParagraphFont"/>
    <w:rsid w:val="00946B4F"/>
  </w:style>
  <w:style w:type="character" w:customStyle="1" w:styleId="linebreakblob">
    <w:name w:val="linebreakblob"/>
    <w:basedOn w:val="DefaultParagraphFont"/>
    <w:rsid w:val="00946B4F"/>
  </w:style>
  <w:style w:type="character" w:customStyle="1" w:styleId="scxw176306482">
    <w:name w:val="scxw176306482"/>
    <w:basedOn w:val="DefaultParagraphFont"/>
    <w:rsid w:val="00946B4F"/>
  </w:style>
  <w:style w:type="character" w:styleId="FollowedHyperlink">
    <w:name w:val="FollowedHyperlink"/>
    <w:basedOn w:val="DefaultParagraphFont"/>
    <w:uiPriority w:val="99"/>
    <w:semiHidden/>
    <w:unhideWhenUsed/>
    <w:rsid w:val="00946B4F"/>
    <w:rPr>
      <w:color w:val="800080"/>
      <w:u w:val="single"/>
    </w:rPr>
  </w:style>
  <w:style w:type="character" w:customStyle="1" w:styleId="tabrun">
    <w:name w:val="tabrun"/>
    <w:basedOn w:val="DefaultParagraphFont"/>
    <w:rsid w:val="00946B4F"/>
  </w:style>
  <w:style w:type="character" w:customStyle="1" w:styleId="tabchar">
    <w:name w:val="tabchar"/>
    <w:basedOn w:val="DefaultParagraphFont"/>
    <w:rsid w:val="00946B4F"/>
  </w:style>
  <w:style w:type="character" w:customStyle="1" w:styleId="tableaderchars">
    <w:name w:val="tableaderchars"/>
    <w:basedOn w:val="DefaultParagraphFont"/>
    <w:rsid w:val="00946B4F"/>
  </w:style>
  <w:style w:type="character" w:customStyle="1" w:styleId="wacimagecontainer">
    <w:name w:val="wacimagecontainer"/>
    <w:basedOn w:val="DefaultParagraphFont"/>
    <w:rsid w:val="00946B4F"/>
  </w:style>
  <w:style w:type="paragraph" w:styleId="TOC4">
    <w:name w:val="toc 4"/>
    <w:basedOn w:val="Normal"/>
    <w:next w:val="Normal"/>
    <w:autoRedefine/>
    <w:uiPriority w:val="39"/>
    <w:unhideWhenUsed/>
    <w:rsid w:val="006F5AD9"/>
    <w:pPr>
      <w:spacing w:before="0" w:after="100" w:line="278" w:lineRule="auto"/>
      <w:ind w:left="720"/>
    </w:pPr>
    <w:rPr>
      <w:rFonts w:eastAsiaTheme="minorEastAsia" w:cstheme="minorBidi"/>
      <w:color w:val="auto"/>
      <w:kern w:val="2"/>
      <w:sz w:val="24"/>
      <w:szCs w:val="24"/>
      <w14:ligatures w14:val="standardContextual"/>
    </w:rPr>
  </w:style>
  <w:style w:type="paragraph" w:styleId="TOC5">
    <w:name w:val="toc 5"/>
    <w:basedOn w:val="Normal"/>
    <w:next w:val="Normal"/>
    <w:autoRedefine/>
    <w:uiPriority w:val="39"/>
    <w:unhideWhenUsed/>
    <w:rsid w:val="006F5AD9"/>
    <w:pPr>
      <w:spacing w:before="0" w:after="100" w:line="278" w:lineRule="auto"/>
      <w:ind w:left="960"/>
    </w:pPr>
    <w:rPr>
      <w:rFonts w:eastAsiaTheme="minorEastAsia" w:cstheme="minorBidi"/>
      <w:color w:val="auto"/>
      <w:kern w:val="2"/>
      <w:sz w:val="24"/>
      <w:szCs w:val="24"/>
      <w14:ligatures w14:val="standardContextual"/>
    </w:rPr>
  </w:style>
  <w:style w:type="paragraph" w:styleId="TOC6">
    <w:name w:val="toc 6"/>
    <w:basedOn w:val="Normal"/>
    <w:next w:val="Normal"/>
    <w:autoRedefine/>
    <w:uiPriority w:val="39"/>
    <w:unhideWhenUsed/>
    <w:rsid w:val="006F5AD9"/>
    <w:pPr>
      <w:spacing w:before="0" w:after="100" w:line="278" w:lineRule="auto"/>
      <w:ind w:left="1200"/>
    </w:pPr>
    <w:rPr>
      <w:rFonts w:eastAsiaTheme="minorEastAsia" w:cstheme="minorBidi"/>
      <w:color w:val="auto"/>
      <w:kern w:val="2"/>
      <w:sz w:val="24"/>
      <w:szCs w:val="24"/>
      <w14:ligatures w14:val="standardContextual"/>
    </w:rPr>
  </w:style>
  <w:style w:type="paragraph" w:styleId="TOC7">
    <w:name w:val="toc 7"/>
    <w:basedOn w:val="Normal"/>
    <w:next w:val="Normal"/>
    <w:autoRedefine/>
    <w:uiPriority w:val="39"/>
    <w:unhideWhenUsed/>
    <w:rsid w:val="006F5AD9"/>
    <w:pPr>
      <w:spacing w:before="0" w:after="100" w:line="278" w:lineRule="auto"/>
      <w:ind w:left="1440"/>
    </w:pPr>
    <w:rPr>
      <w:rFonts w:eastAsiaTheme="minorEastAsia" w:cstheme="minorBidi"/>
      <w:color w:val="auto"/>
      <w:kern w:val="2"/>
      <w:sz w:val="24"/>
      <w:szCs w:val="24"/>
      <w14:ligatures w14:val="standardContextual"/>
    </w:rPr>
  </w:style>
  <w:style w:type="paragraph" w:styleId="TOC8">
    <w:name w:val="toc 8"/>
    <w:basedOn w:val="Normal"/>
    <w:next w:val="Normal"/>
    <w:autoRedefine/>
    <w:uiPriority w:val="39"/>
    <w:unhideWhenUsed/>
    <w:rsid w:val="006F5AD9"/>
    <w:pPr>
      <w:spacing w:before="0" w:after="100" w:line="278" w:lineRule="auto"/>
      <w:ind w:left="1680"/>
    </w:pPr>
    <w:rPr>
      <w:rFonts w:eastAsiaTheme="minorEastAsia" w:cstheme="minorBidi"/>
      <w:color w:val="auto"/>
      <w:kern w:val="2"/>
      <w:sz w:val="24"/>
      <w:szCs w:val="24"/>
      <w14:ligatures w14:val="standardContextual"/>
    </w:rPr>
  </w:style>
  <w:style w:type="paragraph" w:styleId="TOC9">
    <w:name w:val="toc 9"/>
    <w:basedOn w:val="Normal"/>
    <w:next w:val="Normal"/>
    <w:autoRedefine/>
    <w:uiPriority w:val="39"/>
    <w:unhideWhenUsed/>
    <w:rsid w:val="006F5AD9"/>
    <w:pPr>
      <w:spacing w:before="0" w:after="100" w:line="278" w:lineRule="auto"/>
      <w:ind w:left="1920"/>
    </w:pPr>
    <w:rPr>
      <w:rFonts w:eastAsiaTheme="minorEastAsia" w:cstheme="minorBidi"/>
      <w:color w:val="auto"/>
      <w:kern w:val="2"/>
      <w:sz w:val="24"/>
      <w:szCs w:val="24"/>
      <w14:ligatures w14:val="standardContextual"/>
    </w:rPr>
  </w:style>
  <w:style w:type="paragraph" w:styleId="NormalWeb">
    <w:name w:val="Normal (Web)"/>
    <w:basedOn w:val="Normal"/>
    <w:uiPriority w:val="99"/>
    <w:semiHidden/>
    <w:unhideWhenUsed/>
    <w:rsid w:val="00916FA5"/>
    <w:rPr>
      <w:rFonts w:ascii="Times New Roman" w:hAnsi="Times New Roman"/>
      <w:sz w:val="24"/>
      <w:szCs w:val="24"/>
    </w:rPr>
  </w:style>
  <w:style w:type="table" w:customStyle="1" w:styleId="Style1">
    <w:name w:val="Style1"/>
    <w:basedOn w:val="TableNormal"/>
    <w:uiPriority w:val="99"/>
    <w:rsid w:val="00D1699A"/>
    <w:pPr>
      <w:spacing w:after="0" w:line="240" w:lineRule="auto"/>
    </w:pPr>
    <w:tblPr>
      <w:tblStyleRowBandSize w:val="1"/>
    </w:tblPr>
    <w:tblStylePr w:type="firstRow">
      <w:tblPr/>
      <w:tcPr>
        <w:tcBorders>
          <w:top w:val="nil"/>
          <w:left w:val="nil"/>
          <w:bottom w:val="single" w:sz="4" w:space="0" w:color="4D4D4D" w:themeColor="accent6"/>
          <w:right w:val="nil"/>
          <w:insideH w:val="nil"/>
          <w:insideV w:val="nil"/>
        </w:tcBorders>
      </w:tcPr>
    </w:tblStylePr>
    <w:tblStylePr w:type="band2Horz">
      <w:tblPr/>
      <w:tcPr>
        <w:shd w:val="clear" w:color="auto" w:fill="F4F0EC"/>
      </w:tcPr>
    </w:tblStylePr>
  </w:style>
  <w:style w:type="table" w:styleId="PlainTable3">
    <w:name w:val="Plain Table 3"/>
    <w:basedOn w:val="TableNormal"/>
    <w:uiPriority w:val="43"/>
    <w:rsid w:val="008860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hartorTablenoteandsource">
    <w:name w:val="Chart or Table note and source"/>
    <w:basedOn w:val="Normal"/>
    <w:qFormat/>
    <w:rsid w:val="00661CA4"/>
    <w:pPr>
      <w:spacing w:before="40" w:after="40" w:line="216" w:lineRule="auto"/>
      <w:ind w:left="746" w:hanging="746"/>
    </w:pPr>
    <w:rPr>
      <w:rFonts w:ascii="Calibri" w:hAnsi="Calibri"/>
      <w:color w:val="000000"/>
      <w:sz w:val="18"/>
    </w:rPr>
  </w:style>
  <w:style w:type="paragraph" w:customStyle="1" w:styleId="ContentsHeading">
    <w:name w:val="Contents Heading"/>
    <w:basedOn w:val="paragraph"/>
    <w:qFormat/>
    <w:rsid w:val="00683149"/>
    <w:rPr>
      <w:rFonts w:asciiTheme="majorHAnsi" w:hAnsiTheme="majorHAnsi" w:cs="Arial"/>
      <w:b/>
      <w:color w:val="3C0E40"/>
      <w:kern w:val="32"/>
      <w:sz w:val="56"/>
      <w:szCs w:val="36"/>
    </w:rPr>
  </w:style>
  <w:style w:type="paragraph" w:styleId="Revision">
    <w:name w:val="Revision"/>
    <w:hidden/>
    <w:uiPriority w:val="99"/>
    <w:semiHidden/>
    <w:rsid w:val="00D052B3"/>
    <w:pPr>
      <w:spacing w:after="0" w:line="240" w:lineRule="auto"/>
    </w:pPr>
    <w:rPr>
      <w:rFonts w:eastAsia="Times New Roman" w:cs="Times New Roman"/>
      <w:color w:val="000000" w:themeColor="text1"/>
      <w:szCs w:val="20"/>
      <w:lang w:eastAsia="en-AU"/>
    </w:rPr>
  </w:style>
  <w:style w:type="character" w:styleId="Mention">
    <w:name w:val="Mention"/>
    <w:basedOn w:val="DefaultParagraphFont"/>
    <w:uiPriority w:val="99"/>
    <w:unhideWhenUsed/>
    <w:rsid w:val="00444BC8"/>
    <w:rPr>
      <w:color w:val="2B579A"/>
      <w:shd w:val="clear" w:color="auto" w:fill="E1DFDD"/>
    </w:rPr>
  </w:style>
  <w:style w:type="character" w:customStyle="1" w:styleId="Heading7Char">
    <w:name w:val="Heading 7 Char"/>
    <w:basedOn w:val="DefaultParagraphFont"/>
    <w:link w:val="Heading7"/>
    <w:uiPriority w:val="9"/>
    <w:semiHidden/>
    <w:rsid w:val="00082D4C"/>
    <w:rPr>
      <w:rFonts w:asciiTheme="majorHAnsi" w:eastAsiaTheme="majorEastAsia" w:hAnsiTheme="majorHAnsi" w:cstheme="majorBidi"/>
      <w:i/>
      <w:iCs/>
      <w:color w:val="727272" w:themeColor="accent1" w:themeShade="7F"/>
      <w:szCs w:val="20"/>
      <w:lang w:eastAsia="en-AU"/>
    </w:rPr>
  </w:style>
  <w:style w:type="character" w:customStyle="1" w:styleId="Heading8Char">
    <w:name w:val="Heading 8 Char"/>
    <w:basedOn w:val="DefaultParagraphFont"/>
    <w:link w:val="Heading8"/>
    <w:uiPriority w:val="9"/>
    <w:semiHidden/>
    <w:rsid w:val="00082D4C"/>
    <w:rPr>
      <w:rFonts w:asciiTheme="majorHAnsi" w:eastAsiaTheme="majorEastAsia" w:hAnsiTheme="majorHAnsi" w:cstheme="majorBidi"/>
      <w:color w:val="272727" w:themeColor="text1" w:themeTint="D8"/>
      <w:sz w:val="21"/>
      <w:szCs w:val="21"/>
      <w:lang w:eastAsia="en-AU"/>
    </w:rPr>
  </w:style>
  <w:style w:type="character" w:customStyle="1" w:styleId="Heading9Char">
    <w:name w:val="Heading 9 Char"/>
    <w:basedOn w:val="DefaultParagraphFont"/>
    <w:link w:val="Heading9"/>
    <w:uiPriority w:val="9"/>
    <w:semiHidden/>
    <w:rsid w:val="00082D4C"/>
    <w:rPr>
      <w:rFonts w:asciiTheme="majorHAnsi" w:eastAsiaTheme="majorEastAsia" w:hAnsiTheme="majorHAnsi" w:cstheme="majorBidi"/>
      <w:i/>
      <w:iCs/>
      <w:color w:val="272727" w:themeColor="text1" w:themeTint="D8"/>
      <w:sz w:val="21"/>
      <w:szCs w:val="21"/>
      <w:lang w:eastAsia="en-AU"/>
    </w:rPr>
  </w:style>
  <w:style w:type="paragraph" w:styleId="Bibliography">
    <w:name w:val="Bibliography"/>
    <w:basedOn w:val="Normal"/>
    <w:next w:val="Normal"/>
    <w:uiPriority w:val="37"/>
    <w:semiHidden/>
    <w:unhideWhenUsed/>
    <w:rsid w:val="00082D4C"/>
  </w:style>
  <w:style w:type="paragraph" w:styleId="BlockText">
    <w:name w:val="Block Text"/>
    <w:basedOn w:val="Normal"/>
    <w:uiPriority w:val="99"/>
    <w:semiHidden/>
    <w:unhideWhenUsed/>
    <w:rsid w:val="00082D4C"/>
    <w:pPr>
      <w:pBdr>
        <w:top w:val="single" w:sz="2" w:space="10" w:color="E6E6E6" w:themeColor="accent1"/>
        <w:left w:val="single" w:sz="2" w:space="10" w:color="E6E6E6" w:themeColor="accent1"/>
        <w:bottom w:val="single" w:sz="2" w:space="10" w:color="E6E6E6" w:themeColor="accent1"/>
        <w:right w:val="single" w:sz="2" w:space="10" w:color="E6E6E6" w:themeColor="accent1"/>
      </w:pBdr>
      <w:ind w:left="1152" w:right="1152"/>
    </w:pPr>
    <w:rPr>
      <w:rFonts w:eastAsiaTheme="minorEastAsia" w:cstheme="minorBidi"/>
      <w:i/>
      <w:iCs/>
      <w:color w:val="E6E6E6" w:themeColor="accent1"/>
    </w:rPr>
  </w:style>
  <w:style w:type="paragraph" w:styleId="BodyText">
    <w:name w:val="Body Text"/>
    <w:basedOn w:val="Normal"/>
    <w:link w:val="BodyTextChar"/>
    <w:uiPriority w:val="99"/>
    <w:semiHidden/>
    <w:unhideWhenUsed/>
    <w:rsid w:val="00082D4C"/>
    <w:pPr>
      <w:spacing w:after="120"/>
    </w:pPr>
  </w:style>
  <w:style w:type="character" w:customStyle="1" w:styleId="BodyTextChar">
    <w:name w:val="Body Text Char"/>
    <w:basedOn w:val="DefaultParagraphFont"/>
    <w:link w:val="BodyText"/>
    <w:uiPriority w:val="99"/>
    <w:semiHidden/>
    <w:rsid w:val="00082D4C"/>
    <w:rPr>
      <w:rFonts w:eastAsia="Times New Roman" w:cs="Times New Roman"/>
      <w:color w:val="000000" w:themeColor="text1"/>
      <w:szCs w:val="20"/>
      <w:lang w:eastAsia="en-AU"/>
    </w:rPr>
  </w:style>
  <w:style w:type="paragraph" w:styleId="BodyText2">
    <w:name w:val="Body Text 2"/>
    <w:basedOn w:val="Normal"/>
    <w:link w:val="BodyText2Char"/>
    <w:uiPriority w:val="99"/>
    <w:semiHidden/>
    <w:unhideWhenUsed/>
    <w:rsid w:val="00082D4C"/>
    <w:pPr>
      <w:spacing w:after="120" w:line="480" w:lineRule="auto"/>
    </w:pPr>
  </w:style>
  <w:style w:type="character" w:customStyle="1" w:styleId="BodyText2Char">
    <w:name w:val="Body Text 2 Char"/>
    <w:basedOn w:val="DefaultParagraphFont"/>
    <w:link w:val="BodyText2"/>
    <w:uiPriority w:val="99"/>
    <w:semiHidden/>
    <w:rsid w:val="00082D4C"/>
    <w:rPr>
      <w:rFonts w:eastAsia="Times New Roman" w:cs="Times New Roman"/>
      <w:color w:val="000000" w:themeColor="text1"/>
      <w:szCs w:val="20"/>
      <w:lang w:eastAsia="en-AU"/>
    </w:rPr>
  </w:style>
  <w:style w:type="paragraph" w:styleId="BodyText3">
    <w:name w:val="Body Text 3"/>
    <w:basedOn w:val="Normal"/>
    <w:link w:val="BodyText3Char"/>
    <w:uiPriority w:val="99"/>
    <w:semiHidden/>
    <w:unhideWhenUsed/>
    <w:rsid w:val="00082D4C"/>
    <w:pPr>
      <w:spacing w:after="120"/>
    </w:pPr>
    <w:rPr>
      <w:sz w:val="16"/>
      <w:szCs w:val="16"/>
    </w:rPr>
  </w:style>
  <w:style w:type="character" w:customStyle="1" w:styleId="BodyText3Char">
    <w:name w:val="Body Text 3 Char"/>
    <w:basedOn w:val="DefaultParagraphFont"/>
    <w:link w:val="BodyText3"/>
    <w:uiPriority w:val="99"/>
    <w:semiHidden/>
    <w:rsid w:val="00082D4C"/>
    <w:rPr>
      <w:rFonts w:eastAsia="Times New Roman" w:cs="Times New Roman"/>
      <w:color w:val="000000" w:themeColor="text1"/>
      <w:sz w:val="16"/>
      <w:szCs w:val="16"/>
      <w:lang w:eastAsia="en-AU"/>
    </w:rPr>
  </w:style>
  <w:style w:type="paragraph" w:styleId="BodyTextFirstIndent">
    <w:name w:val="Body Text First Indent"/>
    <w:basedOn w:val="BodyText"/>
    <w:link w:val="BodyTextFirstIndentChar"/>
    <w:uiPriority w:val="99"/>
    <w:semiHidden/>
    <w:unhideWhenUsed/>
    <w:rsid w:val="00082D4C"/>
    <w:pPr>
      <w:spacing w:after="240"/>
      <w:ind w:firstLine="360"/>
    </w:pPr>
  </w:style>
  <w:style w:type="character" w:customStyle="1" w:styleId="BodyTextFirstIndentChar">
    <w:name w:val="Body Text First Indent Char"/>
    <w:basedOn w:val="BodyTextChar"/>
    <w:link w:val="BodyTextFirstIndent"/>
    <w:uiPriority w:val="99"/>
    <w:semiHidden/>
    <w:rsid w:val="00082D4C"/>
    <w:rPr>
      <w:rFonts w:eastAsia="Times New Roman" w:cs="Times New Roman"/>
      <w:color w:val="000000" w:themeColor="text1"/>
      <w:szCs w:val="20"/>
      <w:lang w:eastAsia="en-AU"/>
    </w:rPr>
  </w:style>
  <w:style w:type="paragraph" w:styleId="BodyTextIndent">
    <w:name w:val="Body Text Indent"/>
    <w:basedOn w:val="Normal"/>
    <w:link w:val="BodyTextIndentChar"/>
    <w:uiPriority w:val="99"/>
    <w:semiHidden/>
    <w:unhideWhenUsed/>
    <w:rsid w:val="00082D4C"/>
    <w:pPr>
      <w:spacing w:after="120"/>
      <w:ind w:left="283"/>
    </w:pPr>
  </w:style>
  <w:style w:type="character" w:customStyle="1" w:styleId="BodyTextIndentChar">
    <w:name w:val="Body Text Indent Char"/>
    <w:basedOn w:val="DefaultParagraphFont"/>
    <w:link w:val="BodyTextIndent"/>
    <w:uiPriority w:val="99"/>
    <w:semiHidden/>
    <w:rsid w:val="00082D4C"/>
    <w:rPr>
      <w:rFonts w:eastAsia="Times New Roman" w:cs="Times New Roman"/>
      <w:color w:val="000000" w:themeColor="text1"/>
      <w:szCs w:val="20"/>
      <w:lang w:eastAsia="en-AU"/>
    </w:rPr>
  </w:style>
  <w:style w:type="paragraph" w:styleId="BodyTextFirstIndent2">
    <w:name w:val="Body Text First Indent 2"/>
    <w:basedOn w:val="BodyTextIndent"/>
    <w:link w:val="BodyTextFirstIndent2Char"/>
    <w:uiPriority w:val="99"/>
    <w:semiHidden/>
    <w:unhideWhenUsed/>
    <w:rsid w:val="00082D4C"/>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082D4C"/>
    <w:rPr>
      <w:rFonts w:eastAsia="Times New Roman" w:cs="Times New Roman"/>
      <w:color w:val="000000" w:themeColor="text1"/>
      <w:szCs w:val="20"/>
      <w:lang w:eastAsia="en-AU"/>
    </w:rPr>
  </w:style>
  <w:style w:type="paragraph" w:styleId="BodyTextIndent2">
    <w:name w:val="Body Text Indent 2"/>
    <w:basedOn w:val="Normal"/>
    <w:link w:val="BodyTextIndent2Char"/>
    <w:uiPriority w:val="99"/>
    <w:semiHidden/>
    <w:unhideWhenUsed/>
    <w:rsid w:val="00082D4C"/>
    <w:pPr>
      <w:spacing w:after="120" w:line="480" w:lineRule="auto"/>
      <w:ind w:left="283"/>
    </w:pPr>
  </w:style>
  <w:style w:type="character" w:customStyle="1" w:styleId="BodyTextIndent2Char">
    <w:name w:val="Body Text Indent 2 Char"/>
    <w:basedOn w:val="DefaultParagraphFont"/>
    <w:link w:val="BodyTextIndent2"/>
    <w:uiPriority w:val="99"/>
    <w:semiHidden/>
    <w:rsid w:val="00082D4C"/>
    <w:rPr>
      <w:rFonts w:eastAsia="Times New Roman" w:cs="Times New Roman"/>
      <w:color w:val="000000" w:themeColor="text1"/>
      <w:szCs w:val="20"/>
      <w:lang w:eastAsia="en-AU"/>
    </w:rPr>
  </w:style>
  <w:style w:type="paragraph" w:styleId="BodyTextIndent3">
    <w:name w:val="Body Text Indent 3"/>
    <w:basedOn w:val="Normal"/>
    <w:link w:val="BodyTextIndent3Char"/>
    <w:uiPriority w:val="99"/>
    <w:semiHidden/>
    <w:unhideWhenUsed/>
    <w:rsid w:val="00082D4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82D4C"/>
    <w:rPr>
      <w:rFonts w:eastAsia="Times New Roman" w:cs="Times New Roman"/>
      <w:color w:val="000000" w:themeColor="text1"/>
      <w:sz w:val="16"/>
      <w:szCs w:val="16"/>
      <w:lang w:eastAsia="en-AU"/>
    </w:rPr>
  </w:style>
  <w:style w:type="paragraph" w:styleId="Caption">
    <w:name w:val="caption"/>
    <w:basedOn w:val="Normal"/>
    <w:next w:val="Normal"/>
    <w:uiPriority w:val="35"/>
    <w:semiHidden/>
    <w:unhideWhenUsed/>
    <w:qFormat/>
    <w:rsid w:val="00082D4C"/>
    <w:pPr>
      <w:spacing w:before="0" w:after="200"/>
    </w:pPr>
    <w:rPr>
      <w:i/>
      <w:iCs/>
      <w:color w:val="000000" w:themeColor="text2"/>
      <w:sz w:val="18"/>
      <w:szCs w:val="18"/>
    </w:rPr>
  </w:style>
  <w:style w:type="paragraph" w:styleId="Closing">
    <w:name w:val="Closing"/>
    <w:basedOn w:val="Normal"/>
    <w:link w:val="ClosingChar"/>
    <w:uiPriority w:val="99"/>
    <w:semiHidden/>
    <w:unhideWhenUsed/>
    <w:rsid w:val="00082D4C"/>
    <w:pPr>
      <w:spacing w:before="0" w:after="0"/>
      <w:ind w:left="4252"/>
    </w:pPr>
  </w:style>
  <w:style w:type="character" w:customStyle="1" w:styleId="ClosingChar">
    <w:name w:val="Closing Char"/>
    <w:basedOn w:val="DefaultParagraphFont"/>
    <w:link w:val="Closing"/>
    <w:uiPriority w:val="99"/>
    <w:semiHidden/>
    <w:rsid w:val="00082D4C"/>
    <w:rPr>
      <w:rFonts w:eastAsia="Times New Roman" w:cs="Times New Roman"/>
      <w:color w:val="000000" w:themeColor="text1"/>
      <w:szCs w:val="20"/>
      <w:lang w:eastAsia="en-AU"/>
    </w:rPr>
  </w:style>
  <w:style w:type="paragraph" w:styleId="Date">
    <w:name w:val="Date"/>
    <w:basedOn w:val="Normal"/>
    <w:next w:val="Normal"/>
    <w:link w:val="DateChar"/>
    <w:uiPriority w:val="99"/>
    <w:semiHidden/>
    <w:unhideWhenUsed/>
    <w:rsid w:val="00082D4C"/>
  </w:style>
  <w:style w:type="character" w:customStyle="1" w:styleId="DateChar">
    <w:name w:val="Date Char"/>
    <w:basedOn w:val="DefaultParagraphFont"/>
    <w:link w:val="Date"/>
    <w:uiPriority w:val="99"/>
    <w:semiHidden/>
    <w:rsid w:val="00082D4C"/>
    <w:rPr>
      <w:rFonts w:eastAsia="Times New Roman" w:cs="Times New Roman"/>
      <w:color w:val="000000" w:themeColor="text1"/>
      <w:szCs w:val="20"/>
      <w:lang w:eastAsia="en-AU"/>
    </w:rPr>
  </w:style>
  <w:style w:type="paragraph" w:styleId="DocumentMap">
    <w:name w:val="Document Map"/>
    <w:basedOn w:val="Normal"/>
    <w:link w:val="DocumentMapChar"/>
    <w:uiPriority w:val="99"/>
    <w:semiHidden/>
    <w:unhideWhenUsed/>
    <w:rsid w:val="00082D4C"/>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82D4C"/>
    <w:rPr>
      <w:rFonts w:ascii="Segoe UI" w:eastAsia="Times New Roman" w:hAnsi="Segoe UI" w:cs="Segoe UI"/>
      <w:color w:val="000000" w:themeColor="text1"/>
      <w:sz w:val="16"/>
      <w:szCs w:val="16"/>
      <w:lang w:eastAsia="en-AU"/>
    </w:rPr>
  </w:style>
  <w:style w:type="paragraph" w:styleId="E-mailSignature">
    <w:name w:val="E-mail Signature"/>
    <w:basedOn w:val="Normal"/>
    <w:link w:val="E-mailSignatureChar"/>
    <w:uiPriority w:val="99"/>
    <w:semiHidden/>
    <w:unhideWhenUsed/>
    <w:rsid w:val="00082D4C"/>
    <w:pPr>
      <w:spacing w:before="0" w:after="0"/>
    </w:pPr>
  </w:style>
  <w:style w:type="character" w:customStyle="1" w:styleId="E-mailSignatureChar">
    <w:name w:val="E-mail Signature Char"/>
    <w:basedOn w:val="DefaultParagraphFont"/>
    <w:link w:val="E-mailSignature"/>
    <w:uiPriority w:val="99"/>
    <w:semiHidden/>
    <w:rsid w:val="00082D4C"/>
    <w:rPr>
      <w:rFonts w:eastAsia="Times New Roman" w:cs="Times New Roman"/>
      <w:color w:val="000000" w:themeColor="text1"/>
      <w:szCs w:val="20"/>
      <w:lang w:eastAsia="en-AU"/>
    </w:rPr>
  </w:style>
  <w:style w:type="paragraph" w:styleId="EndnoteText">
    <w:name w:val="endnote text"/>
    <w:basedOn w:val="Normal"/>
    <w:link w:val="EndnoteTextChar"/>
    <w:uiPriority w:val="99"/>
    <w:semiHidden/>
    <w:unhideWhenUsed/>
    <w:rsid w:val="00082D4C"/>
    <w:pPr>
      <w:spacing w:before="0" w:after="0"/>
    </w:pPr>
    <w:rPr>
      <w:sz w:val="20"/>
    </w:rPr>
  </w:style>
  <w:style w:type="character" w:customStyle="1" w:styleId="EndnoteTextChar">
    <w:name w:val="Endnote Text Char"/>
    <w:basedOn w:val="DefaultParagraphFont"/>
    <w:link w:val="EndnoteText"/>
    <w:uiPriority w:val="99"/>
    <w:semiHidden/>
    <w:rsid w:val="00082D4C"/>
    <w:rPr>
      <w:rFonts w:eastAsia="Times New Roman" w:cs="Times New Roman"/>
      <w:color w:val="000000" w:themeColor="text1"/>
      <w:sz w:val="20"/>
      <w:szCs w:val="20"/>
      <w:lang w:eastAsia="en-AU"/>
    </w:rPr>
  </w:style>
  <w:style w:type="paragraph" w:styleId="EnvelopeAddress">
    <w:name w:val="envelope address"/>
    <w:basedOn w:val="Normal"/>
    <w:uiPriority w:val="99"/>
    <w:semiHidden/>
    <w:unhideWhenUsed/>
    <w:rsid w:val="00082D4C"/>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82D4C"/>
    <w:pPr>
      <w:spacing w:before="0" w:after="0"/>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082D4C"/>
    <w:pPr>
      <w:spacing w:before="0" w:after="0"/>
    </w:pPr>
    <w:rPr>
      <w:i/>
      <w:iCs/>
    </w:rPr>
  </w:style>
  <w:style w:type="character" w:customStyle="1" w:styleId="HTMLAddressChar">
    <w:name w:val="HTML Address Char"/>
    <w:basedOn w:val="DefaultParagraphFont"/>
    <w:link w:val="HTMLAddress"/>
    <w:uiPriority w:val="99"/>
    <w:semiHidden/>
    <w:rsid w:val="00082D4C"/>
    <w:rPr>
      <w:rFonts w:eastAsia="Times New Roman" w:cs="Times New Roman"/>
      <w:i/>
      <w:iCs/>
      <w:color w:val="000000" w:themeColor="text1"/>
      <w:szCs w:val="20"/>
      <w:lang w:eastAsia="en-AU"/>
    </w:rPr>
  </w:style>
  <w:style w:type="paragraph" w:styleId="HTMLPreformatted">
    <w:name w:val="HTML Preformatted"/>
    <w:basedOn w:val="Normal"/>
    <w:link w:val="HTMLPreformattedChar"/>
    <w:uiPriority w:val="99"/>
    <w:semiHidden/>
    <w:unhideWhenUsed/>
    <w:rsid w:val="00082D4C"/>
    <w:pPr>
      <w:spacing w:before="0" w:after="0"/>
    </w:pPr>
    <w:rPr>
      <w:rFonts w:ascii="Consolas" w:hAnsi="Consolas"/>
      <w:sz w:val="20"/>
    </w:rPr>
  </w:style>
  <w:style w:type="character" w:customStyle="1" w:styleId="HTMLPreformattedChar">
    <w:name w:val="HTML Preformatted Char"/>
    <w:basedOn w:val="DefaultParagraphFont"/>
    <w:link w:val="HTMLPreformatted"/>
    <w:uiPriority w:val="99"/>
    <w:semiHidden/>
    <w:rsid w:val="00082D4C"/>
    <w:rPr>
      <w:rFonts w:ascii="Consolas" w:eastAsia="Times New Roman" w:hAnsi="Consolas" w:cs="Times New Roman"/>
      <w:color w:val="000000" w:themeColor="text1"/>
      <w:sz w:val="20"/>
      <w:szCs w:val="20"/>
      <w:lang w:eastAsia="en-AU"/>
    </w:rPr>
  </w:style>
  <w:style w:type="paragraph" w:styleId="Index1">
    <w:name w:val="index 1"/>
    <w:basedOn w:val="Normal"/>
    <w:next w:val="Normal"/>
    <w:autoRedefine/>
    <w:uiPriority w:val="99"/>
    <w:semiHidden/>
    <w:unhideWhenUsed/>
    <w:rsid w:val="00082D4C"/>
    <w:pPr>
      <w:spacing w:before="0" w:after="0"/>
      <w:ind w:left="220" w:hanging="220"/>
    </w:pPr>
  </w:style>
  <w:style w:type="paragraph" w:styleId="Index2">
    <w:name w:val="index 2"/>
    <w:basedOn w:val="Normal"/>
    <w:next w:val="Normal"/>
    <w:autoRedefine/>
    <w:uiPriority w:val="99"/>
    <w:semiHidden/>
    <w:unhideWhenUsed/>
    <w:rsid w:val="00082D4C"/>
    <w:pPr>
      <w:spacing w:before="0" w:after="0"/>
      <w:ind w:left="440" w:hanging="220"/>
    </w:pPr>
  </w:style>
  <w:style w:type="paragraph" w:styleId="Index3">
    <w:name w:val="index 3"/>
    <w:basedOn w:val="Normal"/>
    <w:next w:val="Normal"/>
    <w:autoRedefine/>
    <w:uiPriority w:val="99"/>
    <w:semiHidden/>
    <w:unhideWhenUsed/>
    <w:rsid w:val="00082D4C"/>
    <w:pPr>
      <w:spacing w:before="0" w:after="0"/>
      <w:ind w:left="660" w:hanging="220"/>
    </w:pPr>
  </w:style>
  <w:style w:type="paragraph" w:styleId="Index4">
    <w:name w:val="index 4"/>
    <w:basedOn w:val="Normal"/>
    <w:next w:val="Normal"/>
    <w:autoRedefine/>
    <w:uiPriority w:val="99"/>
    <w:semiHidden/>
    <w:unhideWhenUsed/>
    <w:rsid w:val="00082D4C"/>
    <w:pPr>
      <w:spacing w:before="0" w:after="0"/>
      <w:ind w:left="880" w:hanging="220"/>
    </w:pPr>
  </w:style>
  <w:style w:type="paragraph" w:styleId="Index5">
    <w:name w:val="index 5"/>
    <w:basedOn w:val="Normal"/>
    <w:next w:val="Normal"/>
    <w:autoRedefine/>
    <w:uiPriority w:val="99"/>
    <w:semiHidden/>
    <w:unhideWhenUsed/>
    <w:rsid w:val="00082D4C"/>
    <w:pPr>
      <w:spacing w:before="0" w:after="0"/>
      <w:ind w:left="1100" w:hanging="220"/>
    </w:pPr>
  </w:style>
  <w:style w:type="paragraph" w:styleId="Index6">
    <w:name w:val="index 6"/>
    <w:basedOn w:val="Normal"/>
    <w:next w:val="Normal"/>
    <w:autoRedefine/>
    <w:uiPriority w:val="99"/>
    <w:semiHidden/>
    <w:unhideWhenUsed/>
    <w:rsid w:val="00082D4C"/>
    <w:pPr>
      <w:spacing w:before="0" w:after="0"/>
      <w:ind w:left="1320" w:hanging="220"/>
    </w:pPr>
  </w:style>
  <w:style w:type="paragraph" w:styleId="Index7">
    <w:name w:val="index 7"/>
    <w:basedOn w:val="Normal"/>
    <w:next w:val="Normal"/>
    <w:autoRedefine/>
    <w:uiPriority w:val="99"/>
    <w:semiHidden/>
    <w:unhideWhenUsed/>
    <w:rsid w:val="00082D4C"/>
    <w:pPr>
      <w:spacing w:before="0" w:after="0"/>
      <w:ind w:left="1540" w:hanging="220"/>
    </w:pPr>
  </w:style>
  <w:style w:type="paragraph" w:styleId="Index8">
    <w:name w:val="index 8"/>
    <w:basedOn w:val="Normal"/>
    <w:next w:val="Normal"/>
    <w:autoRedefine/>
    <w:uiPriority w:val="99"/>
    <w:semiHidden/>
    <w:unhideWhenUsed/>
    <w:rsid w:val="00082D4C"/>
    <w:pPr>
      <w:spacing w:before="0" w:after="0"/>
      <w:ind w:left="1760" w:hanging="220"/>
    </w:pPr>
  </w:style>
  <w:style w:type="paragraph" w:styleId="Index9">
    <w:name w:val="index 9"/>
    <w:basedOn w:val="Normal"/>
    <w:next w:val="Normal"/>
    <w:autoRedefine/>
    <w:uiPriority w:val="99"/>
    <w:semiHidden/>
    <w:unhideWhenUsed/>
    <w:rsid w:val="00082D4C"/>
    <w:pPr>
      <w:spacing w:before="0" w:after="0"/>
      <w:ind w:left="1980" w:hanging="220"/>
    </w:pPr>
  </w:style>
  <w:style w:type="paragraph" w:styleId="IndexHeading">
    <w:name w:val="index heading"/>
    <w:basedOn w:val="Normal"/>
    <w:next w:val="Index1"/>
    <w:uiPriority w:val="99"/>
    <w:semiHidden/>
    <w:unhideWhenUsed/>
    <w:rsid w:val="00082D4C"/>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082D4C"/>
    <w:pPr>
      <w:pBdr>
        <w:top w:val="single" w:sz="4" w:space="10" w:color="E6E6E6" w:themeColor="accent1"/>
        <w:bottom w:val="single" w:sz="4" w:space="10" w:color="E6E6E6" w:themeColor="accent1"/>
      </w:pBdr>
      <w:spacing w:before="360" w:after="360"/>
      <w:ind w:left="864" w:right="864"/>
      <w:jc w:val="center"/>
    </w:pPr>
    <w:rPr>
      <w:i/>
      <w:iCs/>
      <w:color w:val="E6E6E6" w:themeColor="accent1"/>
    </w:rPr>
  </w:style>
  <w:style w:type="character" w:customStyle="1" w:styleId="IntenseQuoteChar">
    <w:name w:val="Intense Quote Char"/>
    <w:basedOn w:val="DefaultParagraphFont"/>
    <w:link w:val="IntenseQuote"/>
    <w:uiPriority w:val="30"/>
    <w:rsid w:val="00082D4C"/>
    <w:rPr>
      <w:rFonts w:eastAsia="Times New Roman" w:cs="Times New Roman"/>
      <w:i/>
      <w:iCs/>
      <w:color w:val="E6E6E6" w:themeColor="accent1"/>
      <w:szCs w:val="20"/>
      <w:lang w:eastAsia="en-AU"/>
    </w:rPr>
  </w:style>
  <w:style w:type="paragraph" w:styleId="List">
    <w:name w:val="List"/>
    <w:basedOn w:val="Normal"/>
    <w:uiPriority w:val="99"/>
    <w:semiHidden/>
    <w:unhideWhenUsed/>
    <w:rsid w:val="00082D4C"/>
    <w:pPr>
      <w:ind w:left="283" w:hanging="283"/>
      <w:contextualSpacing/>
    </w:pPr>
  </w:style>
  <w:style w:type="paragraph" w:styleId="List2">
    <w:name w:val="List 2"/>
    <w:basedOn w:val="Normal"/>
    <w:uiPriority w:val="99"/>
    <w:semiHidden/>
    <w:unhideWhenUsed/>
    <w:rsid w:val="00082D4C"/>
    <w:pPr>
      <w:ind w:left="566" w:hanging="283"/>
      <w:contextualSpacing/>
    </w:pPr>
  </w:style>
  <w:style w:type="paragraph" w:styleId="List3">
    <w:name w:val="List 3"/>
    <w:basedOn w:val="Normal"/>
    <w:uiPriority w:val="99"/>
    <w:semiHidden/>
    <w:unhideWhenUsed/>
    <w:rsid w:val="00082D4C"/>
    <w:pPr>
      <w:ind w:left="849" w:hanging="283"/>
      <w:contextualSpacing/>
    </w:pPr>
  </w:style>
  <w:style w:type="paragraph" w:styleId="List4">
    <w:name w:val="List 4"/>
    <w:basedOn w:val="Normal"/>
    <w:uiPriority w:val="99"/>
    <w:semiHidden/>
    <w:unhideWhenUsed/>
    <w:rsid w:val="00082D4C"/>
    <w:pPr>
      <w:ind w:left="1132" w:hanging="283"/>
      <w:contextualSpacing/>
    </w:pPr>
  </w:style>
  <w:style w:type="paragraph" w:styleId="List5">
    <w:name w:val="List 5"/>
    <w:basedOn w:val="Normal"/>
    <w:uiPriority w:val="99"/>
    <w:semiHidden/>
    <w:unhideWhenUsed/>
    <w:rsid w:val="00082D4C"/>
    <w:pPr>
      <w:ind w:left="1415" w:hanging="283"/>
      <w:contextualSpacing/>
    </w:pPr>
  </w:style>
  <w:style w:type="paragraph" w:styleId="ListBullet">
    <w:name w:val="List Bullet"/>
    <w:basedOn w:val="Normal"/>
    <w:uiPriority w:val="99"/>
    <w:semiHidden/>
    <w:unhideWhenUsed/>
    <w:rsid w:val="00082D4C"/>
    <w:pPr>
      <w:numPr>
        <w:numId w:val="14"/>
      </w:numPr>
      <w:ind w:left="0" w:firstLine="0"/>
      <w:contextualSpacing/>
    </w:pPr>
  </w:style>
  <w:style w:type="paragraph" w:styleId="ListBullet2">
    <w:name w:val="List Bullet 2"/>
    <w:basedOn w:val="Normal"/>
    <w:uiPriority w:val="99"/>
    <w:semiHidden/>
    <w:unhideWhenUsed/>
    <w:rsid w:val="00082D4C"/>
    <w:pPr>
      <w:numPr>
        <w:numId w:val="15"/>
      </w:numPr>
      <w:tabs>
        <w:tab w:val="clear" w:pos="643"/>
        <w:tab w:val="num" w:pos="360"/>
      </w:tabs>
      <w:ind w:left="0" w:firstLine="0"/>
      <w:contextualSpacing/>
    </w:pPr>
  </w:style>
  <w:style w:type="paragraph" w:styleId="ListBullet3">
    <w:name w:val="List Bullet 3"/>
    <w:basedOn w:val="Normal"/>
    <w:uiPriority w:val="99"/>
    <w:semiHidden/>
    <w:unhideWhenUsed/>
    <w:rsid w:val="00082D4C"/>
    <w:pPr>
      <w:numPr>
        <w:numId w:val="16"/>
      </w:numPr>
      <w:tabs>
        <w:tab w:val="clear" w:pos="926"/>
        <w:tab w:val="num" w:pos="360"/>
      </w:tabs>
      <w:ind w:left="0" w:firstLine="0"/>
      <w:contextualSpacing/>
    </w:pPr>
  </w:style>
  <w:style w:type="paragraph" w:styleId="ListBullet4">
    <w:name w:val="List Bullet 4"/>
    <w:basedOn w:val="Normal"/>
    <w:uiPriority w:val="99"/>
    <w:semiHidden/>
    <w:unhideWhenUsed/>
    <w:rsid w:val="00082D4C"/>
    <w:pPr>
      <w:numPr>
        <w:numId w:val="17"/>
      </w:numPr>
      <w:tabs>
        <w:tab w:val="clear" w:pos="1209"/>
        <w:tab w:val="num" w:pos="360"/>
      </w:tabs>
      <w:ind w:left="0" w:firstLine="0"/>
      <w:contextualSpacing/>
    </w:pPr>
  </w:style>
  <w:style w:type="paragraph" w:styleId="ListBullet5">
    <w:name w:val="List Bullet 5"/>
    <w:basedOn w:val="Normal"/>
    <w:uiPriority w:val="99"/>
    <w:semiHidden/>
    <w:unhideWhenUsed/>
    <w:rsid w:val="00082D4C"/>
    <w:pPr>
      <w:numPr>
        <w:numId w:val="18"/>
      </w:numPr>
      <w:tabs>
        <w:tab w:val="clear" w:pos="1492"/>
        <w:tab w:val="num" w:pos="360"/>
      </w:tabs>
      <w:ind w:left="0" w:firstLine="0"/>
      <w:contextualSpacing/>
    </w:pPr>
  </w:style>
  <w:style w:type="paragraph" w:styleId="ListContinue">
    <w:name w:val="List Continue"/>
    <w:basedOn w:val="Normal"/>
    <w:uiPriority w:val="99"/>
    <w:semiHidden/>
    <w:unhideWhenUsed/>
    <w:rsid w:val="00082D4C"/>
    <w:pPr>
      <w:spacing w:after="120"/>
      <w:ind w:left="283"/>
      <w:contextualSpacing/>
    </w:pPr>
  </w:style>
  <w:style w:type="paragraph" w:styleId="ListContinue2">
    <w:name w:val="List Continue 2"/>
    <w:basedOn w:val="Normal"/>
    <w:uiPriority w:val="99"/>
    <w:semiHidden/>
    <w:unhideWhenUsed/>
    <w:rsid w:val="00082D4C"/>
    <w:pPr>
      <w:spacing w:after="120"/>
      <w:ind w:left="566"/>
      <w:contextualSpacing/>
    </w:pPr>
  </w:style>
  <w:style w:type="paragraph" w:styleId="ListContinue3">
    <w:name w:val="List Continue 3"/>
    <w:basedOn w:val="Normal"/>
    <w:uiPriority w:val="99"/>
    <w:semiHidden/>
    <w:unhideWhenUsed/>
    <w:rsid w:val="00082D4C"/>
    <w:pPr>
      <w:spacing w:after="120"/>
      <w:ind w:left="849"/>
      <w:contextualSpacing/>
    </w:pPr>
  </w:style>
  <w:style w:type="paragraph" w:styleId="ListContinue4">
    <w:name w:val="List Continue 4"/>
    <w:basedOn w:val="Normal"/>
    <w:uiPriority w:val="99"/>
    <w:semiHidden/>
    <w:unhideWhenUsed/>
    <w:rsid w:val="00082D4C"/>
    <w:pPr>
      <w:spacing w:after="120"/>
      <w:ind w:left="1132"/>
      <w:contextualSpacing/>
    </w:pPr>
  </w:style>
  <w:style w:type="paragraph" w:styleId="ListContinue5">
    <w:name w:val="List Continue 5"/>
    <w:basedOn w:val="Normal"/>
    <w:uiPriority w:val="99"/>
    <w:semiHidden/>
    <w:unhideWhenUsed/>
    <w:rsid w:val="00082D4C"/>
    <w:pPr>
      <w:spacing w:after="120"/>
      <w:ind w:left="1415"/>
      <w:contextualSpacing/>
    </w:pPr>
  </w:style>
  <w:style w:type="paragraph" w:styleId="ListNumber">
    <w:name w:val="List Number"/>
    <w:basedOn w:val="Normal"/>
    <w:uiPriority w:val="99"/>
    <w:semiHidden/>
    <w:unhideWhenUsed/>
    <w:rsid w:val="00082D4C"/>
    <w:pPr>
      <w:numPr>
        <w:numId w:val="19"/>
      </w:numPr>
      <w:ind w:left="0" w:firstLine="0"/>
      <w:contextualSpacing/>
    </w:pPr>
  </w:style>
  <w:style w:type="paragraph" w:styleId="ListNumber2">
    <w:name w:val="List Number 2"/>
    <w:basedOn w:val="Normal"/>
    <w:uiPriority w:val="99"/>
    <w:semiHidden/>
    <w:unhideWhenUsed/>
    <w:rsid w:val="00082D4C"/>
    <w:pPr>
      <w:numPr>
        <w:numId w:val="20"/>
      </w:numPr>
      <w:tabs>
        <w:tab w:val="clear" w:pos="643"/>
        <w:tab w:val="num" w:pos="360"/>
      </w:tabs>
      <w:ind w:left="0" w:firstLine="0"/>
      <w:contextualSpacing/>
    </w:pPr>
  </w:style>
  <w:style w:type="paragraph" w:styleId="ListNumber3">
    <w:name w:val="List Number 3"/>
    <w:basedOn w:val="Normal"/>
    <w:uiPriority w:val="99"/>
    <w:semiHidden/>
    <w:unhideWhenUsed/>
    <w:rsid w:val="00082D4C"/>
    <w:pPr>
      <w:numPr>
        <w:numId w:val="21"/>
      </w:numPr>
      <w:tabs>
        <w:tab w:val="clear" w:pos="926"/>
        <w:tab w:val="num" w:pos="360"/>
      </w:tabs>
      <w:ind w:left="0" w:firstLine="0"/>
      <w:contextualSpacing/>
    </w:pPr>
  </w:style>
  <w:style w:type="paragraph" w:styleId="ListNumber4">
    <w:name w:val="List Number 4"/>
    <w:basedOn w:val="Normal"/>
    <w:uiPriority w:val="99"/>
    <w:semiHidden/>
    <w:unhideWhenUsed/>
    <w:rsid w:val="00082D4C"/>
    <w:pPr>
      <w:numPr>
        <w:numId w:val="22"/>
      </w:numPr>
      <w:tabs>
        <w:tab w:val="clear" w:pos="1209"/>
        <w:tab w:val="num" w:pos="360"/>
      </w:tabs>
      <w:ind w:left="0" w:firstLine="0"/>
      <w:contextualSpacing/>
    </w:pPr>
  </w:style>
  <w:style w:type="paragraph" w:styleId="ListNumber5">
    <w:name w:val="List Number 5"/>
    <w:basedOn w:val="Normal"/>
    <w:uiPriority w:val="99"/>
    <w:semiHidden/>
    <w:unhideWhenUsed/>
    <w:rsid w:val="00082D4C"/>
    <w:pPr>
      <w:numPr>
        <w:numId w:val="23"/>
      </w:numPr>
      <w:tabs>
        <w:tab w:val="clear" w:pos="1492"/>
        <w:tab w:val="num" w:pos="360"/>
      </w:tabs>
      <w:ind w:left="0" w:firstLine="0"/>
      <w:contextualSpacing/>
    </w:pPr>
  </w:style>
  <w:style w:type="paragraph" w:styleId="MacroText">
    <w:name w:val="macro"/>
    <w:link w:val="MacroTextChar"/>
    <w:uiPriority w:val="99"/>
    <w:semiHidden/>
    <w:unhideWhenUsed/>
    <w:rsid w:val="00082D4C"/>
    <w:pPr>
      <w:tabs>
        <w:tab w:val="left" w:pos="480"/>
        <w:tab w:val="left" w:pos="960"/>
        <w:tab w:val="left" w:pos="1440"/>
        <w:tab w:val="left" w:pos="1920"/>
        <w:tab w:val="left" w:pos="2400"/>
        <w:tab w:val="left" w:pos="2880"/>
        <w:tab w:val="left" w:pos="3360"/>
        <w:tab w:val="left" w:pos="3840"/>
        <w:tab w:val="left" w:pos="4320"/>
      </w:tabs>
      <w:spacing w:before="240" w:after="0" w:line="240" w:lineRule="auto"/>
    </w:pPr>
    <w:rPr>
      <w:rFonts w:ascii="Consolas" w:eastAsia="Times New Roman" w:hAnsi="Consolas" w:cs="Times New Roman"/>
      <w:color w:val="000000" w:themeColor="text1"/>
      <w:sz w:val="20"/>
      <w:szCs w:val="20"/>
      <w:lang w:eastAsia="en-AU"/>
    </w:rPr>
  </w:style>
  <w:style w:type="character" w:customStyle="1" w:styleId="MacroTextChar">
    <w:name w:val="Macro Text Char"/>
    <w:basedOn w:val="DefaultParagraphFont"/>
    <w:link w:val="MacroText"/>
    <w:uiPriority w:val="99"/>
    <w:semiHidden/>
    <w:rsid w:val="00082D4C"/>
    <w:rPr>
      <w:rFonts w:ascii="Consolas" w:eastAsia="Times New Roman" w:hAnsi="Consolas" w:cs="Times New Roman"/>
      <w:color w:val="000000" w:themeColor="text1"/>
      <w:sz w:val="20"/>
      <w:szCs w:val="20"/>
      <w:lang w:eastAsia="en-AU"/>
    </w:rPr>
  </w:style>
  <w:style w:type="paragraph" w:styleId="MessageHeader">
    <w:name w:val="Message Header"/>
    <w:basedOn w:val="Normal"/>
    <w:link w:val="MessageHeaderChar"/>
    <w:uiPriority w:val="99"/>
    <w:semiHidden/>
    <w:unhideWhenUsed/>
    <w:rsid w:val="00082D4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82D4C"/>
    <w:rPr>
      <w:rFonts w:asciiTheme="majorHAnsi" w:eastAsiaTheme="majorEastAsia" w:hAnsiTheme="majorHAnsi" w:cstheme="majorBidi"/>
      <w:color w:val="000000" w:themeColor="text1"/>
      <w:sz w:val="24"/>
      <w:szCs w:val="24"/>
      <w:shd w:val="pct20" w:color="auto" w:fill="auto"/>
      <w:lang w:eastAsia="en-AU"/>
    </w:rPr>
  </w:style>
  <w:style w:type="paragraph" w:styleId="NoSpacing">
    <w:name w:val="No Spacing"/>
    <w:uiPriority w:val="1"/>
    <w:rsid w:val="00082D4C"/>
    <w:pPr>
      <w:spacing w:after="0" w:line="240" w:lineRule="auto"/>
    </w:pPr>
    <w:rPr>
      <w:rFonts w:eastAsia="Times New Roman" w:cs="Times New Roman"/>
      <w:color w:val="000000" w:themeColor="text1"/>
      <w:szCs w:val="20"/>
      <w:lang w:eastAsia="en-AU"/>
    </w:rPr>
  </w:style>
  <w:style w:type="paragraph" w:styleId="NormalIndent">
    <w:name w:val="Normal Indent"/>
    <w:basedOn w:val="Normal"/>
    <w:uiPriority w:val="99"/>
    <w:semiHidden/>
    <w:unhideWhenUsed/>
    <w:rsid w:val="00082D4C"/>
    <w:pPr>
      <w:ind w:left="720"/>
    </w:pPr>
  </w:style>
  <w:style w:type="paragraph" w:styleId="NoteHeading">
    <w:name w:val="Note Heading"/>
    <w:basedOn w:val="Normal"/>
    <w:next w:val="Normal"/>
    <w:link w:val="NoteHeadingChar"/>
    <w:uiPriority w:val="99"/>
    <w:semiHidden/>
    <w:unhideWhenUsed/>
    <w:rsid w:val="00082D4C"/>
    <w:pPr>
      <w:spacing w:before="0" w:after="0"/>
    </w:pPr>
  </w:style>
  <w:style w:type="character" w:customStyle="1" w:styleId="NoteHeadingChar">
    <w:name w:val="Note Heading Char"/>
    <w:basedOn w:val="DefaultParagraphFont"/>
    <w:link w:val="NoteHeading"/>
    <w:uiPriority w:val="99"/>
    <w:semiHidden/>
    <w:rsid w:val="00082D4C"/>
    <w:rPr>
      <w:rFonts w:eastAsia="Times New Roman" w:cs="Times New Roman"/>
      <w:color w:val="000000" w:themeColor="text1"/>
      <w:szCs w:val="20"/>
      <w:lang w:eastAsia="en-AU"/>
    </w:rPr>
  </w:style>
  <w:style w:type="paragraph" w:styleId="PlainText">
    <w:name w:val="Plain Text"/>
    <w:basedOn w:val="Normal"/>
    <w:link w:val="PlainTextChar"/>
    <w:uiPriority w:val="99"/>
    <w:semiHidden/>
    <w:unhideWhenUsed/>
    <w:rsid w:val="00082D4C"/>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082D4C"/>
    <w:rPr>
      <w:rFonts w:ascii="Consolas" w:eastAsia="Times New Roman" w:hAnsi="Consolas" w:cs="Times New Roman"/>
      <w:color w:val="000000" w:themeColor="text1"/>
      <w:sz w:val="21"/>
      <w:szCs w:val="21"/>
      <w:lang w:eastAsia="en-AU"/>
    </w:rPr>
  </w:style>
  <w:style w:type="paragraph" w:styleId="Quote">
    <w:name w:val="Quote"/>
    <w:basedOn w:val="Normal"/>
    <w:next w:val="Normal"/>
    <w:link w:val="QuoteChar"/>
    <w:uiPriority w:val="29"/>
    <w:rsid w:val="00082D4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82D4C"/>
    <w:rPr>
      <w:rFonts w:eastAsia="Times New Roman" w:cs="Times New Roman"/>
      <w:i/>
      <w:iCs/>
      <w:color w:val="404040" w:themeColor="text1" w:themeTint="BF"/>
      <w:szCs w:val="20"/>
      <w:lang w:eastAsia="en-AU"/>
    </w:rPr>
  </w:style>
  <w:style w:type="paragraph" w:styleId="Salutation">
    <w:name w:val="Salutation"/>
    <w:basedOn w:val="Normal"/>
    <w:next w:val="Normal"/>
    <w:link w:val="SalutationChar"/>
    <w:uiPriority w:val="99"/>
    <w:semiHidden/>
    <w:unhideWhenUsed/>
    <w:rsid w:val="00082D4C"/>
  </w:style>
  <w:style w:type="character" w:customStyle="1" w:styleId="SalutationChar">
    <w:name w:val="Salutation Char"/>
    <w:basedOn w:val="DefaultParagraphFont"/>
    <w:link w:val="Salutation"/>
    <w:uiPriority w:val="99"/>
    <w:semiHidden/>
    <w:rsid w:val="00082D4C"/>
    <w:rPr>
      <w:rFonts w:eastAsia="Times New Roman" w:cs="Times New Roman"/>
      <w:color w:val="000000" w:themeColor="text1"/>
      <w:szCs w:val="20"/>
      <w:lang w:eastAsia="en-AU"/>
    </w:rPr>
  </w:style>
  <w:style w:type="paragraph" w:styleId="Signature">
    <w:name w:val="Signature"/>
    <w:basedOn w:val="Normal"/>
    <w:link w:val="SignatureChar"/>
    <w:uiPriority w:val="99"/>
    <w:semiHidden/>
    <w:unhideWhenUsed/>
    <w:rsid w:val="00082D4C"/>
    <w:pPr>
      <w:spacing w:before="0" w:after="0"/>
      <w:ind w:left="4252"/>
    </w:pPr>
  </w:style>
  <w:style w:type="character" w:customStyle="1" w:styleId="SignatureChar">
    <w:name w:val="Signature Char"/>
    <w:basedOn w:val="DefaultParagraphFont"/>
    <w:link w:val="Signature"/>
    <w:uiPriority w:val="99"/>
    <w:semiHidden/>
    <w:rsid w:val="00082D4C"/>
    <w:rPr>
      <w:rFonts w:eastAsia="Times New Roman" w:cs="Times New Roman"/>
      <w:color w:val="000000" w:themeColor="text1"/>
      <w:szCs w:val="20"/>
      <w:lang w:eastAsia="en-AU"/>
    </w:rPr>
  </w:style>
  <w:style w:type="paragraph" w:styleId="TableofAuthorities">
    <w:name w:val="table of authorities"/>
    <w:basedOn w:val="Normal"/>
    <w:next w:val="Normal"/>
    <w:uiPriority w:val="99"/>
    <w:semiHidden/>
    <w:unhideWhenUsed/>
    <w:rsid w:val="00082D4C"/>
    <w:pPr>
      <w:spacing w:after="0"/>
      <w:ind w:left="220" w:hanging="220"/>
    </w:pPr>
  </w:style>
  <w:style w:type="paragraph" w:styleId="TableofFigures">
    <w:name w:val="table of figures"/>
    <w:basedOn w:val="Normal"/>
    <w:next w:val="Normal"/>
    <w:uiPriority w:val="99"/>
    <w:semiHidden/>
    <w:unhideWhenUsed/>
    <w:rsid w:val="00082D4C"/>
    <w:pPr>
      <w:spacing w:after="0"/>
    </w:pPr>
  </w:style>
  <w:style w:type="paragraph" w:styleId="TOAHeading">
    <w:name w:val="toa heading"/>
    <w:basedOn w:val="Normal"/>
    <w:next w:val="Normal"/>
    <w:uiPriority w:val="99"/>
    <w:semiHidden/>
    <w:unhideWhenUsed/>
    <w:rsid w:val="00082D4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82D4C"/>
    <w:pPr>
      <w:keepLines/>
      <w:spacing w:before="240" w:after="0" w:line="240" w:lineRule="auto"/>
      <w:outlineLvl w:val="9"/>
    </w:pPr>
    <w:rPr>
      <w:rFonts w:eastAsiaTheme="majorEastAsia" w:cstheme="majorBidi"/>
      <w:b w:val="0"/>
      <w:color w:val="ACACAC"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0298">
      <w:bodyDiv w:val="1"/>
      <w:marLeft w:val="0"/>
      <w:marRight w:val="0"/>
      <w:marTop w:val="0"/>
      <w:marBottom w:val="0"/>
      <w:divBdr>
        <w:top w:val="none" w:sz="0" w:space="0" w:color="auto"/>
        <w:left w:val="none" w:sz="0" w:space="0" w:color="auto"/>
        <w:bottom w:val="none" w:sz="0" w:space="0" w:color="auto"/>
        <w:right w:val="none" w:sz="0" w:space="0" w:color="auto"/>
      </w:divBdr>
      <w:divsChild>
        <w:div w:id="6562305">
          <w:marLeft w:val="0"/>
          <w:marRight w:val="0"/>
          <w:marTop w:val="0"/>
          <w:marBottom w:val="0"/>
          <w:divBdr>
            <w:top w:val="none" w:sz="0" w:space="0" w:color="auto"/>
            <w:left w:val="none" w:sz="0" w:space="0" w:color="auto"/>
            <w:bottom w:val="none" w:sz="0" w:space="0" w:color="auto"/>
            <w:right w:val="none" w:sz="0" w:space="0" w:color="auto"/>
          </w:divBdr>
        </w:div>
        <w:div w:id="23092679">
          <w:marLeft w:val="0"/>
          <w:marRight w:val="0"/>
          <w:marTop w:val="0"/>
          <w:marBottom w:val="0"/>
          <w:divBdr>
            <w:top w:val="none" w:sz="0" w:space="0" w:color="auto"/>
            <w:left w:val="none" w:sz="0" w:space="0" w:color="auto"/>
            <w:bottom w:val="none" w:sz="0" w:space="0" w:color="auto"/>
            <w:right w:val="none" w:sz="0" w:space="0" w:color="auto"/>
          </w:divBdr>
        </w:div>
        <w:div w:id="70395419">
          <w:marLeft w:val="0"/>
          <w:marRight w:val="0"/>
          <w:marTop w:val="0"/>
          <w:marBottom w:val="0"/>
          <w:divBdr>
            <w:top w:val="none" w:sz="0" w:space="0" w:color="auto"/>
            <w:left w:val="none" w:sz="0" w:space="0" w:color="auto"/>
            <w:bottom w:val="none" w:sz="0" w:space="0" w:color="auto"/>
            <w:right w:val="none" w:sz="0" w:space="0" w:color="auto"/>
          </w:divBdr>
        </w:div>
        <w:div w:id="71779406">
          <w:marLeft w:val="0"/>
          <w:marRight w:val="0"/>
          <w:marTop w:val="0"/>
          <w:marBottom w:val="0"/>
          <w:divBdr>
            <w:top w:val="none" w:sz="0" w:space="0" w:color="auto"/>
            <w:left w:val="none" w:sz="0" w:space="0" w:color="auto"/>
            <w:bottom w:val="none" w:sz="0" w:space="0" w:color="auto"/>
            <w:right w:val="none" w:sz="0" w:space="0" w:color="auto"/>
          </w:divBdr>
        </w:div>
        <w:div w:id="128986649">
          <w:marLeft w:val="0"/>
          <w:marRight w:val="0"/>
          <w:marTop w:val="0"/>
          <w:marBottom w:val="0"/>
          <w:divBdr>
            <w:top w:val="none" w:sz="0" w:space="0" w:color="auto"/>
            <w:left w:val="none" w:sz="0" w:space="0" w:color="auto"/>
            <w:bottom w:val="none" w:sz="0" w:space="0" w:color="auto"/>
            <w:right w:val="none" w:sz="0" w:space="0" w:color="auto"/>
          </w:divBdr>
        </w:div>
        <w:div w:id="131793708">
          <w:marLeft w:val="0"/>
          <w:marRight w:val="0"/>
          <w:marTop w:val="0"/>
          <w:marBottom w:val="0"/>
          <w:divBdr>
            <w:top w:val="none" w:sz="0" w:space="0" w:color="auto"/>
            <w:left w:val="none" w:sz="0" w:space="0" w:color="auto"/>
            <w:bottom w:val="none" w:sz="0" w:space="0" w:color="auto"/>
            <w:right w:val="none" w:sz="0" w:space="0" w:color="auto"/>
          </w:divBdr>
          <w:divsChild>
            <w:div w:id="5061900">
              <w:marLeft w:val="0"/>
              <w:marRight w:val="0"/>
              <w:marTop w:val="0"/>
              <w:marBottom w:val="0"/>
              <w:divBdr>
                <w:top w:val="none" w:sz="0" w:space="0" w:color="auto"/>
                <w:left w:val="none" w:sz="0" w:space="0" w:color="auto"/>
                <w:bottom w:val="none" w:sz="0" w:space="0" w:color="auto"/>
                <w:right w:val="none" w:sz="0" w:space="0" w:color="auto"/>
              </w:divBdr>
            </w:div>
            <w:div w:id="15737634">
              <w:marLeft w:val="0"/>
              <w:marRight w:val="0"/>
              <w:marTop w:val="0"/>
              <w:marBottom w:val="0"/>
              <w:divBdr>
                <w:top w:val="none" w:sz="0" w:space="0" w:color="auto"/>
                <w:left w:val="none" w:sz="0" w:space="0" w:color="auto"/>
                <w:bottom w:val="none" w:sz="0" w:space="0" w:color="auto"/>
                <w:right w:val="none" w:sz="0" w:space="0" w:color="auto"/>
              </w:divBdr>
            </w:div>
            <w:div w:id="90321720">
              <w:marLeft w:val="0"/>
              <w:marRight w:val="0"/>
              <w:marTop w:val="0"/>
              <w:marBottom w:val="0"/>
              <w:divBdr>
                <w:top w:val="none" w:sz="0" w:space="0" w:color="auto"/>
                <w:left w:val="none" w:sz="0" w:space="0" w:color="auto"/>
                <w:bottom w:val="none" w:sz="0" w:space="0" w:color="auto"/>
                <w:right w:val="none" w:sz="0" w:space="0" w:color="auto"/>
              </w:divBdr>
            </w:div>
            <w:div w:id="196284751">
              <w:marLeft w:val="0"/>
              <w:marRight w:val="0"/>
              <w:marTop w:val="0"/>
              <w:marBottom w:val="0"/>
              <w:divBdr>
                <w:top w:val="none" w:sz="0" w:space="0" w:color="auto"/>
                <w:left w:val="none" w:sz="0" w:space="0" w:color="auto"/>
                <w:bottom w:val="none" w:sz="0" w:space="0" w:color="auto"/>
                <w:right w:val="none" w:sz="0" w:space="0" w:color="auto"/>
              </w:divBdr>
            </w:div>
            <w:div w:id="255096544">
              <w:marLeft w:val="0"/>
              <w:marRight w:val="0"/>
              <w:marTop w:val="0"/>
              <w:marBottom w:val="0"/>
              <w:divBdr>
                <w:top w:val="none" w:sz="0" w:space="0" w:color="auto"/>
                <w:left w:val="none" w:sz="0" w:space="0" w:color="auto"/>
                <w:bottom w:val="none" w:sz="0" w:space="0" w:color="auto"/>
                <w:right w:val="none" w:sz="0" w:space="0" w:color="auto"/>
              </w:divBdr>
            </w:div>
            <w:div w:id="372729990">
              <w:marLeft w:val="0"/>
              <w:marRight w:val="0"/>
              <w:marTop w:val="0"/>
              <w:marBottom w:val="0"/>
              <w:divBdr>
                <w:top w:val="none" w:sz="0" w:space="0" w:color="auto"/>
                <w:left w:val="none" w:sz="0" w:space="0" w:color="auto"/>
                <w:bottom w:val="none" w:sz="0" w:space="0" w:color="auto"/>
                <w:right w:val="none" w:sz="0" w:space="0" w:color="auto"/>
              </w:divBdr>
            </w:div>
            <w:div w:id="534272692">
              <w:marLeft w:val="0"/>
              <w:marRight w:val="0"/>
              <w:marTop w:val="0"/>
              <w:marBottom w:val="0"/>
              <w:divBdr>
                <w:top w:val="none" w:sz="0" w:space="0" w:color="auto"/>
                <w:left w:val="none" w:sz="0" w:space="0" w:color="auto"/>
                <w:bottom w:val="none" w:sz="0" w:space="0" w:color="auto"/>
                <w:right w:val="none" w:sz="0" w:space="0" w:color="auto"/>
              </w:divBdr>
            </w:div>
            <w:div w:id="578440469">
              <w:marLeft w:val="0"/>
              <w:marRight w:val="0"/>
              <w:marTop w:val="0"/>
              <w:marBottom w:val="0"/>
              <w:divBdr>
                <w:top w:val="none" w:sz="0" w:space="0" w:color="auto"/>
                <w:left w:val="none" w:sz="0" w:space="0" w:color="auto"/>
                <w:bottom w:val="none" w:sz="0" w:space="0" w:color="auto"/>
                <w:right w:val="none" w:sz="0" w:space="0" w:color="auto"/>
              </w:divBdr>
            </w:div>
            <w:div w:id="684131669">
              <w:marLeft w:val="0"/>
              <w:marRight w:val="0"/>
              <w:marTop w:val="0"/>
              <w:marBottom w:val="0"/>
              <w:divBdr>
                <w:top w:val="none" w:sz="0" w:space="0" w:color="auto"/>
                <w:left w:val="none" w:sz="0" w:space="0" w:color="auto"/>
                <w:bottom w:val="none" w:sz="0" w:space="0" w:color="auto"/>
                <w:right w:val="none" w:sz="0" w:space="0" w:color="auto"/>
              </w:divBdr>
            </w:div>
            <w:div w:id="708383112">
              <w:marLeft w:val="0"/>
              <w:marRight w:val="0"/>
              <w:marTop w:val="0"/>
              <w:marBottom w:val="0"/>
              <w:divBdr>
                <w:top w:val="none" w:sz="0" w:space="0" w:color="auto"/>
                <w:left w:val="none" w:sz="0" w:space="0" w:color="auto"/>
                <w:bottom w:val="none" w:sz="0" w:space="0" w:color="auto"/>
                <w:right w:val="none" w:sz="0" w:space="0" w:color="auto"/>
              </w:divBdr>
            </w:div>
            <w:div w:id="788888992">
              <w:marLeft w:val="0"/>
              <w:marRight w:val="0"/>
              <w:marTop w:val="0"/>
              <w:marBottom w:val="0"/>
              <w:divBdr>
                <w:top w:val="none" w:sz="0" w:space="0" w:color="auto"/>
                <w:left w:val="none" w:sz="0" w:space="0" w:color="auto"/>
                <w:bottom w:val="none" w:sz="0" w:space="0" w:color="auto"/>
                <w:right w:val="none" w:sz="0" w:space="0" w:color="auto"/>
              </w:divBdr>
            </w:div>
            <w:div w:id="1107777124">
              <w:marLeft w:val="0"/>
              <w:marRight w:val="0"/>
              <w:marTop w:val="0"/>
              <w:marBottom w:val="0"/>
              <w:divBdr>
                <w:top w:val="none" w:sz="0" w:space="0" w:color="auto"/>
                <w:left w:val="none" w:sz="0" w:space="0" w:color="auto"/>
                <w:bottom w:val="none" w:sz="0" w:space="0" w:color="auto"/>
                <w:right w:val="none" w:sz="0" w:space="0" w:color="auto"/>
              </w:divBdr>
            </w:div>
            <w:div w:id="1195580578">
              <w:marLeft w:val="0"/>
              <w:marRight w:val="0"/>
              <w:marTop w:val="0"/>
              <w:marBottom w:val="0"/>
              <w:divBdr>
                <w:top w:val="none" w:sz="0" w:space="0" w:color="auto"/>
                <w:left w:val="none" w:sz="0" w:space="0" w:color="auto"/>
                <w:bottom w:val="none" w:sz="0" w:space="0" w:color="auto"/>
                <w:right w:val="none" w:sz="0" w:space="0" w:color="auto"/>
              </w:divBdr>
            </w:div>
            <w:div w:id="1510869245">
              <w:marLeft w:val="0"/>
              <w:marRight w:val="0"/>
              <w:marTop w:val="0"/>
              <w:marBottom w:val="0"/>
              <w:divBdr>
                <w:top w:val="none" w:sz="0" w:space="0" w:color="auto"/>
                <w:left w:val="none" w:sz="0" w:space="0" w:color="auto"/>
                <w:bottom w:val="none" w:sz="0" w:space="0" w:color="auto"/>
                <w:right w:val="none" w:sz="0" w:space="0" w:color="auto"/>
              </w:divBdr>
            </w:div>
            <w:div w:id="1625573976">
              <w:marLeft w:val="0"/>
              <w:marRight w:val="0"/>
              <w:marTop w:val="0"/>
              <w:marBottom w:val="0"/>
              <w:divBdr>
                <w:top w:val="none" w:sz="0" w:space="0" w:color="auto"/>
                <w:left w:val="none" w:sz="0" w:space="0" w:color="auto"/>
                <w:bottom w:val="none" w:sz="0" w:space="0" w:color="auto"/>
                <w:right w:val="none" w:sz="0" w:space="0" w:color="auto"/>
              </w:divBdr>
            </w:div>
            <w:div w:id="1626813130">
              <w:marLeft w:val="0"/>
              <w:marRight w:val="0"/>
              <w:marTop w:val="0"/>
              <w:marBottom w:val="0"/>
              <w:divBdr>
                <w:top w:val="none" w:sz="0" w:space="0" w:color="auto"/>
                <w:left w:val="none" w:sz="0" w:space="0" w:color="auto"/>
                <w:bottom w:val="none" w:sz="0" w:space="0" w:color="auto"/>
                <w:right w:val="none" w:sz="0" w:space="0" w:color="auto"/>
              </w:divBdr>
            </w:div>
            <w:div w:id="1867595406">
              <w:marLeft w:val="0"/>
              <w:marRight w:val="0"/>
              <w:marTop w:val="0"/>
              <w:marBottom w:val="0"/>
              <w:divBdr>
                <w:top w:val="none" w:sz="0" w:space="0" w:color="auto"/>
                <w:left w:val="none" w:sz="0" w:space="0" w:color="auto"/>
                <w:bottom w:val="none" w:sz="0" w:space="0" w:color="auto"/>
                <w:right w:val="none" w:sz="0" w:space="0" w:color="auto"/>
              </w:divBdr>
            </w:div>
            <w:div w:id="1984968938">
              <w:marLeft w:val="0"/>
              <w:marRight w:val="0"/>
              <w:marTop w:val="0"/>
              <w:marBottom w:val="0"/>
              <w:divBdr>
                <w:top w:val="none" w:sz="0" w:space="0" w:color="auto"/>
                <w:left w:val="none" w:sz="0" w:space="0" w:color="auto"/>
                <w:bottom w:val="none" w:sz="0" w:space="0" w:color="auto"/>
                <w:right w:val="none" w:sz="0" w:space="0" w:color="auto"/>
              </w:divBdr>
            </w:div>
            <w:div w:id="2127041684">
              <w:marLeft w:val="0"/>
              <w:marRight w:val="0"/>
              <w:marTop w:val="0"/>
              <w:marBottom w:val="0"/>
              <w:divBdr>
                <w:top w:val="none" w:sz="0" w:space="0" w:color="auto"/>
                <w:left w:val="none" w:sz="0" w:space="0" w:color="auto"/>
                <w:bottom w:val="none" w:sz="0" w:space="0" w:color="auto"/>
                <w:right w:val="none" w:sz="0" w:space="0" w:color="auto"/>
              </w:divBdr>
            </w:div>
            <w:div w:id="2133787507">
              <w:marLeft w:val="0"/>
              <w:marRight w:val="0"/>
              <w:marTop w:val="0"/>
              <w:marBottom w:val="0"/>
              <w:divBdr>
                <w:top w:val="none" w:sz="0" w:space="0" w:color="auto"/>
                <w:left w:val="none" w:sz="0" w:space="0" w:color="auto"/>
                <w:bottom w:val="none" w:sz="0" w:space="0" w:color="auto"/>
                <w:right w:val="none" w:sz="0" w:space="0" w:color="auto"/>
              </w:divBdr>
            </w:div>
          </w:divsChild>
        </w:div>
        <w:div w:id="143864167">
          <w:marLeft w:val="0"/>
          <w:marRight w:val="0"/>
          <w:marTop w:val="0"/>
          <w:marBottom w:val="0"/>
          <w:divBdr>
            <w:top w:val="none" w:sz="0" w:space="0" w:color="auto"/>
            <w:left w:val="none" w:sz="0" w:space="0" w:color="auto"/>
            <w:bottom w:val="none" w:sz="0" w:space="0" w:color="auto"/>
            <w:right w:val="none" w:sz="0" w:space="0" w:color="auto"/>
          </w:divBdr>
        </w:div>
        <w:div w:id="158470538">
          <w:marLeft w:val="0"/>
          <w:marRight w:val="0"/>
          <w:marTop w:val="0"/>
          <w:marBottom w:val="0"/>
          <w:divBdr>
            <w:top w:val="none" w:sz="0" w:space="0" w:color="auto"/>
            <w:left w:val="none" w:sz="0" w:space="0" w:color="auto"/>
            <w:bottom w:val="none" w:sz="0" w:space="0" w:color="auto"/>
            <w:right w:val="none" w:sz="0" w:space="0" w:color="auto"/>
          </w:divBdr>
        </w:div>
        <w:div w:id="183982002">
          <w:marLeft w:val="0"/>
          <w:marRight w:val="0"/>
          <w:marTop w:val="0"/>
          <w:marBottom w:val="0"/>
          <w:divBdr>
            <w:top w:val="none" w:sz="0" w:space="0" w:color="auto"/>
            <w:left w:val="none" w:sz="0" w:space="0" w:color="auto"/>
            <w:bottom w:val="none" w:sz="0" w:space="0" w:color="auto"/>
            <w:right w:val="none" w:sz="0" w:space="0" w:color="auto"/>
          </w:divBdr>
        </w:div>
        <w:div w:id="197548242">
          <w:marLeft w:val="0"/>
          <w:marRight w:val="0"/>
          <w:marTop w:val="0"/>
          <w:marBottom w:val="0"/>
          <w:divBdr>
            <w:top w:val="none" w:sz="0" w:space="0" w:color="auto"/>
            <w:left w:val="none" w:sz="0" w:space="0" w:color="auto"/>
            <w:bottom w:val="none" w:sz="0" w:space="0" w:color="auto"/>
            <w:right w:val="none" w:sz="0" w:space="0" w:color="auto"/>
          </w:divBdr>
        </w:div>
        <w:div w:id="210195279">
          <w:marLeft w:val="0"/>
          <w:marRight w:val="0"/>
          <w:marTop w:val="0"/>
          <w:marBottom w:val="0"/>
          <w:divBdr>
            <w:top w:val="none" w:sz="0" w:space="0" w:color="auto"/>
            <w:left w:val="none" w:sz="0" w:space="0" w:color="auto"/>
            <w:bottom w:val="none" w:sz="0" w:space="0" w:color="auto"/>
            <w:right w:val="none" w:sz="0" w:space="0" w:color="auto"/>
          </w:divBdr>
        </w:div>
        <w:div w:id="213929247">
          <w:marLeft w:val="0"/>
          <w:marRight w:val="0"/>
          <w:marTop w:val="0"/>
          <w:marBottom w:val="0"/>
          <w:divBdr>
            <w:top w:val="none" w:sz="0" w:space="0" w:color="auto"/>
            <w:left w:val="none" w:sz="0" w:space="0" w:color="auto"/>
            <w:bottom w:val="none" w:sz="0" w:space="0" w:color="auto"/>
            <w:right w:val="none" w:sz="0" w:space="0" w:color="auto"/>
          </w:divBdr>
        </w:div>
        <w:div w:id="232856252">
          <w:marLeft w:val="0"/>
          <w:marRight w:val="0"/>
          <w:marTop w:val="0"/>
          <w:marBottom w:val="0"/>
          <w:divBdr>
            <w:top w:val="none" w:sz="0" w:space="0" w:color="auto"/>
            <w:left w:val="none" w:sz="0" w:space="0" w:color="auto"/>
            <w:bottom w:val="none" w:sz="0" w:space="0" w:color="auto"/>
            <w:right w:val="none" w:sz="0" w:space="0" w:color="auto"/>
          </w:divBdr>
        </w:div>
        <w:div w:id="246158252">
          <w:marLeft w:val="0"/>
          <w:marRight w:val="0"/>
          <w:marTop w:val="0"/>
          <w:marBottom w:val="0"/>
          <w:divBdr>
            <w:top w:val="none" w:sz="0" w:space="0" w:color="auto"/>
            <w:left w:val="none" w:sz="0" w:space="0" w:color="auto"/>
            <w:bottom w:val="none" w:sz="0" w:space="0" w:color="auto"/>
            <w:right w:val="none" w:sz="0" w:space="0" w:color="auto"/>
          </w:divBdr>
        </w:div>
        <w:div w:id="246381905">
          <w:marLeft w:val="0"/>
          <w:marRight w:val="0"/>
          <w:marTop w:val="0"/>
          <w:marBottom w:val="0"/>
          <w:divBdr>
            <w:top w:val="none" w:sz="0" w:space="0" w:color="auto"/>
            <w:left w:val="none" w:sz="0" w:space="0" w:color="auto"/>
            <w:bottom w:val="none" w:sz="0" w:space="0" w:color="auto"/>
            <w:right w:val="none" w:sz="0" w:space="0" w:color="auto"/>
          </w:divBdr>
          <w:divsChild>
            <w:div w:id="1480074690">
              <w:marLeft w:val="-75"/>
              <w:marRight w:val="0"/>
              <w:marTop w:val="30"/>
              <w:marBottom w:val="30"/>
              <w:divBdr>
                <w:top w:val="none" w:sz="0" w:space="0" w:color="auto"/>
                <w:left w:val="none" w:sz="0" w:space="0" w:color="auto"/>
                <w:bottom w:val="none" w:sz="0" w:space="0" w:color="auto"/>
                <w:right w:val="none" w:sz="0" w:space="0" w:color="auto"/>
              </w:divBdr>
              <w:divsChild>
                <w:div w:id="211890508">
                  <w:marLeft w:val="0"/>
                  <w:marRight w:val="0"/>
                  <w:marTop w:val="0"/>
                  <w:marBottom w:val="0"/>
                  <w:divBdr>
                    <w:top w:val="none" w:sz="0" w:space="0" w:color="auto"/>
                    <w:left w:val="none" w:sz="0" w:space="0" w:color="auto"/>
                    <w:bottom w:val="none" w:sz="0" w:space="0" w:color="auto"/>
                    <w:right w:val="none" w:sz="0" w:space="0" w:color="auto"/>
                  </w:divBdr>
                  <w:divsChild>
                    <w:div w:id="1736001895">
                      <w:marLeft w:val="0"/>
                      <w:marRight w:val="0"/>
                      <w:marTop w:val="0"/>
                      <w:marBottom w:val="0"/>
                      <w:divBdr>
                        <w:top w:val="none" w:sz="0" w:space="0" w:color="auto"/>
                        <w:left w:val="none" w:sz="0" w:space="0" w:color="auto"/>
                        <w:bottom w:val="none" w:sz="0" w:space="0" w:color="auto"/>
                        <w:right w:val="none" w:sz="0" w:space="0" w:color="auto"/>
                      </w:divBdr>
                    </w:div>
                  </w:divsChild>
                </w:div>
                <w:div w:id="229972121">
                  <w:marLeft w:val="0"/>
                  <w:marRight w:val="0"/>
                  <w:marTop w:val="0"/>
                  <w:marBottom w:val="0"/>
                  <w:divBdr>
                    <w:top w:val="none" w:sz="0" w:space="0" w:color="auto"/>
                    <w:left w:val="none" w:sz="0" w:space="0" w:color="auto"/>
                    <w:bottom w:val="none" w:sz="0" w:space="0" w:color="auto"/>
                    <w:right w:val="none" w:sz="0" w:space="0" w:color="auto"/>
                  </w:divBdr>
                  <w:divsChild>
                    <w:div w:id="263658081">
                      <w:marLeft w:val="0"/>
                      <w:marRight w:val="0"/>
                      <w:marTop w:val="0"/>
                      <w:marBottom w:val="0"/>
                      <w:divBdr>
                        <w:top w:val="none" w:sz="0" w:space="0" w:color="auto"/>
                        <w:left w:val="none" w:sz="0" w:space="0" w:color="auto"/>
                        <w:bottom w:val="none" w:sz="0" w:space="0" w:color="auto"/>
                        <w:right w:val="none" w:sz="0" w:space="0" w:color="auto"/>
                      </w:divBdr>
                    </w:div>
                  </w:divsChild>
                </w:div>
                <w:div w:id="593897455">
                  <w:marLeft w:val="0"/>
                  <w:marRight w:val="0"/>
                  <w:marTop w:val="0"/>
                  <w:marBottom w:val="0"/>
                  <w:divBdr>
                    <w:top w:val="none" w:sz="0" w:space="0" w:color="auto"/>
                    <w:left w:val="none" w:sz="0" w:space="0" w:color="auto"/>
                    <w:bottom w:val="none" w:sz="0" w:space="0" w:color="auto"/>
                    <w:right w:val="none" w:sz="0" w:space="0" w:color="auto"/>
                  </w:divBdr>
                  <w:divsChild>
                    <w:div w:id="1442147390">
                      <w:marLeft w:val="0"/>
                      <w:marRight w:val="0"/>
                      <w:marTop w:val="0"/>
                      <w:marBottom w:val="0"/>
                      <w:divBdr>
                        <w:top w:val="none" w:sz="0" w:space="0" w:color="auto"/>
                        <w:left w:val="none" w:sz="0" w:space="0" w:color="auto"/>
                        <w:bottom w:val="none" w:sz="0" w:space="0" w:color="auto"/>
                        <w:right w:val="none" w:sz="0" w:space="0" w:color="auto"/>
                      </w:divBdr>
                    </w:div>
                  </w:divsChild>
                </w:div>
                <w:div w:id="751197372">
                  <w:marLeft w:val="0"/>
                  <w:marRight w:val="0"/>
                  <w:marTop w:val="0"/>
                  <w:marBottom w:val="0"/>
                  <w:divBdr>
                    <w:top w:val="none" w:sz="0" w:space="0" w:color="auto"/>
                    <w:left w:val="none" w:sz="0" w:space="0" w:color="auto"/>
                    <w:bottom w:val="none" w:sz="0" w:space="0" w:color="auto"/>
                    <w:right w:val="none" w:sz="0" w:space="0" w:color="auto"/>
                  </w:divBdr>
                  <w:divsChild>
                    <w:div w:id="1115171063">
                      <w:marLeft w:val="0"/>
                      <w:marRight w:val="0"/>
                      <w:marTop w:val="0"/>
                      <w:marBottom w:val="0"/>
                      <w:divBdr>
                        <w:top w:val="none" w:sz="0" w:space="0" w:color="auto"/>
                        <w:left w:val="none" w:sz="0" w:space="0" w:color="auto"/>
                        <w:bottom w:val="none" w:sz="0" w:space="0" w:color="auto"/>
                        <w:right w:val="none" w:sz="0" w:space="0" w:color="auto"/>
                      </w:divBdr>
                    </w:div>
                  </w:divsChild>
                </w:div>
                <w:div w:id="790587428">
                  <w:marLeft w:val="0"/>
                  <w:marRight w:val="0"/>
                  <w:marTop w:val="0"/>
                  <w:marBottom w:val="0"/>
                  <w:divBdr>
                    <w:top w:val="none" w:sz="0" w:space="0" w:color="auto"/>
                    <w:left w:val="none" w:sz="0" w:space="0" w:color="auto"/>
                    <w:bottom w:val="none" w:sz="0" w:space="0" w:color="auto"/>
                    <w:right w:val="none" w:sz="0" w:space="0" w:color="auto"/>
                  </w:divBdr>
                  <w:divsChild>
                    <w:div w:id="1512331371">
                      <w:marLeft w:val="0"/>
                      <w:marRight w:val="0"/>
                      <w:marTop w:val="0"/>
                      <w:marBottom w:val="0"/>
                      <w:divBdr>
                        <w:top w:val="none" w:sz="0" w:space="0" w:color="auto"/>
                        <w:left w:val="none" w:sz="0" w:space="0" w:color="auto"/>
                        <w:bottom w:val="none" w:sz="0" w:space="0" w:color="auto"/>
                        <w:right w:val="none" w:sz="0" w:space="0" w:color="auto"/>
                      </w:divBdr>
                    </w:div>
                  </w:divsChild>
                </w:div>
                <w:div w:id="1008562398">
                  <w:marLeft w:val="0"/>
                  <w:marRight w:val="0"/>
                  <w:marTop w:val="0"/>
                  <w:marBottom w:val="0"/>
                  <w:divBdr>
                    <w:top w:val="none" w:sz="0" w:space="0" w:color="auto"/>
                    <w:left w:val="none" w:sz="0" w:space="0" w:color="auto"/>
                    <w:bottom w:val="none" w:sz="0" w:space="0" w:color="auto"/>
                    <w:right w:val="none" w:sz="0" w:space="0" w:color="auto"/>
                  </w:divBdr>
                  <w:divsChild>
                    <w:div w:id="722602677">
                      <w:marLeft w:val="0"/>
                      <w:marRight w:val="0"/>
                      <w:marTop w:val="0"/>
                      <w:marBottom w:val="0"/>
                      <w:divBdr>
                        <w:top w:val="none" w:sz="0" w:space="0" w:color="auto"/>
                        <w:left w:val="none" w:sz="0" w:space="0" w:color="auto"/>
                        <w:bottom w:val="none" w:sz="0" w:space="0" w:color="auto"/>
                        <w:right w:val="none" w:sz="0" w:space="0" w:color="auto"/>
                      </w:divBdr>
                    </w:div>
                  </w:divsChild>
                </w:div>
                <w:div w:id="1216888795">
                  <w:marLeft w:val="0"/>
                  <w:marRight w:val="0"/>
                  <w:marTop w:val="0"/>
                  <w:marBottom w:val="0"/>
                  <w:divBdr>
                    <w:top w:val="none" w:sz="0" w:space="0" w:color="auto"/>
                    <w:left w:val="none" w:sz="0" w:space="0" w:color="auto"/>
                    <w:bottom w:val="none" w:sz="0" w:space="0" w:color="auto"/>
                    <w:right w:val="none" w:sz="0" w:space="0" w:color="auto"/>
                  </w:divBdr>
                  <w:divsChild>
                    <w:div w:id="1231814928">
                      <w:marLeft w:val="0"/>
                      <w:marRight w:val="0"/>
                      <w:marTop w:val="0"/>
                      <w:marBottom w:val="0"/>
                      <w:divBdr>
                        <w:top w:val="none" w:sz="0" w:space="0" w:color="auto"/>
                        <w:left w:val="none" w:sz="0" w:space="0" w:color="auto"/>
                        <w:bottom w:val="none" w:sz="0" w:space="0" w:color="auto"/>
                        <w:right w:val="none" w:sz="0" w:space="0" w:color="auto"/>
                      </w:divBdr>
                    </w:div>
                  </w:divsChild>
                </w:div>
                <w:div w:id="1440831647">
                  <w:marLeft w:val="0"/>
                  <w:marRight w:val="0"/>
                  <w:marTop w:val="0"/>
                  <w:marBottom w:val="0"/>
                  <w:divBdr>
                    <w:top w:val="none" w:sz="0" w:space="0" w:color="auto"/>
                    <w:left w:val="none" w:sz="0" w:space="0" w:color="auto"/>
                    <w:bottom w:val="none" w:sz="0" w:space="0" w:color="auto"/>
                    <w:right w:val="none" w:sz="0" w:space="0" w:color="auto"/>
                  </w:divBdr>
                  <w:divsChild>
                    <w:div w:id="59596622">
                      <w:marLeft w:val="0"/>
                      <w:marRight w:val="0"/>
                      <w:marTop w:val="0"/>
                      <w:marBottom w:val="0"/>
                      <w:divBdr>
                        <w:top w:val="none" w:sz="0" w:space="0" w:color="auto"/>
                        <w:left w:val="none" w:sz="0" w:space="0" w:color="auto"/>
                        <w:bottom w:val="none" w:sz="0" w:space="0" w:color="auto"/>
                        <w:right w:val="none" w:sz="0" w:space="0" w:color="auto"/>
                      </w:divBdr>
                    </w:div>
                  </w:divsChild>
                </w:div>
                <w:div w:id="1657143979">
                  <w:marLeft w:val="0"/>
                  <w:marRight w:val="0"/>
                  <w:marTop w:val="0"/>
                  <w:marBottom w:val="0"/>
                  <w:divBdr>
                    <w:top w:val="none" w:sz="0" w:space="0" w:color="auto"/>
                    <w:left w:val="none" w:sz="0" w:space="0" w:color="auto"/>
                    <w:bottom w:val="none" w:sz="0" w:space="0" w:color="auto"/>
                    <w:right w:val="none" w:sz="0" w:space="0" w:color="auto"/>
                  </w:divBdr>
                  <w:divsChild>
                    <w:div w:id="1039934776">
                      <w:marLeft w:val="0"/>
                      <w:marRight w:val="0"/>
                      <w:marTop w:val="0"/>
                      <w:marBottom w:val="0"/>
                      <w:divBdr>
                        <w:top w:val="none" w:sz="0" w:space="0" w:color="auto"/>
                        <w:left w:val="none" w:sz="0" w:space="0" w:color="auto"/>
                        <w:bottom w:val="none" w:sz="0" w:space="0" w:color="auto"/>
                        <w:right w:val="none" w:sz="0" w:space="0" w:color="auto"/>
                      </w:divBdr>
                    </w:div>
                  </w:divsChild>
                </w:div>
                <w:div w:id="1834104857">
                  <w:marLeft w:val="0"/>
                  <w:marRight w:val="0"/>
                  <w:marTop w:val="0"/>
                  <w:marBottom w:val="0"/>
                  <w:divBdr>
                    <w:top w:val="none" w:sz="0" w:space="0" w:color="auto"/>
                    <w:left w:val="none" w:sz="0" w:space="0" w:color="auto"/>
                    <w:bottom w:val="none" w:sz="0" w:space="0" w:color="auto"/>
                    <w:right w:val="none" w:sz="0" w:space="0" w:color="auto"/>
                  </w:divBdr>
                  <w:divsChild>
                    <w:div w:id="823203651">
                      <w:marLeft w:val="0"/>
                      <w:marRight w:val="0"/>
                      <w:marTop w:val="0"/>
                      <w:marBottom w:val="0"/>
                      <w:divBdr>
                        <w:top w:val="none" w:sz="0" w:space="0" w:color="auto"/>
                        <w:left w:val="none" w:sz="0" w:space="0" w:color="auto"/>
                        <w:bottom w:val="none" w:sz="0" w:space="0" w:color="auto"/>
                        <w:right w:val="none" w:sz="0" w:space="0" w:color="auto"/>
                      </w:divBdr>
                    </w:div>
                  </w:divsChild>
                </w:div>
                <w:div w:id="1856963195">
                  <w:marLeft w:val="0"/>
                  <w:marRight w:val="0"/>
                  <w:marTop w:val="0"/>
                  <w:marBottom w:val="0"/>
                  <w:divBdr>
                    <w:top w:val="none" w:sz="0" w:space="0" w:color="auto"/>
                    <w:left w:val="none" w:sz="0" w:space="0" w:color="auto"/>
                    <w:bottom w:val="none" w:sz="0" w:space="0" w:color="auto"/>
                    <w:right w:val="none" w:sz="0" w:space="0" w:color="auto"/>
                  </w:divBdr>
                  <w:divsChild>
                    <w:div w:id="1642341975">
                      <w:marLeft w:val="0"/>
                      <w:marRight w:val="0"/>
                      <w:marTop w:val="0"/>
                      <w:marBottom w:val="0"/>
                      <w:divBdr>
                        <w:top w:val="none" w:sz="0" w:space="0" w:color="auto"/>
                        <w:left w:val="none" w:sz="0" w:space="0" w:color="auto"/>
                        <w:bottom w:val="none" w:sz="0" w:space="0" w:color="auto"/>
                        <w:right w:val="none" w:sz="0" w:space="0" w:color="auto"/>
                      </w:divBdr>
                    </w:div>
                  </w:divsChild>
                </w:div>
                <w:div w:id="2055082210">
                  <w:marLeft w:val="0"/>
                  <w:marRight w:val="0"/>
                  <w:marTop w:val="0"/>
                  <w:marBottom w:val="0"/>
                  <w:divBdr>
                    <w:top w:val="none" w:sz="0" w:space="0" w:color="auto"/>
                    <w:left w:val="none" w:sz="0" w:space="0" w:color="auto"/>
                    <w:bottom w:val="none" w:sz="0" w:space="0" w:color="auto"/>
                    <w:right w:val="none" w:sz="0" w:space="0" w:color="auto"/>
                  </w:divBdr>
                  <w:divsChild>
                    <w:div w:id="9046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0098">
          <w:marLeft w:val="0"/>
          <w:marRight w:val="0"/>
          <w:marTop w:val="0"/>
          <w:marBottom w:val="0"/>
          <w:divBdr>
            <w:top w:val="none" w:sz="0" w:space="0" w:color="auto"/>
            <w:left w:val="none" w:sz="0" w:space="0" w:color="auto"/>
            <w:bottom w:val="none" w:sz="0" w:space="0" w:color="auto"/>
            <w:right w:val="none" w:sz="0" w:space="0" w:color="auto"/>
          </w:divBdr>
        </w:div>
        <w:div w:id="313871939">
          <w:marLeft w:val="0"/>
          <w:marRight w:val="0"/>
          <w:marTop w:val="0"/>
          <w:marBottom w:val="0"/>
          <w:divBdr>
            <w:top w:val="none" w:sz="0" w:space="0" w:color="auto"/>
            <w:left w:val="none" w:sz="0" w:space="0" w:color="auto"/>
            <w:bottom w:val="none" w:sz="0" w:space="0" w:color="auto"/>
            <w:right w:val="none" w:sz="0" w:space="0" w:color="auto"/>
          </w:divBdr>
        </w:div>
        <w:div w:id="329021386">
          <w:marLeft w:val="0"/>
          <w:marRight w:val="0"/>
          <w:marTop w:val="0"/>
          <w:marBottom w:val="0"/>
          <w:divBdr>
            <w:top w:val="none" w:sz="0" w:space="0" w:color="auto"/>
            <w:left w:val="none" w:sz="0" w:space="0" w:color="auto"/>
            <w:bottom w:val="none" w:sz="0" w:space="0" w:color="auto"/>
            <w:right w:val="none" w:sz="0" w:space="0" w:color="auto"/>
          </w:divBdr>
        </w:div>
        <w:div w:id="337730625">
          <w:marLeft w:val="0"/>
          <w:marRight w:val="0"/>
          <w:marTop w:val="0"/>
          <w:marBottom w:val="0"/>
          <w:divBdr>
            <w:top w:val="none" w:sz="0" w:space="0" w:color="auto"/>
            <w:left w:val="none" w:sz="0" w:space="0" w:color="auto"/>
            <w:bottom w:val="none" w:sz="0" w:space="0" w:color="auto"/>
            <w:right w:val="none" w:sz="0" w:space="0" w:color="auto"/>
          </w:divBdr>
        </w:div>
        <w:div w:id="344870811">
          <w:marLeft w:val="0"/>
          <w:marRight w:val="0"/>
          <w:marTop w:val="0"/>
          <w:marBottom w:val="0"/>
          <w:divBdr>
            <w:top w:val="none" w:sz="0" w:space="0" w:color="auto"/>
            <w:left w:val="none" w:sz="0" w:space="0" w:color="auto"/>
            <w:bottom w:val="none" w:sz="0" w:space="0" w:color="auto"/>
            <w:right w:val="none" w:sz="0" w:space="0" w:color="auto"/>
          </w:divBdr>
        </w:div>
        <w:div w:id="388191774">
          <w:marLeft w:val="0"/>
          <w:marRight w:val="0"/>
          <w:marTop w:val="0"/>
          <w:marBottom w:val="0"/>
          <w:divBdr>
            <w:top w:val="none" w:sz="0" w:space="0" w:color="auto"/>
            <w:left w:val="none" w:sz="0" w:space="0" w:color="auto"/>
            <w:bottom w:val="none" w:sz="0" w:space="0" w:color="auto"/>
            <w:right w:val="none" w:sz="0" w:space="0" w:color="auto"/>
          </w:divBdr>
        </w:div>
        <w:div w:id="398140278">
          <w:marLeft w:val="0"/>
          <w:marRight w:val="0"/>
          <w:marTop w:val="0"/>
          <w:marBottom w:val="0"/>
          <w:divBdr>
            <w:top w:val="none" w:sz="0" w:space="0" w:color="auto"/>
            <w:left w:val="none" w:sz="0" w:space="0" w:color="auto"/>
            <w:bottom w:val="none" w:sz="0" w:space="0" w:color="auto"/>
            <w:right w:val="none" w:sz="0" w:space="0" w:color="auto"/>
          </w:divBdr>
        </w:div>
        <w:div w:id="405149471">
          <w:marLeft w:val="0"/>
          <w:marRight w:val="0"/>
          <w:marTop w:val="0"/>
          <w:marBottom w:val="0"/>
          <w:divBdr>
            <w:top w:val="none" w:sz="0" w:space="0" w:color="auto"/>
            <w:left w:val="none" w:sz="0" w:space="0" w:color="auto"/>
            <w:bottom w:val="none" w:sz="0" w:space="0" w:color="auto"/>
            <w:right w:val="none" w:sz="0" w:space="0" w:color="auto"/>
          </w:divBdr>
        </w:div>
        <w:div w:id="410588341">
          <w:marLeft w:val="0"/>
          <w:marRight w:val="0"/>
          <w:marTop w:val="0"/>
          <w:marBottom w:val="0"/>
          <w:divBdr>
            <w:top w:val="none" w:sz="0" w:space="0" w:color="auto"/>
            <w:left w:val="none" w:sz="0" w:space="0" w:color="auto"/>
            <w:bottom w:val="none" w:sz="0" w:space="0" w:color="auto"/>
            <w:right w:val="none" w:sz="0" w:space="0" w:color="auto"/>
          </w:divBdr>
        </w:div>
        <w:div w:id="411512956">
          <w:marLeft w:val="0"/>
          <w:marRight w:val="0"/>
          <w:marTop w:val="0"/>
          <w:marBottom w:val="0"/>
          <w:divBdr>
            <w:top w:val="none" w:sz="0" w:space="0" w:color="auto"/>
            <w:left w:val="none" w:sz="0" w:space="0" w:color="auto"/>
            <w:bottom w:val="none" w:sz="0" w:space="0" w:color="auto"/>
            <w:right w:val="none" w:sz="0" w:space="0" w:color="auto"/>
          </w:divBdr>
        </w:div>
        <w:div w:id="444279209">
          <w:marLeft w:val="0"/>
          <w:marRight w:val="0"/>
          <w:marTop w:val="0"/>
          <w:marBottom w:val="0"/>
          <w:divBdr>
            <w:top w:val="none" w:sz="0" w:space="0" w:color="auto"/>
            <w:left w:val="none" w:sz="0" w:space="0" w:color="auto"/>
            <w:bottom w:val="none" w:sz="0" w:space="0" w:color="auto"/>
            <w:right w:val="none" w:sz="0" w:space="0" w:color="auto"/>
          </w:divBdr>
        </w:div>
        <w:div w:id="464860955">
          <w:marLeft w:val="0"/>
          <w:marRight w:val="0"/>
          <w:marTop w:val="0"/>
          <w:marBottom w:val="0"/>
          <w:divBdr>
            <w:top w:val="none" w:sz="0" w:space="0" w:color="auto"/>
            <w:left w:val="none" w:sz="0" w:space="0" w:color="auto"/>
            <w:bottom w:val="none" w:sz="0" w:space="0" w:color="auto"/>
            <w:right w:val="none" w:sz="0" w:space="0" w:color="auto"/>
          </w:divBdr>
        </w:div>
        <w:div w:id="469901457">
          <w:marLeft w:val="0"/>
          <w:marRight w:val="0"/>
          <w:marTop w:val="0"/>
          <w:marBottom w:val="0"/>
          <w:divBdr>
            <w:top w:val="none" w:sz="0" w:space="0" w:color="auto"/>
            <w:left w:val="none" w:sz="0" w:space="0" w:color="auto"/>
            <w:bottom w:val="none" w:sz="0" w:space="0" w:color="auto"/>
            <w:right w:val="none" w:sz="0" w:space="0" w:color="auto"/>
          </w:divBdr>
          <w:divsChild>
            <w:div w:id="41172879">
              <w:marLeft w:val="0"/>
              <w:marRight w:val="0"/>
              <w:marTop w:val="0"/>
              <w:marBottom w:val="0"/>
              <w:divBdr>
                <w:top w:val="none" w:sz="0" w:space="0" w:color="auto"/>
                <w:left w:val="none" w:sz="0" w:space="0" w:color="auto"/>
                <w:bottom w:val="none" w:sz="0" w:space="0" w:color="auto"/>
                <w:right w:val="none" w:sz="0" w:space="0" w:color="auto"/>
              </w:divBdr>
            </w:div>
            <w:div w:id="51081806">
              <w:marLeft w:val="0"/>
              <w:marRight w:val="0"/>
              <w:marTop w:val="0"/>
              <w:marBottom w:val="0"/>
              <w:divBdr>
                <w:top w:val="none" w:sz="0" w:space="0" w:color="auto"/>
                <w:left w:val="none" w:sz="0" w:space="0" w:color="auto"/>
                <w:bottom w:val="none" w:sz="0" w:space="0" w:color="auto"/>
                <w:right w:val="none" w:sz="0" w:space="0" w:color="auto"/>
              </w:divBdr>
            </w:div>
            <w:div w:id="60566653">
              <w:marLeft w:val="0"/>
              <w:marRight w:val="0"/>
              <w:marTop w:val="0"/>
              <w:marBottom w:val="0"/>
              <w:divBdr>
                <w:top w:val="none" w:sz="0" w:space="0" w:color="auto"/>
                <w:left w:val="none" w:sz="0" w:space="0" w:color="auto"/>
                <w:bottom w:val="none" w:sz="0" w:space="0" w:color="auto"/>
                <w:right w:val="none" w:sz="0" w:space="0" w:color="auto"/>
              </w:divBdr>
            </w:div>
            <w:div w:id="106391457">
              <w:marLeft w:val="0"/>
              <w:marRight w:val="0"/>
              <w:marTop w:val="0"/>
              <w:marBottom w:val="0"/>
              <w:divBdr>
                <w:top w:val="none" w:sz="0" w:space="0" w:color="auto"/>
                <w:left w:val="none" w:sz="0" w:space="0" w:color="auto"/>
                <w:bottom w:val="none" w:sz="0" w:space="0" w:color="auto"/>
                <w:right w:val="none" w:sz="0" w:space="0" w:color="auto"/>
              </w:divBdr>
            </w:div>
            <w:div w:id="199128226">
              <w:marLeft w:val="0"/>
              <w:marRight w:val="0"/>
              <w:marTop w:val="0"/>
              <w:marBottom w:val="0"/>
              <w:divBdr>
                <w:top w:val="none" w:sz="0" w:space="0" w:color="auto"/>
                <w:left w:val="none" w:sz="0" w:space="0" w:color="auto"/>
                <w:bottom w:val="none" w:sz="0" w:space="0" w:color="auto"/>
                <w:right w:val="none" w:sz="0" w:space="0" w:color="auto"/>
              </w:divBdr>
            </w:div>
            <w:div w:id="358629110">
              <w:marLeft w:val="0"/>
              <w:marRight w:val="0"/>
              <w:marTop w:val="0"/>
              <w:marBottom w:val="0"/>
              <w:divBdr>
                <w:top w:val="none" w:sz="0" w:space="0" w:color="auto"/>
                <w:left w:val="none" w:sz="0" w:space="0" w:color="auto"/>
                <w:bottom w:val="none" w:sz="0" w:space="0" w:color="auto"/>
                <w:right w:val="none" w:sz="0" w:space="0" w:color="auto"/>
              </w:divBdr>
            </w:div>
            <w:div w:id="530148590">
              <w:marLeft w:val="0"/>
              <w:marRight w:val="0"/>
              <w:marTop w:val="0"/>
              <w:marBottom w:val="0"/>
              <w:divBdr>
                <w:top w:val="none" w:sz="0" w:space="0" w:color="auto"/>
                <w:left w:val="none" w:sz="0" w:space="0" w:color="auto"/>
                <w:bottom w:val="none" w:sz="0" w:space="0" w:color="auto"/>
                <w:right w:val="none" w:sz="0" w:space="0" w:color="auto"/>
              </w:divBdr>
            </w:div>
            <w:div w:id="669672471">
              <w:marLeft w:val="0"/>
              <w:marRight w:val="0"/>
              <w:marTop w:val="0"/>
              <w:marBottom w:val="0"/>
              <w:divBdr>
                <w:top w:val="none" w:sz="0" w:space="0" w:color="auto"/>
                <w:left w:val="none" w:sz="0" w:space="0" w:color="auto"/>
                <w:bottom w:val="none" w:sz="0" w:space="0" w:color="auto"/>
                <w:right w:val="none" w:sz="0" w:space="0" w:color="auto"/>
              </w:divBdr>
            </w:div>
            <w:div w:id="722828235">
              <w:marLeft w:val="0"/>
              <w:marRight w:val="0"/>
              <w:marTop w:val="0"/>
              <w:marBottom w:val="0"/>
              <w:divBdr>
                <w:top w:val="none" w:sz="0" w:space="0" w:color="auto"/>
                <w:left w:val="none" w:sz="0" w:space="0" w:color="auto"/>
                <w:bottom w:val="none" w:sz="0" w:space="0" w:color="auto"/>
                <w:right w:val="none" w:sz="0" w:space="0" w:color="auto"/>
              </w:divBdr>
            </w:div>
            <w:div w:id="760026033">
              <w:marLeft w:val="0"/>
              <w:marRight w:val="0"/>
              <w:marTop w:val="0"/>
              <w:marBottom w:val="0"/>
              <w:divBdr>
                <w:top w:val="none" w:sz="0" w:space="0" w:color="auto"/>
                <w:left w:val="none" w:sz="0" w:space="0" w:color="auto"/>
                <w:bottom w:val="none" w:sz="0" w:space="0" w:color="auto"/>
                <w:right w:val="none" w:sz="0" w:space="0" w:color="auto"/>
              </w:divBdr>
            </w:div>
            <w:div w:id="1123035344">
              <w:marLeft w:val="0"/>
              <w:marRight w:val="0"/>
              <w:marTop w:val="0"/>
              <w:marBottom w:val="0"/>
              <w:divBdr>
                <w:top w:val="none" w:sz="0" w:space="0" w:color="auto"/>
                <w:left w:val="none" w:sz="0" w:space="0" w:color="auto"/>
                <w:bottom w:val="none" w:sz="0" w:space="0" w:color="auto"/>
                <w:right w:val="none" w:sz="0" w:space="0" w:color="auto"/>
              </w:divBdr>
            </w:div>
            <w:div w:id="1255551407">
              <w:marLeft w:val="0"/>
              <w:marRight w:val="0"/>
              <w:marTop w:val="0"/>
              <w:marBottom w:val="0"/>
              <w:divBdr>
                <w:top w:val="none" w:sz="0" w:space="0" w:color="auto"/>
                <w:left w:val="none" w:sz="0" w:space="0" w:color="auto"/>
                <w:bottom w:val="none" w:sz="0" w:space="0" w:color="auto"/>
                <w:right w:val="none" w:sz="0" w:space="0" w:color="auto"/>
              </w:divBdr>
            </w:div>
            <w:div w:id="1353141063">
              <w:marLeft w:val="0"/>
              <w:marRight w:val="0"/>
              <w:marTop w:val="0"/>
              <w:marBottom w:val="0"/>
              <w:divBdr>
                <w:top w:val="none" w:sz="0" w:space="0" w:color="auto"/>
                <w:left w:val="none" w:sz="0" w:space="0" w:color="auto"/>
                <w:bottom w:val="none" w:sz="0" w:space="0" w:color="auto"/>
                <w:right w:val="none" w:sz="0" w:space="0" w:color="auto"/>
              </w:divBdr>
            </w:div>
            <w:div w:id="1536501030">
              <w:marLeft w:val="0"/>
              <w:marRight w:val="0"/>
              <w:marTop w:val="0"/>
              <w:marBottom w:val="0"/>
              <w:divBdr>
                <w:top w:val="none" w:sz="0" w:space="0" w:color="auto"/>
                <w:left w:val="none" w:sz="0" w:space="0" w:color="auto"/>
                <w:bottom w:val="none" w:sz="0" w:space="0" w:color="auto"/>
                <w:right w:val="none" w:sz="0" w:space="0" w:color="auto"/>
              </w:divBdr>
            </w:div>
            <w:div w:id="1575430354">
              <w:marLeft w:val="0"/>
              <w:marRight w:val="0"/>
              <w:marTop w:val="0"/>
              <w:marBottom w:val="0"/>
              <w:divBdr>
                <w:top w:val="none" w:sz="0" w:space="0" w:color="auto"/>
                <w:left w:val="none" w:sz="0" w:space="0" w:color="auto"/>
                <w:bottom w:val="none" w:sz="0" w:space="0" w:color="auto"/>
                <w:right w:val="none" w:sz="0" w:space="0" w:color="auto"/>
              </w:divBdr>
            </w:div>
            <w:div w:id="1766346459">
              <w:marLeft w:val="0"/>
              <w:marRight w:val="0"/>
              <w:marTop w:val="0"/>
              <w:marBottom w:val="0"/>
              <w:divBdr>
                <w:top w:val="none" w:sz="0" w:space="0" w:color="auto"/>
                <w:left w:val="none" w:sz="0" w:space="0" w:color="auto"/>
                <w:bottom w:val="none" w:sz="0" w:space="0" w:color="auto"/>
                <w:right w:val="none" w:sz="0" w:space="0" w:color="auto"/>
              </w:divBdr>
            </w:div>
            <w:div w:id="1887837833">
              <w:marLeft w:val="0"/>
              <w:marRight w:val="0"/>
              <w:marTop w:val="0"/>
              <w:marBottom w:val="0"/>
              <w:divBdr>
                <w:top w:val="none" w:sz="0" w:space="0" w:color="auto"/>
                <w:left w:val="none" w:sz="0" w:space="0" w:color="auto"/>
                <w:bottom w:val="none" w:sz="0" w:space="0" w:color="auto"/>
                <w:right w:val="none" w:sz="0" w:space="0" w:color="auto"/>
              </w:divBdr>
            </w:div>
            <w:div w:id="1932228719">
              <w:marLeft w:val="0"/>
              <w:marRight w:val="0"/>
              <w:marTop w:val="0"/>
              <w:marBottom w:val="0"/>
              <w:divBdr>
                <w:top w:val="none" w:sz="0" w:space="0" w:color="auto"/>
                <w:left w:val="none" w:sz="0" w:space="0" w:color="auto"/>
                <w:bottom w:val="none" w:sz="0" w:space="0" w:color="auto"/>
                <w:right w:val="none" w:sz="0" w:space="0" w:color="auto"/>
              </w:divBdr>
            </w:div>
            <w:div w:id="2032149896">
              <w:marLeft w:val="0"/>
              <w:marRight w:val="0"/>
              <w:marTop w:val="0"/>
              <w:marBottom w:val="0"/>
              <w:divBdr>
                <w:top w:val="none" w:sz="0" w:space="0" w:color="auto"/>
                <w:left w:val="none" w:sz="0" w:space="0" w:color="auto"/>
                <w:bottom w:val="none" w:sz="0" w:space="0" w:color="auto"/>
                <w:right w:val="none" w:sz="0" w:space="0" w:color="auto"/>
              </w:divBdr>
            </w:div>
            <w:div w:id="2142725529">
              <w:marLeft w:val="0"/>
              <w:marRight w:val="0"/>
              <w:marTop w:val="0"/>
              <w:marBottom w:val="0"/>
              <w:divBdr>
                <w:top w:val="none" w:sz="0" w:space="0" w:color="auto"/>
                <w:left w:val="none" w:sz="0" w:space="0" w:color="auto"/>
                <w:bottom w:val="none" w:sz="0" w:space="0" w:color="auto"/>
                <w:right w:val="none" w:sz="0" w:space="0" w:color="auto"/>
              </w:divBdr>
            </w:div>
          </w:divsChild>
        </w:div>
        <w:div w:id="490758853">
          <w:marLeft w:val="0"/>
          <w:marRight w:val="0"/>
          <w:marTop w:val="0"/>
          <w:marBottom w:val="0"/>
          <w:divBdr>
            <w:top w:val="none" w:sz="0" w:space="0" w:color="auto"/>
            <w:left w:val="none" w:sz="0" w:space="0" w:color="auto"/>
            <w:bottom w:val="none" w:sz="0" w:space="0" w:color="auto"/>
            <w:right w:val="none" w:sz="0" w:space="0" w:color="auto"/>
          </w:divBdr>
        </w:div>
        <w:div w:id="497499494">
          <w:marLeft w:val="0"/>
          <w:marRight w:val="0"/>
          <w:marTop w:val="0"/>
          <w:marBottom w:val="0"/>
          <w:divBdr>
            <w:top w:val="none" w:sz="0" w:space="0" w:color="auto"/>
            <w:left w:val="none" w:sz="0" w:space="0" w:color="auto"/>
            <w:bottom w:val="none" w:sz="0" w:space="0" w:color="auto"/>
            <w:right w:val="none" w:sz="0" w:space="0" w:color="auto"/>
          </w:divBdr>
        </w:div>
        <w:div w:id="506746951">
          <w:marLeft w:val="0"/>
          <w:marRight w:val="0"/>
          <w:marTop w:val="0"/>
          <w:marBottom w:val="0"/>
          <w:divBdr>
            <w:top w:val="none" w:sz="0" w:space="0" w:color="auto"/>
            <w:left w:val="none" w:sz="0" w:space="0" w:color="auto"/>
            <w:bottom w:val="none" w:sz="0" w:space="0" w:color="auto"/>
            <w:right w:val="none" w:sz="0" w:space="0" w:color="auto"/>
          </w:divBdr>
        </w:div>
        <w:div w:id="567808688">
          <w:marLeft w:val="0"/>
          <w:marRight w:val="0"/>
          <w:marTop w:val="0"/>
          <w:marBottom w:val="0"/>
          <w:divBdr>
            <w:top w:val="none" w:sz="0" w:space="0" w:color="auto"/>
            <w:left w:val="none" w:sz="0" w:space="0" w:color="auto"/>
            <w:bottom w:val="none" w:sz="0" w:space="0" w:color="auto"/>
            <w:right w:val="none" w:sz="0" w:space="0" w:color="auto"/>
          </w:divBdr>
          <w:divsChild>
            <w:div w:id="1933125439">
              <w:marLeft w:val="-75"/>
              <w:marRight w:val="0"/>
              <w:marTop w:val="30"/>
              <w:marBottom w:val="30"/>
              <w:divBdr>
                <w:top w:val="none" w:sz="0" w:space="0" w:color="auto"/>
                <w:left w:val="none" w:sz="0" w:space="0" w:color="auto"/>
                <w:bottom w:val="none" w:sz="0" w:space="0" w:color="auto"/>
                <w:right w:val="none" w:sz="0" w:space="0" w:color="auto"/>
              </w:divBdr>
              <w:divsChild>
                <w:div w:id="8222443">
                  <w:marLeft w:val="0"/>
                  <w:marRight w:val="0"/>
                  <w:marTop w:val="0"/>
                  <w:marBottom w:val="0"/>
                  <w:divBdr>
                    <w:top w:val="none" w:sz="0" w:space="0" w:color="auto"/>
                    <w:left w:val="none" w:sz="0" w:space="0" w:color="auto"/>
                    <w:bottom w:val="none" w:sz="0" w:space="0" w:color="auto"/>
                    <w:right w:val="none" w:sz="0" w:space="0" w:color="auto"/>
                  </w:divBdr>
                  <w:divsChild>
                    <w:div w:id="886914449">
                      <w:marLeft w:val="0"/>
                      <w:marRight w:val="0"/>
                      <w:marTop w:val="0"/>
                      <w:marBottom w:val="0"/>
                      <w:divBdr>
                        <w:top w:val="none" w:sz="0" w:space="0" w:color="auto"/>
                        <w:left w:val="none" w:sz="0" w:space="0" w:color="auto"/>
                        <w:bottom w:val="none" w:sz="0" w:space="0" w:color="auto"/>
                        <w:right w:val="none" w:sz="0" w:space="0" w:color="auto"/>
                      </w:divBdr>
                    </w:div>
                  </w:divsChild>
                </w:div>
                <w:div w:id="108549446">
                  <w:marLeft w:val="0"/>
                  <w:marRight w:val="0"/>
                  <w:marTop w:val="0"/>
                  <w:marBottom w:val="0"/>
                  <w:divBdr>
                    <w:top w:val="none" w:sz="0" w:space="0" w:color="auto"/>
                    <w:left w:val="none" w:sz="0" w:space="0" w:color="auto"/>
                    <w:bottom w:val="none" w:sz="0" w:space="0" w:color="auto"/>
                    <w:right w:val="none" w:sz="0" w:space="0" w:color="auto"/>
                  </w:divBdr>
                  <w:divsChild>
                    <w:div w:id="289938531">
                      <w:marLeft w:val="0"/>
                      <w:marRight w:val="0"/>
                      <w:marTop w:val="0"/>
                      <w:marBottom w:val="0"/>
                      <w:divBdr>
                        <w:top w:val="none" w:sz="0" w:space="0" w:color="auto"/>
                        <w:left w:val="none" w:sz="0" w:space="0" w:color="auto"/>
                        <w:bottom w:val="none" w:sz="0" w:space="0" w:color="auto"/>
                        <w:right w:val="none" w:sz="0" w:space="0" w:color="auto"/>
                      </w:divBdr>
                    </w:div>
                  </w:divsChild>
                </w:div>
                <w:div w:id="120812147">
                  <w:marLeft w:val="0"/>
                  <w:marRight w:val="0"/>
                  <w:marTop w:val="0"/>
                  <w:marBottom w:val="0"/>
                  <w:divBdr>
                    <w:top w:val="none" w:sz="0" w:space="0" w:color="auto"/>
                    <w:left w:val="none" w:sz="0" w:space="0" w:color="auto"/>
                    <w:bottom w:val="none" w:sz="0" w:space="0" w:color="auto"/>
                    <w:right w:val="none" w:sz="0" w:space="0" w:color="auto"/>
                  </w:divBdr>
                  <w:divsChild>
                    <w:div w:id="1688024558">
                      <w:marLeft w:val="0"/>
                      <w:marRight w:val="0"/>
                      <w:marTop w:val="0"/>
                      <w:marBottom w:val="0"/>
                      <w:divBdr>
                        <w:top w:val="none" w:sz="0" w:space="0" w:color="auto"/>
                        <w:left w:val="none" w:sz="0" w:space="0" w:color="auto"/>
                        <w:bottom w:val="none" w:sz="0" w:space="0" w:color="auto"/>
                        <w:right w:val="none" w:sz="0" w:space="0" w:color="auto"/>
                      </w:divBdr>
                    </w:div>
                  </w:divsChild>
                </w:div>
                <w:div w:id="138156548">
                  <w:marLeft w:val="0"/>
                  <w:marRight w:val="0"/>
                  <w:marTop w:val="0"/>
                  <w:marBottom w:val="0"/>
                  <w:divBdr>
                    <w:top w:val="none" w:sz="0" w:space="0" w:color="auto"/>
                    <w:left w:val="none" w:sz="0" w:space="0" w:color="auto"/>
                    <w:bottom w:val="none" w:sz="0" w:space="0" w:color="auto"/>
                    <w:right w:val="none" w:sz="0" w:space="0" w:color="auto"/>
                  </w:divBdr>
                  <w:divsChild>
                    <w:div w:id="1505049054">
                      <w:marLeft w:val="0"/>
                      <w:marRight w:val="0"/>
                      <w:marTop w:val="0"/>
                      <w:marBottom w:val="0"/>
                      <w:divBdr>
                        <w:top w:val="none" w:sz="0" w:space="0" w:color="auto"/>
                        <w:left w:val="none" w:sz="0" w:space="0" w:color="auto"/>
                        <w:bottom w:val="none" w:sz="0" w:space="0" w:color="auto"/>
                        <w:right w:val="none" w:sz="0" w:space="0" w:color="auto"/>
                      </w:divBdr>
                    </w:div>
                  </w:divsChild>
                </w:div>
                <w:div w:id="151605747">
                  <w:marLeft w:val="0"/>
                  <w:marRight w:val="0"/>
                  <w:marTop w:val="0"/>
                  <w:marBottom w:val="0"/>
                  <w:divBdr>
                    <w:top w:val="none" w:sz="0" w:space="0" w:color="auto"/>
                    <w:left w:val="none" w:sz="0" w:space="0" w:color="auto"/>
                    <w:bottom w:val="none" w:sz="0" w:space="0" w:color="auto"/>
                    <w:right w:val="none" w:sz="0" w:space="0" w:color="auto"/>
                  </w:divBdr>
                  <w:divsChild>
                    <w:div w:id="184752186">
                      <w:marLeft w:val="0"/>
                      <w:marRight w:val="0"/>
                      <w:marTop w:val="0"/>
                      <w:marBottom w:val="0"/>
                      <w:divBdr>
                        <w:top w:val="none" w:sz="0" w:space="0" w:color="auto"/>
                        <w:left w:val="none" w:sz="0" w:space="0" w:color="auto"/>
                        <w:bottom w:val="none" w:sz="0" w:space="0" w:color="auto"/>
                        <w:right w:val="none" w:sz="0" w:space="0" w:color="auto"/>
                      </w:divBdr>
                    </w:div>
                  </w:divsChild>
                </w:div>
                <w:div w:id="182598050">
                  <w:marLeft w:val="0"/>
                  <w:marRight w:val="0"/>
                  <w:marTop w:val="0"/>
                  <w:marBottom w:val="0"/>
                  <w:divBdr>
                    <w:top w:val="none" w:sz="0" w:space="0" w:color="auto"/>
                    <w:left w:val="none" w:sz="0" w:space="0" w:color="auto"/>
                    <w:bottom w:val="none" w:sz="0" w:space="0" w:color="auto"/>
                    <w:right w:val="none" w:sz="0" w:space="0" w:color="auto"/>
                  </w:divBdr>
                  <w:divsChild>
                    <w:div w:id="1835142569">
                      <w:marLeft w:val="0"/>
                      <w:marRight w:val="0"/>
                      <w:marTop w:val="0"/>
                      <w:marBottom w:val="0"/>
                      <w:divBdr>
                        <w:top w:val="none" w:sz="0" w:space="0" w:color="auto"/>
                        <w:left w:val="none" w:sz="0" w:space="0" w:color="auto"/>
                        <w:bottom w:val="none" w:sz="0" w:space="0" w:color="auto"/>
                        <w:right w:val="none" w:sz="0" w:space="0" w:color="auto"/>
                      </w:divBdr>
                    </w:div>
                  </w:divsChild>
                </w:div>
                <w:div w:id="219444264">
                  <w:marLeft w:val="0"/>
                  <w:marRight w:val="0"/>
                  <w:marTop w:val="0"/>
                  <w:marBottom w:val="0"/>
                  <w:divBdr>
                    <w:top w:val="none" w:sz="0" w:space="0" w:color="auto"/>
                    <w:left w:val="none" w:sz="0" w:space="0" w:color="auto"/>
                    <w:bottom w:val="none" w:sz="0" w:space="0" w:color="auto"/>
                    <w:right w:val="none" w:sz="0" w:space="0" w:color="auto"/>
                  </w:divBdr>
                  <w:divsChild>
                    <w:div w:id="1244609614">
                      <w:marLeft w:val="0"/>
                      <w:marRight w:val="0"/>
                      <w:marTop w:val="0"/>
                      <w:marBottom w:val="0"/>
                      <w:divBdr>
                        <w:top w:val="none" w:sz="0" w:space="0" w:color="auto"/>
                        <w:left w:val="none" w:sz="0" w:space="0" w:color="auto"/>
                        <w:bottom w:val="none" w:sz="0" w:space="0" w:color="auto"/>
                        <w:right w:val="none" w:sz="0" w:space="0" w:color="auto"/>
                      </w:divBdr>
                    </w:div>
                  </w:divsChild>
                </w:div>
                <w:div w:id="228539952">
                  <w:marLeft w:val="0"/>
                  <w:marRight w:val="0"/>
                  <w:marTop w:val="0"/>
                  <w:marBottom w:val="0"/>
                  <w:divBdr>
                    <w:top w:val="none" w:sz="0" w:space="0" w:color="auto"/>
                    <w:left w:val="none" w:sz="0" w:space="0" w:color="auto"/>
                    <w:bottom w:val="none" w:sz="0" w:space="0" w:color="auto"/>
                    <w:right w:val="none" w:sz="0" w:space="0" w:color="auto"/>
                  </w:divBdr>
                  <w:divsChild>
                    <w:div w:id="2044206873">
                      <w:marLeft w:val="0"/>
                      <w:marRight w:val="0"/>
                      <w:marTop w:val="0"/>
                      <w:marBottom w:val="0"/>
                      <w:divBdr>
                        <w:top w:val="none" w:sz="0" w:space="0" w:color="auto"/>
                        <w:left w:val="none" w:sz="0" w:space="0" w:color="auto"/>
                        <w:bottom w:val="none" w:sz="0" w:space="0" w:color="auto"/>
                        <w:right w:val="none" w:sz="0" w:space="0" w:color="auto"/>
                      </w:divBdr>
                    </w:div>
                  </w:divsChild>
                </w:div>
                <w:div w:id="240414257">
                  <w:marLeft w:val="0"/>
                  <w:marRight w:val="0"/>
                  <w:marTop w:val="0"/>
                  <w:marBottom w:val="0"/>
                  <w:divBdr>
                    <w:top w:val="none" w:sz="0" w:space="0" w:color="auto"/>
                    <w:left w:val="none" w:sz="0" w:space="0" w:color="auto"/>
                    <w:bottom w:val="none" w:sz="0" w:space="0" w:color="auto"/>
                    <w:right w:val="none" w:sz="0" w:space="0" w:color="auto"/>
                  </w:divBdr>
                  <w:divsChild>
                    <w:div w:id="1887569487">
                      <w:marLeft w:val="0"/>
                      <w:marRight w:val="0"/>
                      <w:marTop w:val="0"/>
                      <w:marBottom w:val="0"/>
                      <w:divBdr>
                        <w:top w:val="none" w:sz="0" w:space="0" w:color="auto"/>
                        <w:left w:val="none" w:sz="0" w:space="0" w:color="auto"/>
                        <w:bottom w:val="none" w:sz="0" w:space="0" w:color="auto"/>
                        <w:right w:val="none" w:sz="0" w:space="0" w:color="auto"/>
                      </w:divBdr>
                    </w:div>
                  </w:divsChild>
                </w:div>
                <w:div w:id="287705429">
                  <w:marLeft w:val="0"/>
                  <w:marRight w:val="0"/>
                  <w:marTop w:val="0"/>
                  <w:marBottom w:val="0"/>
                  <w:divBdr>
                    <w:top w:val="none" w:sz="0" w:space="0" w:color="auto"/>
                    <w:left w:val="none" w:sz="0" w:space="0" w:color="auto"/>
                    <w:bottom w:val="none" w:sz="0" w:space="0" w:color="auto"/>
                    <w:right w:val="none" w:sz="0" w:space="0" w:color="auto"/>
                  </w:divBdr>
                  <w:divsChild>
                    <w:div w:id="1353143295">
                      <w:marLeft w:val="0"/>
                      <w:marRight w:val="0"/>
                      <w:marTop w:val="0"/>
                      <w:marBottom w:val="0"/>
                      <w:divBdr>
                        <w:top w:val="none" w:sz="0" w:space="0" w:color="auto"/>
                        <w:left w:val="none" w:sz="0" w:space="0" w:color="auto"/>
                        <w:bottom w:val="none" w:sz="0" w:space="0" w:color="auto"/>
                        <w:right w:val="none" w:sz="0" w:space="0" w:color="auto"/>
                      </w:divBdr>
                    </w:div>
                  </w:divsChild>
                </w:div>
                <w:div w:id="328099267">
                  <w:marLeft w:val="0"/>
                  <w:marRight w:val="0"/>
                  <w:marTop w:val="0"/>
                  <w:marBottom w:val="0"/>
                  <w:divBdr>
                    <w:top w:val="none" w:sz="0" w:space="0" w:color="auto"/>
                    <w:left w:val="none" w:sz="0" w:space="0" w:color="auto"/>
                    <w:bottom w:val="none" w:sz="0" w:space="0" w:color="auto"/>
                    <w:right w:val="none" w:sz="0" w:space="0" w:color="auto"/>
                  </w:divBdr>
                  <w:divsChild>
                    <w:div w:id="961153105">
                      <w:marLeft w:val="0"/>
                      <w:marRight w:val="0"/>
                      <w:marTop w:val="0"/>
                      <w:marBottom w:val="0"/>
                      <w:divBdr>
                        <w:top w:val="none" w:sz="0" w:space="0" w:color="auto"/>
                        <w:left w:val="none" w:sz="0" w:space="0" w:color="auto"/>
                        <w:bottom w:val="none" w:sz="0" w:space="0" w:color="auto"/>
                        <w:right w:val="none" w:sz="0" w:space="0" w:color="auto"/>
                      </w:divBdr>
                    </w:div>
                  </w:divsChild>
                </w:div>
                <w:div w:id="368652639">
                  <w:marLeft w:val="0"/>
                  <w:marRight w:val="0"/>
                  <w:marTop w:val="0"/>
                  <w:marBottom w:val="0"/>
                  <w:divBdr>
                    <w:top w:val="none" w:sz="0" w:space="0" w:color="auto"/>
                    <w:left w:val="none" w:sz="0" w:space="0" w:color="auto"/>
                    <w:bottom w:val="none" w:sz="0" w:space="0" w:color="auto"/>
                    <w:right w:val="none" w:sz="0" w:space="0" w:color="auto"/>
                  </w:divBdr>
                  <w:divsChild>
                    <w:div w:id="1056707139">
                      <w:marLeft w:val="0"/>
                      <w:marRight w:val="0"/>
                      <w:marTop w:val="0"/>
                      <w:marBottom w:val="0"/>
                      <w:divBdr>
                        <w:top w:val="none" w:sz="0" w:space="0" w:color="auto"/>
                        <w:left w:val="none" w:sz="0" w:space="0" w:color="auto"/>
                        <w:bottom w:val="none" w:sz="0" w:space="0" w:color="auto"/>
                        <w:right w:val="none" w:sz="0" w:space="0" w:color="auto"/>
                      </w:divBdr>
                    </w:div>
                  </w:divsChild>
                </w:div>
                <w:div w:id="369568851">
                  <w:marLeft w:val="0"/>
                  <w:marRight w:val="0"/>
                  <w:marTop w:val="0"/>
                  <w:marBottom w:val="0"/>
                  <w:divBdr>
                    <w:top w:val="none" w:sz="0" w:space="0" w:color="auto"/>
                    <w:left w:val="none" w:sz="0" w:space="0" w:color="auto"/>
                    <w:bottom w:val="none" w:sz="0" w:space="0" w:color="auto"/>
                    <w:right w:val="none" w:sz="0" w:space="0" w:color="auto"/>
                  </w:divBdr>
                  <w:divsChild>
                    <w:div w:id="1942760828">
                      <w:marLeft w:val="0"/>
                      <w:marRight w:val="0"/>
                      <w:marTop w:val="0"/>
                      <w:marBottom w:val="0"/>
                      <w:divBdr>
                        <w:top w:val="none" w:sz="0" w:space="0" w:color="auto"/>
                        <w:left w:val="none" w:sz="0" w:space="0" w:color="auto"/>
                        <w:bottom w:val="none" w:sz="0" w:space="0" w:color="auto"/>
                        <w:right w:val="none" w:sz="0" w:space="0" w:color="auto"/>
                      </w:divBdr>
                    </w:div>
                  </w:divsChild>
                </w:div>
                <w:div w:id="374424402">
                  <w:marLeft w:val="0"/>
                  <w:marRight w:val="0"/>
                  <w:marTop w:val="0"/>
                  <w:marBottom w:val="0"/>
                  <w:divBdr>
                    <w:top w:val="none" w:sz="0" w:space="0" w:color="auto"/>
                    <w:left w:val="none" w:sz="0" w:space="0" w:color="auto"/>
                    <w:bottom w:val="none" w:sz="0" w:space="0" w:color="auto"/>
                    <w:right w:val="none" w:sz="0" w:space="0" w:color="auto"/>
                  </w:divBdr>
                  <w:divsChild>
                    <w:div w:id="1392583666">
                      <w:marLeft w:val="0"/>
                      <w:marRight w:val="0"/>
                      <w:marTop w:val="0"/>
                      <w:marBottom w:val="0"/>
                      <w:divBdr>
                        <w:top w:val="none" w:sz="0" w:space="0" w:color="auto"/>
                        <w:left w:val="none" w:sz="0" w:space="0" w:color="auto"/>
                        <w:bottom w:val="none" w:sz="0" w:space="0" w:color="auto"/>
                        <w:right w:val="none" w:sz="0" w:space="0" w:color="auto"/>
                      </w:divBdr>
                    </w:div>
                  </w:divsChild>
                </w:div>
                <w:div w:id="422649853">
                  <w:marLeft w:val="0"/>
                  <w:marRight w:val="0"/>
                  <w:marTop w:val="0"/>
                  <w:marBottom w:val="0"/>
                  <w:divBdr>
                    <w:top w:val="none" w:sz="0" w:space="0" w:color="auto"/>
                    <w:left w:val="none" w:sz="0" w:space="0" w:color="auto"/>
                    <w:bottom w:val="none" w:sz="0" w:space="0" w:color="auto"/>
                    <w:right w:val="none" w:sz="0" w:space="0" w:color="auto"/>
                  </w:divBdr>
                  <w:divsChild>
                    <w:div w:id="1684504339">
                      <w:marLeft w:val="0"/>
                      <w:marRight w:val="0"/>
                      <w:marTop w:val="0"/>
                      <w:marBottom w:val="0"/>
                      <w:divBdr>
                        <w:top w:val="none" w:sz="0" w:space="0" w:color="auto"/>
                        <w:left w:val="none" w:sz="0" w:space="0" w:color="auto"/>
                        <w:bottom w:val="none" w:sz="0" w:space="0" w:color="auto"/>
                        <w:right w:val="none" w:sz="0" w:space="0" w:color="auto"/>
                      </w:divBdr>
                    </w:div>
                  </w:divsChild>
                </w:div>
                <w:div w:id="438568130">
                  <w:marLeft w:val="0"/>
                  <w:marRight w:val="0"/>
                  <w:marTop w:val="0"/>
                  <w:marBottom w:val="0"/>
                  <w:divBdr>
                    <w:top w:val="none" w:sz="0" w:space="0" w:color="auto"/>
                    <w:left w:val="none" w:sz="0" w:space="0" w:color="auto"/>
                    <w:bottom w:val="none" w:sz="0" w:space="0" w:color="auto"/>
                    <w:right w:val="none" w:sz="0" w:space="0" w:color="auto"/>
                  </w:divBdr>
                  <w:divsChild>
                    <w:div w:id="489299240">
                      <w:marLeft w:val="0"/>
                      <w:marRight w:val="0"/>
                      <w:marTop w:val="0"/>
                      <w:marBottom w:val="0"/>
                      <w:divBdr>
                        <w:top w:val="none" w:sz="0" w:space="0" w:color="auto"/>
                        <w:left w:val="none" w:sz="0" w:space="0" w:color="auto"/>
                        <w:bottom w:val="none" w:sz="0" w:space="0" w:color="auto"/>
                        <w:right w:val="none" w:sz="0" w:space="0" w:color="auto"/>
                      </w:divBdr>
                    </w:div>
                  </w:divsChild>
                </w:div>
                <w:div w:id="538787888">
                  <w:marLeft w:val="0"/>
                  <w:marRight w:val="0"/>
                  <w:marTop w:val="0"/>
                  <w:marBottom w:val="0"/>
                  <w:divBdr>
                    <w:top w:val="none" w:sz="0" w:space="0" w:color="auto"/>
                    <w:left w:val="none" w:sz="0" w:space="0" w:color="auto"/>
                    <w:bottom w:val="none" w:sz="0" w:space="0" w:color="auto"/>
                    <w:right w:val="none" w:sz="0" w:space="0" w:color="auto"/>
                  </w:divBdr>
                  <w:divsChild>
                    <w:div w:id="2058813864">
                      <w:marLeft w:val="0"/>
                      <w:marRight w:val="0"/>
                      <w:marTop w:val="0"/>
                      <w:marBottom w:val="0"/>
                      <w:divBdr>
                        <w:top w:val="none" w:sz="0" w:space="0" w:color="auto"/>
                        <w:left w:val="none" w:sz="0" w:space="0" w:color="auto"/>
                        <w:bottom w:val="none" w:sz="0" w:space="0" w:color="auto"/>
                        <w:right w:val="none" w:sz="0" w:space="0" w:color="auto"/>
                      </w:divBdr>
                    </w:div>
                  </w:divsChild>
                </w:div>
                <w:div w:id="576283391">
                  <w:marLeft w:val="0"/>
                  <w:marRight w:val="0"/>
                  <w:marTop w:val="0"/>
                  <w:marBottom w:val="0"/>
                  <w:divBdr>
                    <w:top w:val="none" w:sz="0" w:space="0" w:color="auto"/>
                    <w:left w:val="none" w:sz="0" w:space="0" w:color="auto"/>
                    <w:bottom w:val="none" w:sz="0" w:space="0" w:color="auto"/>
                    <w:right w:val="none" w:sz="0" w:space="0" w:color="auto"/>
                  </w:divBdr>
                  <w:divsChild>
                    <w:div w:id="636036606">
                      <w:marLeft w:val="0"/>
                      <w:marRight w:val="0"/>
                      <w:marTop w:val="0"/>
                      <w:marBottom w:val="0"/>
                      <w:divBdr>
                        <w:top w:val="none" w:sz="0" w:space="0" w:color="auto"/>
                        <w:left w:val="none" w:sz="0" w:space="0" w:color="auto"/>
                        <w:bottom w:val="none" w:sz="0" w:space="0" w:color="auto"/>
                        <w:right w:val="none" w:sz="0" w:space="0" w:color="auto"/>
                      </w:divBdr>
                    </w:div>
                  </w:divsChild>
                </w:div>
                <w:div w:id="704449670">
                  <w:marLeft w:val="0"/>
                  <w:marRight w:val="0"/>
                  <w:marTop w:val="0"/>
                  <w:marBottom w:val="0"/>
                  <w:divBdr>
                    <w:top w:val="none" w:sz="0" w:space="0" w:color="auto"/>
                    <w:left w:val="none" w:sz="0" w:space="0" w:color="auto"/>
                    <w:bottom w:val="none" w:sz="0" w:space="0" w:color="auto"/>
                    <w:right w:val="none" w:sz="0" w:space="0" w:color="auto"/>
                  </w:divBdr>
                  <w:divsChild>
                    <w:div w:id="1146164216">
                      <w:marLeft w:val="0"/>
                      <w:marRight w:val="0"/>
                      <w:marTop w:val="0"/>
                      <w:marBottom w:val="0"/>
                      <w:divBdr>
                        <w:top w:val="none" w:sz="0" w:space="0" w:color="auto"/>
                        <w:left w:val="none" w:sz="0" w:space="0" w:color="auto"/>
                        <w:bottom w:val="none" w:sz="0" w:space="0" w:color="auto"/>
                        <w:right w:val="none" w:sz="0" w:space="0" w:color="auto"/>
                      </w:divBdr>
                    </w:div>
                  </w:divsChild>
                </w:div>
                <w:div w:id="713966759">
                  <w:marLeft w:val="0"/>
                  <w:marRight w:val="0"/>
                  <w:marTop w:val="0"/>
                  <w:marBottom w:val="0"/>
                  <w:divBdr>
                    <w:top w:val="none" w:sz="0" w:space="0" w:color="auto"/>
                    <w:left w:val="none" w:sz="0" w:space="0" w:color="auto"/>
                    <w:bottom w:val="none" w:sz="0" w:space="0" w:color="auto"/>
                    <w:right w:val="none" w:sz="0" w:space="0" w:color="auto"/>
                  </w:divBdr>
                  <w:divsChild>
                    <w:div w:id="134302343">
                      <w:marLeft w:val="0"/>
                      <w:marRight w:val="0"/>
                      <w:marTop w:val="0"/>
                      <w:marBottom w:val="0"/>
                      <w:divBdr>
                        <w:top w:val="none" w:sz="0" w:space="0" w:color="auto"/>
                        <w:left w:val="none" w:sz="0" w:space="0" w:color="auto"/>
                        <w:bottom w:val="none" w:sz="0" w:space="0" w:color="auto"/>
                        <w:right w:val="none" w:sz="0" w:space="0" w:color="auto"/>
                      </w:divBdr>
                    </w:div>
                  </w:divsChild>
                </w:div>
                <w:div w:id="754085374">
                  <w:marLeft w:val="0"/>
                  <w:marRight w:val="0"/>
                  <w:marTop w:val="0"/>
                  <w:marBottom w:val="0"/>
                  <w:divBdr>
                    <w:top w:val="none" w:sz="0" w:space="0" w:color="auto"/>
                    <w:left w:val="none" w:sz="0" w:space="0" w:color="auto"/>
                    <w:bottom w:val="none" w:sz="0" w:space="0" w:color="auto"/>
                    <w:right w:val="none" w:sz="0" w:space="0" w:color="auto"/>
                  </w:divBdr>
                  <w:divsChild>
                    <w:div w:id="42684022">
                      <w:marLeft w:val="0"/>
                      <w:marRight w:val="0"/>
                      <w:marTop w:val="0"/>
                      <w:marBottom w:val="0"/>
                      <w:divBdr>
                        <w:top w:val="none" w:sz="0" w:space="0" w:color="auto"/>
                        <w:left w:val="none" w:sz="0" w:space="0" w:color="auto"/>
                        <w:bottom w:val="none" w:sz="0" w:space="0" w:color="auto"/>
                        <w:right w:val="none" w:sz="0" w:space="0" w:color="auto"/>
                      </w:divBdr>
                    </w:div>
                  </w:divsChild>
                </w:div>
                <w:div w:id="757798179">
                  <w:marLeft w:val="0"/>
                  <w:marRight w:val="0"/>
                  <w:marTop w:val="0"/>
                  <w:marBottom w:val="0"/>
                  <w:divBdr>
                    <w:top w:val="none" w:sz="0" w:space="0" w:color="auto"/>
                    <w:left w:val="none" w:sz="0" w:space="0" w:color="auto"/>
                    <w:bottom w:val="none" w:sz="0" w:space="0" w:color="auto"/>
                    <w:right w:val="none" w:sz="0" w:space="0" w:color="auto"/>
                  </w:divBdr>
                  <w:divsChild>
                    <w:div w:id="1947300860">
                      <w:marLeft w:val="0"/>
                      <w:marRight w:val="0"/>
                      <w:marTop w:val="0"/>
                      <w:marBottom w:val="0"/>
                      <w:divBdr>
                        <w:top w:val="none" w:sz="0" w:space="0" w:color="auto"/>
                        <w:left w:val="none" w:sz="0" w:space="0" w:color="auto"/>
                        <w:bottom w:val="none" w:sz="0" w:space="0" w:color="auto"/>
                        <w:right w:val="none" w:sz="0" w:space="0" w:color="auto"/>
                      </w:divBdr>
                    </w:div>
                  </w:divsChild>
                </w:div>
                <w:div w:id="809438460">
                  <w:marLeft w:val="0"/>
                  <w:marRight w:val="0"/>
                  <w:marTop w:val="0"/>
                  <w:marBottom w:val="0"/>
                  <w:divBdr>
                    <w:top w:val="none" w:sz="0" w:space="0" w:color="auto"/>
                    <w:left w:val="none" w:sz="0" w:space="0" w:color="auto"/>
                    <w:bottom w:val="none" w:sz="0" w:space="0" w:color="auto"/>
                    <w:right w:val="none" w:sz="0" w:space="0" w:color="auto"/>
                  </w:divBdr>
                  <w:divsChild>
                    <w:div w:id="1539585739">
                      <w:marLeft w:val="0"/>
                      <w:marRight w:val="0"/>
                      <w:marTop w:val="0"/>
                      <w:marBottom w:val="0"/>
                      <w:divBdr>
                        <w:top w:val="none" w:sz="0" w:space="0" w:color="auto"/>
                        <w:left w:val="none" w:sz="0" w:space="0" w:color="auto"/>
                        <w:bottom w:val="none" w:sz="0" w:space="0" w:color="auto"/>
                        <w:right w:val="none" w:sz="0" w:space="0" w:color="auto"/>
                      </w:divBdr>
                    </w:div>
                  </w:divsChild>
                </w:div>
                <w:div w:id="894507792">
                  <w:marLeft w:val="0"/>
                  <w:marRight w:val="0"/>
                  <w:marTop w:val="0"/>
                  <w:marBottom w:val="0"/>
                  <w:divBdr>
                    <w:top w:val="none" w:sz="0" w:space="0" w:color="auto"/>
                    <w:left w:val="none" w:sz="0" w:space="0" w:color="auto"/>
                    <w:bottom w:val="none" w:sz="0" w:space="0" w:color="auto"/>
                    <w:right w:val="none" w:sz="0" w:space="0" w:color="auto"/>
                  </w:divBdr>
                  <w:divsChild>
                    <w:div w:id="371003471">
                      <w:marLeft w:val="0"/>
                      <w:marRight w:val="0"/>
                      <w:marTop w:val="0"/>
                      <w:marBottom w:val="0"/>
                      <w:divBdr>
                        <w:top w:val="none" w:sz="0" w:space="0" w:color="auto"/>
                        <w:left w:val="none" w:sz="0" w:space="0" w:color="auto"/>
                        <w:bottom w:val="none" w:sz="0" w:space="0" w:color="auto"/>
                        <w:right w:val="none" w:sz="0" w:space="0" w:color="auto"/>
                      </w:divBdr>
                    </w:div>
                  </w:divsChild>
                </w:div>
                <w:div w:id="909121551">
                  <w:marLeft w:val="0"/>
                  <w:marRight w:val="0"/>
                  <w:marTop w:val="0"/>
                  <w:marBottom w:val="0"/>
                  <w:divBdr>
                    <w:top w:val="none" w:sz="0" w:space="0" w:color="auto"/>
                    <w:left w:val="none" w:sz="0" w:space="0" w:color="auto"/>
                    <w:bottom w:val="none" w:sz="0" w:space="0" w:color="auto"/>
                    <w:right w:val="none" w:sz="0" w:space="0" w:color="auto"/>
                  </w:divBdr>
                  <w:divsChild>
                    <w:div w:id="1222978191">
                      <w:marLeft w:val="0"/>
                      <w:marRight w:val="0"/>
                      <w:marTop w:val="0"/>
                      <w:marBottom w:val="0"/>
                      <w:divBdr>
                        <w:top w:val="none" w:sz="0" w:space="0" w:color="auto"/>
                        <w:left w:val="none" w:sz="0" w:space="0" w:color="auto"/>
                        <w:bottom w:val="none" w:sz="0" w:space="0" w:color="auto"/>
                        <w:right w:val="none" w:sz="0" w:space="0" w:color="auto"/>
                      </w:divBdr>
                    </w:div>
                  </w:divsChild>
                </w:div>
                <w:div w:id="952324133">
                  <w:marLeft w:val="0"/>
                  <w:marRight w:val="0"/>
                  <w:marTop w:val="0"/>
                  <w:marBottom w:val="0"/>
                  <w:divBdr>
                    <w:top w:val="none" w:sz="0" w:space="0" w:color="auto"/>
                    <w:left w:val="none" w:sz="0" w:space="0" w:color="auto"/>
                    <w:bottom w:val="none" w:sz="0" w:space="0" w:color="auto"/>
                    <w:right w:val="none" w:sz="0" w:space="0" w:color="auto"/>
                  </w:divBdr>
                  <w:divsChild>
                    <w:div w:id="14776066">
                      <w:marLeft w:val="0"/>
                      <w:marRight w:val="0"/>
                      <w:marTop w:val="0"/>
                      <w:marBottom w:val="0"/>
                      <w:divBdr>
                        <w:top w:val="none" w:sz="0" w:space="0" w:color="auto"/>
                        <w:left w:val="none" w:sz="0" w:space="0" w:color="auto"/>
                        <w:bottom w:val="none" w:sz="0" w:space="0" w:color="auto"/>
                        <w:right w:val="none" w:sz="0" w:space="0" w:color="auto"/>
                      </w:divBdr>
                    </w:div>
                  </w:divsChild>
                </w:div>
                <w:div w:id="993340458">
                  <w:marLeft w:val="0"/>
                  <w:marRight w:val="0"/>
                  <w:marTop w:val="0"/>
                  <w:marBottom w:val="0"/>
                  <w:divBdr>
                    <w:top w:val="none" w:sz="0" w:space="0" w:color="auto"/>
                    <w:left w:val="none" w:sz="0" w:space="0" w:color="auto"/>
                    <w:bottom w:val="none" w:sz="0" w:space="0" w:color="auto"/>
                    <w:right w:val="none" w:sz="0" w:space="0" w:color="auto"/>
                  </w:divBdr>
                  <w:divsChild>
                    <w:div w:id="1308434719">
                      <w:marLeft w:val="0"/>
                      <w:marRight w:val="0"/>
                      <w:marTop w:val="0"/>
                      <w:marBottom w:val="0"/>
                      <w:divBdr>
                        <w:top w:val="none" w:sz="0" w:space="0" w:color="auto"/>
                        <w:left w:val="none" w:sz="0" w:space="0" w:color="auto"/>
                        <w:bottom w:val="none" w:sz="0" w:space="0" w:color="auto"/>
                        <w:right w:val="none" w:sz="0" w:space="0" w:color="auto"/>
                      </w:divBdr>
                    </w:div>
                  </w:divsChild>
                </w:div>
                <w:div w:id="1007829283">
                  <w:marLeft w:val="0"/>
                  <w:marRight w:val="0"/>
                  <w:marTop w:val="0"/>
                  <w:marBottom w:val="0"/>
                  <w:divBdr>
                    <w:top w:val="none" w:sz="0" w:space="0" w:color="auto"/>
                    <w:left w:val="none" w:sz="0" w:space="0" w:color="auto"/>
                    <w:bottom w:val="none" w:sz="0" w:space="0" w:color="auto"/>
                    <w:right w:val="none" w:sz="0" w:space="0" w:color="auto"/>
                  </w:divBdr>
                  <w:divsChild>
                    <w:div w:id="389500858">
                      <w:marLeft w:val="0"/>
                      <w:marRight w:val="0"/>
                      <w:marTop w:val="0"/>
                      <w:marBottom w:val="0"/>
                      <w:divBdr>
                        <w:top w:val="none" w:sz="0" w:space="0" w:color="auto"/>
                        <w:left w:val="none" w:sz="0" w:space="0" w:color="auto"/>
                        <w:bottom w:val="none" w:sz="0" w:space="0" w:color="auto"/>
                        <w:right w:val="none" w:sz="0" w:space="0" w:color="auto"/>
                      </w:divBdr>
                    </w:div>
                  </w:divsChild>
                </w:div>
                <w:div w:id="1059865028">
                  <w:marLeft w:val="0"/>
                  <w:marRight w:val="0"/>
                  <w:marTop w:val="0"/>
                  <w:marBottom w:val="0"/>
                  <w:divBdr>
                    <w:top w:val="none" w:sz="0" w:space="0" w:color="auto"/>
                    <w:left w:val="none" w:sz="0" w:space="0" w:color="auto"/>
                    <w:bottom w:val="none" w:sz="0" w:space="0" w:color="auto"/>
                    <w:right w:val="none" w:sz="0" w:space="0" w:color="auto"/>
                  </w:divBdr>
                  <w:divsChild>
                    <w:div w:id="2112890561">
                      <w:marLeft w:val="0"/>
                      <w:marRight w:val="0"/>
                      <w:marTop w:val="0"/>
                      <w:marBottom w:val="0"/>
                      <w:divBdr>
                        <w:top w:val="none" w:sz="0" w:space="0" w:color="auto"/>
                        <w:left w:val="none" w:sz="0" w:space="0" w:color="auto"/>
                        <w:bottom w:val="none" w:sz="0" w:space="0" w:color="auto"/>
                        <w:right w:val="none" w:sz="0" w:space="0" w:color="auto"/>
                      </w:divBdr>
                    </w:div>
                  </w:divsChild>
                </w:div>
                <w:div w:id="1142965525">
                  <w:marLeft w:val="0"/>
                  <w:marRight w:val="0"/>
                  <w:marTop w:val="0"/>
                  <w:marBottom w:val="0"/>
                  <w:divBdr>
                    <w:top w:val="none" w:sz="0" w:space="0" w:color="auto"/>
                    <w:left w:val="none" w:sz="0" w:space="0" w:color="auto"/>
                    <w:bottom w:val="none" w:sz="0" w:space="0" w:color="auto"/>
                    <w:right w:val="none" w:sz="0" w:space="0" w:color="auto"/>
                  </w:divBdr>
                  <w:divsChild>
                    <w:div w:id="1117918094">
                      <w:marLeft w:val="0"/>
                      <w:marRight w:val="0"/>
                      <w:marTop w:val="0"/>
                      <w:marBottom w:val="0"/>
                      <w:divBdr>
                        <w:top w:val="none" w:sz="0" w:space="0" w:color="auto"/>
                        <w:left w:val="none" w:sz="0" w:space="0" w:color="auto"/>
                        <w:bottom w:val="none" w:sz="0" w:space="0" w:color="auto"/>
                        <w:right w:val="none" w:sz="0" w:space="0" w:color="auto"/>
                      </w:divBdr>
                    </w:div>
                  </w:divsChild>
                </w:div>
                <w:div w:id="1165509961">
                  <w:marLeft w:val="0"/>
                  <w:marRight w:val="0"/>
                  <w:marTop w:val="0"/>
                  <w:marBottom w:val="0"/>
                  <w:divBdr>
                    <w:top w:val="none" w:sz="0" w:space="0" w:color="auto"/>
                    <w:left w:val="none" w:sz="0" w:space="0" w:color="auto"/>
                    <w:bottom w:val="none" w:sz="0" w:space="0" w:color="auto"/>
                    <w:right w:val="none" w:sz="0" w:space="0" w:color="auto"/>
                  </w:divBdr>
                  <w:divsChild>
                    <w:div w:id="1236087983">
                      <w:marLeft w:val="0"/>
                      <w:marRight w:val="0"/>
                      <w:marTop w:val="0"/>
                      <w:marBottom w:val="0"/>
                      <w:divBdr>
                        <w:top w:val="none" w:sz="0" w:space="0" w:color="auto"/>
                        <w:left w:val="none" w:sz="0" w:space="0" w:color="auto"/>
                        <w:bottom w:val="none" w:sz="0" w:space="0" w:color="auto"/>
                        <w:right w:val="none" w:sz="0" w:space="0" w:color="auto"/>
                      </w:divBdr>
                    </w:div>
                  </w:divsChild>
                </w:div>
                <w:div w:id="1247961808">
                  <w:marLeft w:val="0"/>
                  <w:marRight w:val="0"/>
                  <w:marTop w:val="0"/>
                  <w:marBottom w:val="0"/>
                  <w:divBdr>
                    <w:top w:val="none" w:sz="0" w:space="0" w:color="auto"/>
                    <w:left w:val="none" w:sz="0" w:space="0" w:color="auto"/>
                    <w:bottom w:val="none" w:sz="0" w:space="0" w:color="auto"/>
                    <w:right w:val="none" w:sz="0" w:space="0" w:color="auto"/>
                  </w:divBdr>
                  <w:divsChild>
                    <w:div w:id="1276711622">
                      <w:marLeft w:val="0"/>
                      <w:marRight w:val="0"/>
                      <w:marTop w:val="0"/>
                      <w:marBottom w:val="0"/>
                      <w:divBdr>
                        <w:top w:val="none" w:sz="0" w:space="0" w:color="auto"/>
                        <w:left w:val="none" w:sz="0" w:space="0" w:color="auto"/>
                        <w:bottom w:val="none" w:sz="0" w:space="0" w:color="auto"/>
                        <w:right w:val="none" w:sz="0" w:space="0" w:color="auto"/>
                      </w:divBdr>
                    </w:div>
                  </w:divsChild>
                </w:div>
                <w:div w:id="1269898443">
                  <w:marLeft w:val="0"/>
                  <w:marRight w:val="0"/>
                  <w:marTop w:val="0"/>
                  <w:marBottom w:val="0"/>
                  <w:divBdr>
                    <w:top w:val="none" w:sz="0" w:space="0" w:color="auto"/>
                    <w:left w:val="none" w:sz="0" w:space="0" w:color="auto"/>
                    <w:bottom w:val="none" w:sz="0" w:space="0" w:color="auto"/>
                    <w:right w:val="none" w:sz="0" w:space="0" w:color="auto"/>
                  </w:divBdr>
                  <w:divsChild>
                    <w:div w:id="1205870876">
                      <w:marLeft w:val="0"/>
                      <w:marRight w:val="0"/>
                      <w:marTop w:val="0"/>
                      <w:marBottom w:val="0"/>
                      <w:divBdr>
                        <w:top w:val="none" w:sz="0" w:space="0" w:color="auto"/>
                        <w:left w:val="none" w:sz="0" w:space="0" w:color="auto"/>
                        <w:bottom w:val="none" w:sz="0" w:space="0" w:color="auto"/>
                        <w:right w:val="none" w:sz="0" w:space="0" w:color="auto"/>
                      </w:divBdr>
                    </w:div>
                  </w:divsChild>
                </w:div>
                <w:div w:id="1299216296">
                  <w:marLeft w:val="0"/>
                  <w:marRight w:val="0"/>
                  <w:marTop w:val="0"/>
                  <w:marBottom w:val="0"/>
                  <w:divBdr>
                    <w:top w:val="none" w:sz="0" w:space="0" w:color="auto"/>
                    <w:left w:val="none" w:sz="0" w:space="0" w:color="auto"/>
                    <w:bottom w:val="none" w:sz="0" w:space="0" w:color="auto"/>
                    <w:right w:val="none" w:sz="0" w:space="0" w:color="auto"/>
                  </w:divBdr>
                  <w:divsChild>
                    <w:div w:id="72750917">
                      <w:marLeft w:val="0"/>
                      <w:marRight w:val="0"/>
                      <w:marTop w:val="0"/>
                      <w:marBottom w:val="0"/>
                      <w:divBdr>
                        <w:top w:val="none" w:sz="0" w:space="0" w:color="auto"/>
                        <w:left w:val="none" w:sz="0" w:space="0" w:color="auto"/>
                        <w:bottom w:val="none" w:sz="0" w:space="0" w:color="auto"/>
                        <w:right w:val="none" w:sz="0" w:space="0" w:color="auto"/>
                      </w:divBdr>
                    </w:div>
                  </w:divsChild>
                </w:div>
                <w:div w:id="1346132446">
                  <w:marLeft w:val="0"/>
                  <w:marRight w:val="0"/>
                  <w:marTop w:val="0"/>
                  <w:marBottom w:val="0"/>
                  <w:divBdr>
                    <w:top w:val="none" w:sz="0" w:space="0" w:color="auto"/>
                    <w:left w:val="none" w:sz="0" w:space="0" w:color="auto"/>
                    <w:bottom w:val="none" w:sz="0" w:space="0" w:color="auto"/>
                    <w:right w:val="none" w:sz="0" w:space="0" w:color="auto"/>
                  </w:divBdr>
                  <w:divsChild>
                    <w:div w:id="1142573377">
                      <w:marLeft w:val="0"/>
                      <w:marRight w:val="0"/>
                      <w:marTop w:val="0"/>
                      <w:marBottom w:val="0"/>
                      <w:divBdr>
                        <w:top w:val="none" w:sz="0" w:space="0" w:color="auto"/>
                        <w:left w:val="none" w:sz="0" w:space="0" w:color="auto"/>
                        <w:bottom w:val="none" w:sz="0" w:space="0" w:color="auto"/>
                        <w:right w:val="none" w:sz="0" w:space="0" w:color="auto"/>
                      </w:divBdr>
                    </w:div>
                  </w:divsChild>
                </w:div>
                <w:div w:id="1462964683">
                  <w:marLeft w:val="0"/>
                  <w:marRight w:val="0"/>
                  <w:marTop w:val="0"/>
                  <w:marBottom w:val="0"/>
                  <w:divBdr>
                    <w:top w:val="none" w:sz="0" w:space="0" w:color="auto"/>
                    <w:left w:val="none" w:sz="0" w:space="0" w:color="auto"/>
                    <w:bottom w:val="none" w:sz="0" w:space="0" w:color="auto"/>
                    <w:right w:val="none" w:sz="0" w:space="0" w:color="auto"/>
                  </w:divBdr>
                  <w:divsChild>
                    <w:div w:id="711925721">
                      <w:marLeft w:val="0"/>
                      <w:marRight w:val="0"/>
                      <w:marTop w:val="0"/>
                      <w:marBottom w:val="0"/>
                      <w:divBdr>
                        <w:top w:val="none" w:sz="0" w:space="0" w:color="auto"/>
                        <w:left w:val="none" w:sz="0" w:space="0" w:color="auto"/>
                        <w:bottom w:val="none" w:sz="0" w:space="0" w:color="auto"/>
                        <w:right w:val="none" w:sz="0" w:space="0" w:color="auto"/>
                      </w:divBdr>
                    </w:div>
                  </w:divsChild>
                </w:div>
                <w:div w:id="1522934668">
                  <w:marLeft w:val="0"/>
                  <w:marRight w:val="0"/>
                  <w:marTop w:val="0"/>
                  <w:marBottom w:val="0"/>
                  <w:divBdr>
                    <w:top w:val="none" w:sz="0" w:space="0" w:color="auto"/>
                    <w:left w:val="none" w:sz="0" w:space="0" w:color="auto"/>
                    <w:bottom w:val="none" w:sz="0" w:space="0" w:color="auto"/>
                    <w:right w:val="none" w:sz="0" w:space="0" w:color="auto"/>
                  </w:divBdr>
                  <w:divsChild>
                    <w:div w:id="1009135578">
                      <w:marLeft w:val="0"/>
                      <w:marRight w:val="0"/>
                      <w:marTop w:val="0"/>
                      <w:marBottom w:val="0"/>
                      <w:divBdr>
                        <w:top w:val="none" w:sz="0" w:space="0" w:color="auto"/>
                        <w:left w:val="none" w:sz="0" w:space="0" w:color="auto"/>
                        <w:bottom w:val="none" w:sz="0" w:space="0" w:color="auto"/>
                        <w:right w:val="none" w:sz="0" w:space="0" w:color="auto"/>
                      </w:divBdr>
                    </w:div>
                  </w:divsChild>
                </w:div>
                <w:div w:id="1623728659">
                  <w:marLeft w:val="0"/>
                  <w:marRight w:val="0"/>
                  <w:marTop w:val="0"/>
                  <w:marBottom w:val="0"/>
                  <w:divBdr>
                    <w:top w:val="none" w:sz="0" w:space="0" w:color="auto"/>
                    <w:left w:val="none" w:sz="0" w:space="0" w:color="auto"/>
                    <w:bottom w:val="none" w:sz="0" w:space="0" w:color="auto"/>
                    <w:right w:val="none" w:sz="0" w:space="0" w:color="auto"/>
                  </w:divBdr>
                  <w:divsChild>
                    <w:div w:id="915017328">
                      <w:marLeft w:val="0"/>
                      <w:marRight w:val="0"/>
                      <w:marTop w:val="0"/>
                      <w:marBottom w:val="0"/>
                      <w:divBdr>
                        <w:top w:val="none" w:sz="0" w:space="0" w:color="auto"/>
                        <w:left w:val="none" w:sz="0" w:space="0" w:color="auto"/>
                        <w:bottom w:val="none" w:sz="0" w:space="0" w:color="auto"/>
                        <w:right w:val="none" w:sz="0" w:space="0" w:color="auto"/>
                      </w:divBdr>
                    </w:div>
                  </w:divsChild>
                </w:div>
                <w:div w:id="1703939705">
                  <w:marLeft w:val="0"/>
                  <w:marRight w:val="0"/>
                  <w:marTop w:val="0"/>
                  <w:marBottom w:val="0"/>
                  <w:divBdr>
                    <w:top w:val="none" w:sz="0" w:space="0" w:color="auto"/>
                    <w:left w:val="none" w:sz="0" w:space="0" w:color="auto"/>
                    <w:bottom w:val="none" w:sz="0" w:space="0" w:color="auto"/>
                    <w:right w:val="none" w:sz="0" w:space="0" w:color="auto"/>
                  </w:divBdr>
                  <w:divsChild>
                    <w:div w:id="1083377463">
                      <w:marLeft w:val="0"/>
                      <w:marRight w:val="0"/>
                      <w:marTop w:val="0"/>
                      <w:marBottom w:val="0"/>
                      <w:divBdr>
                        <w:top w:val="none" w:sz="0" w:space="0" w:color="auto"/>
                        <w:left w:val="none" w:sz="0" w:space="0" w:color="auto"/>
                        <w:bottom w:val="none" w:sz="0" w:space="0" w:color="auto"/>
                        <w:right w:val="none" w:sz="0" w:space="0" w:color="auto"/>
                      </w:divBdr>
                    </w:div>
                  </w:divsChild>
                </w:div>
                <w:div w:id="1809006826">
                  <w:marLeft w:val="0"/>
                  <w:marRight w:val="0"/>
                  <w:marTop w:val="0"/>
                  <w:marBottom w:val="0"/>
                  <w:divBdr>
                    <w:top w:val="none" w:sz="0" w:space="0" w:color="auto"/>
                    <w:left w:val="none" w:sz="0" w:space="0" w:color="auto"/>
                    <w:bottom w:val="none" w:sz="0" w:space="0" w:color="auto"/>
                    <w:right w:val="none" w:sz="0" w:space="0" w:color="auto"/>
                  </w:divBdr>
                  <w:divsChild>
                    <w:div w:id="831721439">
                      <w:marLeft w:val="0"/>
                      <w:marRight w:val="0"/>
                      <w:marTop w:val="0"/>
                      <w:marBottom w:val="0"/>
                      <w:divBdr>
                        <w:top w:val="none" w:sz="0" w:space="0" w:color="auto"/>
                        <w:left w:val="none" w:sz="0" w:space="0" w:color="auto"/>
                        <w:bottom w:val="none" w:sz="0" w:space="0" w:color="auto"/>
                        <w:right w:val="none" w:sz="0" w:space="0" w:color="auto"/>
                      </w:divBdr>
                    </w:div>
                  </w:divsChild>
                </w:div>
                <w:div w:id="1815641046">
                  <w:marLeft w:val="0"/>
                  <w:marRight w:val="0"/>
                  <w:marTop w:val="0"/>
                  <w:marBottom w:val="0"/>
                  <w:divBdr>
                    <w:top w:val="none" w:sz="0" w:space="0" w:color="auto"/>
                    <w:left w:val="none" w:sz="0" w:space="0" w:color="auto"/>
                    <w:bottom w:val="none" w:sz="0" w:space="0" w:color="auto"/>
                    <w:right w:val="none" w:sz="0" w:space="0" w:color="auto"/>
                  </w:divBdr>
                  <w:divsChild>
                    <w:div w:id="416902515">
                      <w:marLeft w:val="0"/>
                      <w:marRight w:val="0"/>
                      <w:marTop w:val="0"/>
                      <w:marBottom w:val="0"/>
                      <w:divBdr>
                        <w:top w:val="none" w:sz="0" w:space="0" w:color="auto"/>
                        <w:left w:val="none" w:sz="0" w:space="0" w:color="auto"/>
                        <w:bottom w:val="none" w:sz="0" w:space="0" w:color="auto"/>
                        <w:right w:val="none" w:sz="0" w:space="0" w:color="auto"/>
                      </w:divBdr>
                    </w:div>
                  </w:divsChild>
                </w:div>
                <w:div w:id="1820883321">
                  <w:marLeft w:val="0"/>
                  <w:marRight w:val="0"/>
                  <w:marTop w:val="0"/>
                  <w:marBottom w:val="0"/>
                  <w:divBdr>
                    <w:top w:val="none" w:sz="0" w:space="0" w:color="auto"/>
                    <w:left w:val="none" w:sz="0" w:space="0" w:color="auto"/>
                    <w:bottom w:val="none" w:sz="0" w:space="0" w:color="auto"/>
                    <w:right w:val="none" w:sz="0" w:space="0" w:color="auto"/>
                  </w:divBdr>
                  <w:divsChild>
                    <w:div w:id="291717157">
                      <w:marLeft w:val="0"/>
                      <w:marRight w:val="0"/>
                      <w:marTop w:val="0"/>
                      <w:marBottom w:val="0"/>
                      <w:divBdr>
                        <w:top w:val="none" w:sz="0" w:space="0" w:color="auto"/>
                        <w:left w:val="none" w:sz="0" w:space="0" w:color="auto"/>
                        <w:bottom w:val="none" w:sz="0" w:space="0" w:color="auto"/>
                        <w:right w:val="none" w:sz="0" w:space="0" w:color="auto"/>
                      </w:divBdr>
                    </w:div>
                  </w:divsChild>
                </w:div>
                <w:div w:id="1890416677">
                  <w:marLeft w:val="0"/>
                  <w:marRight w:val="0"/>
                  <w:marTop w:val="0"/>
                  <w:marBottom w:val="0"/>
                  <w:divBdr>
                    <w:top w:val="none" w:sz="0" w:space="0" w:color="auto"/>
                    <w:left w:val="none" w:sz="0" w:space="0" w:color="auto"/>
                    <w:bottom w:val="none" w:sz="0" w:space="0" w:color="auto"/>
                    <w:right w:val="none" w:sz="0" w:space="0" w:color="auto"/>
                  </w:divBdr>
                  <w:divsChild>
                    <w:div w:id="1913344102">
                      <w:marLeft w:val="0"/>
                      <w:marRight w:val="0"/>
                      <w:marTop w:val="0"/>
                      <w:marBottom w:val="0"/>
                      <w:divBdr>
                        <w:top w:val="none" w:sz="0" w:space="0" w:color="auto"/>
                        <w:left w:val="none" w:sz="0" w:space="0" w:color="auto"/>
                        <w:bottom w:val="none" w:sz="0" w:space="0" w:color="auto"/>
                        <w:right w:val="none" w:sz="0" w:space="0" w:color="auto"/>
                      </w:divBdr>
                    </w:div>
                  </w:divsChild>
                </w:div>
                <w:div w:id="1923642052">
                  <w:marLeft w:val="0"/>
                  <w:marRight w:val="0"/>
                  <w:marTop w:val="0"/>
                  <w:marBottom w:val="0"/>
                  <w:divBdr>
                    <w:top w:val="none" w:sz="0" w:space="0" w:color="auto"/>
                    <w:left w:val="none" w:sz="0" w:space="0" w:color="auto"/>
                    <w:bottom w:val="none" w:sz="0" w:space="0" w:color="auto"/>
                    <w:right w:val="none" w:sz="0" w:space="0" w:color="auto"/>
                  </w:divBdr>
                  <w:divsChild>
                    <w:div w:id="135606275">
                      <w:marLeft w:val="0"/>
                      <w:marRight w:val="0"/>
                      <w:marTop w:val="0"/>
                      <w:marBottom w:val="0"/>
                      <w:divBdr>
                        <w:top w:val="none" w:sz="0" w:space="0" w:color="auto"/>
                        <w:left w:val="none" w:sz="0" w:space="0" w:color="auto"/>
                        <w:bottom w:val="none" w:sz="0" w:space="0" w:color="auto"/>
                        <w:right w:val="none" w:sz="0" w:space="0" w:color="auto"/>
                      </w:divBdr>
                    </w:div>
                  </w:divsChild>
                </w:div>
                <w:div w:id="1947155402">
                  <w:marLeft w:val="0"/>
                  <w:marRight w:val="0"/>
                  <w:marTop w:val="0"/>
                  <w:marBottom w:val="0"/>
                  <w:divBdr>
                    <w:top w:val="none" w:sz="0" w:space="0" w:color="auto"/>
                    <w:left w:val="none" w:sz="0" w:space="0" w:color="auto"/>
                    <w:bottom w:val="none" w:sz="0" w:space="0" w:color="auto"/>
                    <w:right w:val="none" w:sz="0" w:space="0" w:color="auto"/>
                  </w:divBdr>
                  <w:divsChild>
                    <w:div w:id="1741977541">
                      <w:marLeft w:val="0"/>
                      <w:marRight w:val="0"/>
                      <w:marTop w:val="0"/>
                      <w:marBottom w:val="0"/>
                      <w:divBdr>
                        <w:top w:val="none" w:sz="0" w:space="0" w:color="auto"/>
                        <w:left w:val="none" w:sz="0" w:space="0" w:color="auto"/>
                        <w:bottom w:val="none" w:sz="0" w:space="0" w:color="auto"/>
                        <w:right w:val="none" w:sz="0" w:space="0" w:color="auto"/>
                      </w:divBdr>
                    </w:div>
                  </w:divsChild>
                </w:div>
                <w:div w:id="1951474677">
                  <w:marLeft w:val="0"/>
                  <w:marRight w:val="0"/>
                  <w:marTop w:val="0"/>
                  <w:marBottom w:val="0"/>
                  <w:divBdr>
                    <w:top w:val="none" w:sz="0" w:space="0" w:color="auto"/>
                    <w:left w:val="none" w:sz="0" w:space="0" w:color="auto"/>
                    <w:bottom w:val="none" w:sz="0" w:space="0" w:color="auto"/>
                    <w:right w:val="none" w:sz="0" w:space="0" w:color="auto"/>
                  </w:divBdr>
                  <w:divsChild>
                    <w:div w:id="778064821">
                      <w:marLeft w:val="0"/>
                      <w:marRight w:val="0"/>
                      <w:marTop w:val="0"/>
                      <w:marBottom w:val="0"/>
                      <w:divBdr>
                        <w:top w:val="none" w:sz="0" w:space="0" w:color="auto"/>
                        <w:left w:val="none" w:sz="0" w:space="0" w:color="auto"/>
                        <w:bottom w:val="none" w:sz="0" w:space="0" w:color="auto"/>
                        <w:right w:val="none" w:sz="0" w:space="0" w:color="auto"/>
                      </w:divBdr>
                    </w:div>
                  </w:divsChild>
                </w:div>
                <w:div w:id="1965035345">
                  <w:marLeft w:val="0"/>
                  <w:marRight w:val="0"/>
                  <w:marTop w:val="0"/>
                  <w:marBottom w:val="0"/>
                  <w:divBdr>
                    <w:top w:val="none" w:sz="0" w:space="0" w:color="auto"/>
                    <w:left w:val="none" w:sz="0" w:space="0" w:color="auto"/>
                    <w:bottom w:val="none" w:sz="0" w:space="0" w:color="auto"/>
                    <w:right w:val="none" w:sz="0" w:space="0" w:color="auto"/>
                  </w:divBdr>
                  <w:divsChild>
                    <w:div w:id="1361739084">
                      <w:marLeft w:val="0"/>
                      <w:marRight w:val="0"/>
                      <w:marTop w:val="0"/>
                      <w:marBottom w:val="0"/>
                      <w:divBdr>
                        <w:top w:val="none" w:sz="0" w:space="0" w:color="auto"/>
                        <w:left w:val="none" w:sz="0" w:space="0" w:color="auto"/>
                        <w:bottom w:val="none" w:sz="0" w:space="0" w:color="auto"/>
                        <w:right w:val="none" w:sz="0" w:space="0" w:color="auto"/>
                      </w:divBdr>
                    </w:div>
                  </w:divsChild>
                </w:div>
                <w:div w:id="1984117305">
                  <w:marLeft w:val="0"/>
                  <w:marRight w:val="0"/>
                  <w:marTop w:val="0"/>
                  <w:marBottom w:val="0"/>
                  <w:divBdr>
                    <w:top w:val="none" w:sz="0" w:space="0" w:color="auto"/>
                    <w:left w:val="none" w:sz="0" w:space="0" w:color="auto"/>
                    <w:bottom w:val="none" w:sz="0" w:space="0" w:color="auto"/>
                    <w:right w:val="none" w:sz="0" w:space="0" w:color="auto"/>
                  </w:divBdr>
                  <w:divsChild>
                    <w:div w:id="1263681824">
                      <w:marLeft w:val="0"/>
                      <w:marRight w:val="0"/>
                      <w:marTop w:val="0"/>
                      <w:marBottom w:val="0"/>
                      <w:divBdr>
                        <w:top w:val="none" w:sz="0" w:space="0" w:color="auto"/>
                        <w:left w:val="none" w:sz="0" w:space="0" w:color="auto"/>
                        <w:bottom w:val="none" w:sz="0" w:space="0" w:color="auto"/>
                        <w:right w:val="none" w:sz="0" w:space="0" w:color="auto"/>
                      </w:divBdr>
                    </w:div>
                  </w:divsChild>
                </w:div>
                <w:div w:id="1986005913">
                  <w:marLeft w:val="0"/>
                  <w:marRight w:val="0"/>
                  <w:marTop w:val="0"/>
                  <w:marBottom w:val="0"/>
                  <w:divBdr>
                    <w:top w:val="none" w:sz="0" w:space="0" w:color="auto"/>
                    <w:left w:val="none" w:sz="0" w:space="0" w:color="auto"/>
                    <w:bottom w:val="none" w:sz="0" w:space="0" w:color="auto"/>
                    <w:right w:val="none" w:sz="0" w:space="0" w:color="auto"/>
                  </w:divBdr>
                  <w:divsChild>
                    <w:div w:id="103692198">
                      <w:marLeft w:val="0"/>
                      <w:marRight w:val="0"/>
                      <w:marTop w:val="0"/>
                      <w:marBottom w:val="0"/>
                      <w:divBdr>
                        <w:top w:val="none" w:sz="0" w:space="0" w:color="auto"/>
                        <w:left w:val="none" w:sz="0" w:space="0" w:color="auto"/>
                        <w:bottom w:val="none" w:sz="0" w:space="0" w:color="auto"/>
                        <w:right w:val="none" w:sz="0" w:space="0" w:color="auto"/>
                      </w:divBdr>
                    </w:div>
                  </w:divsChild>
                </w:div>
                <w:div w:id="2036348196">
                  <w:marLeft w:val="0"/>
                  <w:marRight w:val="0"/>
                  <w:marTop w:val="0"/>
                  <w:marBottom w:val="0"/>
                  <w:divBdr>
                    <w:top w:val="none" w:sz="0" w:space="0" w:color="auto"/>
                    <w:left w:val="none" w:sz="0" w:space="0" w:color="auto"/>
                    <w:bottom w:val="none" w:sz="0" w:space="0" w:color="auto"/>
                    <w:right w:val="none" w:sz="0" w:space="0" w:color="auto"/>
                  </w:divBdr>
                  <w:divsChild>
                    <w:div w:id="679620264">
                      <w:marLeft w:val="0"/>
                      <w:marRight w:val="0"/>
                      <w:marTop w:val="0"/>
                      <w:marBottom w:val="0"/>
                      <w:divBdr>
                        <w:top w:val="none" w:sz="0" w:space="0" w:color="auto"/>
                        <w:left w:val="none" w:sz="0" w:space="0" w:color="auto"/>
                        <w:bottom w:val="none" w:sz="0" w:space="0" w:color="auto"/>
                        <w:right w:val="none" w:sz="0" w:space="0" w:color="auto"/>
                      </w:divBdr>
                    </w:div>
                  </w:divsChild>
                </w:div>
                <w:div w:id="2137790129">
                  <w:marLeft w:val="0"/>
                  <w:marRight w:val="0"/>
                  <w:marTop w:val="0"/>
                  <w:marBottom w:val="0"/>
                  <w:divBdr>
                    <w:top w:val="none" w:sz="0" w:space="0" w:color="auto"/>
                    <w:left w:val="none" w:sz="0" w:space="0" w:color="auto"/>
                    <w:bottom w:val="none" w:sz="0" w:space="0" w:color="auto"/>
                    <w:right w:val="none" w:sz="0" w:space="0" w:color="auto"/>
                  </w:divBdr>
                  <w:divsChild>
                    <w:div w:id="39454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78688">
          <w:marLeft w:val="0"/>
          <w:marRight w:val="0"/>
          <w:marTop w:val="0"/>
          <w:marBottom w:val="0"/>
          <w:divBdr>
            <w:top w:val="none" w:sz="0" w:space="0" w:color="auto"/>
            <w:left w:val="none" w:sz="0" w:space="0" w:color="auto"/>
            <w:bottom w:val="none" w:sz="0" w:space="0" w:color="auto"/>
            <w:right w:val="none" w:sz="0" w:space="0" w:color="auto"/>
          </w:divBdr>
        </w:div>
        <w:div w:id="606543974">
          <w:marLeft w:val="0"/>
          <w:marRight w:val="0"/>
          <w:marTop w:val="0"/>
          <w:marBottom w:val="0"/>
          <w:divBdr>
            <w:top w:val="none" w:sz="0" w:space="0" w:color="auto"/>
            <w:left w:val="none" w:sz="0" w:space="0" w:color="auto"/>
            <w:bottom w:val="none" w:sz="0" w:space="0" w:color="auto"/>
            <w:right w:val="none" w:sz="0" w:space="0" w:color="auto"/>
          </w:divBdr>
        </w:div>
        <w:div w:id="624821931">
          <w:marLeft w:val="0"/>
          <w:marRight w:val="0"/>
          <w:marTop w:val="0"/>
          <w:marBottom w:val="0"/>
          <w:divBdr>
            <w:top w:val="none" w:sz="0" w:space="0" w:color="auto"/>
            <w:left w:val="none" w:sz="0" w:space="0" w:color="auto"/>
            <w:bottom w:val="none" w:sz="0" w:space="0" w:color="auto"/>
            <w:right w:val="none" w:sz="0" w:space="0" w:color="auto"/>
          </w:divBdr>
        </w:div>
        <w:div w:id="648244497">
          <w:marLeft w:val="0"/>
          <w:marRight w:val="0"/>
          <w:marTop w:val="0"/>
          <w:marBottom w:val="0"/>
          <w:divBdr>
            <w:top w:val="none" w:sz="0" w:space="0" w:color="auto"/>
            <w:left w:val="none" w:sz="0" w:space="0" w:color="auto"/>
            <w:bottom w:val="none" w:sz="0" w:space="0" w:color="auto"/>
            <w:right w:val="none" w:sz="0" w:space="0" w:color="auto"/>
          </w:divBdr>
          <w:divsChild>
            <w:div w:id="247616233">
              <w:marLeft w:val="0"/>
              <w:marRight w:val="0"/>
              <w:marTop w:val="0"/>
              <w:marBottom w:val="0"/>
              <w:divBdr>
                <w:top w:val="none" w:sz="0" w:space="0" w:color="auto"/>
                <w:left w:val="none" w:sz="0" w:space="0" w:color="auto"/>
                <w:bottom w:val="none" w:sz="0" w:space="0" w:color="auto"/>
                <w:right w:val="none" w:sz="0" w:space="0" w:color="auto"/>
              </w:divBdr>
            </w:div>
            <w:div w:id="282729772">
              <w:marLeft w:val="0"/>
              <w:marRight w:val="0"/>
              <w:marTop w:val="0"/>
              <w:marBottom w:val="0"/>
              <w:divBdr>
                <w:top w:val="none" w:sz="0" w:space="0" w:color="auto"/>
                <w:left w:val="none" w:sz="0" w:space="0" w:color="auto"/>
                <w:bottom w:val="none" w:sz="0" w:space="0" w:color="auto"/>
                <w:right w:val="none" w:sz="0" w:space="0" w:color="auto"/>
              </w:divBdr>
            </w:div>
            <w:div w:id="320695250">
              <w:marLeft w:val="0"/>
              <w:marRight w:val="0"/>
              <w:marTop w:val="0"/>
              <w:marBottom w:val="0"/>
              <w:divBdr>
                <w:top w:val="none" w:sz="0" w:space="0" w:color="auto"/>
                <w:left w:val="none" w:sz="0" w:space="0" w:color="auto"/>
                <w:bottom w:val="none" w:sz="0" w:space="0" w:color="auto"/>
                <w:right w:val="none" w:sz="0" w:space="0" w:color="auto"/>
              </w:divBdr>
            </w:div>
            <w:div w:id="375010245">
              <w:marLeft w:val="0"/>
              <w:marRight w:val="0"/>
              <w:marTop w:val="0"/>
              <w:marBottom w:val="0"/>
              <w:divBdr>
                <w:top w:val="none" w:sz="0" w:space="0" w:color="auto"/>
                <w:left w:val="none" w:sz="0" w:space="0" w:color="auto"/>
                <w:bottom w:val="none" w:sz="0" w:space="0" w:color="auto"/>
                <w:right w:val="none" w:sz="0" w:space="0" w:color="auto"/>
              </w:divBdr>
            </w:div>
            <w:div w:id="416678309">
              <w:marLeft w:val="0"/>
              <w:marRight w:val="0"/>
              <w:marTop w:val="0"/>
              <w:marBottom w:val="0"/>
              <w:divBdr>
                <w:top w:val="none" w:sz="0" w:space="0" w:color="auto"/>
                <w:left w:val="none" w:sz="0" w:space="0" w:color="auto"/>
                <w:bottom w:val="none" w:sz="0" w:space="0" w:color="auto"/>
                <w:right w:val="none" w:sz="0" w:space="0" w:color="auto"/>
              </w:divBdr>
            </w:div>
            <w:div w:id="438374845">
              <w:marLeft w:val="0"/>
              <w:marRight w:val="0"/>
              <w:marTop w:val="0"/>
              <w:marBottom w:val="0"/>
              <w:divBdr>
                <w:top w:val="none" w:sz="0" w:space="0" w:color="auto"/>
                <w:left w:val="none" w:sz="0" w:space="0" w:color="auto"/>
                <w:bottom w:val="none" w:sz="0" w:space="0" w:color="auto"/>
                <w:right w:val="none" w:sz="0" w:space="0" w:color="auto"/>
              </w:divBdr>
            </w:div>
            <w:div w:id="449856910">
              <w:marLeft w:val="0"/>
              <w:marRight w:val="0"/>
              <w:marTop w:val="0"/>
              <w:marBottom w:val="0"/>
              <w:divBdr>
                <w:top w:val="none" w:sz="0" w:space="0" w:color="auto"/>
                <w:left w:val="none" w:sz="0" w:space="0" w:color="auto"/>
                <w:bottom w:val="none" w:sz="0" w:space="0" w:color="auto"/>
                <w:right w:val="none" w:sz="0" w:space="0" w:color="auto"/>
              </w:divBdr>
            </w:div>
            <w:div w:id="685060063">
              <w:marLeft w:val="0"/>
              <w:marRight w:val="0"/>
              <w:marTop w:val="0"/>
              <w:marBottom w:val="0"/>
              <w:divBdr>
                <w:top w:val="none" w:sz="0" w:space="0" w:color="auto"/>
                <w:left w:val="none" w:sz="0" w:space="0" w:color="auto"/>
                <w:bottom w:val="none" w:sz="0" w:space="0" w:color="auto"/>
                <w:right w:val="none" w:sz="0" w:space="0" w:color="auto"/>
              </w:divBdr>
            </w:div>
            <w:div w:id="703601894">
              <w:marLeft w:val="0"/>
              <w:marRight w:val="0"/>
              <w:marTop w:val="0"/>
              <w:marBottom w:val="0"/>
              <w:divBdr>
                <w:top w:val="none" w:sz="0" w:space="0" w:color="auto"/>
                <w:left w:val="none" w:sz="0" w:space="0" w:color="auto"/>
                <w:bottom w:val="none" w:sz="0" w:space="0" w:color="auto"/>
                <w:right w:val="none" w:sz="0" w:space="0" w:color="auto"/>
              </w:divBdr>
            </w:div>
            <w:div w:id="788858772">
              <w:marLeft w:val="0"/>
              <w:marRight w:val="0"/>
              <w:marTop w:val="0"/>
              <w:marBottom w:val="0"/>
              <w:divBdr>
                <w:top w:val="none" w:sz="0" w:space="0" w:color="auto"/>
                <w:left w:val="none" w:sz="0" w:space="0" w:color="auto"/>
                <w:bottom w:val="none" w:sz="0" w:space="0" w:color="auto"/>
                <w:right w:val="none" w:sz="0" w:space="0" w:color="auto"/>
              </w:divBdr>
            </w:div>
            <w:div w:id="862547714">
              <w:marLeft w:val="0"/>
              <w:marRight w:val="0"/>
              <w:marTop w:val="0"/>
              <w:marBottom w:val="0"/>
              <w:divBdr>
                <w:top w:val="none" w:sz="0" w:space="0" w:color="auto"/>
                <w:left w:val="none" w:sz="0" w:space="0" w:color="auto"/>
                <w:bottom w:val="none" w:sz="0" w:space="0" w:color="auto"/>
                <w:right w:val="none" w:sz="0" w:space="0" w:color="auto"/>
              </w:divBdr>
            </w:div>
            <w:div w:id="884020716">
              <w:marLeft w:val="0"/>
              <w:marRight w:val="0"/>
              <w:marTop w:val="0"/>
              <w:marBottom w:val="0"/>
              <w:divBdr>
                <w:top w:val="none" w:sz="0" w:space="0" w:color="auto"/>
                <w:left w:val="none" w:sz="0" w:space="0" w:color="auto"/>
                <w:bottom w:val="none" w:sz="0" w:space="0" w:color="auto"/>
                <w:right w:val="none" w:sz="0" w:space="0" w:color="auto"/>
              </w:divBdr>
            </w:div>
            <w:div w:id="946035392">
              <w:marLeft w:val="0"/>
              <w:marRight w:val="0"/>
              <w:marTop w:val="0"/>
              <w:marBottom w:val="0"/>
              <w:divBdr>
                <w:top w:val="none" w:sz="0" w:space="0" w:color="auto"/>
                <w:left w:val="none" w:sz="0" w:space="0" w:color="auto"/>
                <w:bottom w:val="none" w:sz="0" w:space="0" w:color="auto"/>
                <w:right w:val="none" w:sz="0" w:space="0" w:color="auto"/>
              </w:divBdr>
            </w:div>
            <w:div w:id="963776220">
              <w:marLeft w:val="0"/>
              <w:marRight w:val="0"/>
              <w:marTop w:val="0"/>
              <w:marBottom w:val="0"/>
              <w:divBdr>
                <w:top w:val="none" w:sz="0" w:space="0" w:color="auto"/>
                <w:left w:val="none" w:sz="0" w:space="0" w:color="auto"/>
                <w:bottom w:val="none" w:sz="0" w:space="0" w:color="auto"/>
                <w:right w:val="none" w:sz="0" w:space="0" w:color="auto"/>
              </w:divBdr>
            </w:div>
            <w:div w:id="1017848858">
              <w:marLeft w:val="0"/>
              <w:marRight w:val="0"/>
              <w:marTop w:val="0"/>
              <w:marBottom w:val="0"/>
              <w:divBdr>
                <w:top w:val="none" w:sz="0" w:space="0" w:color="auto"/>
                <w:left w:val="none" w:sz="0" w:space="0" w:color="auto"/>
                <w:bottom w:val="none" w:sz="0" w:space="0" w:color="auto"/>
                <w:right w:val="none" w:sz="0" w:space="0" w:color="auto"/>
              </w:divBdr>
            </w:div>
            <w:div w:id="1382365021">
              <w:marLeft w:val="0"/>
              <w:marRight w:val="0"/>
              <w:marTop w:val="0"/>
              <w:marBottom w:val="0"/>
              <w:divBdr>
                <w:top w:val="none" w:sz="0" w:space="0" w:color="auto"/>
                <w:left w:val="none" w:sz="0" w:space="0" w:color="auto"/>
                <w:bottom w:val="none" w:sz="0" w:space="0" w:color="auto"/>
                <w:right w:val="none" w:sz="0" w:space="0" w:color="auto"/>
              </w:divBdr>
            </w:div>
            <w:div w:id="1385906534">
              <w:marLeft w:val="0"/>
              <w:marRight w:val="0"/>
              <w:marTop w:val="0"/>
              <w:marBottom w:val="0"/>
              <w:divBdr>
                <w:top w:val="none" w:sz="0" w:space="0" w:color="auto"/>
                <w:left w:val="none" w:sz="0" w:space="0" w:color="auto"/>
                <w:bottom w:val="none" w:sz="0" w:space="0" w:color="auto"/>
                <w:right w:val="none" w:sz="0" w:space="0" w:color="auto"/>
              </w:divBdr>
            </w:div>
            <w:div w:id="1444883564">
              <w:marLeft w:val="0"/>
              <w:marRight w:val="0"/>
              <w:marTop w:val="0"/>
              <w:marBottom w:val="0"/>
              <w:divBdr>
                <w:top w:val="none" w:sz="0" w:space="0" w:color="auto"/>
                <w:left w:val="none" w:sz="0" w:space="0" w:color="auto"/>
                <w:bottom w:val="none" w:sz="0" w:space="0" w:color="auto"/>
                <w:right w:val="none" w:sz="0" w:space="0" w:color="auto"/>
              </w:divBdr>
            </w:div>
            <w:div w:id="1982467444">
              <w:marLeft w:val="0"/>
              <w:marRight w:val="0"/>
              <w:marTop w:val="0"/>
              <w:marBottom w:val="0"/>
              <w:divBdr>
                <w:top w:val="none" w:sz="0" w:space="0" w:color="auto"/>
                <w:left w:val="none" w:sz="0" w:space="0" w:color="auto"/>
                <w:bottom w:val="none" w:sz="0" w:space="0" w:color="auto"/>
                <w:right w:val="none" w:sz="0" w:space="0" w:color="auto"/>
              </w:divBdr>
            </w:div>
            <w:div w:id="1989823948">
              <w:marLeft w:val="0"/>
              <w:marRight w:val="0"/>
              <w:marTop w:val="0"/>
              <w:marBottom w:val="0"/>
              <w:divBdr>
                <w:top w:val="none" w:sz="0" w:space="0" w:color="auto"/>
                <w:left w:val="none" w:sz="0" w:space="0" w:color="auto"/>
                <w:bottom w:val="none" w:sz="0" w:space="0" w:color="auto"/>
                <w:right w:val="none" w:sz="0" w:space="0" w:color="auto"/>
              </w:divBdr>
            </w:div>
          </w:divsChild>
        </w:div>
        <w:div w:id="674502363">
          <w:marLeft w:val="0"/>
          <w:marRight w:val="0"/>
          <w:marTop w:val="0"/>
          <w:marBottom w:val="0"/>
          <w:divBdr>
            <w:top w:val="none" w:sz="0" w:space="0" w:color="auto"/>
            <w:left w:val="none" w:sz="0" w:space="0" w:color="auto"/>
            <w:bottom w:val="none" w:sz="0" w:space="0" w:color="auto"/>
            <w:right w:val="none" w:sz="0" w:space="0" w:color="auto"/>
          </w:divBdr>
        </w:div>
        <w:div w:id="684942205">
          <w:marLeft w:val="0"/>
          <w:marRight w:val="0"/>
          <w:marTop w:val="0"/>
          <w:marBottom w:val="0"/>
          <w:divBdr>
            <w:top w:val="none" w:sz="0" w:space="0" w:color="auto"/>
            <w:left w:val="none" w:sz="0" w:space="0" w:color="auto"/>
            <w:bottom w:val="none" w:sz="0" w:space="0" w:color="auto"/>
            <w:right w:val="none" w:sz="0" w:space="0" w:color="auto"/>
          </w:divBdr>
        </w:div>
        <w:div w:id="685709921">
          <w:marLeft w:val="0"/>
          <w:marRight w:val="0"/>
          <w:marTop w:val="0"/>
          <w:marBottom w:val="0"/>
          <w:divBdr>
            <w:top w:val="none" w:sz="0" w:space="0" w:color="auto"/>
            <w:left w:val="none" w:sz="0" w:space="0" w:color="auto"/>
            <w:bottom w:val="none" w:sz="0" w:space="0" w:color="auto"/>
            <w:right w:val="none" w:sz="0" w:space="0" w:color="auto"/>
          </w:divBdr>
        </w:div>
        <w:div w:id="693075703">
          <w:marLeft w:val="0"/>
          <w:marRight w:val="0"/>
          <w:marTop w:val="0"/>
          <w:marBottom w:val="0"/>
          <w:divBdr>
            <w:top w:val="none" w:sz="0" w:space="0" w:color="auto"/>
            <w:left w:val="none" w:sz="0" w:space="0" w:color="auto"/>
            <w:bottom w:val="none" w:sz="0" w:space="0" w:color="auto"/>
            <w:right w:val="none" w:sz="0" w:space="0" w:color="auto"/>
          </w:divBdr>
        </w:div>
        <w:div w:id="700865057">
          <w:marLeft w:val="0"/>
          <w:marRight w:val="0"/>
          <w:marTop w:val="0"/>
          <w:marBottom w:val="0"/>
          <w:divBdr>
            <w:top w:val="none" w:sz="0" w:space="0" w:color="auto"/>
            <w:left w:val="none" w:sz="0" w:space="0" w:color="auto"/>
            <w:bottom w:val="none" w:sz="0" w:space="0" w:color="auto"/>
            <w:right w:val="none" w:sz="0" w:space="0" w:color="auto"/>
          </w:divBdr>
        </w:div>
        <w:div w:id="702442344">
          <w:marLeft w:val="0"/>
          <w:marRight w:val="0"/>
          <w:marTop w:val="0"/>
          <w:marBottom w:val="0"/>
          <w:divBdr>
            <w:top w:val="none" w:sz="0" w:space="0" w:color="auto"/>
            <w:left w:val="none" w:sz="0" w:space="0" w:color="auto"/>
            <w:bottom w:val="none" w:sz="0" w:space="0" w:color="auto"/>
            <w:right w:val="none" w:sz="0" w:space="0" w:color="auto"/>
          </w:divBdr>
        </w:div>
        <w:div w:id="712313392">
          <w:marLeft w:val="0"/>
          <w:marRight w:val="0"/>
          <w:marTop w:val="0"/>
          <w:marBottom w:val="0"/>
          <w:divBdr>
            <w:top w:val="none" w:sz="0" w:space="0" w:color="auto"/>
            <w:left w:val="none" w:sz="0" w:space="0" w:color="auto"/>
            <w:bottom w:val="none" w:sz="0" w:space="0" w:color="auto"/>
            <w:right w:val="none" w:sz="0" w:space="0" w:color="auto"/>
          </w:divBdr>
        </w:div>
        <w:div w:id="733161107">
          <w:marLeft w:val="0"/>
          <w:marRight w:val="0"/>
          <w:marTop w:val="0"/>
          <w:marBottom w:val="0"/>
          <w:divBdr>
            <w:top w:val="none" w:sz="0" w:space="0" w:color="auto"/>
            <w:left w:val="none" w:sz="0" w:space="0" w:color="auto"/>
            <w:bottom w:val="none" w:sz="0" w:space="0" w:color="auto"/>
            <w:right w:val="none" w:sz="0" w:space="0" w:color="auto"/>
          </w:divBdr>
        </w:div>
        <w:div w:id="786579798">
          <w:marLeft w:val="0"/>
          <w:marRight w:val="0"/>
          <w:marTop w:val="0"/>
          <w:marBottom w:val="0"/>
          <w:divBdr>
            <w:top w:val="none" w:sz="0" w:space="0" w:color="auto"/>
            <w:left w:val="none" w:sz="0" w:space="0" w:color="auto"/>
            <w:bottom w:val="none" w:sz="0" w:space="0" w:color="auto"/>
            <w:right w:val="none" w:sz="0" w:space="0" w:color="auto"/>
          </w:divBdr>
        </w:div>
        <w:div w:id="815991218">
          <w:marLeft w:val="0"/>
          <w:marRight w:val="0"/>
          <w:marTop w:val="0"/>
          <w:marBottom w:val="0"/>
          <w:divBdr>
            <w:top w:val="none" w:sz="0" w:space="0" w:color="auto"/>
            <w:left w:val="none" w:sz="0" w:space="0" w:color="auto"/>
            <w:bottom w:val="none" w:sz="0" w:space="0" w:color="auto"/>
            <w:right w:val="none" w:sz="0" w:space="0" w:color="auto"/>
          </w:divBdr>
        </w:div>
        <w:div w:id="833187231">
          <w:marLeft w:val="0"/>
          <w:marRight w:val="0"/>
          <w:marTop w:val="0"/>
          <w:marBottom w:val="0"/>
          <w:divBdr>
            <w:top w:val="none" w:sz="0" w:space="0" w:color="auto"/>
            <w:left w:val="none" w:sz="0" w:space="0" w:color="auto"/>
            <w:bottom w:val="none" w:sz="0" w:space="0" w:color="auto"/>
            <w:right w:val="none" w:sz="0" w:space="0" w:color="auto"/>
          </w:divBdr>
        </w:div>
        <w:div w:id="845899680">
          <w:marLeft w:val="0"/>
          <w:marRight w:val="0"/>
          <w:marTop w:val="0"/>
          <w:marBottom w:val="0"/>
          <w:divBdr>
            <w:top w:val="none" w:sz="0" w:space="0" w:color="auto"/>
            <w:left w:val="none" w:sz="0" w:space="0" w:color="auto"/>
            <w:bottom w:val="none" w:sz="0" w:space="0" w:color="auto"/>
            <w:right w:val="none" w:sz="0" w:space="0" w:color="auto"/>
          </w:divBdr>
        </w:div>
        <w:div w:id="868449474">
          <w:marLeft w:val="0"/>
          <w:marRight w:val="0"/>
          <w:marTop w:val="0"/>
          <w:marBottom w:val="0"/>
          <w:divBdr>
            <w:top w:val="none" w:sz="0" w:space="0" w:color="auto"/>
            <w:left w:val="none" w:sz="0" w:space="0" w:color="auto"/>
            <w:bottom w:val="none" w:sz="0" w:space="0" w:color="auto"/>
            <w:right w:val="none" w:sz="0" w:space="0" w:color="auto"/>
          </w:divBdr>
        </w:div>
        <w:div w:id="876158431">
          <w:marLeft w:val="0"/>
          <w:marRight w:val="0"/>
          <w:marTop w:val="0"/>
          <w:marBottom w:val="0"/>
          <w:divBdr>
            <w:top w:val="none" w:sz="0" w:space="0" w:color="auto"/>
            <w:left w:val="none" w:sz="0" w:space="0" w:color="auto"/>
            <w:bottom w:val="none" w:sz="0" w:space="0" w:color="auto"/>
            <w:right w:val="none" w:sz="0" w:space="0" w:color="auto"/>
          </w:divBdr>
        </w:div>
        <w:div w:id="890389310">
          <w:marLeft w:val="0"/>
          <w:marRight w:val="0"/>
          <w:marTop w:val="0"/>
          <w:marBottom w:val="0"/>
          <w:divBdr>
            <w:top w:val="none" w:sz="0" w:space="0" w:color="auto"/>
            <w:left w:val="none" w:sz="0" w:space="0" w:color="auto"/>
            <w:bottom w:val="none" w:sz="0" w:space="0" w:color="auto"/>
            <w:right w:val="none" w:sz="0" w:space="0" w:color="auto"/>
          </w:divBdr>
        </w:div>
        <w:div w:id="906577198">
          <w:marLeft w:val="0"/>
          <w:marRight w:val="0"/>
          <w:marTop w:val="0"/>
          <w:marBottom w:val="0"/>
          <w:divBdr>
            <w:top w:val="none" w:sz="0" w:space="0" w:color="auto"/>
            <w:left w:val="none" w:sz="0" w:space="0" w:color="auto"/>
            <w:bottom w:val="none" w:sz="0" w:space="0" w:color="auto"/>
            <w:right w:val="none" w:sz="0" w:space="0" w:color="auto"/>
          </w:divBdr>
        </w:div>
        <w:div w:id="953944484">
          <w:marLeft w:val="0"/>
          <w:marRight w:val="0"/>
          <w:marTop w:val="0"/>
          <w:marBottom w:val="0"/>
          <w:divBdr>
            <w:top w:val="none" w:sz="0" w:space="0" w:color="auto"/>
            <w:left w:val="none" w:sz="0" w:space="0" w:color="auto"/>
            <w:bottom w:val="none" w:sz="0" w:space="0" w:color="auto"/>
            <w:right w:val="none" w:sz="0" w:space="0" w:color="auto"/>
          </w:divBdr>
        </w:div>
        <w:div w:id="960695776">
          <w:marLeft w:val="0"/>
          <w:marRight w:val="0"/>
          <w:marTop w:val="0"/>
          <w:marBottom w:val="0"/>
          <w:divBdr>
            <w:top w:val="none" w:sz="0" w:space="0" w:color="auto"/>
            <w:left w:val="none" w:sz="0" w:space="0" w:color="auto"/>
            <w:bottom w:val="none" w:sz="0" w:space="0" w:color="auto"/>
            <w:right w:val="none" w:sz="0" w:space="0" w:color="auto"/>
          </w:divBdr>
        </w:div>
        <w:div w:id="993724846">
          <w:marLeft w:val="0"/>
          <w:marRight w:val="0"/>
          <w:marTop w:val="0"/>
          <w:marBottom w:val="0"/>
          <w:divBdr>
            <w:top w:val="none" w:sz="0" w:space="0" w:color="auto"/>
            <w:left w:val="none" w:sz="0" w:space="0" w:color="auto"/>
            <w:bottom w:val="none" w:sz="0" w:space="0" w:color="auto"/>
            <w:right w:val="none" w:sz="0" w:space="0" w:color="auto"/>
          </w:divBdr>
        </w:div>
        <w:div w:id="1008141570">
          <w:marLeft w:val="0"/>
          <w:marRight w:val="0"/>
          <w:marTop w:val="0"/>
          <w:marBottom w:val="0"/>
          <w:divBdr>
            <w:top w:val="none" w:sz="0" w:space="0" w:color="auto"/>
            <w:left w:val="none" w:sz="0" w:space="0" w:color="auto"/>
            <w:bottom w:val="none" w:sz="0" w:space="0" w:color="auto"/>
            <w:right w:val="none" w:sz="0" w:space="0" w:color="auto"/>
          </w:divBdr>
        </w:div>
        <w:div w:id="1009139789">
          <w:marLeft w:val="0"/>
          <w:marRight w:val="0"/>
          <w:marTop w:val="0"/>
          <w:marBottom w:val="0"/>
          <w:divBdr>
            <w:top w:val="none" w:sz="0" w:space="0" w:color="auto"/>
            <w:left w:val="none" w:sz="0" w:space="0" w:color="auto"/>
            <w:bottom w:val="none" w:sz="0" w:space="0" w:color="auto"/>
            <w:right w:val="none" w:sz="0" w:space="0" w:color="auto"/>
          </w:divBdr>
        </w:div>
        <w:div w:id="1014569847">
          <w:marLeft w:val="0"/>
          <w:marRight w:val="0"/>
          <w:marTop w:val="0"/>
          <w:marBottom w:val="0"/>
          <w:divBdr>
            <w:top w:val="none" w:sz="0" w:space="0" w:color="auto"/>
            <w:left w:val="none" w:sz="0" w:space="0" w:color="auto"/>
            <w:bottom w:val="none" w:sz="0" w:space="0" w:color="auto"/>
            <w:right w:val="none" w:sz="0" w:space="0" w:color="auto"/>
          </w:divBdr>
        </w:div>
        <w:div w:id="1015808817">
          <w:marLeft w:val="0"/>
          <w:marRight w:val="0"/>
          <w:marTop w:val="0"/>
          <w:marBottom w:val="0"/>
          <w:divBdr>
            <w:top w:val="none" w:sz="0" w:space="0" w:color="auto"/>
            <w:left w:val="none" w:sz="0" w:space="0" w:color="auto"/>
            <w:bottom w:val="none" w:sz="0" w:space="0" w:color="auto"/>
            <w:right w:val="none" w:sz="0" w:space="0" w:color="auto"/>
          </w:divBdr>
          <w:divsChild>
            <w:div w:id="276908611">
              <w:marLeft w:val="0"/>
              <w:marRight w:val="0"/>
              <w:marTop w:val="0"/>
              <w:marBottom w:val="0"/>
              <w:divBdr>
                <w:top w:val="none" w:sz="0" w:space="0" w:color="auto"/>
                <w:left w:val="none" w:sz="0" w:space="0" w:color="auto"/>
                <w:bottom w:val="none" w:sz="0" w:space="0" w:color="auto"/>
                <w:right w:val="none" w:sz="0" w:space="0" w:color="auto"/>
              </w:divBdr>
            </w:div>
            <w:div w:id="423569739">
              <w:marLeft w:val="0"/>
              <w:marRight w:val="0"/>
              <w:marTop w:val="0"/>
              <w:marBottom w:val="0"/>
              <w:divBdr>
                <w:top w:val="none" w:sz="0" w:space="0" w:color="auto"/>
                <w:left w:val="none" w:sz="0" w:space="0" w:color="auto"/>
                <w:bottom w:val="none" w:sz="0" w:space="0" w:color="auto"/>
                <w:right w:val="none" w:sz="0" w:space="0" w:color="auto"/>
              </w:divBdr>
            </w:div>
            <w:div w:id="527181397">
              <w:marLeft w:val="0"/>
              <w:marRight w:val="0"/>
              <w:marTop w:val="0"/>
              <w:marBottom w:val="0"/>
              <w:divBdr>
                <w:top w:val="none" w:sz="0" w:space="0" w:color="auto"/>
                <w:left w:val="none" w:sz="0" w:space="0" w:color="auto"/>
                <w:bottom w:val="none" w:sz="0" w:space="0" w:color="auto"/>
                <w:right w:val="none" w:sz="0" w:space="0" w:color="auto"/>
              </w:divBdr>
            </w:div>
            <w:div w:id="1048920948">
              <w:marLeft w:val="0"/>
              <w:marRight w:val="0"/>
              <w:marTop w:val="0"/>
              <w:marBottom w:val="0"/>
              <w:divBdr>
                <w:top w:val="none" w:sz="0" w:space="0" w:color="auto"/>
                <w:left w:val="none" w:sz="0" w:space="0" w:color="auto"/>
                <w:bottom w:val="none" w:sz="0" w:space="0" w:color="auto"/>
                <w:right w:val="none" w:sz="0" w:space="0" w:color="auto"/>
              </w:divBdr>
            </w:div>
            <w:div w:id="1296838552">
              <w:marLeft w:val="0"/>
              <w:marRight w:val="0"/>
              <w:marTop w:val="0"/>
              <w:marBottom w:val="0"/>
              <w:divBdr>
                <w:top w:val="none" w:sz="0" w:space="0" w:color="auto"/>
                <w:left w:val="none" w:sz="0" w:space="0" w:color="auto"/>
                <w:bottom w:val="none" w:sz="0" w:space="0" w:color="auto"/>
                <w:right w:val="none" w:sz="0" w:space="0" w:color="auto"/>
              </w:divBdr>
            </w:div>
            <w:div w:id="1330713467">
              <w:marLeft w:val="0"/>
              <w:marRight w:val="0"/>
              <w:marTop w:val="0"/>
              <w:marBottom w:val="0"/>
              <w:divBdr>
                <w:top w:val="none" w:sz="0" w:space="0" w:color="auto"/>
                <w:left w:val="none" w:sz="0" w:space="0" w:color="auto"/>
                <w:bottom w:val="none" w:sz="0" w:space="0" w:color="auto"/>
                <w:right w:val="none" w:sz="0" w:space="0" w:color="auto"/>
              </w:divBdr>
            </w:div>
            <w:div w:id="1484732382">
              <w:marLeft w:val="0"/>
              <w:marRight w:val="0"/>
              <w:marTop w:val="0"/>
              <w:marBottom w:val="0"/>
              <w:divBdr>
                <w:top w:val="none" w:sz="0" w:space="0" w:color="auto"/>
                <w:left w:val="none" w:sz="0" w:space="0" w:color="auto"/>
                <w:bottom w:val="none" w:sz="0" w:space="0" w:color="auto"/>
                <w:right w:val="none" w:sz="0" w:space="0" w:color="auto"/>
              </w:divBdr>
            </w:div>
            <w:div w:id="1626618823">
              <w:marLeft w:val="0"/>
              <w:marRight w:val="0"/>
              <w:marTop w:val="0"/>
              <w:marBottom w:val="0"/>
              <w:divBdr>
                <w:top w:val="none" w:sz="0" w:space="0" w:color="auto"/>
                <w:left w:val="none" w:sz="0" w:space="0" w:color="auto"/>
                <w:bottom w:val="none" w:sz="0" w:space="0" w:color="auto"/>
                <w:right w:val="none" w:sz="0" w:space="0" w:color="auto"/>
              </w:divBdr>
            </w:div>
            <w:div w:id="1695113905">
              <w:marLeft w:val="0"/>
              <w:marRight w:val="0"/>
              <w:marTop w:val="0"/>
              <w:marBottom w:val="0"/>
              <w:divBdr>
                <w:top w:val="none" w:sz="0" w:space="0" w:color="auto"/>
                <w:left w:val="none" w:sz="0" w:space="0" w:color="auto"/>
                <w:bottom w:val="none" w:sz="0" w:space="0" w:color="auto"/>
                <w:right w:val="none" w:sz="0" w:space="0" w:color="auto"/>
              </w:divBdr>
            </w:div>
            <w:div w:id="1799952069">
              <w:marLeft w:val="0"/>
              <w:marRight w:val="0"/>
              <w:marTop w:val="0"/>
              <w:marBottom w:val="0"/>
              <w:divBdr>
                <w:top w:val="none" w:sz="0" w:space="0" w:color="auto"/>
                <w:left w:val="none" w:sz="0" w:space="0" w:color="auto"/>
                <w:bottom w:val="none" w:sz="0" w:space="0" w:color="auto"/>
                <w:right w:val="none" w:sz="0" w:space="0" w:color="auto"/>
              </w:divBdr>
            </w:div>
            <w:div w:id="2039038900">
              <w:marLeft w:val="0"/>
              <w:marRight w:val="0"/>
              <w:marTop w:val="0"/>
              <w:marBottom w:val="0"/>
              <w:divBdr>
                <w:top w:val="none" w:sz="0" w:space="0" w:color="auto"/>
                <w:left w:val="none" w:sz="0" w:space="0" w:color="auto"/>
                <w:bottom w:val="none" w:sz="0" w:space="0" w:color="auto"/>
                <w:right w:val="none" w:sz="0" w:space="0" w:color="auto"/>
              </w:divBdr>
            </w:div>
          </w:divsChild>
        </w:div>
        <w:div w:id="1042176163">
          <w:marLeft w:val="0"/>
          <w:marRight w:val="0"/>
          <w:marTop w:val="0"/>
          <w:marBottom w:val="0"/>
          <w:divBdr>
            <w:top w:val="none" w:sz="0" w:space="0" w:color="auto"/>
            <w:left w:val="none" w:sz="0" w:space="0" w:color="auto"/>
            <w:bottom w:val="none" w:sz="0" w:space="0" w:color="auto"/>
            <w:right w:val="none" w:sz="0" w:space="0" w:color="auto"/>
          </w:divBdr>
          <w:divsChild>
            <w:div w:id="412167459">
              <w:marLeft w:val="0"/>
              <w:marRight w:val="0"/>
              <w:marTop w:val="0"/>
              <w:marBottom w:val="0"/>
              <w:divBdr>
                <w:top w:val="none" w:sz="0" w:space="0" w:color="auto"/>
                <w:left w:val="none" w:sz="0" w:space="0" w:color="auto"/>
                <w:bottom w:val="none" w:sz="0" w:space="0" w:color="auto"/>
                <w:right w:val="none" w:sz="0" w:space="0" w:color="auto"/>
              </w:divBdr>
            </w:div>
            <w:div w:id="417365536">
              <w:marLeft w:val="0"/>
              <w:marRight w:val="0"/>
              <w:marTop w:val="0"/>
              <w:marBottom w:val="0"/>
              <w:divBdr>
                <w:top w:val="none" w:sz="0" w:space="0" w:color="auto"/>
                <w:left w:val="none" w:sz="0" w:space="0" w:color="auto"/>
                <w:bottom w:val="none" w:sz="0" w:space="0" w:color="auto"/>
                <w:right w:val="none" w:sz="0" w:space="0" w:color="auto"/>
              </w:divBdr>
            </w:div>
            <w:div w:id="476997715">
              <w:marLeft w:val="0"/>
              <w:marRight w:val="0"/>
              <w:marTop w:val="0"/>
              <w:marBottom w:val="0"/>
              <w:divBdr>
                <w:top w:val="none" w:sz="0" w:space="0" w:color="auto"/>
                <w:left w:val="none" w:sz="0" w:space="0" w:color="auto"/>
                <w:bottom w:val="none" w:sz="0" w:space="0" w:color="auto"/>
                <w:right w:val="none" w:sz="0" w:space="0" w:color="auto"/>
              </w:divBdr>
            </w:div>
            <w:div w:id="509494472">
              <w:marLeft w:val="0"/>
              <w:marRight w:val="0"/>
              <w:marTop w:val="0"/>
              <w:marBottom w:val="0"/>
              <w:divBdr>
                <w:top w:val="none" w:sz="0" w:space="0" w:color="auto"/>
                <w:left w:val="none" w:sz="0" w:space="0" w:color="auto"/>
                <w:bottom w:val="none" w:sz="0" w:space="0" w:color="auto"/>
                <w:right w:val="none" w:sz="0" w:space="0" w:color="auto"/>
              </w:divBdr>
            </w:div>
            <w:div w:id="701201034">
              <w:marLeft w:val="0"/>
              <w:marRight w:val="0"/>
              <w:marTop w:val="0"/>
              <w:marBottom w:val="0"/>
              <w:divBdr>
                <w:top w:val="none" w:sz="0" w:space="0" w:color="auto"/>
                <w:left w:val="none" w:sz="0" w:space="0" w:color="auto"/>
                <w:bottom w:val="none" w:sz="0" w:space="0" w:color="auto"/>
                <w:right w:val="none" w:sz="0" w:space="0" w:color="auto"/>
              </w:divBdr>
            </w:div>
            <w:div w:id="742485242">
              <w:marLeft w:val="0"/>
              <w:marRight w:val="0"/>
              <w:marTop w:val="0"/>
              <w:marBottom w:val="0"/>
              <w:divBdr>
                <w:top w:val="none" w:sz="0" w:space="0" w:color="auto"/>
                <w:left w:val="none" w:sz="0" w:space="0" w:color="auto"/>
                <w:bottom w:val="none" w:sz="0" w:space="0" w:color="auto"/>
                <w:right w:val="none" w:sz="0" w:space="0" w:color="auto"/>
              </w:divBdr>
            </w:div>
            <w:div w:id="749543644">
              <w:marLeft w:val="0"/>
              <w:marRight w:val="0"/>
              <w:marTop w:val="0"/>
              <w:marBottom w:val="0"/>
              <w:divBdr>
                <w:top w:val="none" w:sz="0" w:space="0" w:color="auto"/>
                <w:left w:val="none" w:sz="0" w:space="0" w:color="auto"/>
                <w:bottom w:val="none" w:sz="0" w:space="0" w:color="auto"/>
                <w:right w:val="none" w:sz="0" w:space="0" w:color="auto"/>
              </w:divBdr>
            </w:div>
            <w:div w:id="783383032">
              <w:marLeft w:val="0"/>
              <w:marRight w:val="0"/>
              <w:marTop w:val="0"/>
              <w:marBottom w:val="0"/>
              <w:divBdr>
                <w:top w:val="none" w:sz="0" w:space="0" w:color="auto"/>
                <w:left w:val="none" w:sz="0" w:space="0" w:color="auto"/>
                <w:bottom w:val="none" w:sz="0" w:space="0" w:color="auto"/>
                <w:right w:val="none" w:sz="0" w:space="0" w:color="auto"/>
              </w:divBdr>
            </w:div>
            <w:div w:id="839926744">
              <w:marLeft w:val="0"/>
              <w:marRight w:val="0"/>
              <w:marTop w:val="0"/>
              <w:marBottom w:val="0"/>
              <w:divBdr>
                <w:top w:val="none" w:sz="0" w:space="0" w:color="auto"/>
                <w:left w:val="none" w:sz="0" w:space="0" w:color="auto"/>
                <w:bottom w:val="none" w:sz="0" w:space="0" w:color="auto"/>
                <w:right w:val="none" w:sz="0" w:space="0" w:color="auto"/>
              </w:divBdr>
            </w:div>
            <w:div w:id="890193456">
              <w:marLeft w:val="0"/>
              <w:marRight w:val="0"/>
              <w:marTop w:val="0"/>
              <w:marBottom w:val="0"/>
              <w:divBdr>
                <w:top w:val="none" w:sz="0" w:space="0" w:color="auto"/>
                <w:left w:val="none" w:sz="0" w:space="0" w:color="auto"/>
                <w:bottom w:val="none" w:sz="0" w:space="0" w:color="auto"/>
                <w:right w:val="none" w:sz="0" w:space="0" w:color="auto"/>
              </w:divBdr>
            </w:div>
            <w:div w:id="962463622">
              <w:marLeft w:val="0"/>
              <w:marRight w:val="0"/>
              <w:marTop w:val="0"/>
              <w:marBottom w:val="0"/>
              <w:divBdr>
                <w:top w:val="none" w:sz="0" w:space="0" w:color="auto"/>
                <w:left w:val="none" w:sz="0" w:space="0" w:color="auto"/>
                <w:bottom w:val="none" w:sz="0" w:space="0" w:color="auto"/>
                <w:right w:val="none" w:sz="0" w:space="0" w:color="auto"/>
              </w:divBdr>
            </w:div>
            <w:div w:id="1014574665">
              <w:marLeft w:val="0"/>
              <w:marRight w:val="0"/>
              <w:marTop w:val="0"/>
              <w:marBottom w:val="0"/>
              <w:divBdr>
                <w:top w:val="none" w:sz="0" w:space="0" w:color="auto"/>
                <w:left w:val="none" w:sz="0" w:space="0" w:color="auto"/>
                <w:bottom w:val="none" w:sz="0" w:space="0" w:color="auto"/>
                <w:right w:val="none" w:sz="0" w:space="0" w:color="auto"/>
              </w:divBdr>
            </w:div>
            <w:div w:id="1156452531">
              <w:marLeft w:val="0"/>
              <w:marRight w:val="0"/>
              <w:marTop w:val="0"/>
              <w:marBottom w:val="0"/>
              <w:divBdr>
                <w:top w:val="none" w:sz="0" w:space="0" w:color="auto"/>
                <w:left w:val="none" w:sz="0" w:space="0" w:color="auto"/>
                <w:bottom w:val="none" w:sz="0" w:space="0" w:color="auto"/>
                <w:right w:val="none" w:sz="0" w:space="0" w:color="auto"/>
              </w:divBdr>
            </w:div>
            <w:div w:id="1291012400">
              <w:marLeft w:val="0"/>
              <w:marRight w:val="0"/>
              <w:marTop w:val="0"/>
              <w:marBottom w:val="0"/>
              <w:divBdr>
                <w:top w:val="none" w:sz="0" w:space="0" w:color="auto"/>
                <w:left w:val="none" w:sz="0" w:space="0" w:color="auto"/>
                <w:bottom w:val="none" w:sz="0" w:space="0" w:color="auto"/>
                <w:right w:val="none" w:sz="0" w:space="0" w:color="auto"/>
              </w:divBdr>
            </w:div>
            <w:div w:id="1380395033">
              <w:marLeft w:val="0"/>
              <w:marRight w:val="0"/>
              <w:marTop w:val="0"/>
              <w:marBottom w:val="0"/>
              <w:divBdr>
                <w:top w:val="none" w:sz="0" w:space="0" w:color="auto"/>
                <w:left w:val="none" w:sz="0" w:space="0" w:color="auto"/>
                <w:bottom w:val="none" w:sz="0" w:space="0" w:color="auto"/>
                <w:right w:val="none" w:sz="0" w:space="0" w:color="auto"/>
              </w:divBdr>
            </w:div>
            <w:div w:id="1566915547">
              <w:marLeft w:val="0"/>
              <w:marRight w:val="0"/>
              <w:marTop w:val="0"/>
              <w:marBottom w:val="0"/>
              <w:divBdr>
                <w:top w:val="none" w:sz="0" w:space="0" w:color="auto"/>
                <w:left w:val="none" w:sz="0" w:space="0" w:color="auto"/>
                <w:bottom w:val="none" w:sz="0" w:space="0" w:color="auto"/>
                <w:right w:val="none" w:sz="0" w:space="0" w:color="auto"/>
              </w:divBdr>
            </w:div>
            <w:div w:id="1816142885">
              <w:marLeft w:val="0"/>
              <w:marRight w:val="0"/>
              <w:marTop w:val="0"/>
              <w:marBottom w:val="0"/>
              <w:divBdr>
                <w:top w:val="none" w:sz="0" w:space="0" w:color="auto"/>
                <w:left w:val="none" w:sz="0" w:space="0" w:color="auto"/>
                <w:bottom w:val="none" w:sz="0" w:space="0" w:color="auto"/>
                <w:right w:val="none" w:sz="0" w:space="0" w:color="auto"/>
              </w:divBdr>
            </w:div>
            <w:div w:id="1986742558">
              <w:marLeft w:val="0"/>
              <w:marRight w:val="0"/>
              <w:marTop w:val="0"/>
              <w:marBottom w:val="0"/>
              <w:divBdr>
                <w:top w:val="none" w:sz="0" w:space="0" w:color="auto"/>
                <w:left w:val="none" w:sz="0" w:space="0" w:color="auto"/>
                <w:bottom w:val="none" w:sz="0" w:space="0" w:color="auto"/>
                <w:right w:val="none" w:sz="0" w:space="0" w:color="auto"/>
              </w:divBdr>
            </w:div>
          </w:divsChild>
        </w:div>
        <w:div w:id="1049455000">
          <w:marLeft w:val="0"/>
          <w:marRight w:val="0"/>
          <w:marTop w:val="0"/>
          <w:marBottom w:val="0"/>
          <w:divBdr>
            <w:top w:val="none" w:sz="0" w:space="0" w:color="auto"/>
            <w:left w:val="none" w:sz="0" w:space="0" w:color="auto"/>
            <w:bottom w:val="none" w:sz="0" w:space="0" w:color="auto"/>
            <w:right w:val="none" w:sz="0" w:space="0" w:color="auto"/>
          </w:divBdr>
        </w:div>
        <w:div w:id="1051340324">
          <w:marLeft w:val="0"/>
          <w:marRight w:val="0"/>
          <w:marTop w:val="0"/>
          <w:marBottom w:val="0"/>
          <w:divBdr>
            <w:top w:val="none" w:sz="0" w:space="0" w:color="auto"/>
            <w:left w:val="none" w:sz="0" w:space="0" w:color="auto"/>
            <w:bottom w:val="none" w:sz="0" w:space="0" w:color="auto"/>
            <w:right w:val="none" w:sz="0" w:space="0" w:color="auto"/>
          </w:divBdr>
        </w:div>
        <w:div w:id="1091007587">
          <w:marLeft w:val="0"/>
          <w:marRight w:val="0"/>
          <w:marTop w:val="0"/>
          <w:marBottom w:val="0"/>
          <w:divBdr>
            <w:top w:val="none" w:sz="0" w:space="0" w:color="auto"/>
            <w:left w:val="none" w:sz="0" w:space="0" w:color="auto"/>
            <w:bottom w:val="none" w:sz="0" w:space="0" w:color="auto"/>
            <w:right w:val="none" w:sz="0" w:space="0" w:color="auto"/>
          </w:divBdr>
        </w:div>
        <w:div w:id="1101103014">
          <w:marLeft w:val="0"/>
          <w:marRight w:val="0"/>
          <w:marTop w:val="0"/>
          <w:marBottom w:val="0"/>
          <w:divBdr>
            <w:top w:val="none" w:sz="0" w:space="0" w:color="auto"/>
            <w:left w:val="none" w:sz="0" w:space="0" w:color="auto"/>
            <w:bottom w:val="none" w:sz="0" w:space="0" w:color="auto"/>
            <w:right w:val="none" w:sz="0" w:space="0" w:color="auto"/>
          </w:divBdr>
        </w:div>
        <w:div w:id="1113474261">
          <w:marLeft w:val="0"/>
          <w:marRight w:val="0"/>
          <w:marTop w:val="0"/>
          <w:marBottom w:val="0"/>
          <w:divBdr>
            <w:top w:val="none" w:sz="0" w:space="0" w:color="auto"/>
            <w:left w:val="none" w:sz="0" w:space="0" w:color="auto"/>
            <w:bottom w:val="none" w:sz="0" w:space="0" w:color="auto"/>
            <w:right w:val="none" w:sz="0" w:space="0" w:color="auto"/>
          </w:divBdr>
        </w:div>
        <w:div w:id="1117258250">
          <w:marLeft w:val="0"/>
          <w:marRight w:val="0"/>
          <w:marTop w:val="0"/>
          <w:marBottom w:val="0"/>
          <w:divBdr>
            <w:top w:val="none" w:sz="0" w:space="0" w:color="auto"/>
            <w:left w:val="none" w:sz="0" w:space="0" w:color="auto"/>
            <w:bottom w:val="none" w:sz="0" w:space="0" w:color="auto"/>
            <w:right w:val="none" w:sz="0" w:space="0" w:color="auto"/>
          </w:divBdr>
        </w:div>
        <w:div w:id="1122764971">
          <w:marLeft w:val="0"/>
          <w:marRight w:val="0"/>
          <w:marTop w:val="0"/>
          <w:marBottom w:val="0"/>
          <w:divBdr>
            <w:top w:val="none" w:sz="0" w:space="0" w:color="auto"/>
            <w:left w:val="none" w:sz="0" w:space="0" w:color="auto"/>
            <w:bottom w:val="none" w:sz="0" w:space="0" w:color="auto"/>
            <w:right w:val="none" w:sz="0" w:space="0" w:color="auto"/>
          </w:divBdr>
        </w:div>
        <w:div w:id="1147286681">
          <w:marLeft w:val="0"/>
          <w:marRight w:val="0"/>
          <w:marTop w:val="0"/>
          <w:marBottom w:val="0"/>
          <w:divBdr>
            <w:top w:val="none" w:sz="0" w:space="0" w:color="auto"/>
            <w:left w:val="none" w:sz="0" w:space="0" w:color="auto"/>
            <w:bottom w:val="none" w:sz="0" w:space="0" w:color="auto"/>
            <w:right w:val="none" w:sz="0" w:space="0" w:color="auto"/>
          </w:divBdr>
        </w:div>
        <w:div w:id="1171488672">
          <w:marLeft w:val="0"/>
          <w:marRight w:val="0"/>
          <w:marTop w:val="0"/>
          <w:marBottom w:val="0"/>
          <w:divBdr>
            <w:top w:val="none" w:sz="0" w:space="0" w:color="auto"/>
            <w:left w:val="none" w:sz="0" w:space="0" w:color="auto"/>
            <w:bottom w:val="none" w:sz="0" w:space="0" w:color="auto"/>
            <w:right w:val="none" w:sz="0" w:space="0" w:color="auto"/>
          </w:divBdr>
        </w:div>
        <w:div w:id="1172573314">
          <w:marLeft w:val="0"/>
          <w:marRight w:val="0"/>
          <w:marTop w:val="0"/>
          <w:marBottom w:val="0"/>
          <w:divBdr>
            <w:top w:val="none" w:sz="0" w:space="0" w:color="auto"/>
            <w:left w:val="none" w:sz="0" w:space="0" w:color="auto"/>
            <w:bottom w:val="none" w:sz="0" w:space="0" w:color="auto"/>
            <w:right w:val="none" w:sz="0" w:space="0" w:color="auto"/>
          </w:divBdr>
        </w:div>
        <w:div w:id="1190098166">
          <w:marLeft w:val="0"/>
          <w:marRight w:val="0"/>
          <w:marTop w:val="0"/>
          <w:marBottom w:val="0"/>
          <w:divBdr>
            <w:top w:val="none" w:sz="0" w:space="0" w:color="auto"/>
            <w:left w:val="none" w:sz="0" w:space="0" w:color="auto"/>
            <w:bottom w:val="none" w:sz="0" w:space="0" w:color="auto"/>
            <w:right w:val="none" w:sz="0" w:space="0" w:color="auto"/>
          </w:divBdr>
        </w:div>
        <w:div w:id="1191147670">
          <w:marLeft w:val="0"/>
          <w:marRight w:val="0"/>
          <w:marTop w:val="0"/>
          <w:marBottom w:val="0"/>
          <w:divBdr>
            <w:top w:val="none" w:sz="0" w:space="0" w:color="auto"/>
            <w:left w:val="none" w:sz="0" w:space="0" w:color="auto"/>
            <w:bottom w:val="none" w:sz="0" w:space="0" w:color="auto"/>
            <w:right w:val="none" w:sz="0" w:space="0" w:color="auto"/>
          </w:divBdr>
        </w:div>
        <w:div w:id="1197161401">
          <w:marLeft w:val="0"/>
          <w:marRight w:val="0"/>
          <w:marTop w:val="0"/>
          <w:marBottom w:val="0"/>
          <w:divBdr>
            <w:top w:val="none" w:sz="0" w:space="0" w:color="auto"/>
            <w:left w:val="none" w:sz="0" w:space="0" w:color="auto"/>
            <w:bottom w:val="none" w:sz="0" w:space="0" w:color="auto"/>
            <w:right w:val="none" w:sz="0" w:space="0" w:color="auto"/>
          </w:divBdr>
        </w:div>
        <w:div w:id="1229849871">
          <w:marLeft w:val="0"/>
          <w:marRight w:val="0"/>
          <w:marTop w:val="0"/>
          <w:marBottom w:val="0"/>
          <w:divBdr>
            <w:top w:val="none" w:sz="0" w:space="0" w:color="auto"/>
            <w:left w:val="none" w:sz="0" w:space="0" w:color="auto"/>
            <w:bottom w:val="none" w:sz="0" w:space="0" w:color="auto"/>
            <w:right w:val="none" w:sz="0" w:space="0" w:color="auto"/>
          </w:divBdr>
        </w:div>
        <w:div w:id="1239290008">
          <w:marLeft w:val="0"/>
          <w:marRight w:val="0"/>
          <w:marTop w:val="0"/>
          <w:marBottom w:val="0"/>
          <w:divBdr>
            <w:top w:val="none" w:sz="0" w:space="0" w:color="auto"/>
            <w:left w:val="none" w:sz="0" w:space="0" w:color="auto"/>
            <w:bottom w:val="none" w:sz="0" w:space="0" w:color="auto"/>
            <w:right w:val="none" w:sz="0" w:space="0" w:color="auto"/>
          </w:divBdr>
        </w:div>
        <w:div w:id="1264537322">
          <w:marLeft w:val="0"/>
          <w:marRight w:val="0"/>
          <w:marTop w:val="0"/>
          <w:marBottom w:val="0"/>
          <w:divBdr>
            <w:top w:val="none" w:sz="0" w:space="0" w:color="auto"/>
            <w:left w:val="none" w:sz="0" w:space="0" w:color="auto"/>
            <w:bottom w:val="none" w:sz="0" w:space="0" w:color="auto"/>
            <w:right w:val="none" w:sz="0" w:space="0" w:color="auto"/>
          </w:divBdr>
        </w:div>
        <w:div w:id="1269849380">
          <w:marLeft w:val="0"/>
          <w:marRight w:val="0"/>
          <w:marTop w:val="0"/>
          <w:marBottom w:val="0"/>
          <w:divBdr>
            <w:top w:val="none" w:sz="0" w:space="0" w:color="auto"/>
            <w:left w:val="none" w:sz="0" w:space="0" w:color="auto"/>
            <w:bottom w:val="none" w:sz="0" w:space="0" w:color="auto"/>
            <w:right w:val="none" w:sz="0" w:space="0" w:color="auto"/>
          </w:divBdr>
        </w:div>
        <w:div w:id="1310597185">
          <w:marLeft w:val="0"/>
          <w:marRight w:val="0"/>
          <w:marTop w:val="0"/>
          <w:marBottom w:val="0"/>
          <w:divBdr>
            <w:top w:val="none" w:sz="0" w:space="0" w:color="auto"/>
            <w:left w:val="none" w:sz="0" w:space="0" w:color="auto"/>
            <w:bottom w:val="none" w:sz="0" w:space="0" w:color="auto"/>
            <w:right w:val="none" w:sz="0" w:space="0" w:color="auto"/>
          </w:divBdr>
        </w:div>
        <w:div w:id="1328090401">
          <w:marLeft w:val="0"/>
          <w:marRight w:val="0"/>
          <w:marTop w:val="0"/>
          <w:marBottom w:val="0"/>
          <w:divBdr>
            <w:top w:val="none" w:sz="0" w:space="0" w:color="auto"/>
            <w:left w:val="none" w:sz="0" w:space="0" w:color="auto"/>
            <w:bottom w:val="none" w:sz="0" w:space="0" w:color="auto"/>
            <w:right w:val="none" w:sz="0" w:space="0" w:color="auto"/>
          </w:divBdr>
        </w:div>
        <w:div w:id="1331444389">
          <w:marLeft w:val="0"/>
          <w:marRight w:val="0"/>
          <w:marTop w:val="0"/>
          <w:marBottom w:val="0"/>
          <w:divBdr>
            <w:top w:val="none" w:sz="0" w:space="0" w:color="auto"/>
            <w:left w:val="none" w:sz="0" w:space="0" w:color="auto"/>
            <w:bottom w:val="none" w:sz="0" w:space="0" w:color="auto"/>
            <w:right w:val="none" w:sz="0" w:space="0" w:color="auto"/>
          </w:divBdr>
        </w:div>
        <w:div w:id="1348557309">
          <w:marLeft w:val="0"/>
          <w:marRight w:val="0"/>
          <w:marTop w:val="0"/>
          <w:marBottom w:val="0"/>
          <w:divBdr>
            <w:top w:val="none" w:sz="0" w:space="0" w:color="auto"/>
            <w:left w:val="none" w:sz="0" w:space="0" w:color="auto"/>
            <w:bottom w:val="none" w:sz="0" w:space="0" w:color="auto"/>
            <w:right w:val="none" w:sz="0" w:space="0" w:color="auto"/>
          </w:divBdr>
        </w:div>
        <w:div w:id="1358577705">
          <w:marLeft w:val="0"/>
          <w:marRight w:val="0"/>
          <w:marTop w:val="0"/>
          <w:marBottom w:val="0"/>
          <w:divBdr>
            <w:top w:val="none" w:sz="0" w:space="0" w:color="auto"/>
            <w:left w:val="none" w:sz="0" w:space="0" w:color="auto"/>
            <w:bottom w:val="none" w:sz="0" w:space="0" w:color="auto"/>
            <w:right w:val="none" w:sz="0" w:space="0" w:color="auto"/>
          </w:divBdr>
        </w:div>
        <w:div w:id="1370257983">
          <w:marLeft w:val="0"/>
          <w:marRight w:val="0"/>
          <w:marTop w:val="0"/>
          <w:marBottom w:val="0"/>
          <w:divBdr>
            <w:top w:val="none" w:sz="0" w:space="0" w:color="auto"/>
            <w:left w:val="none" w:sz="0" w:space="0" w:color="auto"/>
            <w:bottom w:val="none" w:sz="0" w:space="0" w:color="auto"/>
            <w:right w:val="none" w:sz="0" w:space="0" w:color="auto"/>
          </w:divBdr>
        </w:div>
        <w:div w:id="1400202694">
          <w:marLeft w:val="0"/>
          <w:marRight w:val="0"/>
          <w:marTop w:val="0"/>
          <w:marBottom w:val="0"/>
          <w:divBdr>
            <w:top w:val="none" w:sz="0" w:space="0" w:color="auto"/>
            <w:left w:val="none" w:sz="0" w:space="0" w:color="auto"/>
            <w:bottom w:val="none" w:sz="0" w:space="0" w:color="auto"/>
            <w:right w:val="none" w:sz="0" w:space="0" w:color="auto"/>
          </w:divBdr>
        </w:div>
        <w:div w:id="1426262368">
          <w:marLeft w:val="0"/>
          <w:marRight w:val="0"/>
          <w:marTop w:val="0"/>
          <w:marBottom w:val="0"/>
          <w:divBdr>
            <w:top w:val="none" w:sz="0" w:space="0" w:color="auto"/>
            <w:left w:val="none" w:sz="0" w:space="0" w:color="auto"/>
            <w:bottom w:val="none" w:sz="0" w:space="0" w:color="auto"/>
            <w:right w:val="none" w:sz="0" w:space="0" w:color="auto"/>
          </w:divBdr>
        </w:div>
        <w:div w:id="1430269226">
          <w:marLeft w:val="0"/>
          <w:marRight w:val="0"/>
          <w:marTop w:val="0"/>
          <w:marBottom w:val="0"/>
          <w:divBdr>
            <w:top w:val="none" w:sz="0" w:space="0" w:color="auto"/>
            <w:left w:val="none" w:sz="0" w:space="0" w:color="auto"/>
            <w:bottom w:val="none" w:sz="0" w:space="0" w:color="auto"/>
            <w:right w:val="none" w:sz="0" w:space="0" w:color="auto"/>
          </w:divBdr>
        </w:div>
        <w:div w:id="1450198832">
          <w:marLeft w:val="0"/>
          <w:marRight w:val="0"/>
          <w:marTop w:val="0"/>
          <w:marBottom w:val="0"/>
          <w:divBdr>
            <w:top w:val="none" w:sz="0" w:space="0" w:color="auto"/>
            <w:left w:val="none" w:sz="0" w:space="0" w:color="auto"/>
            <w:bottom w:val="none" w:sz="0" w:space="0" w:color="auto"/>
            <w:right w:val="none" w:sz="0" w:space="0" w:color="auto"/>
          </w:divBdr>
        </w:div>
        <w:div w:id="1457287473">
          <w:marLeft w:val="0"/>
          <w:marRight w:val="0"/>
          <w:marTop w:val="0"/>
          <w:marBottom w:val="0"/>
          <w:divBdr>
            <w:top w:val="none" w:sz="0" w:space="0" w:color="auto"/>
            <w:left w:val="none" w:sz="0" w:space="0" w:color="auto"/>
            <w:bottom w:val="none" w:sz="0" w:space="0" w:color="auto"/>
            <w:right w:val="none" w:sz="0" w:space="0" w:color="auto"/>
          </w:divBdr>
        </w:div>
        <w:div w:id="1473907450">
          <w:marLeft w:val="0"/>
          <w:marRight w:val="0"/>
          <w:marTop w:val="0"/>
          <w:marBottom w:val="0"/>
          <w:divBdr>
            <w:top w:val="none" w:sz="0" w:space="0" w:color="auto"/>
            <w:left w:val="none" w:sz="0" w:space="0" w:color="auto"/>
            <w:bottom w:val="none" w:sz="0" w:space="0" w:color="auto"/>
            <w:right w:val="none" w:sz="0" w:space="0" w:color="auto"/>
          </w:divBdr>
        </w:div>
        <w:div w:id="1475565003">
          <w:marLeft w:val="0"/>
          <w:marRight w:val="0"/>
          <w:marTop w:val="0"/>
          <w:marBottom w:val="0"/>
          <w:divBdr>
            <w:top w:val="none" w:sz="0" w:space="0" w:color="auto"/>
            <w:left w:val="none" w:sz="0" w:space="0" w:color="auto"/>
            <w:bottom w:val="none" w:sz="0" w:space="0" w:color="auto"/>
            <w:right w:val="none" w:sz="0" w:space="0" w:color="auto"/>
          </w:divBdr>
        </w:div>
        <w:div w:id="1479300296">
          <w:marLeft w:val="0"/>
          <w:marRight w:val="0"/>
          <w:marTop w:val="0"/>
          <w:marBottom w:val="0"/>
          <w:divBdr>
            <w:top w:val="none" w:sz="0" w:space="0" w:color="auto"/>
            <w:left w:val="none" w:sz="0" w:space="0" w:color="auto"/>
            <w:bottom w:val="none" w:sz="0" w:space="0" w:color="auto"/>
            <w:right w:val="none" w:sz="0" w:space="0" w:color="auto"/>
          </w:divBdr>
        </w:div>
        <w:div w:id="1484085837">
          <w:marLeft w:val="0"/>
          <w:marRight w:val="0"/>
          <w:marTop w:val="0"/>
          <w:marBottom w:val="0"/>
          <w:divBdr>
            <w:top w:val="none" w:sz="0" w:space="0" w:color="auto"/>
            <w:left w:val="none" w:sz="0" w:space="0" w:color="auto"/>
            <w:bottom w:val="none" w:sz="0" w:space="0" w:color="auto"/>
            <w:right w:val="none" w:sz="0" w:space="0" w:color="auto"/>
          </w:divBdr>
        </w:div>
        <w:div w:id="1509098016">
          <w:marLeft w:val="0"/>
          <w:marRight w:val="0"/>
          <w:marTop w:val="0"/>
          <w:marBottom w:val="0"/>
          <w:divBdr>
            <w:top w:val="none" w:sz="0" w:space="0" w:color="auto"/>
            <w:left w:val="none" w:sz="0" w:space="0" w:color="auto"/>
            <w:bottom w:val="none" w:sz="0" w:space="0" w:color="auto"/>
            <w:right w:val="none" w:sz="0" w:space="0" w:color="auto"/>
          </w:divBdr>
        </w:div>
        <w:div w:id="1511337306">
          <w:marLeft w:val="0"/>
          <w:marRight w:val="0"/>
          <w:marTop w:val="0"/>
          <w:marBottom w:val="0"/>
          <w:divBdr>
            <w:top w:val="none" w:sz="0" w:space="0" w:color="auto"/>
            <w:left w:val="none" w:sz="0" w:space="0" w:color="auto"/>
            <w:bottom w:val="none" w:sz="0" w:space="0" w:color="auto"/>
            <w:right w:val="none" w:sz="0" w:space="0" w:color="auto"/>
          </w:divBdr>
        </w:div>
        <w:div w:id="1515417013">
          <w:marLeft w:val="0"/>
          <w:marRight w:val="0"/>
          <w:marTop w:val="0"/>
          <w:marBottom w:val="0"/>
          <w:divBdr>
            <w:top w:val="none" w:sz="0" w:space="0" w:color="auto"/>
            <w:left w:val="none" w:sz="0" w:space="0" w:color="auto"/>
            <w:bottom w:val="none" w:sz="0" w:space="0" w:color="auto"/>
            <w:right w:val="none" w:sz="0" w:space="0" w:color="auto"/>
          </w:divBdr>
        </w:div>
        <w:div w:id="1529415062">
          <w:marLeft w:val="0"/>
          <w:marRight w:val="0"/>
          <w:marTop w:val="0"/>
          <w:marBottom w:val="0"/>
          <w:divBdr>
            <w:top w:val="none" w:sz="0" w:space="0" w:color="auto"/>
            <w:left w:val="none" w:sz="0" w:space="0" w:color="auto"/>
            <w:bottom w:val="none" w:sz="0" w:space="0" w:color="auto"/>
            <w:right w:val="none" w:sz="0" w:space="0" w:color="auto"/>
          </w:divBdr>
        </w:div>
        <w:div w:id="1540897000">
          <w:marLeft w:val="0"/>
          <w:marRight w:val="0"/>
          <w:marTop w:val="0"/>
          <w:marBottom w:val="0"/>
          <w:divBdr>
            <w:top w:val="none" w:sz="0" w:space="0" w:color="auto"/>
            <w:left w:val="none" w:sz="0" w:space="0" w:color="auto"/>
            <w:bottom w:val="none" w:sz="0" w:space="0" w:color="auto"/>
            <w:right w:val="none" w:sz="0" w:space="0" w:color="auto"/>
          </w:divBdr>
        </w:div>
        <w:div w:id="1542739617">
          <w:marLeft w:val="0"/>
          <w:marRight w:val="0"/>
          <w:marTop w:val="0"/>
          <w:marBottom w:val="0"/>
          <w:divBdr>
            <w:top w:val="none" w:sz="0" w:space="0" w:color="auto"/>
            <w:left w:val="none" w:sz="0" w:space="0" w:color="auto"/>
            <w:bottom w:val="none" w:sz="0" w:space="0" w:color="auto"/>
            <w:right w:val="none" w:sz="0" w:space="0" w:color="auto"/>
          </w:divBdr>
        </w:div>
        <w:div w:id="1558081181">
          <w:marLeft w:val="0"/>
          <w:marRight w:val="0"/>
          <w:marTop w:val="0"/>
          <w:marBottom w:val="0"/>
          <w:divBdr>
            <w:top w:val="none" w:sz="0" w:space="0" w:color="auto"/>
            <w:left w:val="none" w:sz="0" w:space="0" w:color="auto"/>
            <w:bottom w:val="none" w:sz="0" w:space="0" w:color="auto"/>
            <w:right w:val="none" w:sz="0" w:space="0" w:color="auto"/>
          </w:divBdr>
          <w:divsChild>
            <w:div w:id="1684479721">
              <w:marLeft w:val="-75"/>
              <w:marRight w:val="0"/>
              <w:marTop w:val="30"/>
              <w:marBottom w:val="30"/>
              <w:divBdr>
                <w:top w:val="none" w:sz="0" w:space="0" w:color="auto"/>
                <w:left w:val="none" w:sz="0" w:space="0" w:color="auto"/>
                <w:bottom w:val="none" w:sz="0" w:space="0" w:color="auto"/>
                <w:right w:val="none" w:sz="0" w:space="0" w:color="auto"/>
              </w:divBdr>
              <w:divsChild>
                <w:div w:id="42798903">
                  <w:marLeft w:val="0"/>
                  <w:marRight w:val="0"/>
                  <w:marTop w:val="0"/>
                  <w:marBottom w:val="0"/>
                  <w:divBdr>
                    <w:top w:val="none" w:sz="0" w:space="0" w:color="auto"/>
                    <w:left w:val="none" w:sz="0" w:space="0" w:color="auto"/>
                    <w:bottom w:val="none" w:sz="0" w:space="0" w:color="auto"/>
                    <w:right w:val="none" w:sz="0" w:space="0" w:color="auto"/>
                  </w:divBdr>
                  <w:divsChild>
                    <w:div w:id="681861350">
                      <w:marLeft w:val="0"/>
                      <w:marRight w:val="0"/>
                      <w:marTop w:val="0"/>
                      <w:marBottom w:val="0"/>
                      <w:divBdr>
                        <w:top w:val="none" w:sz="0" w:space="0" w:color="auto"/>
                        <w:left w:val="none" w:sz="0" w:space="0" w:color="auto"/>
                        <w:bottom w:val="none" w:sz="0" w:space="0" w:color="auto"/>
                        <w:right w:val="none" w:sz="0" w:space="0" w:color="auto"/>
                      </w:divBdr>
                    </w:div>
                  </w:divsChild>
                </w:div>
                <w:div w:id="55473111">
                  <w:marLeft w:val="0"/>
                  <w:marRight w:val="0"/>
                  <w:marTop w:val="0"/>
                  <w:marBottom w:val="0"/>
                  <w:divBdr>
                    <w:top w:val="none" w:sz="0" w:space="0" w:color="auto"/>
                    <w:left w:val="none" w:sz="0" w:space="0" w:color="auto"/>
                    <w:bottom w:val="none" w:sz="0" w:space="0" w:color="auto"/>
                    <w:right w:val="none" w:sz="0" w:space="0" w:color="auto"/>
                  </w:divBdr>
                  <w:divsChild>
                    <w:div w:id="597179102">
                      <w:marLeft w:val="0"/>
                      <w:marRight w:val="0"/>
                      <w:marTop w:val="0"/>
                      <w:marBottom w:val="0"/>
                      <w:divBdr>
                        <w:top w:val="none" w:sz="0" w:space="0" w:color="auto"/>
                        <w:left w:val="none" w:sz="0" w:space="0" w:color="auto"/>
                        <w:bottom w:val="none" w:sz="0" w:space="0" w:color="auto"/>
                        <w:right w:val="none" w:sz="0" w:space="0" w:color="auto"/>
                      </w:divBdr>
                    </w:div>
                  </w:divsChild>
                </w:div>
                <w:div w:id="101851000">
                  <w:marLeft w:val="0"/>
                  <w:marRight w:val="0"/>
                  <w:marTop w:val="0"/>
                  <w:marBottom w:val="0"/>
                  <w:divBdr>
                    <w:top w:val="none" w:sz="0" w:space="0" w:color="auto"/>
                    <w:left w:val="none" w:sz="0" w:space="0" w:color="auto"/>
                    <w:bottom w:val="none" w:sz="0" w:space="0" w:color="auto"/>
                    <w:right w:val="none" w:sz="0" w:space="0" w:color="auto"/>
                  </w:divBdr>
                  <w:divsChild>
                    <w:div w:id="1512600240">
                      <w:marLeft w:val="0"/>
                      <w:marRight w:val="0"/>
                      <w:marTop w:val="0"/>
                      <w:marBottom w:val="0"/>
                      <w:divBdr>
                        <w:top w:val="none" w:sz="0" w:space="0" w:color="auto"/>
                        <w:left w:val="none" w:sz="0" w:space="0" w:color="auto"/>
                        <w:bottom w:val="none" w:sz="0" w:space="0" w:color="auto"/>
                        <w:right w:val="none" w:sz="0" w:space="0" w:color="auto"/>
                      </w:divBdr>
                    </w:div>
                  </w:divsChild>
                </w:div>
                <w:div w:id="104617581">
                  <w:marLeft w:val="0"/>
                  <w:marRight w:val="0"/>
                  <w:marTop w:val="0"/>
                  <w:marBottom w:val="0"/>
                  <w:divBdr>
                    <w:top w:val="none" w:sz="0" w:space="0" w:color="auto"/>
                    <w:left w:val="none" w:sz="0" w:space="0" w:color="auto"/>
                    <w:bottom w:val="none" w:sz="0" w:space="0" w:color="auto"/>
                    <w:right w:val="none" w:sz="0" w:space="0" w:color="auto"/>
                  </w:divBdr>
                  <w:divsChild>
                    <w:div w:id="237523020">
                      <w:marLeft w:val="0"/>
                      <w:marRight w:val="0"/>
                      <w:marTop w:val="0"/>
                      <w:marBottom w:val="0"/>
                      <w:divBdr>
                        <w:top w:val="none" w:sz="0" w:space="0" w:color="auto"/>
                        <w:left w:val="none" w:sz="0" w:space="0" w:color="auto"/>
                        <w:bottom w:val="none" w:sz="0" w:space="0" w:color="auto"/>
                        <w:right w:val="none" w:sz="0" w:space="0" w:color="auto"/>
                      </w:divBdr>
                    </w:div>
                  </w:divsChild>
                </w:div>
                <w:div w:id="156924246">
                  <w:marLeft w:val="0"/>
                  <w:marRight w:val="0"/>
                  <w:marTop w:val="0"/>
                  <w:marBottom w:val="0"/>
                  <w:divBdr>
                    <w:top w:val="none" w:sz="0" w:space="0" w:color="auto"/>
                    <w:left w:val="none" w:sz="0" w:space="0" w:color="auto"/>
                    <w:bottom w:val="none" w:sz="0" w:space="0" w:color="auto"/>
                    <w:right w:val="none" w:sz="0" w:space="0" w:color="auto"/>
                  </w:divBdr>
                  <w:divsChild>
                    <w:div w:id="1826505456">
                      <w:marLeft w:val="0"/>
                      <w:marRight w:val="0"/>
                      <w:marTop w:val="0"/>
                      <w:marBottom w:val="0"/>
                      <w:divBdr>
                        <w:top w:val="none" w:sz="0" w:space="0" w:color="auto"/>
                        <w:left w:val="none" w:sz="0" w:space="0" w:color="auto"/>
                        <w:bottom w:val="none" w:sz="0" w:space="0" w:color="auto"/>
                        <w:right w:val="none" w:sz="0" w:space="0" w:color="auto"/>
                      </w:divBdr>
                    </w:div>
                  </w:divsChild>
                </w:div>
                <w:div w:id="288586527">
                  <w:marLeft w:val="0"/>
                  <w:marRight w:val="0"/>
                  <w:marTop w:val="0"/>
                  <w:marBottom w:val="0"/>
                  <w:divBdr>
                    <w:top w:val="none" w:sz="0" w:space="0" w:color="auto"/>
                    <w:left w:val="none" w:sz="0" w:space="0" w:color="auto"/>
                    <w:bottom w:val="none" w:sz="0" w:space="0" w:color="auto"/>
                    <w:right w:val="none" w:sz="0" w:space="0" w:color="auto"/>
                  </w:divBdr>
                  <w:divsChild>
                    <w:div w:id="776560020">
                      <w:marLeft w:val="0"/>
                      <w:marRight w:val="0"/>
                      <w:marTop w:val="0"/>
                      <w:marBottom w:val="0"/>
                      <w:divBdr>
                        <w:top w:val="none" w:sz="0" w:space="0" w:color="auto"/>
                        <w:left w:val="none" w:sz="0" w:space="0" w:color="auto"/>
                        <w:bottom w:val="none" w:sz="0" w:space="0" w:color="auto"/>
                        <w:right w:val="none" w:sz="0" w:space="0" w:color="auto"/>
                      </w:divBdr>
                    </w:div>
                  </w:divsChild>
                </w:div>
                <w:div w:id="310712849">
                  <w:marLeft w:val="0"/>
                  <w:marRight w:val="0"/>
                  <w:marTop w:val="0"/>
                  <w:marBottom w:val="0"/>
                  <w:divBdr>
                    <w:top w:val="none" w:sz="0" w:space="0" w:color="auto"/>
                    <w:left w:val="none" w:sz="0" w:space="0" w:color="auto"/>
                    <w:bottom w:val="none" w:sz="0" w:space="0" w:color="auto"/>
                    <w:right w:val="none" w:sz="0" w:space="0" w:color="auto"/>
                  </w:divBdr>
                  <w:divsChild>
                    <w:div w:id="1003237243">
                      <w:marLeft w:val="0"/>
                      <w:marRight w:val="0"/>
                      <w:marTop w:val="0"/>
                      <w:marBottom w:val="0"/>
                      <w:divBdr>
                        <w:top w:val="none" w:sz="0" w:space="0" w:color="auto"/>
                        <w:left w:val="none" w:sz="0" w:space="0" w:color="auto"/>
                        <w:bottom w:val="none" w:sz="0" w:space="0" w:color="auto"/>
                        <w:right w:val="none" w:sz="0" w:space="0" w:color="auto"/>
                      </w:divBdr>
                    </w:div>
                  </w:divsChild>
                </w:div>
                <w:div w:id="311911370">
                  <w:marLeft w:val="0"/>
                  <w:marRight w:val="0"/>
                  <w:marTop w:val="0"/>
                  <w:marBottom w:val="0"/>
                  <w:divBdr>
                    <w:top w:val="none" w:sz="0" w:space="0" w:color="auto"/>
                    <w:left w:val="none" w:sz="0" w:space="0" w:color="auto"/>
                    <w:bottom w:val="none" w:sz="0" w:space="0" w:color="auto"/>
                    <w:right w:val="none" w:sz="0" w:space="0" w:color="auto"/>
                  </w:divBdr>
                  <w:divsChild>
                    <w:div w:id="1846509137">
                      <w:marLeft w:val="0"/>
                      <w:marRight w:val="0"/>
                      <w:marTop w:val="0"/>
                      <w:marBottom w:val="0"/>
                      <w:divBdr>
                        <w:top w:val="none" w:sz="0" w:space="0" w:color="auto"/>
                        <w:left w:val="none" w:sz="0" w:space="0" w:color="auto"/>
                        <w:bottom w:val="none" w:sz="0" w:space="0" w:color="auto"/>
                        <w:right w:val="none" w:sz="0" w:space="0" w:color="auto"/>
                      </w:divBdr>
                    </w:div>
                  </w:divsChild>
                </w:div>
                <w:div w:id="322438296">
                  <w:marLeft w:val="0"/>
                  <w:marRight w:val="0"/>
                  <w:marTop w:val="0"/>
                  <w:marBottom w:val="0"/>
                  <w:divBdr>
                    <w:top w:val="none" w:sz="0" w:space="0" w:color="auto"/>
                    <w:left w:val="none" w:sz="0" w:space="0" w:color="auto"/>
                    <w:bottom w:val="none" w:sz="0" w:space="0" w:color="auto"/>
                    <w:right w:val="none" w:sz="0" w:space="0" w:color="auto"/>
                  </w:divBdr>
                  <w:divsChild>
                    <w:div w:id="1741051036">
                      <w:marLeft w:val="0"/>
                      <w:marRight w:val="0"/>
                      <w:marTop w:val="0"/>
                      <w:marBottom w:val="0"/>
                      <w:divBdr>
                        <w:top w:val="none" w:sz="0" w:space="0" w:color="auto"/>
                        <w:left w:val="none" w:sz="0" w:space="0" w:color="auto"/>
                        <w:bottom w:val="none" w:sz="0" w:space="0" w:color="auto"/>
                        <w:right w:val="none" w:sz="0" w:space="0" w:color="auto"/>
                      </w:divBdr>
                    </w:div>
                  </w:divsChild>
                </w:div>
                <w:div w:id="347099367">
                  <w:marLeft w:val="0"/>
                  <w:marRight w:val="0"/>
                  <w:marTop w:val="0"/>
                  <w:marBottom w:val="0"/>
                  <w:divBdr>
                    <w:top w:val="none" w:sz="0" w:space="0" w:color="auto"/>
                    <w:left w:val="none" w:sz="0" w:space="0" w:color="auto"/>
                    <w:bottom w:val="none" w:sz="0" w:space="0" w:color="auto"/>
                    <w:right w:val="none" w:sz="0" w:space="0" w:color="auto"/>
                  </w:divBdr>
                  <w:divsChild>
                    <w:div w:id="1730569587">
                      <w:marLeft w:val="0"/>
                      <w:marRight w:val="0"/>
                      <w:marTop w:val="0"/>
                      <w:marBottom w:val="0"/>
                      <w:divBdr>
                        <w:top w:val="none" w:sz="0" w:space="0" w:color="auto"/>
                        <w:left w:val="none" w:sz="0" w:space="0" w:color="auto"/>
                        <w:bottom w:val="none" w:sz="0" w:space="0" w:color="auto"/>
                        <w:right w:val="none" w:sz="0" w:space="0" w:color="auto"/>
                      </w:divBdr>
                    </w:div>
                  </w:divsChild>
                </w:div>
                <w:div w:id="348414322">
                  <w:marLeft w:val="0"/>
                  <w:marRight w:val="0"/>
                  <w:marTop w:val="0"/>
                  <w:marBottom w:val="0"/>
                  <w:divBdr>
                    <w:top w:val="none" w:sz="0" w:space="0" w:color="auto"/>
                    <w:left w:val="none" w:sz="0" w:space="0" w:color="auto"/>
                    <w:bottom w:val="none" w:sz="0" w:space="0" w:color="auto"/>
                    <w:right w:val="none" w:sz="0" w:space="0" w:color="auto"/>
                  </w:divBdr>
                  <w:divsChild>
                    <w:div w:id="52973858">
                      <w:marLeft w:val="0"/>
                      <w:marRight w:val="0"/>
                      <w:marTop w:val="0"/>
                      <w:marBottom w:val="0"/>
                      <w:divBdr>
                        <w:top w:val="none" w:sz="0" w:space="0" w:color="auto"/>
                        <w:left w:val="none" w:sz="0" w:space="0" w:color="auto"/>
                        <w:bottom w:val="none" w:sz="0" w:space="0" w:color="auto"/>
                        <w:right w:val="none" w:sz="0" w:space="0" w:color="auto"/>
                      </w:divBdr>
                    </w:div>
                  </w:divsChild>
                </w:div>
                <w:div w:id="399327114">
                  <w:marLeft w:val="0"/>
                  <w:marRight w:val="0"/>
                  <w:marTop w:val="0"/>
                  <w:marBottom w:val="0"/>
                  <w:divBdr>
                    <w:top w:val="none" w:sz="0" w:space="0" w:color="auto"/>
                    <w:left w:val="none" w:sz="0" w:space="0" w:color="auto"/>
                    <w:bottom w:val="none" w:sz="0" w:space="0" w:color="auto"/>
                    <w:right w:val="none" w:sz="0" w:space="0" w:color="auto"/>
                  </w:divBdr>
                  <w:divsChild>
                    <w:div w:id="1410730432">
                      <w:marLeft w:val="0"/>
                      <w:marRight w:val="0"/>
                      <w:marTop w:val="0"/>
                      <w:marBottom w:val="0"/>
                      <w:divBdr>
                        <w:top w:val="none" w:sz="0" w:space="0" w:color="auto"/>
                        <w:left w:val="none" w:sz="0" w:space="0" w:color="auto"/>
                        <w:bottom w:val="none" w:sz="0" w:space="0" w:color="auto"/>
                        <w:right w:val="none" w:sz="0" w:space="0" w:color="auto"/>
                      </w:divBdr>
                    </w:div>
                  </w:divsChild>
                </w:div>
                <w:div w:id="409228980">
                  <w:marLeft w:val="0"/>
                  <w:marRight w:val="0"/>
                  <w:marTop w:val="0"/>
                  <w:marBottom w:val="0"/>
                  <w:divBdr>
                    <w:top w:val="none" w:sz="0" w:space="0" w:color="auto"/>
                    <w:left w:val="none" w:sz="0" w:space="0" w:color="auto"/>
                    <w:bottom w:val="none" w:sz="0" w:space="0" w:color="auto"/>
                    <w:right w:val="none" w:sz="0" w:space="0" w:color="auto"/>
                  </w:divBdr>
                  <w:divsChild>
                    <w:div w:id="1916430257">
                      <w:marLeft w:val="0"/>
                      <w:marRight w:val="0"/>
                      <w:marTop w:val="0"/>
                      <w:marBottom w:val="0"/>
                      <w:divBdr>
                        <w:top w:val="none" w:sz="0" w:space="0" w:color="auto"/>
                        <w:left w:val="none" w:sz="0" w:space="0" w:color="auto"/>
                        <w:bottom w:val="none" w:sz="0" w:space="0" w:color="auto"/>
                        <w:right w:val="none" w:sz="0" w:space="0" w:color="auto"/>
                      </w:divBdr>
                    </w:div>
                  </w:divsChild>
                </w:div>
                <w:div w:id="419446826">
                  <w:marLeft w:val="0"/>
                  <w:marRight w:val="0"/>
                  <w:marTop w:val="0"/>
                  <w:marBottom w:val="0"/>
                  <w:divBdr>
                    <w:top w:val="none" w:sz="0" w:space="0" w:color="auto"/>
                    <w:left w:val="none" w:sz="0" w:space="0" w:color="auto"/>
                    <w:bottom w:val="none" w:sz="0" w:space="0" w:color="auto"/>
                    <w:right w:val="none" w:sz="0" w:space="0" w:color="auto"/>
                  </w:divBdr>
                  <w:divsChild>
                    <w:div w:id="1034574061">
                      <w:marLeft w:val="0"/>
                      <w:marRight w:val="0"/>
                      <w:marTop w:val="0"/>
                      <w:marBottom w:val="0"/>
                      <w:divBdr>
                        <w:top w:val="none" w:sz="0" w:space="0" w:color="auto"/>
                        <w:left w:val="none" w:sz="0" w:space="0" w:color="auto"/>
                        <w:bottom w:val="none" w:sz="0" w:space="0" w:color="auto"/>
                        <w:right w:val="none" w:sz="0" w:space="0" w:color="auto"/>
                      </w:divBdr>
                    </w:div>
                  </w:divsChild>
                </w:div>
                <w:div w:id="482964293">
                  <w:marLeft w:val="0"/>
                  <w:marRight w:val="0"/>
                  <w:marTop w:val="0"/>
                  <w:marBottom w:val="0"/>
                  <w:divBdr>
                    <w:top w:val="none" w:sz="0" w:space="0" w:color="auto"/>
                    <w:left w:val="none" w:sz="0" w:space="0" w:color="auto"/>
                    <w:bottom w:val="none" w:sz="0" w:space="0" w:color="auto"/>
                    <w:right w:val="none" w:sz="0" w:space="0" w:color="auto"/>
                  </w:divBdr>
                  <w:divsChild>
                    <w:div w:id="553855693">
                      <w:marLeft w:val="0"/>
                      <w:marRight w:val="0"/>
                      <w:marTop w:val="0"/>
                      <w:marBottom w:val="0"/>
                      <w:divBdr>
                        <w:top w:val="none" w:sz="0" w:space="0" w:color="auto"/>
                        <w:left w:val="none" w:sz="0" w:space="0" w:color="auto"/>
                        <w:bottom w:val="none" w:sz="0" w:space="0" w:color="auto"/>
                        <w:right w:val="none" w:sz="0" w:space="0" w:color="auto"/>
                      </w:divBdr>
                    </w:div>
                  </w:divsChild>
                </w:div>
                <w:div w:id="553809584">
                  <w:marLeft w:val="0"/>
                  <w:marRight w:val="0"/>
                  <w:marTop w:val="0"/>
                  <w:marBottom w:val="0"/>
                  <w:divBdr>
                    <w:top w:val="none" w:sz="0" w:space="0" w:color="auto"/>
                    <w:left w:val="none" w:sz="0" w:space="0" w:color="auto"/>
                    <w:bottom w:val="none" w:sz="0" w:space="0" w:color="auto"/>
                    <w:right w:val="none" w:sz="0" w:space="0" w:color="auto"/>
                  </w:divBdr>
                  <w:divsChild>
                    <w:div w:id="933241752">
                      <w:marLeft w:val="0"/>
                      <w:marRight w:val="0"/>
                      <w:marTop w:val="0"/>
                      <w:marBottom w:val="0"/>
                      <w:divBdr>
                        <w:top w:val="none" w:sz="0" w:space="0" w:color="auto"/>
                        <w:left w:val="none" w:sz="0" w:space="0" w:color="auto"/>
                        <w:bottom w:val="none" w:sz="0" w:space="0" w:color="auto"/>
                        <w:right w:val="none" w:sz="0" w:space="0" w:color="auto"/>
                      </w:divBdr>
                    </w:div>
                  </w:divsChild>
                </w:div>
                <w:div w:id="570968930">
                  <w:marLeft w:val="0"/>
                  <w:marRight w:val="0"/>
                  <w:marTop w:val="0"/>
                  <w:marBottom w:val="0"/>
                  <w:divBdr>
                    <w:top w:val="none" w:sz="0" w:space="0" w:color="auto"/>
                    <w:left w:val="none" w:sz="0" w:space="0" w:color="auto"/>
                    <w:bottom w:val="none" w:sz="0" w:space="0" w:color="auto"/>
                    <w:right w:val="none" w:sz="0" w:space="0" w:color="auto"/>
                  </w:divBdr>
                  <w:divsChild>
                    <w:div w:id="937253451">
                      <w:marLeft w:val="0"/>
                      <w:marRight w:val="0"/>
                      <w:marTop w:val="0"/>
                      <w:marBottom w:val="0"/>
                      <w:divBdr>
                        <w:top w:val="none" w:sz="0" w:space="0" w:color="auto"/>
                        <w:left w:val="none" w:sz="0" w:space="0" w:color="auto"/>
                        <w:bottom w:val="none" w:sz="0" w:space="0" w:color="auto"/>
                        <w:right w:val="none" w:sz="0" w:space="0" w:color="auto"/>
                      </w:divBdr>
                    </w:div>
                  </w:divsChild>
                </w:div>
                <w:div w:id="588541575">
                  <w:marLeft w:val="0"/>
                  <w:marRight w:val="0"/>
                  <w:marTop w:val="0"/>
                  <w:marBottom w:val="0"/>
                  <w:divBdr>
                    <w:top w:val="none" w:sz="0" w:space="0" w:color="auto"/>
                    <w:left w:val="none" w:sz="0" w:space="0" w:color="auto"/>
                    <w:bottom w:val="none" w:sz="0" w:space="0" w:color="auto"/>
                    <w:right w:val="none" w:sz="0" w:space="0" w:color="auto"/>
                  </w:divBdr>
                  <w:divsChild>
                    <w:div w:id="1234853922">
                      <w:marLeft w:val="0"/>
                      <w:marRight w:val="0"/>
                      <w:marTop w:val="0"/>
                      <w:marBottom w:val="0"/>
                      <w:divBdr>
                        <w:top w:val="none" w:sz="0" w:space="0" w:color="auto"/>
                        <w:left w:val="none" w:sz="0" w:space="0" w:color="auto"/>
                        <w:bottom w:val="none" w:sz="0" w:space="0" w:color="auto"/>
                        <w:right w:val="none" w:sz="0" w:space="0" w:color="auto"/>
                      </w:divBdr>
                    </w:div>
                  </w:divsChild>
                </w:div>
                <w:div w:id="632755441">
                  <w:marLeft w:val="0"/>
                  <w:marRight w:val="0"/>
                  <w:marTop w:val="0"/>
                  <w:marBottom w:val="0"/>
                  <w:divBdr>
                    <w:top w:val="none" w:sz="0" w:space="0" w:color="auto"/>
                    <w:left w:val="none" w:sz="0" w:space="0" w:color="auto"/>
                    <w:bottom w:val="none" w:sz="0" w:space="0" w:color="auto"/>
                    <w:right w:val="none" w:sz="0" w:space="0" w:color="auto"/>
                  </w:divBdr>
                  <w:divsChild>
                    <w:div w:id="233202953">
                      <w:marLeft w:val="0"/>
                      <w:marRight w:val="0"/>
                      <w:marTop w:val="0"/>
                      <w:marBottom w:val="0"/>
                      <w:divBdr>
                        <w:top w:val="none" w:sz="0" w:space="0" w:color="auto"/>
                        <w:left w:val="none" w:sz="0" w:space="0" w:color="auto"/>
                        <w:bottom w:val="none" w:sz="0" w:space="0" w:color="auto"/>
                        <w:right w:val="none" w:sz="0" w:space="0" w:color="auto"/>
                      </w:divBdr>
                    </w:div>
                  </w:divsChild>
                </w:div>
                <w:div w:id="648872107">
                  <w:marLeft w:val="0"/>
                  <w:marRight w:val="0"/>
                  <w:marTop w:val="0"/>
                  <w:marBottom w:val="0"/>
                  <w:divBdr>
                    <w:top w:val="none" w:sz="0" w:space="0" w:color="auto"/>
                    <w:left w:val="none" w:sz="0" w:space="0" w:color="auto"/>
                    <w:bottom w:val="none" w:sz="0" w:space="0" w:color="auto"/>
                    <w:right w:val="none" w:sz="0" w:space="0" w:color="auto"/>
                  </w:divBdr>
                  <w:divsChild>
                    <w:div w:id="1342397474">
                      <w:marLeft w:val="0"/>
                      <w:marRight w:val="0"/>
                      <w:marTop w:val="0"/>
                      <w:marBottom w:val="0"/>
                      <w:divBdr>
                        <w:top w:val="none" w:sz="0" w:space="0" w:color="auto"/>
                        <w:left w:val="none" w:sz="0" w:space="0" w:color="auto"/>
                        <w:bottom w:val="none" w:sz="0" w:space="0" w:color="auto"/>
                        <w:right w:val="none" w:sz="0" w:space="0" w:color="auto"/>
                      </w:divBdr>
                    </w:div>
                  </w:divsChild>
                </w:div>
                <w:div w:id="661398241">
                  <w:marLeft w:val="0"/>
                  <w:marRight w:val="0"/>
                  <w:marTop w:val="0"/>
                  <w:marBottom w:val="0"/>
                  <w:divBdr>
                    <w:top w:val="none" w:sz="0" w:space="0" w:color="auto"/>
                    <w:left w:val="none" w:sz="0" w:space="0" w:color="auto"/>
                    <w:bottom w:val="none" w:sz="0" w:space="0" w:color="auto"/>
                    <w:right w:val="none" w:sz="0" w:space="0" w:color="auto"/>
                  </w:divBdr>
                  <w:divsChild>
                    <w:div w:id="1894152595">
                      <w:marLeft w:val="0"/>
                      <w:marRight w:val="0"/>
                      <w:marTop w:val="0"/>
                      <w:marBottom w:val="0"/>
                      <w:divBdr>
                        <w:top w:val="none" w:sz="0" w:space="0" w:color="auto"/>
                        <w:left w:val="none" w:sz="0" w:space="0" w:color="auto"/>
                        <w:bottom w:val="none" w:sz="0" w:space="0" w:color="auto"/>
                        <w:right w:val="none" w:sz="0" w:space="0" w:color="auto"/>
                      </w:divBdr>
                    </w:div>
                  </w:divsChild>
                </w:div>
                <w:div w:id="671101146">
                  <w:marLeft w:val="0"/>
                  <w:marRight w:val="0"/>
                  <w:marTop w:val="0"/>
                  <w:marBottom w:val="0"/>
                  <w:divBdr>
                    <w:top w:val="none" w:sz="0" w:space="0" w:color="auto"/>
                    <w:left w:val="none" w:sz="0" w:space="0" w:color="auto"/>
                    <w:bottom w:val="none" w:sz="0" w:space="0" w:color="auto"/>
                    <w:right w:val="none" w:sz="0" w:space="0" w:color="auto"/>
                  </w:divBdr>
                  <w:divsChild>
                    <w:div w:id="1199010565">
                      <w:marLeft w:val="0"/>
                      <w:marRight w:val="0"/>
                      <w:marTop w:val="0"/>
                      <w:marBottom w:val="0"/>
                      <w:divBdr>
                        <w:top w:val="none" w:sz="0" w:space="0" w:color="auto"/>
                        <w:left w:val="none" w:sz="0" w:space="0" w:color="auto"/>
                        <w:bottom w:val="none" w:sz="0" w:space="0" w:color="auto"/>
                        <w:right w:val="none" w:sz="0" w:space="0" w:color="auto"/>
                      </w:divBdr>
                    </w:div>
                  </w:divsChild>
                </w:div>
                <w:div w:id="678850292">
                  <w:marLeft w:val="0"/>
                  <w:marRight w:val="0"/>
                  <w:marTop w:val="0"/>
                  <w:marBottom w:val="0"/>
                  <w:divBdr>
                    <w:top w:val="none" w:sz="0" w:space="0" w:color="auto"/>
                    <w:left w:val="none" w:sz="0" w:space="0" w:color="auto"/>
                    <w:bottom w:val="none" w:sz="0" w:space="0" w:color="auto"/>
                    <w:right w:val="none" w:sz="0" w:space="0" w:color="auto"/>
                  </w:divBdr>
                  <w:divsChild>
                    <w:div w:id="287588624">
                      <w:marLeft w:val="0"/>
                      <w:marRight w:val="0"/>
                      <w:marTop w:val="0"/>
                      <w:marBottom w:val="0"/>
                      <w:divBdr>
                        <w:top w:val="none" w:sz="0" w:space="0" w:color="auto"/>
                        <w:left w:val="none" w:sz="0" w:space="0" w:color="auto"/>
                        <w:bottom w:val="none" w:sz="0" w:space="0" w:color="auto"/>
                        <w:right w:val="none" w:sz="0" w:space="0" w:color="auto"/>
                      </w:divBdr>
                    </w:div>
                  </w:divsChild>
                </w:div>
                <w:div w:id="699236123">
                  <w:marLeft w:val="0"/>
                  <w:marRight w:val="0"/>
                  <w:marTop w:val="0"/>
                  <w:marBottom w:val="0"/>
                  <w:divBdr>
                    <w:top w:val="none" w:sz="0" w:space="0" w:color="auto"/>
                    <w:left w:val="none" w:sz="0" w:space="0" w:color="auto"/>
                    <w:bottom w:val="none" w:sz="0" w:space="0" w:color="auto"/>
                    <w:right w:val="none" w:sz="0" w:space="0" w:color="auto"/>
                  </w:divBdr>
                  <w:divsChild>
                    <w:div w:id="1774550049">
                      <w:marLeft w:val="0"/>
                      <w:marRight w:val="0"/>
                      <w:marTop w:val="0"/>
                      <w:marBottom w:val="0"/>
                      <w:divBdr>
                        <w:top w:val="none" w:sz="0" w:space="0" w:color="auto"/>
                        <w:left w:val="none" w:sz="0" w:space="0" w:color="auto"/>
                        <w:bottom w:val="none" w:sz="0" w:space="0" w:color="auto"/>
                        <w:right w:val="none" w:sz="0" w:space="0" w:color="auto"/>
                      </w:divBdr>
                    </w:div>
                  </w:divsChild>
                </w:div>
                <w:div w:id="739910507">
                  <w:marLeft w:val="0"/>
                  <w:marRight w:val="0"/>
                  <w:marTop w:val="0"/>
                  <w:marBottom w:val="0"/>
                  <w:divBdr>
                    <w:top w:val="none" w:sz="0" w:space="0" w:color="auto"/>
                    <w:left w:val="none" w:sz="0" w:space="0" w:color="auto"/>
                    <w:bottom w:val="none" w:sz="0" w:space="0" w:color="auto"/>
                    <w:right w:val="none" w:sz="0" w:space="0" w:color="auto"/>
                  </w:divBdr>
                  <w:divsChild>
                    <w:div w:id="1117604403">
                      <w:marLeft w:val="0"/>
                      <w:marRight w:val="0"/>
                      <w:marTop w:val="0"/>
                      <w:marBottom w:val="0"/>
                      <w:divBdr>
                        <w:top w:val="none" w:sz="0" w:space="0" w:color="auto"/>
                        <w:left w:val="none" w:sz="0" w:space="0" w:color="auto"/>
                        <w:bottom w:val="none" w:sz="0" w:space="0" w:color="auto"/>
                        <w:right w:val="none" w:sz="0" w:space="0" w:color="auto"/>
                      </w:divBdr>
                    </w:div>
                  </w:divsChild>
                </w:div>
                <w:div w:id="832647689">
                  <w:marLeft w:val="0"/>
                  <w:marRight w:val="0"/>
                  <w:marTop w:val="0"/>
                  <w:marBottom w:val="0"/>
                  <w:divBdr>
                    <w:top w:val="none" w:sz="0" w:space="0" w:color="auto"/>
                    <w:left w:val="none" w:sz="0" w:space="0" w:color="auto"/>
                    <w:bottom w:val="none" w:sz="0" w:space="0" w:color="auto"/>
                    <w:right w:val="none" w:sz="0" w:space="0" w:color="auto"/>
                  </w:divBdr>
                  <w:divsChild>
                    <w:div w:id="1464496567">
                      <w:marLeft w:val="0"/>
                      <w:marRight w:val="0"/>
                      <w:marTop w:val="0"/>
                      <w:marBottom w:val="0"/>
                      <w:divBdr>
                        <w:top w:val="none" w:sz="0" w:space="0" w:color="auto"/>
                        <w:left w:val="none" w:sz="0" w:space="0" w:color="auto"/>
                        <w:bottom w:val="none" w:sz="0" w:space="0" w:color="auto"/>
                        <w:right w:val="none" w:sz="0" w:space="0" w:color="auto"/>
                      </w:divBdr>
                    </w:div>
                  </w:divsChild>
                </w:div>
                <w:div w:id="844438373">
                  <w:marLeft w:val="0"/>
                  <w:marRight w:val="0"/>
                  <w:marTop w:val="0"/>
                  <w:marBottom w:val="0"/>
                  <w:divBdr>
                    <w:top w:val="none" w:sz="0" w:space="0" w:color="auto"/>
                    <w:left w:val="none" w:sz="0" w:space="0" w:color="auto"/>
                    <w:bottom w:val="none" w:sz="0" w:space="0" w:color="auto"/>
                    <w:right w:val="none" w:sz="0" w:space="0" w:color="auto"/>
                  </w:divBdr>
                  <w:divsChild>
                    <w:div w:id="1228031803">
                      <w:marLeft w:val="0"/>
                      <w:marRight w:val="0"/>
                      <w:marTop w:val="0"/>
                      <w:marBottom w:val="0"/>
                      <w:divBdr>
                        <w:top w:val="none" w:sz="0" w:space="0" w:color="auto"/>
                        <w:left w:val="none" w:sz="0" w:space="0" w:color="auto"/>
                        <w:bottom w:val="none" w:sz="0" w:space="0" w:color="auto"/>
                        <w:right w:val="none" w:sz="0" w:space="0" w:color="auto"/>
                      </w:divBdr>
                    </w:div>
                  </w:divsChild>
                </w:div>
                <w:div w:id="854809239">
                  <w:marLeft w:val="0"/>
                  <w:marRight w:val="0"/>
                  <w:marTop w:val="0"/>
                  <w:marBottom w:val="0"/>
                  <w:divBdr>
                    <w:top w:val="none" w:sz="0" w:space="0" w:color="auto"/>
                    <w:left w:val="none" w:sz="0" w:space="0" w:color="auto"/>
                    <w:bottom w:val="none" w:sz="0" w:space="0" w:color="auto"/>
                    <w:right w:val="none" w:sz="0" w:space="0" w:color="auto"/>
                  </w:divBdr>
                  <w:divsChild>
                    <w:div w:id="1213620449">
                      <w:marLeft w:val="0"/>
                      <w:marRight w:val="0"/>
                      <w:marTop w:val="0"/>
                      <w:marBottom w:val="0"/>
                      <w:divBdr>
                        <w:top w:val="none" w:sz="0" w:space="0" w:color="auto"/>
                        <w:left w:val="none" w:sz="0" w:space="0" w:color="auto"/>
                        <w:bottom w:val="none" w:sz="0" w:space="0" w:color="auto"/>
                        <w:right w:val="none" w:sz="0" w:space="0" w:color="auto"/>
                      </w:divBdr>
                    </w:div>
                  </w:divsChild>
                </w:div>
                <w:div w:id="871307968">
                  <w:marLeft w:val="0"/>
                  <w:marRight w:val="0"/>
                  <w:marTop w:val="0"/>
                  <w:marBottom w:val="0"/>
                  <w:divBdr>
                    <w:top w:val="none" w:sz="0" w:space="0" w:color="auto"/>
                    <w:left w:val="none" w:sz="0" w:space="0" w:color="auto"/>
                    <w:bottom w:val="none" w:sz="0" w:space="0" w:color="auto"/>
                    <w:right w:val="none" w:sz="0" w:space="0" w:color="auto"/>
                  </w:divBdr>
                  <w:divsChild>
                    <w:div w:id="787234341">
                      <w:marLeft w:val="0"/>
                      <w:marRight w:val="0"/>
                      <w:marTop w:val="0"/>
                      <w:marBottom w:val="0"/>
                      <w:divBdr>
                        <w:top w:val="none" w:sz="0" w:space="0" w:color="auto"/>
                        <w:left w:val="none" w:sz="0" w:space="0" w:color="auto"/>
                        <w:bottom w:val="none" w:sz="0" w:space="0" w:color="auto"/>
                        <w:right w:val="none" w:sz="0" w:space="0" w:color="auto"/>
                      </w:divBdr>
                    </w:div>
                  </w:divsChild>
                </w:div>
                <w:div w:id="949825738">
                  <w:marLeft w:val="0"/>
                  <w:marRight w:val="0"/>
                  <w:marTop w:val="0"/>
                  <w:marBottom w:val="0"/>
                  <w:divBdr>
                    <w:top w:val="none" w:sz="0" w:space="0" w:color="auto"/>
                    <w:left w:val="none" w:sz="0" w:space="0" w:color="auto"/>
                    <w:bottom w:val="none" w:sz="0" w:space="0" w:color="auto"/>
                    <w:right w:val="none" w:sz="0" w:space="0" w:color="auto"/>
                  </w:divBdr>
                  <w:divsChild>
                    <w:div w:id="625696366">
                      <w:marLeft w:val="0"/>
                      <w:marRight w:val="0"/>
                      <w:marTop w:val="0"/>
                      <w:marBottom w:val="0"/>
                      <w:divBdr>
                        <w:top w:val="none" w:sz="0" w:space="0" w:color="auto"/>
                        <w:left w:val="none" w:sz="0" w:space="0" w:color="auto"/>
                        <w:bottom w:val="none" w:sz="0" w:space="0" w:color="auto"/>
                        <w:right w:val="none" w:sz="0" w:space="0" w:color="auto"/>
                      </w:divBdr>
                    </w:div>
                  </w:divsChild>
                </w:div>
                <w:div w:id="992566704">
                  <w:marLeft w:val="0"/>
                  <w:marRight w:val="0"/>
                  <w:marTop w:val="0"/>
                  <w:marBottom w:val="0"/>
                  <w:divBdr>
                    <w:top w:val="none" w:sz="0" w:space="0" w:color="auto"/>
                    <w:left w:val="none" w:sz="0" w:space="0" w:color="auto"/>
                    <w:bottom w:val="none" w:sz="0" w:space="0" w:color="auto"/>
                    <w:right w:val="none" w:sz="0" w:space="0" w:color="auto"/>
                  </w:divBdr>
                  <w:divsChild>
                    <w:div w:id="579868545">
                      <w:marLeft w:val="0"/>
                      <w:marRight w:val="0"/>
                      <w:marTop w:val="0"/>
                      <w:marBottom w:val="0"/>
                      <w:divBdr>
                        <w:top w:val="none" w:sz="0" w:space="0" w:color="auto"/>
                        <w:left w:val="none" w:sz="0" w:space="0" w:color="auto"/>
                        <w:bottom w:val="none" w:sz="0" w:space="0" w:color="auto"/>
                        <w:right w:val="none" w:sz="0" w:space="0" w:color="auto"/>
                      </w:divBdr>
                    </w:div>
                  </w:divsChild>
                </w:div>
                <w:div w:id="1030646877">
                  <w:marLeft w:val="0"/>
                  <w:marRight w:val="0"/>
                  <w:marTop w:val="0"/>
                  <w:marBottom w:val="0"/>
                  <w:divBdr>
                    <w:top w:val="none" w:sz="0" w:space="0" w:color="auto"/>
                    <w:left w:val="none" w:sz="0" w:space="0" w:color="auto"/>
                    <w:bottom w:val="none" w:sz="0" w:space="0" w:color="auto"/>
                    <w:right w:val="none" w:sz="0" w:space="0" w:color="auto"/>
                  </w:divBdr>
                  <w:divsChild>
                    <w:div w:id="75515827">
                      <w:marLeft w:val="0"/>
                      <w:marRight w:val="0"/>
                      <w:marTop w:val="0"/>
                      <w:marBottom w:val="0"/>
                      <w:divBdr>
                        <w:top w:val="none" w:sz="0" w:space="0" w:color="auto"/>
                        <w:left w:val="none" w:sz="0" w:space="0" w:color="auto"/>
                        <w:bottom w:val="none" w:sz="0" w:space="0" w:color="auto"/>
                        <w:right w:val="none" w:sz="0" w:space="0" w:color="auto"/>
                      </w:divBdr>
                    </w:div>
                  </w:divsChild>
                </w:div>
                <w:div w:id="1056053003">
                  <w:marLeft w:val="0"/>
                  <w:marRight w:val="0"/>
                  <w:marTop w:val="0"/>
                  <w:marBottom w:val="0"/>
                  <w:divBdr>
                    <w:top w:val="none" w:sz="0" w:space="0" w:color="auto"/>
                    <w:left w:val="none" w:sz="0" w:space="0" w:color="auto"/>
                    <w:bottom w:val="none" w:sz="0" w:space="0" w:color="auto"/>
                    <w:right w:val="none" w:sz="0" w:space="0" w:color="auto"/>
                  </w:divBdr>
                  <w:divsChild>
                    <w:div w:id="509030338">
                      <w:marLeft w:val="0"/>
                      <w:marRight w:val="0"/>
                      <w:marTop w:val="0"/>
                      <w:marBottom w:val="0"/>
                      <w:divBdr>
                        <w:top w:val="none" w:sz="0" w:space="0" w:color="auto"/>
                        <w:left w:val="none" w:sz="0" w:space="0" w:color="auto"/>
                        <w:bottom w:val="none" w:sz="0" w:space="0" w:color="auto"/>
                        <w:right w:val="none" w:sz="0" w:space="0" w:color="auto"/>
                      </w:divBdr>
                    </w:div>
                  </w:divsChild>
                </w:div>
                <w:div w:id="1059674894">
                  <w:marLeft w:val="0"/>
                  <w:marRight w:val="0"/>
                  <w:marTop w:val="0"/>
                  <w:marBottom w:val="0"/>
                  <w:divBdr>
                    <w:top w:val="none" w:sz="0" w:space="0" w:color="auto"/>
                    <w:left w:val="none" w:sz="0" w:space="0" w:color="auto"/>
                    <w:bottom w:val="none" w:sz="0" w:space="0" w:color="auto"/>
                    <w:right w:val="none" w:sz="0" w:space="0" w:color="auto"/>
                  </w:divBdr>
                  <w:divsChild>
                    <w:div w:id="221798815">
                      <w:marLeft w:val="0"/>
                      <w:marRight w:val="0"/>
                      <w:marTop w:val="0"/>
                      <w:marBottom w:val="0"/>
                      <w:divBdr>
                        <w:top w:val="none" w:sz="0" w:space="0" w:color="auto"/>
                        <w:left w:val="none" w:sz="0" w:space="0" w:color="auto"/>
                        <w:bottom w:val="none" w:sz="0" w:space="0" w:color="auto"/>
                        <w:right w:val="none" w:sz="0" w:space="0" w:color="auto"/>
                      </w:divBdr>
                    </w:div>
                  </w:divsChild>
                </w:div>
                <w:div w:id="1104963308">
                  <w:marLeft w:val="0"/>
                  <w:marRight w:val="0"/>
                  <w:marTop w:val="0"/>
                  <w:marBottom w:val="0"/>
                  <w:divBdr>
                    <w:top w:val="none" w:sz="0" w:space="0" w:color="auto"/>
                    <w:left w:val="none" w:sz="0" w:space="0" w:color="auto"/>
                    <w:bottom w:val="none" w:sz="0" w:space="0" w:color="auto"/>
                    <w:right w:val="none" w:sz="0" w:space="0" w:color="auto"/>
                  </w:divBdr>
                  <w:divsChild>
                    <w:div w:id="79255530">
                      <w:marLeft w:val="0"/>
                      <w:marRight w:val="0"/>
                      <w:marTop w:val="0"/>
                      <w:marBottom w:val="0"/>
                      <w:divBdr>
                        <w:top w:val="none" w:sz="0" w:space="0" w:color="auto"/>
                        <w:left w:val="none" w:sz="0" w:space="0" w:color="auto"/>
                        <w:bottom w:val="none" w:sz="0" w:space="0" w:color="auto"/>
                        <w:right w:val="none" w:sz="0" w:space="0" w:color="auto"/>
                      </w:divBdr>
                    </w:div>
                  </w:divsChild>
                </w:div>
                <w:div w:id="1127044461">
                  <w:marLeft w:val="0"/>
                  <w:marRight w:val="0"/>
                  <w:marTop w:val="0"/>
                  <w:marBottom w:val="0"/>
                  <w:divBdr>
                    <w:top w:val="none" w:sz="0" w:space="0" w:color="auto"/>
                    <w:left w:val="none" w:sz="0" w:space="0" w:color="auto"/>
                    <w:bottom w:val="none" w:sz="0" w:space="0" w:color="auto"/>
                    <w:right w:val="none" w:sz="0" w:space="0" w:color="auto"/>
                  </w:divBdr>
                  <w:divsChild>
                    <w:div w:id="541479893">
                      <w:marLeft w:val="0"/>
                      <w:marRight w:val="0"/>
                      <w:marTop w:val="0"/>
                      <w:marBottom w:val="0"/>
                      <w:divBdr>
                        <w:top w:val="none" w:sz="0" w:space="0" w:color="auto"/>
                        <w:left w:val="none" w:sz="0" w:space="0" w:color="auto"/>
                        <w:bottom w:val="none" w:sz="0" w:space="0" w:color="auto"/>
                        <w:right w:val="none" w:sz="0" w:space="0" w:color="auto"/>
                      </w:divBdr>
                    </w:div>
                  </w:divsChild>
                </w:div>
                <w:div w:id="1138762264">
                  <w:marLeft w:val="0"/>
                  <w:marRight w:val="0"/>
                  <w:marTop w:val="0"/>
                  <w:marBottom w:val="0"/>
                  <w:divBdr>
                    <w:top w:val="none" w:sz="0" w:space="0" w:color="auto"/>
                    <w:left w:val="none" w:sz="0" w:space="0" w:color="auto"/>
                    <w:bottom w:val="none" w:sz="0" w:space="0" w:color="auto"/>
                    <w:right w:val="none" w:sz="0" w:space="0" w:color="auto"/>
                  </w:divBdr>
                  <w:divsChild>
                    <w:div w:id="1918713148">
                      <w:marLeft w:val="0"/>
                      <w:marRight w:val="0"/>
                      <w:marTop w:val="0"/>
                      <w:marBottom w:val="0"/>
                      <w:divBdr>
                        <w:top w:val="none" w:sz="0" w:space="0" w:color="auto"/>
                        <w:left w:val="none" w:sz="0" w:space="0" w:color="auto"/>
                        <w:bottom w:val="none" w:sz="0" w:space="0" w:color="auto"/>
                        <w:right w:val="none" w:sz="0" w:space="0" w:color="auto"/>
                      </w:divBdr>
                    </w:div>
                  </w:divsChild>
                </w:div>
                <w:div w:id="1143278856">
                  <w:marLeft w:val="0"/>
                  <w:marRight w:val="0"/>
                  <w:marTop w:val="0"/>
                  <w:marBottom w:val="0"/>
                  <w:divBdr>
                    <w:top w:val="none" w:sz="0" w:space="0" w:color="auto"/>
                    <w:left w:val="none" w:sz="0" w:space="0" w:color="auto"/>
                    <w:bottom w:val="none" w:sz="0" w:space="0" w:color="auto"/>
                    <w:right w:val="none" w:sz="0" w:space="0" w:color="auto"/>
                  </w:divBdr>
                  <w:divsChild>
                    <w:div w:id="566647819">
                      <w:marLeft w:val="0"/>
                      <w:marRight w:val="0"/>
                      <w:marTop w:val="0"/>
                      <w:marBottom w:val="0"/>
                      <w:divBdr>
                        <w:top w:val="none" w:sz="0" w:space="0" w:color="auto"/>
                        <w:left w:val="none" w:sz="0" w:space="0" w:color="auto"/>
                        <w:bottom w:val="none" w:sz="0" w:space="0" w:color="auto"/>
                        <w:right w:val="none" w:sz="0" w:space="0" w:color="auto"/>
                      </w:divBdr>
                    </w:div>
                  </w:divsChild>
                </w:div>
                <w:div w:id="1153838482">
                  <w:marLeft w:val="0"/>
                  <w:marRight w:val="0"/>
                  <w:marTop w:val="0"/>
                  <w:marBottom w:val="0"/>
                  <w:divBdr>
                    <w:top w:val="none" w:sz="0" w:space="0" w:color="auto"/>
                    <w:left w:val="none" w:sz="0" w:space="0" w:color="auto"/>
                    <w:bottom w:val="none" w:sz="0" w:space="0" w:color="auto"/>
                    <w:right w:val="none" w:sz="0" w:space="0" w:color="auto"/>
                  </w:divBdr>
                  <w:divsChild>
                    <w:div w:id="733509779">
                      <w:marLeft w:val="0"/>
                      <w:marRight w:val="0"/>
                      <w:marTop w:val="0"/>
                      <w:marBottom w:val="0"/>
                      <w:divBdr>
                        <w:top w:val="none" w:sz="0" w:space="0" w:color="auto"/>
                        <w:left w:val="none" w:sz="0" w:space="0" w:color="auto"/>
                        <w:bottom w:val="none" w:sz="0" w:space="0" w:color="auto"/>
                        <w:right w:val="none" w:sz="0" w:space="0" w:color="auto"/>
                      </w:divBdr>
                    </w:div>
                  </w:divsChild>
                </w:div>
                <w:div w:id="1217084743">
                  <w:marLeft w:val="0"/>
                  <w:marRight w:val="0"/>
                  <w:marTop w:val="0"/>
                  <w:marBottom w:val="0"/>
                  <w:divBdr>
                    <w:top w:val="none" w:sz="0" w:space="0" w:color="auto"/>
                    <w:left w:val="none" w:sz="0" w:space="0" w:color="auto"/>
                    <w:bottom w:val="none" w:sz="0" w:space="0" w:color="auto"/>
                    <w:right w:val="none" w:sz="0" w:space="0" w:color="auto"/>
                  </w:divBdr>
                  <w:divsChild>
                    <w:div w:id="309335330">
                      <w:marLeft w:val="0"/>
                      <w:marRight w:val="0"/>
                      <w:marTop w:val="0"/>
                      <w:marBottom w:val="0"/>
                      <w:divBdr>
                        <w:top w:val="none" w:sz="0" w:space="0" w:color="auto"/>
                        <w:left w:val="none" w:sz="0" w:space="0" w:color="auto"/>
                        <w:bottom w:val="none" w:sz="0" w:space="0" w:color="auto"/>
                        <w:right w:val="none" w:sz="0" w:space="0" w:color="auto"/>
                      </w:divBdr>
                    </w:div>
                  </w:divsChild>
                </w:div>
                <w:div w:id="1217399091">
                  <w:marLeft w:val="0"/>
                  <w:marRight w:val="0"/>
                  <w:marTop w:val="0"/>
                  <w:marBottom w:val="0"/>
                  <w:divBdr>
                    <w:top w:val="none" w:sz="0" w:space="0" w:color="auto"/>
                    <w:left w:val="none" w:sz="0" w:space="0" w:color="auto"/>
                    <w:bottom w:val="none" w:sz="0" w:space="0" w:color="auto"/>
                    <w:right w:val="none" w:sz="0" w:space="0" w:color="auto"/>
                  </w:divBdr>
                  <w:divsChild>
                    <w:div w:id="945037243">
                      <w:marLeft w:val="0"/>
                      <w:marRight w:val="0"/>
                      <w:marTop w:val="0"/>
                      <w:marBottom w:val="0"/>
                      <w:divBdr>
                        <w:top w:val="none" w:sz="0" w:space="0" w:color="auto"/>
                        <w:left w:val="none" w:sz="0" w:space="0" w:color="auto"/>
                        <w:bottom w:val="none" w:sz="0" w:space="0" w:color="auto"/>
                        <w:right w:val="none" w:sz="0" w:space="0" w:color="auto"/>
                      </w:divBdr>
                    </w:div>
                  </w:divsChild>
                </w:div>
                <w:div w:id="1228566623">
                  <w:marLeft w:val="0"/>
                  <w:marRight w:val="0"/>
                  <w:marTop w:val="0"/>
                  <w:marBottom w:val="0"/>
                  <w:divBdr>
                    <w:top w:val="none" w:sz="0" w:space="0" w:color="auto"/>
                    <w:left w:val="none" w:sz="0" w:space="0" w:color="auto"/>
                    <w:bottom w:val="none" w:sz="0" w:space="0" w:color="auto"/>
                    <w:right w:val="none" w:sz="0" w:space="0" w:color="auto"/>
                  </w:divBdr>
                  <w:divsChild>
                    <w:div w:id="1180657790">
                      <w:marLeft w:val="0"/>
                      <w:marRight w:val="0"/>
                      <w:marTop w:val="0"/>
                      <w:marBottom w:val="0"/>
                      <w:divBdr>
                        <w:top w:val="none" w:sz="0" w:space="0" w:color="auto"/>
                        <w:left w:val="none" w:sz="0" w:space="0" w:color="auto"/>
                        <w:bottom w:val="none" w:sz="0" w:space="0" w:color="auto"/>
                        <w:right w:val="none" w:sz="0" w:space="0" w:color="auto"/>
                      </w:divBdr>
                    </w:div>
                  </w:divsChild>
                </w:div>
                <w:div w:id="1235092626">
                  <w:marLeft w:val="0"/>
                  <w:marRight w:val="0"/>
                  <w:marTop w:val="0"/>
                  <w:marBottom w:val="0"/>
                  <w:divBdr>
                    <w:top w:val="none" w:sz="0" w:space="0" w:color="auto"/>
                    <w:left w:val="none" w:sz="0" w:space="0" w:color="auto"/>
                    <w:bottom w:val="none" w:sz="0" w:space="0" w:color="auto"/>
                    <w:right w:val="none" w:sz="0" w:space="0" w:color="auto"/>
                  </w:divBdr>
                  <w:divsChild>
                    <w:div w:id="1314412625">
                      <w:marLeft w:val="0"/>
                      <w:marRight w:val="0"/>
                      <w:marTop w:val="0"/>
                      <w:marBottom w:val="0"/>
                      <w:divBdr>
                        <w:top w:val="none" w:sz="0" w:space="0" w:color="auto"/>
                        <w:left w:val="none" w:sz="0" w:space="0" w:color="auto"/>
                        <w:bottom w:val="none" w:sz="0" w:space="0" w:color="auto"/>
                        <w:right w:val="none" w:sz="0" w:space="0" w:color="auto"/>
                      </w:divBdr>
                    </w:div>
                  </w:divsChild>
                </w:div>
                <w:div w:id="1264997462">
                  <w:marLeft w:val="0"/>
                  <w:marRight w:val="0"/>
                  <w:marTop w:val="0"/>
                  <w:marBottom w:val="0"/>
                  <w:divBdr>
                    <w:top w:val="none" w:sz="0" w:space="0" w:color="auto"/>
                    <w:left w:val="none" w:sz="0" w:space="0" w:color="auto"/>
                    <w:bottom w:val="none" w:sz="0" w:space="0" w:color="auto"/>
                    <w:right w:val="none" w:sz="0" w:space="0" w:color="auto"/>
                  </w:divBdr>
                  <w:divsChild>
                    <w:div w:id="1026054963">
                      <w:marLeft w:val="0"/>
                      <w:marRight w:val="0"/>
                      <w:marTop w:val="0"/>
                      <w:marBottom w:val="0"/>
                      <w:divBdr>
                        <w:top w:val="none" w:sz="0" w:space="0" w:color="auto"/>
                        <w:left w:val="none" w:sz="0" w:space="0" w:color="auto"/>
                        <w:bottom w:val="none" w:sz="0" w:space="0" w:color="auto"/>
                        <w:right w:val="none" w:sz="0" w:space="0" w:color="auto"/>
                      </w:divBdr>
                    </w:div>
                  </w:divsChild>
                </w:div>
                <w:div w:id="1278105616">
                  <w:marLeft w:val="0"/>
                  <w:marRight w:val="0"/>
                  <w:marTop w:val="0"/>
                  <w:marBottom w:val="0"/>
                  <w:divBdr>
                    <w:top w:val="none" w:sz="0" w:space="0" w:color="auto"/>
                    <w:left w:val="none" w:sz="0" w:space="0" w:color="auto"/>
                    <w:bottom w:val="none" w:sz="0" w:space="0" w:color="auto"/>
                    <w:right w:val="none" w:sz="0" w:space="0" w:color="auto"/>
                  </w:divBdr>
                  <w:divsChild>
                    <w:div w:id="3751075">
                      <w:marLeft w:val="0"/>
                      <w:marRight w:val="0"/>
                      <w:marTop w:val="0"/>
                      <w:marBottom w:val="0"/>
                      <w:divBdr>
                        <w:top w:val="none" w:sz="0" w:space="0" w:color="auto"/>
                        <w:left w:val="none" w:sz="0" w:space="0" w:color="auto"/>
                        <w:bottom w:val="none" w:sz="0" w:space="0" w:color="auto"/>
                        <w:right w:val="none" w:sz="0" w:space="0" w:color="auto"/>
                      </w:divBdr>
                    </w:div>
                  </w:divsChild>
                </w:div>
                <w:div w:id="1327706567">
                  <w:marLeft w:val="0"/>
                  <w:marRight w:val="0"/>
                  <w:marTop w:val="0"/>
                  <w:marBottom w:val="0"/>
                  <w:divBdr>
                    <w:top w:val="none" w:sz="0" w:space="0" w:color="auto"/>
                    <w:left w:val="none" w:sz="0" w:space="0" w:color="auto"/>
                    <w:bottom w:val="none" w:sz="0" w:space="0" w:color="auto"/>
                    <w:right w:val="none" w:sz="0" w:space="0" w:color="auto"/>
                  </w:divBdr>
                  <w:divsChild>
                    <w:div w:id="480268666">
                      <w:marLeft w:val="0"/>
                      <w:marRight w:val="0"/>
                      <w:marTop w:val="0"/>
                      <w:marBottom w:val="0"/>
                      <w:divBdr>
                        <w:top w:val="none" w:sz="0" w:space="0" w:color="auto"/>
                        <w:left w:val="none" w:sz="0" w:space="0" w:color="auto"/>
                        <w:bottom w:val="none" w:sz="0" w:space="0" w:color="auto"/>
                        <w:right w:val="none" w:sz="0" w:space="0" w:color="auto"/>
                      </w:divBdr>
                    </w:div>
                  </w:divsChild>
                </w:div>
                <w:div w:id="1397893559">
                  <w:marLeft w:val="0"/>
                  <w:marRight w:val="0"/>
                  <w:marTop w:val="0"/>
                  <w:marBottom w:val="0"/>
                  <w:divBdr>
                    <w:top w:val="none" w:sz="0" w:space="0" w:color="auto"/>
                    <w:left w:val="none" w:sz="0" w:space="0" w:color="auto"/>
                    <w:bottom w:val="none" w:sz="0" w:space="0" w:color="auto"/>
                    <w:right w:val="none" w:sz="0" w:space="0" w:color="auto"/>
                  </w:divBdr>
                  <w:divsChild>
                    <w:div w:id="1554150841">
                      <w:marLeft w:val="0"/>
                      <w:marRight w:val="0"/>
                      <w:marTop w:val="0"/>
                      <w:marBottom w:val="0"/>
                      <w:divBdr>
                        <w:top w:val="none" w:sz="0" w:space="0" w:color="auto"/>
                        <w:left w:val="none" w:sz="0" w:space="0" w:color="auto"/>
                        <w:bottom w:val="none" w:sz="0" w:space="0" w:color="auto"/>
                        <w:right w:val="none" w:sz="0" w:space="0" w:color="auto"/>
                      </w:divBdr>
                    </w:div>
                  </w:divsChild>
                </w:div>
                <w:div w:id="1399749868">
                  <w:marLeft w:val="0"/>
                  <w:marRight w:val="0"/>
                  <w:marTop w:val="0"/>
                  <w:marBottom w:val="0"/>
                  <w:divBdr>
                    <w:top w:val="none" w:sz="0" w:space="0" w:color="auto"/>
                    <w:left w:val="none" w:sz="0" w:space="0" w:color="auto"/>
                    <w:bottom w:val="none" w:sz="0" w:space="0" w:color="auto"/>
                    <w:right w:val="none" w:sz="0" w:space="0" w:color="auto"/>
                  </w:divBdr>
                  <w:divsChild>
                    <w:div w:id="1576470284">
                      <w:marLeft w:val="0"/>
                      <w:marRight w:val="0"/>
                      <w:marTop w:val="0"/>
                      <w:marBottom w:val="0"/>
                      <w:divBdr>
                        <w:top w:val="none" w:sz="0" w:space="0" w:color="auto"/>
                        <w:left w:val="none" w:sz="0" w:space="0" w:color="auto"/>
                        <w:bottom w:val="none" w:sz="0" w:space="0" w:color="auto"/>
                        <w:right w:val="none" w:sz="0" w:space="0" w:color="auto"/>
                      </w:divBdr>
                    </w:div>
                  </w:divsChild>
                </w:div>
                <w:div w:id="1400667824">
                  <w:marLeft w:val="0"/>
                  <w:marRight w:val="0"/>
                  <w:marTop w:val="0"/>
                  <w:marBottom w:val="0"/>
                  <w:divBdr>
                    <w:top w:val="none" w:sz="0" w:space="0" w:color="auto"/>
                    <w:left w:val="none" w:sz="0" w:space="0" w:color="auto"/>
                    <w:bottom w:val="none" w:sz="0" w:space="0" w:color="auto"/>
                    <w:right w:val="none" w:sz="0" w:space="0" w:color="auto"/>
                  </w:divBdr>
                  <w:divsChild>
                    <w:div w:id="859123727">
                      <w:marLeft w:val="0"/>
                      <w:marRight w:val="0"/>
                      <w:marTop w:val="0"/>
                      <w:marBottom w:val="0"/>
                      <w:divBdr>
                        <w:top w:val="none" w:sz="0" w:space="0" w:color="auto"/>
                        <w:left w:val="none" w:sz="0" w:space="0" w:color="auto"/>
                        <w:bottom w:val="none" w:sz="0" w:space="0" w:color="auto"/>
                        <w:right w:val="none" w:sz="0" w:space="0" w:color="auto"/>
                      </w:divBdr>
                    </w:div>
                  </w:divsChild>
                </w:div>
                <w:div w:id="1447582449">
                  <w:marLeft w:val="0"/>
                  <w:marRight w:val="0"/>
                  <w:marTop w:val="0"/>
                  <w:marBottom w:val="0"/>
                  <w:divBdr>
                    <w:top w:val="none" w:sz="0" w:space="0" w:color="auto"/>
                    <w:left w:val="none" w:sz="0" w:space="0" w:color="auto"/>
                    <w:bottom w:val="none" w:sz="0" w:space="0" w:color="auto"/>
                    <w:right w:val="none" w:sz="0" w:space="0" w:color="auto"/>
                  </w:divBdr>
                  <w:divsChild>
                    <w:div w:id="1211916240">
                      <w:marLeft w:val="0"/>
                      <w:marRight w:val="0"/>
                      <w:marTop w:val="0"/>
                      <w:marBottom w:val="0"/>
                      <w:divBdr>
                        <w:top w:val="none" w:sz="0" w:space="0" w:color="auto"/>
                        <w:left w:val="none" w:sz="0" w:space="0" w:color="auto"/>
                        <w:bottom w:val="none" w:sz="0" w:space="0" w:color="auto"/>
                        <w:right w:val="none" w:sz="0" w:space="0" w:color="auto"/>
                      </w:divBdr>
                    </w:div>
                  </w:divsChild>
                </w:div>
                <w:div w:id="1511066412">
                  <w:marLeft w:val="0"/>
                  <w:marRight w:val="0"/>
                  <w:marTop w:val="0"/>
                  <w:marBottom w:val="0"/>
                  <w:divBdr>
                    <w:top w:val="none" w:sz="0" w:space="0" w:color="auto"/>
                    <w:left w:val="none" w:sz="0" w:space="0" w:color="auto"/>
                    <w:bottom w:val="none" w:sz="0" w:space="0" w:color="auto"/>
                    <w:right w:val="none" w:sz="0" w:space="0" w:color="auto"/>
                  </w:divBdr>
                  <w:divsChild>
                    <w:div w:id="1097477869">
                      <w:marLeft w:val="0"/>
                      <w:marRight w:val="0"/>
                      <w:marTop w:val="0"/>
                      <w:marBottom w:val="0"/>
                      <w:divBdr>
                        <w:top w:val="none" w:sz="0" w:space="0" w:color="auto"/>
                        <w:left w:val="none" w:sz="0" w:space="0" w:color="auto"/>
                        <w:bottom w:val="none" w:sz="0" w:space="0" w:color="auto"/>
                        <w:right w:val="none" w:sz="0" w:space="0" w:color="auto"/>
                      </w:divBdr>
                    </w:div>
                  </w:divsChild>
                </w:div>
                <w:div w:id="1527670523">
                  <w:marLeft w:val="0"/>
                  <w:marRight w:val="0"/>
                  <w:marTop w:val="0"/>
                  <w:marBottom w:val="0"/>
                  <w:divBdr>
                    <w:top w:val="none" w:sz="0" w:space="0" w:color="auto"/>
                    <w:left w:val="none" w:sz="0" w:space="0" w:color="auto"/>
                    <w:bottom w:val="none" w:sz="0" w:space="0" w:color="auto"/>
                    <w:right w:val="none" w:sz="0" w:space="0" w:color="auto"/>
                  </w:divBdr>
                  <w:divsChild>
                    <w:div w:id="332800758">
                      <w:marLeft w:val="0"/>
                      <w:marRight w:val="0"/>
                      <w:marTop w:val="0"/>
                      <w:marBottom w:val="0"/>
                      <w:divBdr>
                        <w:top w:val="none" w:sz="0" w:space="0" w:color="auto"/>
                        <w:left w:val="none" w:sz="0" w:space="0" w:color="auto"/>
                        <w:bottom w:val="none" w:sz="0" w:space="0" w:color="auto"/>
                        <w:right w:val="none" w:sz="0" w:space="0" w:color="auto"/>
                      </w:divBdr>
                    </w:div>
                  </w:divsChild>
                </w:div>
                <w:div w:id="1533836068">
                  <w:marLeft w:val="0"/>
                  <w:marRight w:val="0"/>
                  <w:marTop w:val="0"/>
                  <w:marBottom w:val="0"/>
                  <w:divBdr>
                    <w:top w:val="none" w:sz="0" w:space="0" w:color="auto"/>
                    <w:left w:val="none" w:sz="0" w:space="0" w:color="auto"/>
                    <w:bottom w:val="none" w:sz="0" w:space="0" w:color="auto"/>
                    <w:right w:val="none" w:sz="0" w:space="0" w:color="auto"/>
                  </w:divBdr>
                  <w:divsChild>
                    <w:div w:id="1131169809">
                      <w:marLeft w:val="0"/>
                      <w:marRight w:val="0"/>
                      <w:marTop w:val="0"/>
                      <w:marBottom w:val="0"/>
                      <w:divBdr>
                        <w:top w:val="none" w:sz="0" w:space="0" w:color="auto"/>
                        <w:left w:val="none" w:sz="0" w:space="0" w:color="auto"/>
                        <w:bottom w:val="none" w:sz="0" w:space="0" w:color="auto"/>
                        <w:right w:val="none" w:sz="0" w:space="0" w:color="auto"/>
                      </w:divBdr>
                    </w:div>
                  </w:divsChild>
                </w:div>
                <w:div w:id="1690831647">
                  <w:marLeft w:val="0"/>
                  <w:marRight w:val="0"/>
                  <w:marTop w:val="0"/>
                  <w:marBottom w:val="0"/>
                  <w:divBdr>
                    <w:top w:val="none" w:sz="0" w:space="0" w:color="auto"/>
                    <w:left w:val="none" w:sz="0" w:space="0" w:color="auto"/>
                    <w:bottom w:val="none" w:sz="0" w:space="0" w:color="auto"/>
                    <w:right w:val="none" w:sz="0" w:space="0" w:color="auto"/>
                  </w:divBdr>
                  <w:divsChild>
                    <w:div w:id="1276710555">
                      <w:marLeft w:val="0"/>
                      <w:marRight w:val="0"/>
                      <w:marTop w:val="0"/>
                      <w:marBottom w:val="0"/>
                      <w:divBdr>
                        <w:top w:val="none" w:sz="0" w:space="0" w:color="auto"/>
                        <w:left w:val="none" w:sz="0" w:space="0" w:color="auto"/>
                        <w:bottom w:val="none" w:sz="0" w:space="0" w:color="auto"/>
                        <w:right w:val="none" w:sz="0" w:space="0" w:color="auto"/>
                      </w:divBdr>
                    </w:div>
                  </w:divsChild>
                </w:div>
                <w:div w:id="1790591445">
                  <w:marLeft w:val="0"/>
                  <w:marRight w:val="0"/>
                  <w:marTop w:val="0"/>
                  <w:marBottom w:val="0"/>
                  <w:divBdr>
                    <w:top w:val="none" w:sz="0" w:space="0" w:color="auto"/>
                    <w:left w:val="none" w:sz="0" w:space="0" w:color="auto"/>
                    <w:bottom w:val="none" w:sz="0" w:space="0" w:color="auto"/>
                    <w:right w:val="none" w:sz="0" w:space="0" w:color="auto"/>
                  </w:divBdr>
                  <w:divsChild>
                    <w:div w:id="2004620482">
                      <w:marLeft w:val="0"/>
                      <w:marRight w:val="0"/>
                      <w:marTop w:val="0"/>
                      <w:marBottom w:val="0"/>
                      <w:divBdr>
                        <w:top w:val="none" w:sz="0" w:space="0" w:color="auto"/>
                        <w:left w:val="none" w:sz="0" w:space="0" w:color="auto"/>
                        <w:bottom w:val="none" w:sz="0" w:space="0" w:color="auto"/>
                        <w:right w:val="none" w:sz="0" w:space="0" w:color="auto"/>
                      </w:divBdr>
                    </w:div>
                  </w:divsChild>
                </w:div>
                <w:div w:id="1808156499">
                  <w:marLeft w:val="0"/>
                  <w:marRight w:val="0"/>
                  <w:marTop w:val="0"/>
                  <w:marBottom w:val="0"/>
                  <w:divBdr>
                    <w:top w:val="none" w:sz="0" w:space="0" w:color="auto"/>
                    <w:left w:val="none" w:sz="0" w:space="0" w:color="auto"/>
                    <w:bottom w:val="none" w:sz="0" w:space="0" w:color="auto"/>
                    <w:right w:val="none" w:sz="0" w:space="0" w:color="auto"/>
                  </w:divBdr>
                  <w:divsChild>
                    <w:div w:id="2014145770">
                      <w:marLeft w:val="0"/>
                      <w:marRight w:val="0"/>
                      <w:marTop w:val="0"/>
                      <w:marBottom w:val="0"/>
                      <w:divBdr>
                        <w:top w:val="none" w:sz="0" w:space="0" w:color="auto"/>
                        <w:left w:val="none" w:sz="0" w:space="0" w:color="auto"/>
                        <w:bottom w:val="none" w:sz="0" w:space="0" w:color="auto"/>
                        <w:right w:val="none" w:sz="0" w:space="0" w:color="auto"/>
                      </w:divBdr>
                    </w:div>
                  </w:divsChild>
                </w:div>
                <w:div w:id="1874464219">
                  <w:marLeft w:val="0"/>
                  <w:marRight w:val="0"/>
                  <w:marTop w:val="0"/>
                  <w:marBottom w:val="0"/>
                  <w:divBdr>
                    <w:top w:val="none" w:sz="0" w:space="0" w:color="auto"/>
                    <w:left w:val="none" w:sz="0" w:space="0" w:color="auto"/>
                    <w:bottom w:val="none" w:sz="0" w:space="0" w:color="auto"/>
                    <w:right w:val="none" w:sz="0" w:space="0" w:color="auto"/>
                  </w:divBdr>
                  <w:divsChild>
                    <w:div w:id="2118675360">
                      <w:marLeft w:val="0"/>
                      <w:marRight w:val="0"/>
                      <w:marTop w:val="0"/>
                      <w:marBottom w:val="0"/>
                      <w:divBdr>
                        <w:top w:val="none" w:sz="0" w:space="0" w:color="auto"/>
                        <w:left w:val="none" w:sz="0" w:space="0" w:color="auto"/>
                        <w:bottom w:val="none" w:sz="0" w:space="0" w:color="auto"/>
                        <w:right w:val="none" w:sz="0" w:space="0" w:color="auto"/>
                      </w:divBdr>
                    </w:div>
                  </w:divsChild>
                </w:div>
                <w:div w:id="1878077202">
                  <w:marLeft w:val="0"/>
                  <w:marRight w:val="0"/>
                  <w:marTop w:val="0"/>
                  <w:marBottom w:val="0"/>
                  <w:divBdr>
                    <w:top w:val="none" w:sz="0" w:space="0" w:color="auto"/>
                    <w:left w:val="none" w:sz="0" w:space="0" w:color="auto"/>
                    <w:bottom w:val="none" w:sz="0" w:space="0" w:color="auto"/>
                    <w:right w:val="none" w:sz="0" w:space="0" w:color="auto"/>
                  </w:divBdr>
                  <w:divsChild>
                    <w:div w:id="1492451661">
                      <w:marLeft w:val="0"/>
                      <w:marRight w:val="0"/>
                      <w:marTop w:val="0"/>
                      <w:marBottom w:val="0"/>
                      <w:divBdr>
                        <w:top w:val="none" w:sz="0" w:space="0" w:color="auto"/>
                        <w:left w:val="none" w:sz="0" w:space="0" w:color="auto"/>
                        <w:bottom w:val="none" w:sz="0" w:space="0" w:color="auto"/>
                        <w:right w:val="none" w:sz="0" w:space="0" w:color="auto"/>
                      </w:divBdr>
                    </w:div>
                  </w:divsChild>
                </w:div>
                <w:div w:id="1878272502">
                  <w:marLeft w:val="0"/>
                  <w:marRight w:val="0"/>
                  <w:marTop w:val="0"/>
                  <w:marBottom w:val="0"/>
                  <w:divBdr>
                    <w:top w:val="none" w:sz="0" w:space="0" w:color="auto"/>
                    <w:left w:val="none" w:sz="0" w:space="0" w:color="auto"/>
                    <w:bottom w:val="none" w:sz="0" w:space="0" w:color="auto"/>
                    <w:right w:val="none" w:sz="0" w:space="0" w:color="auto"/>
                  </w:divBdr>
                  <w:divsChild>
                    <w:div w:id="1084760476">
                      <w:marLeft w:val="0"/>
                      <w:marRight w:val="0"/>
                      <w:marTop w:val="0"/>
                      <w:marBottom w:val="0"/>
                      <w:divBdr>
                        <w:top w:val="none" w:sz="0" w:space="0" w:color="auto"/>
                        <w:left w:val="none" w:sz="0" w:space="0" w:color="auto"/>
                        <w:bottom w:val="none" w:sz="0" w:space="0" w:color="auto"/>
                        <w:right w:val="none" w:sz="0" w:space="0" w:color="auto"/>
                      </w:divBdr>
                    </w:div>
                  </w:divsChild>
                </w:div>
                <w:div w:id="1957758507">
                  <w:marLeft w:val="0"/>
                  <w:marRight w:val="0"/>
                  <w:marTop w:val="0"/>
                  <w:marBottom w:val="0"/>
                  <w:divBdr>
                    <w:top w:val="none" w:sz="0" w:space="0" w:color="auto"/>
                    <w:left w:val="none" w:sz="0" w:space="0" w:color="auto"/>
                    <w:bottom w:val="none" w:sz="0" w:space="0" w:color="auto"/>
                    <w:right w:val="none" w:sz="0" w:space="0" w:color="auto"/>
                  </w:divBdr>
                  <w:divsChild>
                    <w:div w:id="1306738749">
                      <w:marLeft w:val="0"/>
                      <w:marRight w:val="0"/>
                      <w:marTop w:val="0"/>
                      <w:marBottom w:val="0"/>
                      <w:divBdr>
                        <w:top w:val="none" w:sz="0" w:space="0" w:color="auto"/>
                        <w:left w:val="none" w:sz="0" w:space="0" w:color="auto"/>
                        <w:bottom w:val="none" w:sz="0" w:space="0" w:color="auto"/>
                        <w:right w:val="none" w:sz="0" w:space="0" w:color="auto"/>
                      </w:divBdr>
                    </w:div>
                  </w:divsChild>
                </w:div>
                <w:div w:id="1971091523">
                  <w:marLeft w:val="0"/>
                  <w:marRight w:val="0"/>
                  <w:marTop w:val="0"/>
                  <w:marBottom w:val="0"/>
                  <w:divBdr>
                    <w:top w:val="none" w:sz="0" w:space="0" w:color="auto"/>
                    <w:left w:val="none" w:sz="0" w:space="0" w:color="auto"/>
                    <w:bottom w:val="none" w:sz="0" w:space="0" w:color="auto"/>
                    <w:right w:val="none" w:sz="0" w:space="0" w:color="auto"/>
                  </w:divBdr>
                  <w:divsChild>
                    <w:div w:id="1188252957">
                      <w:marLeft w:val="0"/>
                      <w:marRight w:val="0"/>
                      <w:marTop w:val="0"/>
                      <w:marBottom w:val="0"/>
                      <w:divBdr>
                        <w:top w:val="none" w:sz="0" w:space="0" w:color="auto"/>
                        <w:left w:val="none" w:sz="0" w:space="0" w:color="auto"/>
                        <w:bottom w:val="none" w:sz="0" w:space="0" w:color="auto"/>
                        <w:right w:val="none" w:sz="0" w:space="0" w:color="auto"/>
                      </w:divBdr>
                    </w:div>
                  </w:divsChild>
                </w:div>
                <w:div w:id="1977905038">
                  <w:marLeft w:val="0"/>
                  <w:marRight w:val="0"/>
                  <w:marTop w:val="0"/>
                  <w:marBottom w:val="0"/>
                  <w:divBdr>
                    <w:top w:val="none" w:sz="0" w:space="0" w:color="auto"/>
                    <w:left w:val="none" w:sz="0" w:space="0" w:color="auto"/>
                    <w:bottom w:val="none" w:sz="0" w:space="0" w:color="auto"/>
                    <w:right w:val="none" w:sz="0" w:space="0" w:color="auto"/>
                  </w:divBdr>
                  <w:divsChild>
                    <w:div w:id="1960911334">
                      <w:marLeft w:val="0"/>
                      <w:marRight w:val="0"/>
                      <w:marTop w:val="0"/>
                      <w:marBottom w:val="0"/>
                      <w:divBdr>
                        <w:top w:val="none" w:sz="0" w:space="0" w:color="auto"/>
                        <w:left w:val="none" w:sz="0" w:space="0" w:color="auto"/>
                        <w:bottom w:val="none" w:sz="0" w:space="0" w:color="auto"/>
                        <w:right w:val="none" w:sz="0" w:space="0" w:color="auto"/>
                      </w:divBdr>
                    </w:div>
                  </w:divsChild>
                </w:div>
                <w:div w:id="1990590651">
                  <w:marLeft w:val="0"/>
                  <w:marRight w:val="0"/>
                  <w:marTop w:val="0"/>
                  <w:marBottom w:val="0"/>
                  <w:divBdr>
                    <w:top w:val="none" w:sz="0" w:space="0" w:color="auto"/>
                    <w:left w:val="none" w:sz="0" w:space="0" w:color="auto"/>
                    <w:bottom w:val="none" w:sz="0" w:space="0" w:color="auto"/>
                    <w:right w:val="none" w:sz="0" w:space="0" w:color="auto"/>
                  </w:divBdr>
                  <w:divsChild>
                    <w:div w:id="2046559752">
                      <w:marLeft w:val="0"/>
                      <w:marRight w:val="0"/>
                      <w:marTop w:val="0"/>
                      <w:marBottom w:val="0"/>
                      <w:divBdr>
                        <w:top w:val="none" w:sz="0" w:space="0" w:color="auto"/>
                        <w:left w:val="none" w:sz="0" w:space="0" w:color="auto"/>
                        <w:bottom w:val="none" w:sz="0" w:space="0" w:color="auto"/>
                        <w:right w:val="none" w:sz="0" w:space="0" w:color="auto"/>
                      </w:divBdr>
                    </w:div>
                  </w:divsChild>
                </w:div>
                <w:div w:id="2050033809">
                  <w:marLeft w:val="0"/>
                  <w:marRight w:val="0"/>
                  <w:marTop w:val="0"/>
                  <w:marBottom w:val="0"/>
                  <w:divBdr>
                    <w:top w:val="none" w:sz="0" w:space="0" w:color="auto"/>
                    <w:left w:val="none" w:sz="0" w:space="0" w:color="auto"/>
                    <w:bottom w:val="none" w:sz="0" w:space="0" w:color="auto"/>
                    <w:right w:val="none" w:sz="0" w:space="0" w:color="auto"/>
                  </w:divBdr>
                  <w:divsChild>
                    <w:div w:id="489908565">
                      <w:marLeft w:val="0"/>
                      <w:marRight w:val="0"/>
                      <w:marTop w:val="0"/>
                      <w:marBottom w:val="0"/>
                      <w:divBdr>
                        <w:top w:val="none" w:sz="0" w:space="0" w:color="auto"/>
                        <w:left w:val="none" w:sz="0" w:space="0" w:color="auto"/>
                        <w:bottom w:val="none" w:sz="0" w:space="0" w:color="auto"/>
                        <w:right w:val="none" w:sz="0" w:space="0" w:color="auto"/>
                      </w:divBdr>
                    </w:div>
                  </w:divsChild>
                </w:div>
                <w:div w:id="2066297102">
                  <w:marLeft w:val="0"/>
                  <w:marRight w:val="0"/>
                  <w:marTop w:val="0"/>
                  <w:marBottom w:val="0"/>
                  <w:divBdr>
                    <w:top w:val="none" w:sz="0" w:space="0" w:color="auto"/>
                    <w:left w:val="none" w:sz="0" w:space="0" w:color="auto"/>
                    <w:bottom w:val="none" w:sz="0" w:space="0" w:color="auto"/>
                    <w:right w:val="none" w:sz="0" w:space="0" w:color="auto"/>
                  </w:divBdr>
                  <w:divsChild>
                    <w:div w:id="1190559329">
                      <w:marLeft w:val="0"/>
                      <w:marRight w:val="0"/>
                      <w:marTop w:val="0"/>
                      <w:marBottom w:val="0"/>
                      <w:divBdr>
                        <w:top w:val="none" w:sz="0" w:space="0" w:color="auto"/>
                        <w:left w:val="none" w:sz="0" w:space="0" w:color="auto"/>
                        <w:bottom w:val="none" w:sz="0" w:space="0" w:color="auto"/>
                        <w:right w:val="none" w:sz="0" w:space="0" w:color="auto"/>
                      </w:divBdr>
                    </w:div>
                  </w:divsChild>
                </w:div>
                <w:div w:id="2068606596">
                  <w:marLeft w:val="0"/>
                  <w:marRight w:val="0"/>
                  <w:marTop w:val="0"/>
                  <w:marBottom w:val="0"/>
                  <w:divBdr>
                    <w:top w:val="none" w:sz="0" w:space="0" w:color="auto"/>
                    <w:left w:val="none" w:sz="0" w:space="0" w:color="auto"/>
                    <w:bottom w:val="none" w:sz="0" w:space="0" w:color="auto"/>
                    <w:right w:val="none" w:sz="0" w:space="0" w:color="auto"/>
                  </w:divBdr>
                  <w:divsChild>
                    <w:div w:id="2019039540">
                      <w:marLeft w:val="0"/>
                      <w:marRight w:val="0"/>
                      <w:marTop w:val="0"/>
                      <w:marBottom w:val="0"/>
                      <w:divBdr>
                        <w:top w:val="none" w:sz="0" w:space="0" w:color="auto"/>
                        <w:left w:val="none" w:sz="0" w:space="0" w:color="auto"/>
                        <w:bottom w:val="none" w:sz="0" w:space="0" w:color="auto"/>
                        <w:right w:val="none" w:sz="0" w:space="0" w:color="auto"/>
                      </w:divBdr>
                    </w:div>
                  </w:divsChild>
                </w:div>
                <w:div w:id="2068841824">
                  <w:marLeft w:val="0"/>
                  <w:marRight w:val="0"/>
                  <w:marTop w:val="0"/>
                  <w:marBottom w:val="0"/>
                  <w:divBdr>
                    <w:top w:val="none" w:sz="0" w:space="0" w:color="auto"/>
                    <w:left w:val="none" w:sz="0" w:space="0" w:color="auto"/>
                    <w:bottom w:val="none" w:sz="0" w:space="0" w:color="auto"/>
                    <w:right w:val="none" w:sz="0" w:space="0" w:color="auto"/>
                  </w:divBdr>
                  <w:divsChild>
                    <w:div w:id="211691809">
                      <w:marLeft w:val="0"/>
                      <w:marRight w:val="0"/>
                      <w:marTop w:val="0"/>
                      <w:marBottom w:val="0"/>
                      <w:divBdr>
                        <w:top w:val="none" w:sz="0" w:space="0" w:color="auto"/>
                        <w:left w:val="none" w:sz="0" w:space="0" w:color="auto"/>
                        <w:bottom w:val="none" w:sz="0" w:space="0" w:color="auto"/>
                        <w:right w:val="none" w:sz="0" w:space="0" w:color="auto"/>
                      </w:divBdr>
                    </w:div>
                  </w:divsChild>
                </w:div>
                <w:div w:id="2102945774">
                  <w:marLeft w:val="0"/>
                  <w:marRight w:val="0"/>
                  <w:marTop w:val="0"/>
                  <w:marBottom w:val="0"/>
                  <w:divBdr>
                    <w:top w:val="none" w:sz="0" w:space="0" w:color="auto"/>
                    <w:left w:val="none" w:sz="0" w:space="0" w:color="auto"/>
                    <w:bottom w:val="none" w:sz="0" w:space="0" w:color="auto"/>
                    <w:right w:val="none" w:sz="0" w:space="0" w:color="auto"/>
                  </w:divBdr>
                  <w:divsChild>
                    <w:div w:id="1947927248">
                      <w:marLeft w:val="0"/>
                      <w:marRight w:val="0"/>
                      <w:marTop w:val="0"/>
                      <w:marBottom w:val="0"/>
                      <w:divBdr>
                        <w:top w:val="none" w:sz="0" w:space="0" w:color="auto"/>
                        <w:left w:val="none" w:sz="0" w:space="0" w:color="auto"/>
                        <w:bottom w:val="none" w:sz="0" w:space="0" w:color="auto"/>
                        <w:right w:val="none" w:sz="0" w:space="0" w:color="auto"/>
                      </w:divBdr>
                    </w:div>
                  </w:divsChild>
                </w:div>
                <w:div w:id="2108768335">
                  <w:marLeft w:val="0"/>
                  <w:marRight w:val="0"/>
                  <w:marTop w:val="0"/>
                  <w:marBottom w:val="0"/>
                  <w:divBdr>
                    <w:top w:val="none" w:sz="0" w:space="0" w:color="auto"/>
                    <w:left w:val="none" w:sz="0" w:space="0" w:color="auto"/>
                    <w:bottom w:val="none" w:sz="0" w:space="0" w:color="auto"/>
                    <w:right w:val="none" w:sz="0" w:space="0" w:color="auto"/>
                  </w:divBdr>
                  <w:divsChild>
                    <w:div w:id="34736589">
                      <w:marLeft w:val="0"/>
                      <w:marRight w:val="0"/>
                      <w:marTop w:val="0"/>
                      <w:marBottom w:val="0"/>
                      <w:divBdr>
                        <w:top w:val="none" w:sz="0" w:space="0" w:color="auto"/>
                        <w:left w:val="none" w:sz="0" w:space="0" w:color="auto"/>
                        <w:bottom w:val="none" w:sz="0" w:space="0" w:color="auto"/>
                        <w:right w:val="none" w:sz="0" w:space="0" w:color="auto"/>
                      </w:divBdr>
                    </w:div>
                  </w:divsChild>
                </w:div>
                <w:div w:id="2137916656">
                  <w:marLeft w:val="0"/>
                  <w:marRight w:val="0"/>
                  <w:marTop w:val="0"/>
                  <w:marBottom w:val="0"/>
                  <w:divBdr>
                    <w:top w:val="none" w:sz="0" w:space="0" w:color="auto"/>
                    <w:left w:val="none" w:sz="0" w:space="0" w:color="auto"/>
                    <w:bottom w:val="none" w:sz="0" w:space="0" w:color="auto"/>
                    <w:right w:val="none" w:sz="0" w:space="0" w:color="auto"/>
                  </w:divBdr>
                  <w:divsChild>
                    <w:div w:id="1730299128">
                      <w:marLeft w:val="0"/>
                      <w:marRight w:val="0"/>
                      <w:marTop w:val="0"/>
                      <w:marBottom w:val="0"/>
                      <w:divBdr>
                        <w:top w:val="none" w:sz="0" w:space="0" w:color="auto"/>
                        <w:left w:val="none" w:sz="0" w:space="0" w:color="auto"/>
                        <w:bottom w:val="none" w:sz="0" w:space="0" w:color="auto"/>
                        <w:right w:val="none" w:sz="0" w:space="0" w:color="auto"/>
                      </w:divBdr>
                    </w:div>
                  </w:divsChild>
                </w:div>
                <w:div w:id="2146117318">
                  <w:marLeft w:val="0"/>
                  <w:marRight w:val="0"/>
                  <w:marTop w:val="0"/>
                  <w:marBottom w:val="0"/>
                  <w:divBdr>
                    <w:top w:val="none" w:sz="0" w:space="0" w:color="auto"/>
                    <w:left w:val="none" w:sz="0" w:space="0" w:color="auto"/>
                    <w:bottom w:val="none" w:sz="0" w:space="0" w:color="auto"/>
                    <w:right w:val="none" w:sz="0" w:space="0" w:color="auto"/>
                  </w:divBdr>
                  <w:divsChild>
                    <w:div w:id="1452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91946">
          <w:marLeft w:val="0"/>
          <w:marRight w:val="0"/>
          <w:marTop w:val="0"/>
          <w:marBottom w:val="0"/>
          <w:divBdr>
            <w:top w:val="none" w:sz="0" w:space="0" w:color="auto"/>
            <w:left w:val="none" w:sz="0" w:space="0" w:color="auto"/>
            <w:bottom w:val="none" w:sz="0" w:space="0" w:color="auto"/>
            <w:right w:val="none" w:sz="0" w:space="0" w:color="auto"/>
          </w:divBdr>
        </w:div>
        <w:div w:id="1567378089">
          <w:marLeft w:val="0"/>
          <w:marRight w:val="0"/>
          <w:marTop w:val="0"/>
          <w:marBottom w:val="0"/>
          <w:divBdr>
            <w:top w:val="none" w:sz="0" w:space="0" w:color="auto"/>
            <w:left w:val="none" w:sz="0" w:space="0" w:color="auto"/>
            <w:bottom w:val="none" w:sz="0" w:space="0" w:color="auto"/>
            <w:right w:val="none" w:sz="0" w:space="0" w:color="auto"/>
          </w:divBdr>
        </w:div>
        <w:div w:id="1583568984">
          <w:marLeft w:val="0"/>
          <w:marRight w:val="0"/>
          <w:marTop w:val="0"/>
          <w:marBottom w:val="0"/>
          <w:divBdr>
            <w:top w:val="none" w:sz="0" w:space="0" w:color="auto"/>
            <w:left w:val="none" w:sz="0" w:space="0" w:color="auto"/>
            <w:bottom w:val="none" w:sz="0" w:space="0" w:color="auto"/>
            <w:right w:val="none" w:sz="0" w:space="0" w:color="auto"/>
          </w:divBdr>
        </w:div>
        <w:div w:id="1623150403">
          <w:marLeft w:val="0"/>
          <w:marRight w:val="0"/>
          <w:marTop w:val="0"/>
          <w:marBottom w:val="0"/>
          <w:divBdr>
            <w:top w:val="none" w:sz="0" w:space="0" w:color="auto"/>
            <w:left w:val="none" w:sz="0" w:space="0" w:color="auto"/>
            <w:bottom w:val="none" w:sz="0" w:space="0" w:color="auto"/>
            <w:right w:val="none" w:sz="0" w:space="0" w:color="auto"/>
          </w:divBdr>
          <w:divsChild>
            <w:div w:id="13768674">
              <w:marLeft w:val="0"/>
              <w:marRight w:val="0"/>
              <w:marTop w:val="0"/>
              <w:marBottom w:val="0"/>
              <w:divBdr>
                <w:top w:val="none" w:sz="0" w:space="0" w:color="auto"/>
                <w:left w:val="none" w:sz="0" w:space="0" w:color="auto"/>
                <w:bottom w:val="none" w:sz="0" w:space="0" w:color="auto"/>
                <w:right w:val="none" w:sz="0" w:space="0" w:color="auto"/>
              </w:divBdr>
            </w:div>
            <w:div w:id="109471207">
              <w:marLeft w:val="0"/>
              <w:marRight w:val="0"/>
              <w:marTop w:val="0"/>
              <w:marBottom w:val="0"/>
              <w:divBdr>
                <w:top w:val="none" w:sz="0" w:space="0" w:color="auto"/>
                <w:left w:val="none" w:sz="0" w:space="0" w:color="auto"/>
                <w:bottom w:val="none" w:sz="0" w:space="0" w:color="auto"/>
                <w:right w:val="none" w:sz="0" w:space="0" w:color="auto"/>
              </w:divBdr>
            </w:div>
            <w:div w:id="305667229">
              <w:marLeft w:val="0"/>
              <w:marRight w:val="0"/>
              <w:marTop w:val="0"/>
              <w:marBottom w:val="0"/>
              <w:divBdr>
                <w:top w:val="none" w:sz="0" w:space="0" w:color="auto"/>
                <w:left w:val="none" w:sz="0" w:space="0" w:color="auto"/>
                <w:bottom w:val="none" w:sz="0" w:space="0" w:color="auto"/>
                <w:right w:val="none" w:sz="0" w:space="0" w:color="auto"/>
              </w:divBdr>
            </w:div>
            <w:div w:id="323777818">
              <w:marLeft w:val="0"/>
              <w:marRight w:val="0"/>
              <w:marTop w:val="0"/>
              <w:marBottom w:val="0"/>
              <w:divBdr>
                <w:top w:val="none" w:sz="0" w:space="0" w:color="auto"/>
                <w:left w:val="none" w:sz="0" w:space="0" w:color="auto"/>
                <w:bottom w:val="none" w:sz="0" w:space="0" w:color="auto"/>
                <w:right w:val="none" w:sz="0" w:space="0" w:color="auto"/>
              </w:divBdr>
            </w:div>
            <w:div w:id="345446933">
              <w:marLeft w:val="0"/>
              <w:marRight w:val="0"/>
              <w:marTop w:val="0"/>
              <w:marBottom w:val="0"/>
              <w:divBdr>
                <w:top w:val="none" w:sz="0" w:space="0" w:color="auto"/>
                <w:left w:val="none" w:sz="0" w:space="0" w:color="auto"/>
                <w:bottom w:val="none" w:sz="0" w:space="0" w:color="auto"/>
                <w:right w:val="none" w:sz="0" w:space="0" w:color="auto"/>
              </w:divBdr>
            </w:div>
            <w:div w:id="359548255">
              <w:marLeft w:val="0"/>
              <w:marRight w:val="0"/>
              <w:marTop w:val="0"/>
              <w:marBottom w:val="0"/>
              <w:divBdr>
                <w:top w:val="none" w:sz="0" w:space="0" w:color="auto"/>
                <w:left w:val="none" w:sz="0" w:space="0" w:color="auto"/>
                <w:bottom w:val="none" w:sz="0" w:space="0" w:color="auto"/>
                <w:right w:val="none" w:sz="0" w:space="0" w:color="auto"/>
              </w:divBdr>
            </w:div>
            <w:div w:id="406879835">
              <w:marLeft w:val="0"/>
              <w:marRight w:val="0"/>
              <w:marTop w:val="0"/>
              <w:marBottom w:val="0"/>
              <w:divBdr>
                <w:top w:val="none" w:sz="0" w:space="0" w:color="auto"/>
                <w:left w:val="none" w:sz="0" w:space="0" w:color="auto"/>
                <w:bottom w:val="none" w:sz="0" w:space="0" w:color="auto"/>
                <w:right w:val="none" w:sz="0" w:space="0" w:color="auto"/>
              </w:divBdr>
            </w:div>
            <w:div w:id="500201654">
              <w:marLeft w:val="0"/>
              <w:marRight w:val="0"/>
              <w:marTop w:val="0"/>
              <w:marBottom w:val="0"/>
              <w:divBdr>
                <w:top w:val="none" w:sz="0" w:space="0" w:color="auto"/>
                <w:left w:val="none" w:sz="0" w:space="0" w:color="auto"/>
                <w:bottom w:val="none" w:sz="0" w:space="0" w:color="auto"/>
                <w:right w:val="none" w:sz="0" w:space="0" w:color="auto"/>
              </w:divBdr>
            </w:div>
            <w:div w:id="897664919">
              <w:marLeft w:val="0"/>
              <w:marRight w:val="0"/>
              <w:marTop w:val="0"/>
              <w:marBottom w:val="0"/>
              <w:divBdr>
                <w:top w:val="none" w:sz="0" w:space="0" w:color="auto"/>
                <w:left w:val="none" w:sz="0" w:space="0" w:color="auto"/>
                <w:bottom w:val="none" w:sz="0" w:space="0" w:color="auto"/>
                <w:right w:val="none" w:sz="0" w:space="0" w:color="auto"/>
              </w:divBdr>
            </w:div>
            <w:div w:id="1188370709">
              <w:marLeft w:val="0"/>
              <w:marRight w:val="0"/>
              <w:marTop w:val="0"/>
              <w:marBottom w:val="0"/>
              <w:divBdr>
                <w:top w:val="none" w:sz="0" w:space="0" w:color="auto"/>
                <w:left w:val="none" w:sz="0" w:space="0" w:color="auto"/>
                <w:bottom w:val="none" w:sz="0" w:space="0" w:color="auto"/>
                <w:right w:val="none" w:sz="0" w:space="0" w:color="auto"/>
              </w:divBdr>
            </w:div>
            <w:div w:id="1237859225">
              <w:marLeft w:val="0"/>
              <w:marRight w:val="0"/>
              <w:marTop w:val="0"/>
              <w:marBottom w:val="0"/>
              <w:divBdr>
                <w:top w:val="none" w:sz="0" w:space="0" w:color="auto"/>
                <w:left w:val="none" w:sz="0" w:space="0" w:color="auto"/>
                <w:bottom w:val="none" w:sz="0" w:space="0" w:color="auto"/>
                <w:right w:val="none" w:sz="0" w:space="0" w:color="auto"/>
              </w:divBdr>
            </w:div>
            <w:div w:id="1304046732">
              <w:marLeft w:val="0"/>
              <w:marRight w:val="0"/>
              <w:marTop w:val="0"/>
              <w:marBottom w:val="0"/>
              <w:divBdr>
                <w:top w:val="none" w:sz="0" w:space="0" w:color="auto"/>
                <w:left w:val="none" w:sz="0" w:space="0" w:color="auto"/>
                <w:bottom w:val="none" w:sz="0" w:space="0" w:color="auto"/>
                <w:right w:val="none" w:sz="0" w:space="0" w:color="auto"/>
              </w:divBdr>
            </w:div>
            <w:div w:id="1405106649">
              <w:marLeft w:val="0"/>
              <w:marRight w:val="0"/>
              <w:marTop w:val="0"/>
              <w:marBottom w:val="0"/>
              <w:divBdr>
                <w:top w:val="none" w:sz="0" w:space="0" w:color="auto"/>
                <w:left w:val="none" w:sz="0" w:space="0" w:color="auto"/>
                <w:bottom w:val="none" w:sz="0" w:space="0" w:color="auto"/>
                <w:right w:val="none" w:sz="0" w:space="0" w:color="auto"/>
              </w:divBdr>
            </w:div>
            <w:div w:id="1454863024">
              <w:marLeft w:val="0"/>
              <w:marRight w:val="0"/>
              <w:marTop w:val="0"/>
              <w:marBottom w:val="0"/>
              <w:divBdr>
                <w:top w:val="none" w:sz="0" w:space="0" w:color="auto"/>
                <w:left w:val="none" w:sz="0" w:space="0" w:color="auto"/>
                <w:bottom w:val="none" w:sz="0" w:space="0" w:color="auto"/>
                <w:right w:val="none" w:sz="0" w:space="0" w:color="auto"/>
              </w:divBdr>
            </w:div>
            <w:div w:id="1493638068">
              <w:marLeft w:val="0"/>
              <w:marRight w:val="0"/>
              <w:marTop w:val="0"/>
              <w:marBottom w:val="0"/>
              <w:divBdr>
                <w:top w:val="none" w:sz="0" w:space="0" w:color="auto"/>
                <w:left w:val="none" w:sz="0" w:space="0" w:color="auto"/>
                <w:bottom w:val="none" w:sz="0" w:space="0" w:color="auto"/>
                <w:right w:val="none" w:sz="0" w:space="0" w:color="auto"/>
              </w:divBdr>
            </w:div>
            <w:div w:id="1657226241">
              <w:marLeft w:val="0"/>
              <w:marRight w:val="0"/>
              <w:marTop w:val="0"/>
              <w:marBottom w:val="0"/>
              <w:divBdr>
                <w:top w:val="none" w:sz="0" w:space="0" w:color="auto"/>
                <w:left w:val="none" w:sz="0" w:space="0" w:color="auto"/>
                <w:bottom w:val="none" w:sz="0" w:space="0" w:color="auto"/>
                <w:right w:val="none" w:sz="0" w:space="0" w:color="auto"/>
              </w:divBdr>
            </w:div>
            <w:div w:id="1754818124">
              <w:marLeft w:val="0"/>
              <w:marRight w:val="0"/>
              <w:marTop w:val="0"/>
              <w:marBottom w:val="0"/>
              <w:divBdr>
                <w:top w:val="none" w:sz="0" w:space="0" w:color="auto"/>
                <w:left w:val="none" w:sz="0" w:space="0" w:color="auto"/>
                <w:bottom w:val="none" w:sz="0" w:space="0" w:color="auto"/>
                <w:right w:val="none" w:sz="0" w:space="0" w:color="auto"/>
              </w:divBdr>
            </w:div>
            <w:div w:id="1823618107">
              <w:marLeft w:val="0"/>
              <w:marRight w:val="0"/>
              <w:marTop w:val="0"/>
              <w:marBottom w:val="0"/>
              <w:divBdr>
                <w:top w:val="none" w:sz="0" w:space="0" w:color="auto"/>
                <w:left w:val="none" w:sz="0" w:space="0" w:color="auto"/>
                <w:bottom w:val="none" w:sz="0" w:space="0" w:color="auto"/>
                <w:right w:val="none" w:sz="0" w:space="0" w:color="auto"/>
              </w:divBdr>
            </w:div>
            <w:div w:id="1927037691">
              <w:marLeft w:val="0"/>
              <w:marRight w:val="0"/>
              <w:marTop w:val="0"/>
              <w:marBottom w:val="0"/>
              <w:divBdr>
                <w:top w:val="none" w:sz="0" w:space="0" w:color="auto"/>
                <w:left w:val="none" w:sz="0" w:space="0" w:color="auto"/>
                <w:bottom w:val="none" w:sz="0" w:space="0" w:color="auto"/>
                <w:right w:val="none" w:sz="0" w:space="0" w:color="auto"/>
              </w:divBdr>
            </w:div>
            <w:div w:id="1932663041">
              <w:marLeft w:val="0"/>
              <w:marRight w:val="0"/>
              <w:marTop w:val="0"/>
              <w:marBottom w:val="0"/>
              <w:divBdr>
                <w:top w:val="none" w:sz="0" w:space="0" w:color="auto"/>
                <w:left w:val="none" w:sz="0" w:space="0" w:color="auto"/>
                <w:bottom w:val="none" w:sz="0" w:space="0" w:color="auto"/>
                <w:right w:val="none" w:sz="0" w:space="0" w:color="auto"/>
              </w:divBdr>
            </w:div>
          </w:divsChild>
        </w:div>
        <w:div w:id="1665157004">
          <w:marLeft w:val="0"/>
          <w:marRight w:val="0"/>
          <w:marTop w:val="0"/>
          <w:marBottom w:val="0"/>
          <w:divBdr>
            <w:top w:val="none" w:sz="0" w:space="0" w:color="auto"/>
            <w:left w:val="none" w:sz="0" w:space="0" w:color="auto"/>
            <w:bottom w:val="none" w:sz="0" w:space="0" w:color="auto"/>
            <w:right w:val="none" w:sz="0" w:space="0" w:color="auto"/>
          </w:divBdr>
        </w:div>
        <w:div w:id="1678579953">
          <w:marLeft w:val="0"/>
          <w:marRight w:val="0"/>
          <w:marTop w:val="0"/>
          <w:marBottom w:val="0"/>
          <w:divBdr>
            <w:top w:val="none" w:sz="0" w:space="0" w:color="auto"/>
            <w:left w:val="none" w:sz="0" w:space="0" w:color="auto"/>
            <w:bottom w:val="none" w:sz="0" w:space="0" w:color="auto"/>
            <w:right w:val="none" w:sz="0" w:space="0" w:color="auto"/>
          </w:divBdr>
        </w:div>
        <w:div w:id="1699770369">
          <w:marLeft w:val="0"/>
          <w:marRight w:val="0"/>
          <w:marTop w:val="0"/>
          <w:marBottom w:val="0"/>
          <w:divBdr>
            <w:top w:val="none" w:sz="0" w:space="0" w:color="auto"/>
            <w:left w:val="none" w:sz="0" w:space="0" w:color="auto"/>
            <w:bottom w:val="none" w:sz="0" w:space="0" w:color="auto"/>
            <w:right w:val="none" w:sz="0" w:space="0" w:color="auto"/>
          </w:divBdr>
        </w:div>
        <w:div w:id="1713841421">
          <w:marLeft w:val="0"/>
          <w:marRight w:val="0"/>
          <w:marTop w:val="0"/>
          <w:marBottom w:val="0"/>
          <w:divBdr>
            <w:top w:val="none" w:sz="0" w:space="0" w:color="auto"/>
            <w:left w:val="none" w:sz="0" w:space="0" w:color="auto"/>
            <w:bottom w:val="none" w:sz="0" w:space="0" w:color="auto"/>
            <w:right w:val="none" w:sz="0" w:space="0" w:color="auto"/>
          </w:divBdr>
          <w:divsChild>
            <w:div w:id="690883184">
              <w:marLeft w:val="-75"/>
              <w:marRight w:val="0"/>
              <w:marTop w:val="30"/>
              <w:marBottom w:val="30"/>
              <w:divBdr>
                <w:top w:val="none" w:sz="0" w:space="0" w:color="auto"/>
                <w:left w:val="none" w:sz="0" w:space="0" w:color="auto"/>
                <w:bottom w:val="none" w:sz="0" w:space="0" w:color="auto"/>
                <w:right w:val="none" w:sz="0" w:space="0" w:color="auto"/>
              </w:divBdr>
              <w:divsChild>
                <w:div w:id="189225582">
                  <w:marLeft w:val="0"/>
                  <w:marRight w:val="0"/>
                  <w:marTop w:val="0"/>
                  <w:marBottom w:val="0"/>
                  <w:divBdr>
                    <w:top w:val="none" w:sz="0" w:space="0" w:color="auto"/>
                    <w:left w:val="none" w:sz="0" w:space="0" w:color="auto"/>
                    <w:bottom w:val="none" w:sz="0" w:space="0" w:color="auto"/>
                    <w:right w:val="none" w:sz="0" w:space="0" w:color="auto"/>
                  </w:divBdr>
                  <w:divsChild>
                    <w:div w:id="310718204">
                      <w:marLeft w:val="0"/>
                      <w:marRight w:val="0"/>
                      <w:marTop w:val="0"/>
                      <w:marBottom w:val="0"/>
                      <w:divBdr>
                        <w:top w:val="none" w:sz="0" w:space="0" w:color="auto"/>
                        <w:left w:val="none" w:sz="0" w:space="0" w:color="auto"/>
                        <w:bottom w:val="none" w:sz="0" w:space="0" w:color="auto"/>
                        <w:right w:val="none" w:sz="0" w:space="0" w:color="auto"/>
                      </w:divBdr>
                    </w:div>
                  </w:divsChild>
                </w:div>
                <w:div w:id="193348918">
                  <w:marLeft w:val="0"/>
                  <w:marRight w:val="0"/>
                  <w:marTop w:val="0"/>
                  <w:marBottom w:val="0"/>
                  <w:divBdr>
                    <w:top w:val="none" w:sz="0" w:space="0" w:color="auto"/>
                    <w:left w:val="none" w:sz="0" w:space="0" w:color="auto"/>
                    <w:bottom w:val="none" w:sz="0" w:space="0" w:color="auto"/>
                    <w:right w:val="none" w:sz="0" w:space="0" w:color="auto"/>
                  </w:divBdr>
                  <w:divsChild>
                    <w:div w:id="224806483">
                      <w:marLeft w:val="0"/>
                      <w:marRight w:val="0"/>
                      <w:marTop w:val="0"/>
                      <w:marBottom w:val="0"/>
                      <w:divBdr>
                        <w:top w:val="none" w:sz="0" w:space="0" w:color="auto"/>
                        <w:left w:val="none" w:sz="0" w:space="0" w:color="auto"/>
                        <w:bottom w:val="none" w:sz="0" w:space="0" w:color="auto"/>
                        <w:right w:val="none" w:sz="0" w:space="0" w:color="auto"/>
                      </w:divBdr>
                    </w:div>
                  </w:divsChild>
                </w:div>
                <w:div w:id="256795859">
                  <w:marLeft w:val="0"/>
                  <w:marRight w:val="0"/>
                  <w:marTop w:val="0"/>
                  <w:marBottom w:val="0"/>
                  <w:divBdr>
                    <w:top w:val="none" w:sz="0" w:space="0" w:color="auto"/>
                    <w:left w:val="none" w:sz="0" w:space="0" w:color="auto"/>
                    <w:bottom w:val="none" w:sz="0" w:space="0" w:color="auto"/>
                    <w:right w:val="none" w:sz="0" w:space="0" w:color="auto"/>
                  </w:divBdr>
                  <w:divsChild>
                    <w:div w:id="338699087">
                      <w:marLeft w:val="0"/>
                      <w:marRight w:val="0"/>
                      <w:marTop w:val="0"/>
                      <w:marBottom w:val="0"/>
                      <w:divBdr>
                        <w:top w:val="none" w:sz="0" w:space="0" w:color="auto"/>
                        <w:left w:val="none" w:sz="0" w:space="0" w:color="auto"/>
                        <w:bottom w:val="none" w:sz="0" w:space="0" w:color="auto"/>
                        <w:right w:val="none" w:sz="0" w:space="0" w:color="auto"/>
                      </w:divBdr>
                    </w:div>
                  </w:divsChild>
                </w:div>
                <w:div w:id="381297225">
                  <w:marLeft w:val="0"/>
                  <w:marRight w:val="0"/>
                  <w:marTop w:val="0"/>
                  <w:marBottom w:val="0"/>
                  <w:divBdr>
                    <w:top w:val="none" w:sz="0" w:space="0" w:color="auto"/>
                    <w:left w:val="none" w:sz="0" w:space="0" w:color="auto"/>
                    <w:bottom w:val="none" w:sz="0" w:space="0" w:color="auto"/>
                    <w:right w:val="none" w:sz="0" w:space="0" w:color="auto"/>
                  </w:divBdr>
                  <w:divsChild>
                    <w:div w:id="1474835350">
                      <w:marLeft w:val="0"/>
                      <w:marRight w:val="0"/>
                      <w:marTop w:val="0"/>
                      <w:marBottom w:val="0"/>
                      <w:divBdr>
                        <w:top w:val="none" w:sz="0" w:space="0" w:color="auto"/>
                        <w:left w:val="none" w:sz="0" w:space="0" w:color="auto"/>
                        <w:bottom w:val="none" w:sz="0" w:space="0" w:color="auto"/>
                        <w:right w:val="none" w:sz="0" w:space="0" w:color="auto"/>
                      </w:divBdr>
                    </w:div>
                  </w:divsChild>
                </w:div>
                <w:div w:id="384989143">
                  <w:marLeft w:val="0"/>
                  <w:marRight w:val="0"/>
                  <w:marTop w:val="0"/>
                  <w:marBottom w:val="0"/>
                  <w:divBdr>
                    <w:top w:val="none" w:sz="0" w:space="0" w:color="auto"/>
                    <w:left w:val="none" w:sz="0" w:space="0" w:color="auto"/>
                    <w:bottom w:val="none" w:sz="0" w:space="0" w:color="auto"/>
                    <w:right w:val="none" w:sz="0" w:space="0" w:color="auto"/>
                  </w:divBdr>
                  <w:divsChild>
                    <w:div w:id="1801804206">
                      <w:marLeft w:val="0"/>
                      <w:marRight w:val="0"/>
                      <w:marTop w:val="0"/>
                      <w:marBottom w:val="0"/>
                      <w:divBdr>
                        <w:top w:val="none" w:sz="0" w:space="0" w:color="auto"/>
                        <w:left w:val="none" w:sz="0" w:space="0" w:color="auto"/>
                        <w:bottom w:val="none" w:sz="0" w:space="0" w:color="auto"/>
                        <w:right w:val="none" w:sz="0" w:space="0" w:color="auto"/>
                      </w:divBdr>
                    </w:div>
                  </w:divsChild>
                </w:div>
                <w:div w:id="475608677">
                  <w:marLeft w:val="0"/>
                  <w:marRight w:val="0"/>
                  <w:marTop w:val="0"/>
                  <w:marBottom w:val="0"/>
                  <w:divBdr>
                    <w:top w:val="none" w:sz="0" w:space="0" w:color="auto"/>
                    <w:left w:val="none" w:sz="0" w:space="0" w:color="auto"/>
                    <w:bottom w:val="none" w:sz="0" w:space="0" w:color="auto"/>
                    <w:right w:val="none" w:sz="0" w:space="0" w:color="auto"/>
                  </w:divBdr>
                  <w:divsChild>
                    <w:div w:id="942373197">
                      <w:marLeft w:val="0"/>
                      <w:marRight w:val="0"/>
                      <w:marTop w:val="0"/>
                      <w:marBottom w:val="0"/>
                      <w:divBdr>
                        <w:top w:val="none" w:sz="0" w:space="0" w:color="auto"/>
                        <w:left w:val="none" w:sz="0" w:space="0" w:color="auto"/>
                        <w:bottom w:val="none" w:sz="0" w:space="0" w:color="auto"/>
                        <w:right w:val="none" w:sz="0" w:space="0" w:color="auto"/>
                      </w:divBdr>
                    </w:div>
                  </w:divsChild>
                </w:div>
                <w:div w:id="509485906">
                  <w:marLeft w:val="0"/>
                  <w:marRight w:val="0"/>
                  <w:marTop w:val="0"/>
                  <w:marBottom w:val="0"/>
                  <w:divBdr>
                    <w:top w:val="none" w:sz="0" w:space="0" w:color="auto"/>
                    <w:left w:val="none" w:sz="0" w:space="0" w:color="auto"/>
                    <w:bottom w:val="none" w:sz="0" w:space="0" w:color="auto"/>
                    <w:right w:val="none" w:sz="0" w:space="0" w:color="auto"/>
                  </w:divBdr>
                  <w:divsChild>
                    <w:div w:id="920337059">
                      <w:marLeft w:val="0"/>
                      <w:marRight w:val="0"/>
                      <w:marTop w:val="0"/>
                      <w:marBottom w:val="0"/>
                      <w:divBdr>
                        <w:top w:val="none" w:sz="0" w:space="0" w:color="auto"/>
                        <w:left w:val="none" w:sz="0" w:space="0" w:color="auto"/>
                        <w:bottom w:val="none" w:sz="0" w:space="0" w:color="auto"/>
                        <w:right w:val="none" w:sz="0" w:space="0" w:color="auto"/>
                      </w:divBdr>
                    </w:div>
                  </w:divsChild>
                </w:div>
                <w:div w:id="572129565">
                  <w:marLeft w:val="0"/>
                  <w:marRight w:val="0"/>
                  <w:marTop w:val="0"/>
                  <w:marBottom w:val="0"/>
                  <w:divBdr>
                    <w:top w:val="none" w:sz="0" w:space="0" w:color="auto"/>
                    <w:left w:val="none" w:sz="0" w:space="0" w:color="auto"/>
                    <w:bottom w:val="none" w:sz="0" w:space="0" w:color="auto"/>
                    <w:right w:val="none" w:sz="0" w:space="0" w:color="auto"/>
                  </w:divBdr>
                  <w:divsChild>
                    <w:div w:id="79300389">
                      <w:marLeft w:val="0"/>
                      <w:marRight w:val="0"/>
                      <w:marTop w:val="0"/>
                      <w:marBottom w:val="0"/>
                      <w:divBdr>
                        <w:top w:val="none" w:sz="0" w:space="0" w:color="auto"/>
                        <w:left w:val="none" w:sz="0" w:space="0" w:color="auto"/>
                        <w:bottom w:val="none" w:sz="0" w:space="0" w:color="auto"/>
                        <w:right w:val="none" w:sz="0" w:space="0" w:color="auto"/>
                      </w:divBdr>
                    </w:div>
                  </w:divsChild>
                </w:div>
                <w:div w:id="594944377">
                  <w:marLeft w:val="0"/>
                  <w:marRight w:val="0"/>
                  <w:marTop w:val="0"/>
                  <w:marBottom w:val="0"/>
                  <w:divBdr>
                    <w:top w:val="none" w:sz="0" w:space="0" w:color="auto"/>
                    <w:left w:val="none" w:sz="0" w:space="0" w:color="auto"/>
                    <w:bottom w:val="none" w:sz="0" w:space="0" w:color="auto"/>
                    <w:right w:val="none" w:sz="0" w:space="0" w:color="auto"/>
                  </w:divBdr>
                  <w:divsChild>
                    <w:div w:id="336422990">
                      <w:marLeft w:val="0"/>
                      <w:marRight w:val="0"/>
                      <w:marTop w:val="0"/>
                      <w:marBottom w:val="0"/>
                      <w:divBdr>
                        <w:top w:val="none" w:sz="0" w:space="0" w:color="auto"/>
                        <w:left w:val="none" w:sz="0" w:space="0" w:color="auto"/>
                        <w:bottom w:val="none" w:sz="0" w:space="0" w:color="auto"/>
                        <w:right w:val="none" w:sz="0" w:space="0" w:color="auto"/>
                      </w:divBdr>
                    </w:div>
                  </w:divsChild>
                </w:div>
                <w:div w:id="599799206">
                  <w:marLeft w:val="0"/>
                  <w:marRight w:val="0"/>
                  <w:marTop w:val="0"/>
                  <w:marBottom w:val="0"/>
                  <w:divBdr>
                    <w:top w:val="none" w:sz="0" w:space="0" w:color="auto"/>
                    <w:left w:val="none" w:sz="0" w:space="0" w:color="auto"/>
                    <w:bottom w:val="none" w:sz="0" w:space="0" w:color="auto"/>
                    <w:right w:val="none" w:sz="0" w:space="0" w:color="auto"/>
                  </w:divBdr>
                  <w:divsChild>
                    <w:div w:id="1391538444">
                      <w:marLeft w:val="0"/>
                      <w:marRight w:val="0"/>
                      <w:marTop w:val="0"/>
                      <w:marBottom w:val="0"/>
                      <w:divBdr>
                        <w:top w:val="none" w:sz="0" w:space="0" w:color="auto"/>
                        <w:left w:val="none" w:sz="0" w:space="0" w:color="auto"/>
                        <w:bottom w:val="none" w:sz="0" w:space="0" w:color="auto"/>
                        <w:right w:val="none" w:sz="0" w:space="0" w:color="auto"/>
                      </w:divBdr>
                    </w:div>
                  </w:divsChild>
                </w:div>
                <w:div w:id="635063848">
                  <w:marLeft w:val="0"/>
                  <w:marRight w:val="0"/>
                  <w:marTop w:val="0"/>
                  <w:marBottom w:val="0"/>
                  <w:divBdr>
                    <w:top w:val="none" w:sz="0" w:space="0" w:color="auto"/>
                    <w:left w:val="none" w:sz="0" w:space="0" w:color="auto"/>
                    <w:bottom w:val="none" w:sz="0" w:space="0" w:color="auto"/>
                    <w:right w:val="none" w:sz="0" w:space="0" w:color="auto"/>
                  </w:divBdr>
                  <w:divsChild>
                    <w:div w:id="1660302200">
                      <w:marLeft w:val="0"/>
                      <w:marRight w:val="0"/>
                      <w:marTop w:val="0"/>
                      <w:marBottom w:val="0"/>
                      <w:divBdr>
                        <w:top w:val="none" w:sz="0" w:space="0" w:color="auto"/>
                        <w:left w:val="none" w:sz="0" w:space="0" w:color="auto"/>
                        <w:bottom w:val="none" w:sz="0" w:space="0" w:color="auto"/>
                        <w:right w:val="none" w:sz="0" w:space="0" w:color="auto"/>
                      </w:divBdr>
                    </w:div>
                  </w:divsChild>
                </w:div>
                <w:div w:id="795753781">
                  <w:marLeft w:val="0"/>
                  <w:marRight w:val="0"/>
                  <w:marTop w:val="0"/>
                  <w:marBottom w:val="0"/>
                  <w:divBdr>
                    <w:top w:val="none" w:sz="0" w:space="0" w:color="auto"/>
                    <w:left w:val="none" w:sz="0" w:space="0" w:color="auto"/>
                    <w:bottom w:val="none" w:sz="0" w:space="0" w:color="auto"/>
                    <w:right w:val="none" w:sz="0" w:space="0" w:color="auto"/>
                  </w:divBdr>
                  <w:divsChild>
                    <w:div w:id="295380752">
                      <w:marLeft w:val="0"/>
                      <w:marRight w:val="0"/>
                      <w:marTop w:val="0"/>
                      <w:marBottom w:val="0"/>
                      <w:divBdr>
                        <w:top w:val="none" w:sz="0" w:space="0" w:color="auto"/>
                        <w:left w:val="none" w:sz="0" w:space="0" w:color="auto"/>
                        <w:bottom w:val="none" w:sz="0" w:space="0" w:color="auto"/>
                        <w:right w:val="none" w:sz="0" w:space="0" w:color="auto"/>
                      </w:divBdr>
                    </w:div>
                  </w:divsChild>
                </w:div>
                <w:div w:id="895581695">
                  <w:marLeft w:val="0"/>
                  <w:marRight w:val="0"/>
                  <w:marTop w:val="0"/>
                  <w:marBottom w:val="0"/>
                  <w:divBdr>
                    <w:top w:val="none" w:sz="0" w:space="0" w:color="auto"/>
                    <w:left w:val="none" w:sz="0" w:space="0" w:color="auto"/>
                    <w:bottom w:val="none" w:sz="0" w:space="0" w:color="auto"/>
                    <w:right w:val="none" w:sz="0" w:space="0" w:color="auto"/>
                  </w:divBdr>
                  <w:divsChild>
                    <w:div w:id="2029142102">
                      <w:marLeft w:val="0"/>
                      <w:marRight w:val="0"/>
                      <w:marTop w:val="0"/>
                      <w:marBottom w:val="0"/>
                      <w:divBdr>
                        <w:top w:val="none" w:sz="0" w:space="0" w:color="auto"/>
                        <w:left w:val="none" w:sz="0" w:space="0" w:color="auto"/>
                        <w:bottom w:val="none" w:sz="0" w:space="0" w:color="auto"/>
                        <w:right w:val="none" w:sz="0" w:space="0" w:color="auto"/>
                      </w:divBdr>
                    </w:div>
                  </w:divsChild>
                </w:div>
                <w:div w:id="940986699">
                  <w:marLeft w:val="0"/>
                  <w:marRight w:val="0"/>
                  <w:marTop w:val="0"/>
                  <w:marBottom w:val="0"/>
                  <w:divBdr>
                    <w:top w:val="none" w:sz="0" w:space="0" w:color="auto"/>
                    <w:left w:val="none" w:sz="0" w:space="0" w:color="auto"/>
                    <w:bottom w:val="none" w:sz="0" w:space="0" w:color="auto"/>
                    <w:right w:val="none" w:sz="0" w:space="0" w:color="auto"/>
                  </w:divBdr>
                  <w:divsChild>
                    <w:div w:id="439572464">
                      <w:marLeft w:val="0"/>
                      <w:marRight w:val="0"/>
                      <w:marTop w:val="0"/>
                      <w:marBottom w:val="0"/>
                      <w:divBdr>
                        <w:top w:val="none" w:sz="0" w:space="0" w:color="auto"/>
                        <w:left w:val="none" w:sz="0" w:space="0" w:color="auto"/>
                        <w:bottom w:val="none" w:sz="0" w:space="0" w:color="auto"/>
                        <w:right w:val="none" w:sz="0" w:space="0" w:color="auto"/>
                      </w:divBdr>
                    </w:div>
                  </w:divsChild>
                </w:div>
                <w:div w:id="1019703057">
                  <w:marLeft w:val="0"/>
                  <w:marRight w:val="0"/>
                  <w:marTop w:val="0"/>
                  <w:marBottom w:val="0"/>
                  <w:divBdr>
                    <w:top w:val="none" w:sz="0" w:space="0" w:color="auto"/>
                    <w:left w:val="none" w:sz="0" w:space="0" w:color="auto"/>
                    <w:bottom w:val="none" w:sz="0" w:space="0" w:color="auto"/>
                    <w:right w:val="none" w:sz="0" w:space="0" w:color="auto"/>
                  </w:divBdr>
                  <w:divsChild>
                    <w:div w:id="1452044324">
                      <w:marLeft w:val="0"/>
                      <w:marRight w:val="0"/>
                      <w:marTop w:val="0"/>
                      <w:marBottom w:val="0"/>
                      <w:divBdr>
                        <w:top w:val="none" w:sz="0" w:space="0" w:color="auto"/>
                        <w:left w:val="none" w:sz="0" w:space="0" w:color="auto"/>
                        <w:bottom w:val="none" w:sz="0" w:space="0" w:color="auto"/>
                        <w:right w:val="none" w:sz="0" w:space="0" w:color="auto"/>
                      </w:divBdr>
                    </w:div>
                  </w:divsChild>
                </w:div>
                <w:div w:id="1220164888">
                  <w:marLeft w:val="0"/>
                  <w:marRight w:val="0"/>
                  <w:marTop w:val="0"/>
                  <w:marBottom w:val="0"/>
                  <w:divBdr>
                    <w:top w:val="none" w:sz="0" w:space="0" w:color="auto"/>
                    <w:left w:val="none" w:sz="0" w:space="0" w:color="auto"/>
                    <w:bottom w:val="none" w:sz="0" w:space="0" w:color="auto"/>
                    <w:right w:val="none" w:sz="0" w:space="0" w:color="auto"/>
                  </w:divBdr>
                  <w:divsChild>
                    <w:div w:id="1470395672">
                      <w:marLeft w:val="0"/>
                      <w:marRight w:val="0"/>
                      <w:marTop w:val="0"/>
                      <w:marBottom w:val="0"/>
                      <w:divBdr>
                        <w:top w:val="none" w:sz="0" w:space="0" w:color="auto"/>
                        <w:left w:val="none" w:sz="0" w:space="0" w:color="auto"/>
                        <w:bottom w:val="none" w:sz="0" w:space="0" w:color="auto"/>
                        <w:right w:val="none" w:sz="0" w:space="0" w:color="auto"/>
                      </w:divBdr>
                    </w:div>
                  </w:divsChild>
                </w:div>
                <w:div w:id="1392922770">
                  <w:marLeft w:val="0"/>
                  <w:marRight w:val="0"/>
                  <w:marTop w:val="0"/>
                  <w:marBottom w:val="0"/>
                  <w:divBdr>
                    <w:top w:val="none" w:sz="0" w:space="0" w:color="auto"/>
                    <w:left w:val="none" w:sz="0" w:space="0" w:color="auto"/>
                    <w:bottom w:val="none" w:sz="0" w:space="0" w:color="auto"/>
                    <w:right w:val="none" w:sz="0" w:space="0" w:color="auto"/>
                  </w:divBdr>
                  <w:divsChild>
                    <w:div w:id="1011954767">
                      <w:marLeft w:val="0"/>
                      <w:marRight w:val="0"/>
                      <w:marTop w:val="0"/>
                      <w:marBottom w:val="0"/>
                      <w:divBdr>
                        <w:top w:val="none" w:sz="0" w:space="0" w:color="auto"/>
                        <w:left w:val="none" w:sz="0" w:space="0" w:color="auto"/>
                        <w:bottom w:val="none" w:sz="0" w:space="0" w:color="auto"/>
                        <w:right w:val="none" w:sz="0" w:space="0" w:color="auto"/>
                      </w:divBdr>
                    </w:div>
                  </w:divsChild>
                </w:div>
                <w:div w:id="1426457284">
                  <w:marLeft w:val="0"/>
                  <w:marRight w:val="0"/>
                  <w:marTop w:val="0"/>
                  <w:marBottom w:val="0"/>
                  <w:divBdr>
                    <w:top w:val="none" w:sz="0" w:space="0" w:color="auto"/>
                    <w:left w:val="none" w:sz="0" w:space="0" w:color="auto"/>
                    <w:bottom w:val="none" w:sz="0" w:space="0" w:color="auto"/>
                    <w:right w:val="none" w:sz="0" w:space="0" w:color="auto"/>
                  </w:divBdr>
                  <w:divsChild>
                    <w:div w:id="1701081058">
                      <w:marLeft w:val="0"/>
                      <w:marRight w:val="0"/>
                      <w:marTop w:val="0"/>
                      <w:marBottom w:val="0"/>
                      <w:divBdr>
                        <w:top w:val="none" w:sz="0" w:space="0" w:color="auto"/>
                        <w:left w:val="none" w:sz="0" w:space="0" w:color="auto"/>
                        <w:bottom w:val="none" w:sz="0" w:space="0" w:color="auto"/>
                        <w:right w:val="none" w:sz="0" w:space="0" w:color="auto"/>
                      </w:divBdr>
                    </w:div>
                  </w:divsChild>
                </w:div>
                <w:div w:id="1464927840">
                  <w:marLeft w:val="0"/>
                  <w:marRight w:val="0"/>
                  <w:marTop w:val="0"/>
                  <w:marBottom w:val="0"/>
                  <w:divBdr>
                    <w:top w:val="none" w:sz="0" w:space="0" w:color="auto"/>
                    <w:left w:val="none" w:sz="0" w:space="0" w:color="auto"/>
                    <w:bottom w:val="none" w:sz="0" w:space="0" w:color="auto"/>
                    <w:right w:val="none" w:sz="0" w:space="0" w:color="auto"/>
                  </w:divBdr>
                  <w:divsChild>
                    <w:div w:id="846093854">
                      <w:marLeft w:val="0"/>
                      <w:marRight w:val="0"/>
                      <w:marTop w:val="0"/>
                      <w:marBottom w:val="0"/>
                      <w:divBdr>
                        <w:top w:val="none" w:sz="0" w:space="0" w:color="auto"/>
                        <w:left w:val="none" w:sz="0" w:space="0" w:color="auto"/>
                        <w:bottom w:val="none" w:sz="0" w:space="0" w:color="auto"/>
                        <w:right w:val="none" w:sz="0" w:space="0" w:color="auto"/>
                      </w:divBdr>
                    </w:div>
                  </w:divsChild>
                </w:div>
                <w:div w:id="1522011836">
                  <w:marLeft w:val="0"/>
                  <w:marRight w:val="0"/>
                  <w:marTop w:val="0"/>
                  <w:marBottom w:val="0"/>
                  <w:divBdr>
                    <w:top w:val="none" w:sz="0" w:space="0" w:color="auto"/>
                    <w:left w:val="none" w:sz="0" w:space="0" w:color="auto"/>
                    <w:bottom w:val="none" w:sz="0" w:space="0" w:color="auto"/>
                    <w:right w:val="none" w:sz="0" w:space="0" w:color="auto"/>
                  </w:divBdr>
                  <w:divsChild>
                    <w:div w:id="310444384">
                      <w:marLeft w:val="0"/>
                      <w:marRight w:val="0"/>
                      <w:marTop w:val="0"/>
                      <w:marBottom w:val="0"/>
                      <w:divBdr>
                        <w:top w:val="none" w:sz="0" w:space="0" w:color="auto"/>
                        <w:left w:val="none" w:sz="0" w:space="0" w:color="auto"/>
                        <w:bottom w:val="none" w:sz="0" w:space="0" w:color="auto"/>
                        <w:right w:val="none" w:sz="0" w:space="0" w:color="auto"/>
                      </w:divBdr>
                    </w:div>
                  </w:divsChild>
                </w:div>
                <w:div w:id="1527209354">
                  <w:marLeft w:val="0"/>
                  <w:marRight w:val="0"/>
                  <w:marTop w:val="0"/>
                  <w:marBottom w:val="0"/>
                  <w:divBdr>
                    <w:top w:val="none" w:sz="0" w:space="0" w:color="auto"/>
                    <w:left w:val="none" w:sz="0" w:space="0" w:color="auto"/>
                    <w:bottom w:val="none" w:sz="0" w:space="0" w:color="auto"/>
                    <w:right w:val="none" w:sz="0" w:space="0" w:color="auto"/>
                  </w:divBdr>
                  <w:divsChild>
                    <w:div w:id="546373814">
                      <w:marLeft w:val="0"/>
                      <w:marRight w:val="0"/>
                      <w:marTop w:val="0"/>
                      <w:marBottom w:val="0"/>
                      <w:divBdr>
                        <w:top w:val="none" w:sz="0" w:space="0" w:color="auto"/>
                        <w:left w:val="none" w:sz="0" w:space="0" w:color="auto"/>
                        <w:bottom w:val="none" w:sz="0" w:space="0" w:color="auto"/>
                        <w:right w:val="none" w:sz="0" w:space="0" w:color="auto"/>
                      </w:divBdr>
                    </w:div>
                  </w:divsChild>
                </w:div>
                <w:div w:id="1578787409">
                  <w:marLeft w:val="0"/>
                  <w:marRight w:val="0"/>
                  <w:marTop w:val="0"/>
                  <w:marBottom w:val="0"/>
                  <w:divBdr>
                    <w:top w:val="none" w:sz="0" w:space="0" w:color="auto"/>
                    <w:left w:val="none" w:sz="0" w:space="0" w:color="auto"/>
                    <w:bottom w:val="none" w:sz="0" w:space="0" w:color="auto"/>
                    <w:right w:val="none" w:sz="0" w:space="0" w:color="auto"/>
                  </w:divBdr>
                  <w:divsChild>
                    <w:div w:id="876746075">
                      <w:marLeft w:val="0"/>
                      <w:marRight w:val="0"/>
                      <w:marTop w:val="0"/>
                      <w:marBottom w:val="0"/>
                      <w:divBdr>
                        <w:top w:val="none" w:sz="0" w:space="0" w:color="auto"/>
                        <w:left w:val="none" w:sz="0" w:space="0" w:color="auto"/>
                        <w:bottom w:val="none" w:sz="0" w:space="0" w:color="auto"/>
                        <w:right w:val="none" w:sz="0" w:space="0" w:color="auto"/>
                      </w:divBdr>
                    </w:div>
                  </w:divsChild>
                </w:div>
                <w:div w:id="1595359157">
                  <w:marLeft w:val="0"/>
                  <w:marRight w:val="0"/>
                  <w:marTop w:val="0"/>
                  <w:marBottom w:val="0"/>
                  <w:divBdr>
                    <w:top w:val="none" w:sz="0" w:space="0" w:color="auto"/>
                    <w:left w:val="none" w:sz="0" w:space="0" w:color="auto"/>
                    <w:bottom w:val="none" w:sz="0" w:space="0" w:color="auto"/>
                    <w:right w:val="none" w:sz="0" w:space="0" w:color="auto"/>
                  </w:divBdr>
                  <w:divsChild>
                    <w:div w:id="1453940858">
                      <w:marLeft w:val="0"/>
                      <w:marRight w:val="0"/>
                      <w:marTop w:val="0"/>
                      <w:marBottom w:val="0"/>
                      <w:divBdr>
                        <w:top w:val="none" w:sz="0" w:space="0" w:color="auto"/>
                        <w:left w:val="none" w:sz="0" w:space="0" w:color="auto"/>
                        <w:bottom w:val="none" w:sz="0" w:space="0" w:color="auto"/>
                        <w:right w:val="none" w:sz="0" w:space="0" w:color="auto"/>
                      </w:divBdr>
                    </w:div>
                  </w:divsChild>
                </w:div>
                <w:div w:id="1641963102">
                  <w:marLeft w:val="0"/>
                  <w:marRight w:val="0"/>
                  <w:marTop w:val="0"/>
                  <w:marBottom w:val="0"/>
                  <w:divBdr>
                    <w:top w:val="none" w:sz="0" w:space="0" w:color="auto"/>
                    <w:left w:val="none" w:sz="0" w:space="0" w:color="auto"/>
                    <w:bottom w:val="none" w:sz="0" w:space="0" w:color="auto"/>
                    <w:right w:val="none" w:sz="0" w:space="0" w:color="auto"/>
                  </w:divBdr>
                  <w:divsChild>
                    <w:div w:id="1449549403">
                      <w:marLeft w:val="0"/>
                      <w:marRight w:val="0"/>
                      <w:marTop w:val="0"/>
                      <w:marBottom w:val="0"/>
                      <w:divBdr>
                        <w:top w:val="none" w:sz="0" w:space="0" w:color="auto"/>
                        <w:left w:val="none" w:sz="0" w:space="0" w:color="auto"/>
                        <w:bottom w:val="none" w:sz="0" w:space="0" w:color="auto"/>
                        <w:right w:val="none" w:sz="0" w:space="0" w:color="auto"/>
                      </w:divBdr>
                    </w:div>
                  </w:divsChild>
                </w:div>
                <w:div w:id="1749309277">
                  <w:marLeft w:val="0"/>
                  <w:marRight w:val="0"/>
                  <w:marTop w:val="0"/>
                  <w:marBottom w:val="0"/>
                  <w:divBdr>
                    <w:top w:val="none" w:sz="0" w:space="0" w:color="auto"/>
                    <w:left w:val="none" w:sz="0" w:space="0" w:color="auto"/>
                    <w:bottom w:val="none" w:sz="0" w:space="0" w:color="auto"/>
                    <w:right w:val="none" w:sz="0" w:space="0" w:color="auto"/>
                  </w:divBdr>
                  <w:divsChild>
                    <w:div w:id="1128669886">
                      <w:marLeft w:val="0"/>
                      <w:marRight w:val="0"/>
                      <w:marTop w:val="0"/>
                      <w:marBottom w:val="0"/>
                      <w:divBdr>
                        <w:top w:val="none" w:sz="0" w:space="0" w:color="auto"/>
                        <w:left w:val="none" w:sz="0" w:space="0" w:color="auto"/>
                        <w:bottom w:val="none" w:sz="0" w:space="0" w:color="auto"/>
                        <w:right w:val="none" w:sz="0" w:space="0" w:color="auto"/>
                      </w:divBdr>
                    </w:div>
                  </w:divsChild>
                </w:div>
                <w:div w:id="1884101769">
                  <w:marLeft w:val="0"/>
                  <w:marRight w:val="0"/>
                  <w:marTop w:val="0"/>
                  <w:marBottom w:val="0"/>
                  <w:divBdr>
                    <w:top w:val="none" w:sz="0" w:space="0" w:color="auto"/>
                    <w:left w:val="none" w:sz="0" w:space="0" w:color="auto"/>
                    <w:bottom w:val="none" w:sz="0" w:space="0" w:color="auto"/>
                    <w:right w:val="none" w:sz="0" w:space="0" w:color="auto"/>
                  </w:divBdr>
                  <w:divsChild>
                    <w:div w:id="1305114939">
                      <w:marLeft w:val="0"/>
                      <w:marRight w:val="0"/>
                      <w:marTop w:val="0"/>
                      <w:marBottom w:val="0"/>
                      <w:divBdr>
                        <w:top w:val="none" w:sz="0" w:space="0" w:color="auto"/>
                        <w:left w:val="none" w:sz="0" w:space="0" w:color="auto"/>
                        <w:bottom w:val="none" w:sz="0" w:space="0" w:color="auto"/>
                        <w:right w:val="none" w:sz="0" w:space="0" w:color="auto"/>
                      </w:divBdr>
                    </w:div>
                  </w:divsChild>
                </w:div>
                <w:div w:id="1917547675">
                  <w:marLeft w:val="0"/>
                  <w:marRight w:val="0"/>
                  <w:marTop w:val="0"/>
                  <w:marBottom w:val="0"/>
                  <w:divBdr>
                    <w:top w:val="none" w:sz="0" w:space="0" w:color="auto"/>
                    <w:left w:val="none" w:sz="0" w:space="0" w:color="auto"/>
                    <w:bottom w:val="none" w:sz="0" w:space="0" w:color="auto"/>
                    <w:right w:val="none" w:sz="0" w:space="0" w:color="auto"/>
                  </w:divBdr>
                  <w:divsChild>
                    <w:div w:id="401752809">
                      <w:marLeft w:val="0"/>
                      <w:marRight w:val="0"/>
                      <w:marTop w:val="0"/>
                      <w:marBottom w:val="0"/>
                      <w:divBdr>
                        <w:top w:val="none" w:sz="0" w:space="0" w:color="auto"/>
                        <w:left w:val="none" w:sz="0" w:space="0" w:color="auto"/>
                        <w:bottom w:val="none" w:sz="0" w:space="0" w:color="auto"/>
                        <w:right w:val="none" w:sz="0" w:space="0" w:color="auto"/>
                      </w:divBdr>
                    </w:div>
                  </w:divsChild>
                </w:div>
                <w:div w:id="1939942734">
                  <w:marLeft w:val="0"/>
                  <w:marRight w:val="0"/>
                  <w:marTop w:val="0"/>
                  <w:marBottom w:val="0"/>
                  <w:divBdr>
                    <w:top w:val="none" w:sz="0" w:space="0" w:color="auto"/>
                    <w:left w:val="none" w:sz="0" w:space="0" w:color="auto"/>
                    <w:bottom w:val="none" w:sz="0" w:space="0" w:color="auto"/>
                    <w:right w:val="none" w:sz="0" w:space="0" w:color="auto"/>
                  </w:divBdr>
                  <w:divsChild>
                    <w:div w:id="980035913">
                      <w:marLeft w:val="0"/>
                      <w:marRight w:val="0"/>
                      <w:marTop w:val="0"/>
                      <w:marBottom w:val="0"/>
                      <w:divBdr>
                        <w:top w:val="none" w:sz="0" w:space="0" w:color="auto"/>
                        <w:left w:val="none" w:sz="0" w:space="0" w:color="auto"/>
                        <w:bottom w:val="none" w:sz="0" w:space="0" w:color="auto"/>
                        <w:right w:val="none" w:sz="0" w:space="0" w:color="auto"/>
                      </w:divBdr>
                    </w:div>
                  </w:divsChild>
                </w:div>
                <w:div w:id="2025400227">
                  <w:marLeft w:val="0"/>
                  <w:marRight w:val="0"/>
                  <w:marTop w:val="0"/>
                  <w:marBottom w:val="0"/>
                  <w:divBdr>
                    <w:top w:val="none" w:sz="0" w:space="0" w:color="auto"/>
                    <w:left w:val="none" w:sz="0" w:space="0" w:color="auto"/>
                    <w:bottom w:val="none" w:sz="0" w:space="0" w:color="auto"/>
                    <w:right w:val="none" w:sz="0" w:space="0" w:color="auto"/>
                  </w:divBdr>
                  <w:divsChild>
                    <w:div w:id="1535998013">
                      <w:marLeft w:val="0"/>
                      <w:marRight w:val="0"/>
                      <w:marTop w:val="0"/>
                      <w:marBottom w:val="0"/>
                      <w:divBdr>
                        <w:top w:val="none" w:sz="0" w:space="0" w:color="auto"/>
                        <w:left w:val="none" w:sz="0" w:space="0" w:color="auto"/>
                        <w:bottom w:val="none" w:sz="0" w:space="0" w:color="auto"/>
                        <w:right w:val="none" w:sz="0" w:space="0" w:color="auto"/>
                      </w:divBdr>
                    </w:div>
                  </w:divsChild>
                </w:div>
                <w:div w:id="2058896725">
                  <w:marLeft w:val="0"/>
                  <w:marRight w:val="0"/>
                  <w:marTop w:val="0"/>
                  <w:marBottom w:val="0"/>
                  <w:divBdr>
                    <w:top w:val="none" w:sz="0" w:space="0" w:color="auto"/>
                    <w:left w:val="none" w:sz="0" w:space="0" w:color="auto"/>
                    <w:bottom w:val="none" w:sz="0" w:space="0" w:color="auto"/>
                    <w:right w:val="none" w:sz="0" w:space="0" w:color="auto"/>
                  </w:divBdr>
                  <w:divsChild>
                    <w:div w:id="1274555485">
                      <w:marLeft w:val="0"/>
                      <w:marRight w:val="0"/>
                      <w:marTop w:val="0"/>
                      <w:marBottom w:val="0"/>
                      <w:divBdr>
                        <w:top w:val="none" w:sz="0" w:space="0" w:color="auto"/>
                        <w:left w:val="none" w:sz="0" w:space="0" w:color="auto"/>
                        <w:bottom w:val="none" w:sz="0" w:space="0" w:color="auto"/>
                        <w:right w:val="none" w:sz="0" w:space="0" w:color="auto"/>
                      </w:divBdr>
                    </w:div>
                  </w:divsChild>
                </w:div>
                <w:div w:id="2099597487">
                  <w:marLeft w:val="0"/>
                  <w:marRight w:val="0"/>
                  <w:marTop w:val="0"/>
                  <w:marBottom w:val="0"/>
                  <w:divBdr>
                    <w:top w:val="none" w:sz="0" w:space="0" w:color="auto"/>
                    <w:left w:val="none" w:sz="0" w:space="0" w:color="auto"/>
                    <w:bottom w:val="none" w:sz="0" w:space="0" w:color="auto"/>
                    <w:right w:val="none" w:sz="0" w:space="0" w:color="auto"/>
                  </w:divBdr>
                  <w:divsChild>
                    <w:div w:id="1243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56314">
          <w:marLeft w:val="0"/>
          <w:marRight w:val="0"/>
          <w:marTop w:val="0"/>
          <w:marBottom w:val="0"/>
          <w:divBdr>
            <w:top w:val="none" w:sz="0" w:space="0" w:color="auto"/>
            <w:left w:val="none" w:sz="0" w:space="0" w:color="auto"/>
            <w:bottom w:val="none" w:sz="0" w:space="0" w:color="auto"/>
            <w:right w:val="none" w:sz="0" w:space="0" w:color="auto"/>
          </w:divBdr>
        </w:div>
        <w:div w:id="1719622926">
          <w:marLeft w:val="0"/>
          <w:marRight w:val="0"/>
          <w:marTop w:val="0"/>
          <w:marBottom w:val="0"/>
          <w:divBdr>
            <w:top w:val="none" w:sz="0" w:space="0" w:color="auto"/>
            <w:left w:val="none" w:sz="0" w:space="0" w:color="auto"/>
            <w:bottom w:val="none" w:sz="0" w:space="0" w:color="auto"/>
            <w:right w:val="none" w:sz="0" w:space="0" w:color="auto"/>
          </w:divBdr>
        </w:div>
        <w:div w:id="1731877788">
          <w:marLeft w:val="0"/>
          <w:marRight w:val="0"/>
          <w:marTop w:val="0"/>
          <w:marBottom w:val="0"/>
          <w:divBdr>
            <w:top w:val="none" w:sz="0" w:space="0" w:color="auto"/>
            <w:left w:val="none" w:sz="0" w:space="0" w:color="auto"/>
            <w:bottom w:val="none" w:sz="0" w:space="0" w:color="auto"/>
            <w:right w:val="none" w:sz="0" w:space="0" w:color="auto"/>
          </w:divBdr>
        </w:div>
        <w:div w:id="1746144360">
          <w:marLeft w:val="0"/>
          <w:marRight w:val="0"/>
          <w:marTop w:val="0"/>
          <w:marBottom w:val="0"/>
          <w:divBdr>
            <w:top w:val="none" w:sz="0" w:space="0" w:color="auto"/>
            <w:left w:val="none" w:sz="0" w:space="0" w:color="auto"/>
            <w:bottom w:val="none" w:sz="0" w:space="0" w:color="auto"/>
            <w:right w:val="none" w:sz="0" w:space="0" w:color="auto"/>
          </w:divBdr>
          <w:divsChild>
            <w:div w:id="1438482317">
              <w:marLeft w:val="-75"/>
              <w:marRight w:val="0"/>
              <w:marTop w:val="30"/>
              <w:marBottom w:val="30"/>
              <w:divBdr>
                <w:top w:val="none" w:sz="0" w:space="0" w:color="auto"/>
                <w:left w:val="none" w:sz="0" w:space="0" w:color="auto"/>
                <w:bottom w:val="none" w:sz="0" w:space="0" w:color="auto"/>
                <w:right w:val="none" w:sz="0" w:space="0" w:color="auto"/>
              </w:divBdr>
              <w:divsChild>
                <w:div w:id="27731131">
                  <w:marLeft w:val="0"/>
                  <w:marRight w:val="0"/>
                  <w:marTop w:val="0"/>
                  <w:marBottom w:val="0"/>
                  <w:divBdr>
                    <w:top w:val="none" w:sz="0" w:space="0" w:color="auto"/>
                    <w:left w:val="none" w:sz="0" w:space="0" w:color="auto"/>
                    <w:bottom w:val="none" w:sz="0" w:space="0" w:color="auto"/>
                    <w:right w:val="none" w:sz="0" w:space="0" w:color="auto"/>
                  </w:divBdr>
                  <w:divsChild>
                    <w:div w:id="74547125">
                      <w:marLeft w:val="0"/>
                      <w:marRight w:val="0"/>
                      <w:marTop w:val="0"/>
                      <w:marBottom w:val="0"/>
                      <w:divBdr>
                        <w:top w:val="none" w:sz="0" w:space="0" w:color="auto"/>
                        <w:left w:val="none" w:sz="0" w:space="0" w:color="auto"/>
                        <w:bottom w:val="none" w:sz="0" w:space="0" w:color="auto"/>
                        <w:right w:val="none" w:sz="0" w:space="0" w:color="auto"/>
                      </w:divBdr>
                    </w:div>
                  </w:divsChild>
                </w:div>
                <w:div w:id="95450058">
                  <w:marLeft w:val="0"/>
                  <w:marRight w:val="0"/>
                  <w:marTop w:val="0"/>
                  <w:marBottom w:val="0"/>
                  <w:divBdr>
                    <w:top w:val="none" w:sz="0" w:space="0" w:color="auto"/>
                    <w:left w:val="none" w:sz="0" w:space="0" w:color="auto"/>
                    <w:bottom w:val="none" w:sz="0" w:space="0" w:color="auto"/>
                    <w:right w:val="none" w:sz="0" w:space="0" w:color="auto"/>
                  </w:divBdr>
                  <w:divsChild>
                    <w:div w:id="1116758526">
                      <w:marLeft w:val="0"/>
                      <w:marRight w:val="0"/>
                      <w:marTop w:val="0"/>
                      <w:marBottom w:val="0"/>
                      <w:divBdr>
                        <w:top w:val="none" w:sz="0" w:space="0" w:color="auto"/>
                        <w:left w:val="none" w:sz="0" w:space="0" w:color="auto"/>
                        <w:bottom w:val="none" w:sz="0" w:space="0" w:color="auto"/>
                        <w:right w:val="none" w:sz="0" w:space="0" w:color="auto"/>
                      </w:divBdr>
                    </w:div>
                  </w:divsChild>
                </w:div>
                <w:div w:id="103695586">
                  <w:marLeft w:val="0"/>
                  <w:marRight w:val="0"/>
                  <w:marTop w:val="0"/>
                  <w:marBottom w:val="0"/>
                  <w:divBdr>
                    <w:top w:val="none" w:sz="0" w:space="0" w:color="auto"/>
                    <w:left w:val="none" w:sz="0" w:space="0" w:color="auto"/>
                    <w:bottom w:val="none" w:sz="0" w:space="0" w:color="auto"/>
                    <w:right w:val="none" w:sz="0" w:space="0" w:color="auto"/>
                  </w:divBdr>
                  <w:divsChild>
                    <w:div w:id="634483250">
                      <w:marLeft w:val="0"/>
                      <w:marRight w:val="0"/>
                      <w:marTop w:val="0"/>
                      <w:marBottom w:val="0"/>
                      <w:divBdr>
                        <w:top w:val="none" w:sz="0" w:space="0" w:color="auto"/>
                        <w:left w:val="none" w:sz="0" w:space="0" w:color="auto"/>
                        <w:bottom w:val="none" w:sz="0" w:space="0" w:color="auto"/>
                        <w:right w:val="none" w:sz="0" w:space="0" w:color="auto"/>
                      </w:divBdr>
                    </w:div>
                  </w:divsChild>
                </w:div>
                <w:div w:id="254829560">
                  <w:marLeft w:val="0"/>
                  <w:marRight w:val="0"/>
                  <w:marTop w:val="0"/>
                  <w:marBottom w:val="0"/>
                  <w:divBdr>
                    <w:top w:val="none" w:sz="0" w:space="0" w:color="auto"/>
                    <w:left w:val="none" w:sz="0" w:space="0" w:color="auto"/>
                    <w:bottom w:val="none" w:sz="0" w:space="0" w:color="auto"/>
                    <w:right w:val="none" w:sz="0" w:space="0" w:color="auto"/>
                  </w:divBdr>
                  <w:divsChild>
                    <w:div w:id="596519222">
                      <w:marLeft w:val="0"/>
                      <w:marRight w:val="0"/>
                      <w:marTop w:val="0"/>
                      <w:marBottom w:val="0"/>
                      <w:divBdr>
                        <w:top w:val="none" w:sz="0" w:space="0" w:color="auto"/>
                        <w:left w:val="none" w:sz="0" w:space="0" w:color="auto"/>
                        <w:bottom w:val="none" w:sz="0" w:space="0" w:color="auto"/>
                        <w:right w:val="none" w:sz="0" w:space="0" w:color="auto"/>
                      </w:divBdr>
                    </w:div>
                  </w:divsChild>
                </w:div>
                <w:div w:id="315307150">
                  <w:marLeft w:val="0"/>
                  <w:marRight w:val="0"/>
                  <w:marTop w:val="0"/>
                  <w:marBottom w:val="0"/>
                  <w:divBdr>
                    <w:top w:val="none" w:sz="0" w:space="0" w:color="auto"/>
                    <w:left w:val="none" w:sz="0" w:space="0" w:color="auto"/>
                    <w:bottom w:val="none" w:sz="0" w:space="0" w:color="auto"/>
                    <w:right w:val="none" w:sz="0" w:space="0" w:color="auto"/>
                  </w:divBdr>
                  <w:divsChild>
                    <w:div w:id="1460613244">
                      <w:marLeft w:val="0"/>
                      <w:marRight w:val="0"/>
                      <w:marTop w:val="0"/>
                      <w:marBottom w:val="0"/>
                      <w:divBdr>
                        <w:top w:val="none" w:sz="0" w:space="0" w:color="auto"/>
                        <w:left w:val="none" w:sz="0" w:space="0" w:color="auto"/>
                        <w:bottom w:val="none" w:sz="0" w:space="0" w:color="auto"/>
                        <w:right w:val="none" w:sz="0" w:space="0" w:color="auto"/>
                      </w:divBdr>
                    </w:div>
                  </w:divsChild>
                </w:div>
                <w:div w:id="317154593">
                  <w:marLeft w:val="0"/>
                  <w:marRight w:val="0"/>
                  <w:marTop w:val="0"/>
                  <w:marBottom w:val="0"/>
                  <w:divBdr>
                    <w:top w:val="none" w:sz="0" w:space="0" w:color="auto"/>
                    <w:left w:val="none" w:sz="0" w:space="0" w:color="auto"/>
                    <w:bottom w:val="none" w:sz="0" w:space="0" w:color="auto"/>
                    <w:right w:val="none" w:sz="0" w:space="0" w:color="auto"/>
                  </w:divBdr>
                  <w:divsChild>
                    <w:div w:id="852842669">
                      <w:marLeft w:val="0"/>
                      <w:marRight w:val="0"/>
                      <w:marTop w:val="0"/>
                      <w:marBottom w:val="0"/>
                      <w:divBdr>
                        <w:top w:val="none" w:sz="0" w:space="0" w:color="auto"/>
                        <w:left w:val="none" w:sz="0" w:space="0" w:color="auto"/>
                        <w:bottom w:val="none" w:sz="0" w:space="0" w:color="auto"/>
                        <w:right w:val="none" w:sz="0" w:space="0" w:color="auto"/>
                      </w:divBdr>
                    </w:div>
                  </w:divsChild>
                </w:div>
                <w:div w:id="321392099">
                  <w:marLeft w:val="0"/>
                  <w:marRight w:val="0"/>
                  <w:marTop w:val="0"/>
                  <w:marBottom w:val="0"/>
                  <w:divBdr>
                    <w:top w:val="none" w:sz="0" w:space="0" w:color="auto"/>
                    <w:left w:val="none" w:sz="0" w:space="0" w:color="auto"/>
                    <w:bottom w:val="none" w:sz="0" w:space="0" w:color="auto"/>
                    <w:right w:val="none" w:sz="0" w:space="0" w:color="auto"/>
                  </w:divBdr>
                  <w:divsChild>
                    <w:div w:id="631525032">
                      <w:marLeft w:val="0"/>
                      <w:marRight w:val="0"/>
                      <w:marTop w:val="0"/>
                      <w:marBottom w:val="0"/>
                      <w:divBdr>
                        <w:top w:val="none" w:sz="0" w:space="0" w:color="auto"/>
                        <w:left w:val="none" w:sz="0" w:space="0" w:color="auto"/>
                        <w:bottom w:val="none" w:sz="0" w:space="0" w:color="auto"/>
                        <w:right w:val="none" w:sz="0" w:space="0" w:color="auto"/>
                      </w:divBdr>
                    </w:div>
                  </w:divsChild>
                </w:div>
                <w:div w:id="356123413">
                  <w:marLeft w:val="0"/>
                  <w:marRight w:val="0"/>
                  <w:marTop w:val="0"/>
                  <w:marBottom w:val="0"/>
                  <w:divBdr>
                    <w:top w:val="none" w:sz="0" w:space="0" w:color="auto"/>
                    <w:left w:val="none" w:sz="0" w:space="0" w:color="auto"/>
                    <w:bottom w:val="none" w:sz="0" w:space="0" w:color="auto"/>
                    <w:right w:val="none" w:sz="0" w:space="0" w:color="auto"/>
                  </w:divBdr>
                  <w:divsChild>
                    <w:div w:id="1632588286">
                      <w:marLeft w:val="0"/>
                      <w:marRight w:val="0"/>
                      <w:marTop w:val="0"/>
                      <w:marBottom w:val="0"/>
                      <w:divBdr>
                        <w:top w:val="none" w:sz="0" w:space="0" w:color="auto"/>
                        <w:left w:val="none" w:sz="0" w:space="0" w:color="auto"/>
                        <w:bottom w:val="none" w:sz="0" w:space="0" w:color="auto"/>
                        <w:right w:val="none" w:sz="0" w:space="0" w:color="auto"/>
                      </w:divBdr>
                    </w:div>
                  </w:divsChild>
                </w:div>
                <w:div w:id="390425884">
                  <w:marLeft w:val="0"/>
                  <w:marRight w:val="0"/>
                  <w:marTop w:val="0"/>
                  <w:marBottom w:val="0"/>
                  <w:divBdr>
                    <w:top w:val="none" w:sz="0" w:space="0" w:color="auto"/>
                    <w:left w:val="none" w:sz="0" w:space="0" w:color="auto"/>
                    <w:bottom w:val="none" w:sz="0" w:space="0" w:color="auto"/>
                    <w:right w:val="none" w:sz="0" w:space="0" w:color="auto"/>
                  </w:divBdr>
                  <w:divsChild>
                    <w:div w:id="939987743">
                      <w:marLeft w:val="0"/>
                      <w:marRight w:val="0"/>
                      <w:marTop w:val="0"/>
                      <w:marBottom w:val="0"/>
                      <w:divBdr>
                        <w:top w:val="none" w:sz="0" w:space="0" w:color="auto"/>
                        <w:left w:val="none" w:sz="0" w:space="0" w:color="auto"/>
                        <w:bottom w:val="none" w:sz="0" w:space="0" w:color="auto"/>
                        <w:right w:val="none" w:sz="0" w:space="0" w:color="auto"/>
                      </w:divBdr>
                    </w:div>
                  </w:divsChild>
                </w:div>
                <w:div w:id="398482279">
                  <w:marLeft w:val="0"/>
                  <w:marRight w:val="0"/>
                  <w:marTop w:val="0"/>
                  <w:marBottom w:val="0"/>
                  <w:divBdr>
                    <w:top w:val="none" w:sz="0" w:space="0" w:color="auto"/>
                    <w:left w:val="none" w:sz="0" w:space="0" w:color="auto"/>
                    <w:bottom w:val="none" w:sz="0" w:space="0" w:color="auto"/>
                    <w:right w:val="none" w:sz="0" w:space="0" w:color="auto"/>
                  </w:divBdr>
                  <w:divsChild>
                    <w:div w:id="1773158412">
                      <w:marLeft w:val="0"/>
                      <w:marRight w:val="0"/>
                      <w:marTop w:val="0"/>
                      <w:marBottom w:val="0"/>
                      <w:divBdr>
                        <w:top w:val="none" w:sz="0" w:space="0" w:color="auto"/>
                        <w:left w:val="none" w:sz="0" w:space="0" w:color="auto"/>
                        <w:bottom w:val="none" w:sz="0" w:space="0" w:color="auto"/>
                        <w:right w:val="none" w:sz="0" w:space="0" w:color="auto"/>
                      </w:divBdr>
                    </w:div>
                  </w:divsChild>
                </w:div>
                <w:div w:id="401222322">
                  <w:marLeft w:val="0"/>
                  <w:marRight w:val="0"/>
                  <w:marTop w:val="0"/>
                  <w:marBottom w:val="0"/>
                  <w:divBdr>
                    <w:top w:val="none" w:sz="0" w:space="0" w:color="auto"/>
                    <w:left w:val="none" w:sz="0" w:space="0" w:color="auto"/>
                    <w:bottom w:val="none" w:sz="0" w:space="0" w:color="auto"/>
                    <w:right w:val="none" w:sz="0" w:space="0" w:color="auto"/>
                  </w:divBdr>
                  <w:divsChild>
                    <w:div w:id="1755054361">
                      <w:marLeft w:val="0"/>
                      <w:marRight w:val="0"/>
                      <w:marTop w:val="0"/>
                      <w:marBottom w:val="0"/>
                      <w:divBdr>
                        <w:top w:val="none" w:sz="0" w:space="0" w:color="auto"/>
                        <w:left w:val="none" w:sz="0" w:space="0" w:color="auto"/>
                        <w:bottom w:val="none" w:sz="0" w:space="0" w:color="auto"/>
                        <w:right w:val="none" w:sz="0" w:space="0" w:color="auto"/>
                      </w:divBdr>
                    </w:div>
                  </w:divsChild>
                </w:div>
                <w:div w:id="416444988">
                  <w:marLeft w:val="0"/>
                  <w:marRight w:val="0"/>
                  <w:marTop w:val="0"/>
                  <w:marBottom w:val="0"/>
                  <w:divBdr>
                    <w:top w:val="none" w:sz="0" w:space="0" w:color="auto"/>
                    <w:left w:val="none" w:sz="0" w:space="0" w:color="auto"/>
                    <w:bottom w:val="none" w:sz="0" w:space="0" w:color="auto"/>
                    <w:right w:val="none" w:sz="0" w:space="0" w:color="auto"/>
                  </w:divBdr>
                  <w:divsChild>
                    <w:div w:id="463084093">
                      <w:marLeft w:val="0"/>
                      <w:marRight w:val="0"/>
                      <w:marTop w:val="0"/>
                      <w:marBottom w:val="0"/>
                      <w:divBdr>
                        <w:top w:val="none" w:sz="0" w:space="0" w:color="auto"/>
                        <w:left w:val="none" w:sz="0" w:space="0" w:color="auto"/>
                        <w:bottom w:val="none" w:sz="0" w:space="0" w:color="auto"/>
                        <w:right w:val="none" w:sz="0" w:space="0" w:color="auto"/>
                      </w:divBdr>
                    </w:div>
                  </w:divsChild>
                </w:div>
                <w:div w:id="486827087">
                  <w:marLeft w:val="0"/>
                  <w:marRight w:val="0"/>
                  <w:marTop w:val="0"/>
                  <w:marBottom w:val="0"/>
                  <w:divBdr>
                    <w:top w:val="none" w:sz="0" w:space="0" w:color="auto"/>
                    <w:left w:val="none" w:sz="0" w:space="0" w:color="auto"/>
                    <w:bottom w:val="none" w:sz="0" w:space="0" w:color="auto"/>
                    <w:right w:val="none" w:sz="0" w:space="0" w:color="auto"/>
                  </w:divBdr>
                  <w:divsChild>
                    <w:div w:id="182940984">
                      <w:marLeft w:val="0"/>
                      <w:marRight w:val="0"/>
                      <w:marTop w:val="0"/>
                      <w:marBottom w:val="0"/>
                      <w:divBdr>
                        <w:top w:val="none" w:sz="0" w:space="0" w:color="auto"/>
                        <w:left w:val="none" w:sz="0" w:space="0" w:color="auto"/>
                        <w:bottom w:val="none" w:sz="0" w:space="0" w:color="auto"/>
                        <w:right w:val="none" w:sz="0" w:space="0" w:color="auto"/>
                      </w:divBdr>
                    </w:div>
                  </w:divsChild>
                </w:div>
                <w:div w:id="488449793">
                  <w:marLeft w:val="0"/>
                  <w:marRight w:val="0"/>
                  <w:marTop w:val="0"/>
                  <w:marBottom w:val="0"/>
                  <w:divBdr>
                    <w:top w:val="none" w:sz="0" w:space="0" w:color="auto"/>
                    <w:left w:val="none" w:sz="0" w:space="0" w:color="auto"/>
                    <w:bottom w:val="none" w:sz="0" w:space="0" w:color="auto"/>
                    <w:right w:val="none" w:sz="0" w:space="0" w:color="auto"/>
                  </w:divBdr>
                  <w:divsChild>
                    <w:div w:id="1674724714">
                      <w:marLeft w:val="0"/>
                      <w:marRight w:val="0"/>
                      <w:marTop w:val="0"/>
                      <w:marBottom w:val="0"/>
                      <w:divBdr>
                        <w:top w:val="none" w:sz="0" w:space="0" w:color="auto"/>
                        <w:left w:val="none" w:sz="0" w:space="0" w:color="auto"/>
                        <w:bottom w:val="none" w:sz="0" w:space="0" w:color="auto"/>
                        <w:right w:val="none" w:sz="0" w:space="0" w:color="auto"/>
                      </w:divBdr>
                    </w:div>
                  </w:divsChild>
                </w:div>
                <w:div w:id="612515220">
                  <w:marLeft w:val="0"/>
                  <w:marRight w:val="0"/>
                  <w:marTop w:val="0"/>
                  <w:marBottom w:val="0"/>
                  <w:divBdr>
                    <w:top w:val="none" w:sz="0" w:space="0" w:color="auto"/>
                    <w:left w:val="none" w:sz="0" w:space="0" w:color="auto"/>
                    <w:bottom w:val="none" w:sz="0" w:space="0" w:color="auto"/>
                    <w:right w:val="none" w:sz="0" w:space="0" w:color="auto"/>
                  </w:divBdr>
                  <w:divsChild>
                    <w:div w:id="436216118">
                      <w:marLeft w:val="0"/>
                      <w:marRight w:val="0"/>
                      <w:marTop w:val="0"/>
                      <w:marBottom w:val="0"/>
                      <w:divBdr>
                        <w:top w:val="none" w:sz="0" w:space="0" w:color="auto"/>
                        <w:left w:val="none" w:sz="0" w:space="0" w:color="auto"/>
                        <w:bottom w:val="none" w:sz="0" w:space="0" w:color="auto"/>
                        <w:right w:val="none" w:sz="0" w:space="0" w:color="auto"/>
                      </w:divBdr>
                    </w:div>
                  </w:divsChild>
                </w:div>
                <w:div w:id="740298468">
                  <w:marLeft w:val="0"/>
                  <w:marRight w:val="0"/>
                  <w:marTop w:val="0"/>
                  <w:marBottom w:val="0"/>
                  <w:divBdr>
                    <w:top w:val="none" w:sz="0" w:space="0" w:color="auto"/>
                    <w:left w:val="none" w:sz="0" w:space="0" w:color="auto"/>
                    <w:bottom w:val="none" w:sz="0" w:space="0" w:color="auto"/>
                    <w:right w:val="none" w:sz="0" w:space="0" w:color="auto"/>
                  </w:divBdr>
                  <w:divsChild>
                    <w:div w:id="1169976946">
                      <w:marLeft w:val="0"/>
                      <w:marRight w:val="0"/>
                      <w:marTop w:val="0"/>
                      <w:marBottom w:val="0"/>
                      <w:divBdr>
                        <w:top w:val="none" w:sz="0" w:space="0" w:color="auto"/>
                        <w:left w:val="none" w:sz="0" w:space="0" w:color="auto"/>
                        <w:bottom w:val="none" w:sz="0" w:space="0" w:color="auto"/>
                        <w:right w:val="none" w:sz="0" w:space="0" w:color="auto"/>
                      </w:divBdr>
                    </w:div>
                  </w:divsChild>
                </w:div>
                <w:div w:id="837115797">
                  <w:marLeft w:val="0"/>
                  <w:marRight w:val="0"/>
                  <w:marTop w:val="0"/>
                  <w:marBottom w:val="0"/>
                  <w:divBdr>
                    <w:top w:val="none" w:sz="0" w:space="0" w:color="auto"/>
                    <w:left w:val="none" w:sz="0" w:space="0" w:color="auto"/>
                    <w:bottom w:val="none" w:sz="0" w:space="0" w:color="auto"/>
                    <w:right w:val="none" w:sz="0" w:space="0" w:color="auto"/>
                  </w:divBdr>
                  <w:divsChild>
                    <w:div w:id="1928609634">
                      <w:marLeft w:val="0"/>
                      <w:marRight w:val="0"/>
                      <w:marTop w:val="0"/>
                      <w:marBottom w:val="0"/>
                      <w:divBdr>
                        <w:top w:val="none" w:sz="0" w:space="0" w:color="auto"/>
                        <w:left w:val="none" w:sz="0" w:space="0" w:color="auto"/>
                        <w:bottom w:val="none" w:sz="0" w:space="0" w:color="auto"/>
                        <w:right w:val="none" w:sz="0" w:space="0" w:color="auto"/>
                      </w:divBdr>
                    </w:div>
                  </w:divsChild>
                </w:div>
                <w:div w:id="902911075">
                  <w:marLeft w:val="0"/>
                  <w:marRight w:val="0"/>
                  <w:marTop w:val="0"/>
                  <w:marBottom w:val="0"/>
                  <w:divBdr>
                    <w:top w:val="none" w:sz="0" w:space="0" w:color="auto"/>
                    <w:left w:val="none" w:sz="0" w:space="0" w:color="auto"/>
                    <w:bottom w:val="none" w:sz="0" w:space="0" w:color="auto"/>
                    <w:right w:val="none" w:sz="0" w:space="0" w:color="auto"/>
                  </w:divBdr>
                  <w:divsChild>
                    <w:div w:id="1909075072">
                      <w:marLeft w:val="0"/>
                      <w:marRight w:val="0"/>
                      <w:marTop w:val="0"/>
                      <w:marBottom w:val="0"/>
                      <w:divBdr>
                        <w:top w:val="none" w:sz="0" w:space="0" w:color="auto"/>
                        <w:left w:val="none" w:sz="0" w:space="0" w:color="auto"/>
                        <w:bottom w:val="none" w:sz="0" w:space="0" w:color="auto"/>
                        <w:right w:val="none" w:sz="0" w:space="0" w:color="auto"/>
                      </w:divBdr>
                    </w:div>
                  </w:divsChild>
                </w:div>
                <w:div w:id="977762826">
                  <w:marLeft w:val="0"/>
                  <w:marRight w:val="0"/>
                  <w:marTop w:val="0"/>
                  <w:marBottom w:val="0"/>
                  <w:divBdr>
                    <w:top w:val="none" w:sz="0" w:space="0" w:color="auto"/>
                    <w:left w:val="none" w:sz="0" w:space="0" w:color="auto"/>
                    <w:bottom w:val="none" w:sz="0" w:space="0" w:color="auto"/>
                    <w:right w:val="none" w:sz="0" w:space="0" w:color="auto"/>
                  </w:divBdr>
                  <w:divsChild>
                    <w:div w:id="85812112">
                      <w:marLeft w:val="0"/>
                      <w:marRight w:val="0"/>
                      <w:marTop w:val="0"/>
                      <w:marBottom w:val="0"/>
                      <w:divBdr>
                        <w:top w:val="none" w:sz="0" w:space="0" w:color="auto"/>
                        <w:left w:val="none" w:sz="0" w:space="0" w:color="auto"/>
                        <w:bottom w:val="none" w:sz="0" w:space="0" w:color="auto"/>
                        <w:right w:val="none" w:sz="0" w:space="0" w:color="auto"/>
                      </w:divBdr>
                    </w:div>
                  </w:divsChild>
                </w:div>
                <w:div w:id="1000082902">
                  <w:marLeft w:val="0"/>
                  <w:marRight w:val="0"/>
                  <w:marTop w:val="0"/>
                  <w:marBottom w:val="0"/>
                  <w:divBdr>
                    <w:top w:val="none" w:sz="0" w:space="0" w:color="auto"/>
                    <w:left w:val="none" w:sz="0" w:space="0" w:color="auto"/>
                    <w:bottom w:val="none" w:sz="0" w:space="0" w:color="auto"/>
                    <w:right w:val="none" w:sz="0" w:space="0" w:color="auto"/>
                  </w:divBdr>
                  <w:divsChild>
                    <w:div w:id="1912763498">
                      <w:marLeft w:val="0"/>
                      <w:marRight w:val="0"/>
                      <w:marTop w:val="0"/>
                      <w:marBottom w:val="0"/>
                      <w:divBdr>
                        <w:top w:val="none" w:sz="0" w:space="0" w:color="auto"/>
                        <w:left w:val="none" w:sz="0" w:space="0" w:color="auto"/>
                        <w:bottom w:val="none" w:sz="0" w:space="0" w:color="auto"/>
                        <w:right w:val="none" w:sz="0" w:space="0" w:color="auto"/>
                      </w:divBdr>
                    </w:div>
                  </w:divsChild>
                </w:div>
                <w:div w:id="1000153926">
                  <w:marLeft w:val="0"/>
                  <w:marRight w:val="0"/>
                  <w:marTop w:val="0"/>
                  <w:marBottom w:val="0"/>
                  <w:divBdr>
                    <w:top w:val="none" w:sz="0" w:space="0" w:color="auto"/>
                    <w:left w:val="none" w:sz="0" w:space="0" w:color="auto"/>
                    <w:bottom w:val="none" w:sz="0" w:space="0" w:color="auto"/>
                    <w:right w:val="none" w:sz="0" w:space="0" w:color="auto"/>
                  </w:divBdr>
                  <w:divsChild>
                    <w:div w:id="321355529">
                      <w:marLeft w:val="0"/>
                      <w:marRight w:val="0"/>
                      <w:marTop w:val="0"/>
                      <w:marBottom w:val="0"/>
                      <w:divBdr>
                        <w:top w:val="none" w:sz="0" w:space="0" w:color="auto"/>
                        <w:left w:val="none" w:sz="0" w:space="0" w:color="auto"/>
                        <w:bottom w:val="none" w:sz="0" w:space="0" w:color="auto"/>
                        <w:right w:val="none" w:sz="0" w:space="0" w:color="auto"/>
                      </w:divBdr>
                    </w:div>
                  </w:divsChild>
                </w:div>
                <w:div w:id="1014041019">
                  <w:marLeft w:val="0"/>
                  <w:marRight w:val="0"/>
                  <w:marTop w:val="0"/>
                  <w:marBottom w:val="0"/>
                  <w:divBdr>
                    <w:top w:val="none" w:sz="0" w:space="0" w:color="auto"/>
                    <w:left w:val="none" w:sz="0" w:space="0" w:color="auto"/>
                    <w:bottom w:val="none" w:sz="0" w:space="0" w:color="auto"/>
                    <w:right w:val="none" w:sz="0" w:space="0" w:color="auto"/>
                  </w:divBdr>
                  <w:divsChild>
                    <w:div w:id="1596398372">
                      <w:marLeft w:val="0"/>
                      <w:marRight w:val="0"/>
                      <w:marTop w:val="0"/>
                      <w:marBottom w:val="0"/>
                      <w:divBdr>
                        <w:top w:val="none" w:sz="0" w:space="0" w:color="auto"/>
                        <w:left w:val="none" w:sz="0" w:space="0" w:color="auto"/>
                        <w:bottom w:val="none" w:sz="0" w:space="0" w:color="auto"/>
                        <w:right w:val="none" w:sz="0" w:space="0" w:color="auto"/>
                      </w:divBdr>
                    </w:div>
                  </w:divsChild>
                </w:div>
                <w:div w:id="1031145001">
                  <w:marLeft w:val="0"/>
                  <w:marRight w:val="0"/>
                  <w:marTop w:val="0"/>
                  <w:marBottom w:val="0"/>
                  <w:divBdr>
                    <w:top w:val="none" w:sz="0" w:space="0" w:color="auto"/>
                    <w:left w:val="none" w:sz="0" w:space="0" w:color="auto"/>
                    <w:bottom w:val="none" w:sz="0" w:space="0" w:color="auto"/>
                    <w:right w:val="none" w:sz="0" w:space="0" w:color="auto"/>
                  </w:divBdr>
                  <w:divsChild>
                    <w:div w:id="479615811">
                      <w:marLeft w:val="0"/>
                      <w:marRight w:val="0"/>
                      <w:marTop w:val="0"/>
                      <w:marBottom w:val="0"/>
                      <w:divBdr>
                        <w:top w:val="none" w:sz="0" w:space="0" w:color="auto"/>
                        <w:left w:val="none" w:sz="0" w:space="0" w:color="auto"/>
                        <w:bottom w:val="none" w:sz="0" w:space="0" w:color="auto"/>
                        <w:right w:val="none" w:sz="0" w:space="0" w:color="auto"/>
                      </w:divBdr>
                    </w:div>
                  </w:divsChild>
                </w:div>
                <w:div w:id="1039284138">
                  <w:marLeft w:val="0"/>
                  <w:marRight w:val="0"/>
                  <w:marTop w:val="0"/>
                  <w:marBottom w:val="0"/>
                  <w:divBdr>
                    <w:top w:val="none" w:sz="0" w:space="0" w:color="auto"/>
                    <w:left w:val="none" w:sz="0" w:space="0" w:color="auto"/>
                    <w:bottom w:val="none" w:sz="0" w:space="0" w:color="auto"/>
                    <w:right w:val="none" w:sz="0" w:space="0" w:color="auto"/>
                  </w:divBdr>
                  <w:divsChild>
                    <w:div w:id="165244087">
                      <w:marLeft w:val="0"/>
                      <w:marRight w:val="0"/>
                      <w:marTop w:val="0"/>
                      <w:marBottom w:val="0"/>
                      <w:divBdr>
                        <w:top w:val="none" w:sz="0" w:space="0" w:color="auto"/>
                        <w:left w:val="none" w:sz="0" w:space="0" w:color="auto"/>
                        <w:bottom w:val="none" w:sz="0" w:space="0" w:color="auto"/>
                        <w:right w:val="none" w:sz="0" w:space="0" w:color="auto"/>
                      </w:divBdr>
                    </w:div>
                  </w:divsChild>
                </w:div>
                <w:div w:id="1088112665">
                  <w:marLeft w:val="0"/>
                  <w:marRight w:val="0"/>
                  <w:marTop w:val="0"/>
                  <w:marBottom w:val="0"/>
                  <w:divBdr>
                    <w:top w:val="none" w:sz="0" w:space="0" w:color="auto"/>
                    <w:left w:val="none" w:sz="0" w:space="0" w:color="auto"/>
                    <w:bottom w:val="none" w:sz="0" w:space="0" w:color="auto"/>
                    <w:right w:val="none" w:sz="0" w:space="0" w:color="auto"/>
                  </w:divBdr>
                  <w:divsChild>
                    <w:div w:id="1850876335">
                      <w:marLeft w:val="0"/>
                      <w:marRight w:val="0"/>
                      <w:marTop w:val="0"/>
                      <w:marBottom w:val="0"/>
                      <w:divBdr>
                        <w:top w:val="none" w:sz="0" w:space="0" w:color="auto"/>
                        <w:left w:val="none" w:sz="0" w:space="0" w:color="auto"/>
                        <w:bottom w:val="none" w:sz="0" w:space="0" w:color="auto"/>
                        <w:right w:val="none" w:sz="0" w:space="0" w:color="auto"/>
                      </w:divBdr>
                    </w:div>
                  </w:divsChild>
                </w:div>
                <w:div w:id="1100375731">
                  <w:marLeft w:val="0"/>
                  <w:marRight w:val="0"/>
                  <w:marTop w:val="0"/>
                  <w:marBottom w:val="0"/>
                  <w:divBdr>
                    <w:top w:val="none" w:sz="0" w:space="0" w:color="auto"/>
                    <w:left w:val="none" w:sz="0" w:space="0" w:color="auto"/>
                    <w:bottom w:val="none" w:sz="0" w:space="0" w:color="auto"/>
                    <w:right w:val="none" w:sz="0" w:space="0" w:color="auto"/>
                  </w:divBdr>
                  <w:divsChild>
                    <w:div w:id="1543831974">
                      <w:marLeft w:val="0"/>
                      <w:marRight w:val="0"/>
                      <w:marTop w:val="0"/>
                      <w:marBottom w:val="0"/>
                      <w:divBdr>
                        <w:top w:val="none" w:sz="0" w:space="0" w:color="auto"/>
                        <w:left w:val="none" w:sz="0" w:space="0" w:color="auto"/>
                        <w:bottom w:val="none" w:sz="0" w:space="0" w:color="auto"/>
                        <w:right w:val="none" w:sz="0" w:space="0" w:color="auto"/>
                      </w:divBdr>
                    </w:div>
                  </w:divsChild>
                </w:div>
                <w:div w:id="1113791672">
                  <w:marLeft w:val="0"/>
                  <w:marRight w:val="0"/>
                  <w:marTop w:val="0"/>
                  <w:marBottom w:val="0"/>
                  <w:divBdr>
                    <w:top w:val="none" w:sz="0" w:space="0" w:color="auto"/>
                    <w:left w:val="none" w:sz="0" w:space="0" w:color="auto"/>
                    <w:bottom w:val="none" w:sz="0" w:space="0" w:color="auto"/>
                    <w:right w:val="none" w:sz="0" w:space="0" w:color="auto"/>
                  </w:divBdr>
                  <w:divsChild>
                    <w:div w:id="2087915656">
                      <w:marLeft w:val="0"/>
                      <w:marRight w:val="0"/>
                      <w:marTop w:val="0"/>
                      <w:marBottom w:val="0"/>
                      <w:divBdr>
                        <w:top w:val="none" w:sz="0" w:space="0" w:color="auto"/>
                        <w:left w:val="none" w:sz="0" w:space="0" w:color="auto"/>
                        <w:bottom w:val="none" w:sz="0" w:space="0" w:color="auto"/>
                        <w:right w:val="none" w:sz="0" w:space="0" w:color="auto"/>
                      </w:divBdr>
                    </w:div>
                  </w:divsChild>
                </w:div>
                <w:div w:id="1123378586">
                  <w:marLeft w:val="0"/>
                  <w:marRight w:val="0"/>
                  <w:marTop w:val="0"/>
                  <w:marBottom w:val="0"/>
                  <w:divBdr>
                    <w:top w:val="none" w:sz="0" w:space="0" w:color="auto"/>
                    <w:left w:val="none" w:sz="0" w:space="0" w:color="auto"/>
                    <w:bottom w:val="none" w:sz="0" w:space="0" w:color="auto"/>
                    <w:right w:val="none" w:sz="0" w:space="0" w:color="auto"/>
                  </w:divBdr>
                  <w:divsChild>
                    <w:div w:id="1322932222">
                      <w:marLeft w:val="0"/>
                      <w:marRight w:val="0"/>
                      <w:marTop w:val="0"/>
                      <w:marBottom w:val="0"/>
                      <w:divBdr>
                        <w:top w:val="none" w:sz="0" w:space="0" w:color="auto"/>
                        <w:left w:val="none" w:sz="0" w:space="0" w:color="auto"/>
                        <w:bottom w:val="none" w:sz="0" w:space="0" w:color="auto"/>
                        <w:right w:val="none" w:sz="0" w:space="0" w:color="auto"/>
                      </w:divBdr>
                    </w:div>
                  </w:divsChild>
                </w:div>
                <w:div w:id="1166438845">
                  <w:marLeft w:val="0"/>
                  <w:marRight w:val="0"/>
                  <w:marTop w:val="0"/>
                  <w:marBottom w:val="0"/>
                  <w:divBdr>
                    <w:top w:val="none" w:sz="0" w:space="0" w:color="auto"/>
                    <w:left w:val="none" w:sz="0" w:space="0" w:color="auto"/>
                    <w:bottom w:val="none" w:sz="0" w:space="0" w:color="auto"/>
                    <w:right w:val="none" w:sz="0" w:space="0" w:color="auto"/>
                  </w:divBdr>
                  <w:divsChild>
                    <w:div w:id="469204192">
                      <w:marLeft w:val="0"/>
                      <w:marRight w:val="0"/>
                      <w:marTop w:val="0"/>
                      <w:marBottom w:val="0"/>
                      <w:divBdr>
                        <w:top w:val="none" w:sz="0" w:space="0" w:color="auto"/>
                        <w:left w:val="none" w:sz="0" w:space="0" w:color="auto"/>
                        <w:bottom w:val="none" w:sz="0" w:space="0" w:color="auto"/>
                        <w:right w:val="none" w:sz="0" w:space="0" w:color="auto"/>
                      </w:divBdr>
                    </w:div>
                  </w:divsChild>
                </w:div>
                <w:div w:id="1250115339">
                  <w:marLeft w:val="0"/>
                  <w:marRight w:val="0"/>
                  <w:marTop w:val="0"/>
                  <w:marBottom w:val="0"/>
                  <w:divBdr>
                    <w:top w:val="none" w:sz="0" w:space="0" w:color="auto"/>
                    <w:left w:val="none" w:sz="0" w:space="0" w:color="auto"/>
                    <w:bottom w:val="none" w:sz="0" w:space="0" w:color="auto"/>
                    <w:right w:val="none" w:sz="0" w:space="0" w:color="auto"/>
                  </w:divBdr>
                  <w:divsChild>
                    <w:div w:id="1287005659">
                      <w:marLeft w:val="0"/>
                      <w:marRight w:val="0"/>
                      <w:marTop w:val="0"/>
                      <w:marBottom w:val="0"/>
                      <w:divBdr>
                        <w:top w:val="none" w:sz="0" w:space="0" w:color="auto"/>
                        <w:left w:val="none" w:sz="0" w:space="0" w:color="auto"/>
                        <w:bottom w:val="none" w:sz="0" w:space="0" w:color="auto"/>
                        <w:right w:val="none" w:sz="0" w:space="0" w:color="auto"/>
                      </w:divBdr>
                    </w:div>
                  </w:divsChild>
                </w:div>
                <w:div w:id="1275286601">
                  <w:marLeft w:val="0"/>
                  <w:marRight w:val="0"/>
                  <w:marTop w:val="0"/>
                  <w:marBottom w:val="0"/>
                  <w:divBdr>
                    <w:top w:val="none" w:sz="0" w:space="0" w:color="auto"/>
                    <w:left w:val="none" w:sz="0" w:space="0" w:color="auto"/>
                    <w:bottom w:val="none" w:sz="0" w:space="0" w:color="auto"/>
                    <w:right w:val="none" w:sz="0" w:space="0" w:color="auto"/>
                  </w:divBdr>
                  <w:divsChild>
                    <w:div w:id="1181625666">
                      <w:marLeft w:val="0"/>
                      <w:marRight w:val="0"/>
                      <w:marTop w:val="0"/>
                      <w:marBottom w:val="0"/>
                      <w:divBdr>
                        <w:top w:val="none" w:sz="0" w:space="0" w:color="auto"/>
                        <w:left w:val="none" w:sz="0" w:space="0" w:color="auto"/>
                        <w:bottom w:val="none" w:sz="0" w:space="0" w:color="auto"/>
                        <w:right w:val="none" w:sz="0" w:space="0" w:color="auto"/>
                      </w:divBdr>
                    </w:div>
                  </w:divsChild>
                </w:div>
                <w:div w:id="1285042477">
                  <w:marLeft w:val="0"/>
                  <w:marRight w:val="0"/>
                  <w:marTop w:val="0"/>
                  <w:marBottom w:val="0"/>
                  <w:divBdr>
                    <w:top w:val="none" w:sz="0" w:space="0" w:color="auto"/>
                    <w:left w:val="none" w:sz="0" w:space="0" w:color="auto"/>
                    <w:bottom w:val="none" w:sz="0" w:space="0" w:color="auto"/>
                    <w:right w:val="none" w:sz="0" w:space="0" w:color="auto"/>
                  </w:divBdr>
                  <w:divsChild>
                    <w:div w:id="1073695584">
                      <w:marLeft w:val="0"/>
                      <w:marRight w:val="0"/>
                      <w:marTop w:val="0"/>
                      <w:marBottom w:val="0"/>
                      <w:divBdr>
                        <w:top w:val="none" w:sz="0" w:space="0" w:color="auto"/>
                        <w:left w:val="none" w:sz="0" w:space="0" w:color="auto"/>
                        <w:bottom w:val="none" w:sz="0" w:space="0" w:color="auto"/>
                        <w:right w:val="none" w:sz="0" w:space="0" w:color="auto"/>
                      </w:divBdr>
                    </w:div>
                  </w:divsChild>
                </w:div>
                <w:div w:id="1306855350">
                  <w:marLeft w:val="0"/>
                  <w:marRight w:val="0"/>
                  <w:marTop w:val="0"/>
                  <w:marBottom w:val="0"/>
                  <w:divBdr>
                    <w:top w:val="none" w:sz="0" w:space="0" w:color="auto"/>
                    <w:left w:val="none" w:sz="0" w:space="0" w:color="auto"/>
                    <w:bottom w:val="none" w:sz="0" w:space="0" w:color="auto"/>
                    <w:right w:val="none" w:sz="0" w:space="0" w:color="auto"/>
                  </w:divBdr>
                  <w:divsChild>
                    <w:div w:id="1302733678">
                      <w:marLeft w:val="0"/>
                      <w:marRight w:val="0"/>
                      <w:marTop w:val="0"/>
                      <w:marBottom w:val="0"/>
                      <w:divBdr>
                        <w:top w:val="none" w:sz="0" w:space="0" w:color="auto"/>
                        <w:left w:val="none" w:sz="0" w:space="0" w:color="auto"/>
                        <w:bottom w:val="none" w:sz="0" w:space="0" w:color="auto"/>
                        <w:right w:val="none" w:sz="0" w:space="0" w:color="auto"/>
                      </w:divBdr>
                    </w:div>
                  </w:divsChild>
                </w:div>
                <w:div w:id="1309826180">
                  <w:marLeft w:val="0"/>
                  <w:marRight w:val="0"/>
                  <w:marTop w:val="0"/>
                  <w:marBottom w:val="0"/>
                  <w:divBdr>
                    <w:top w:val="none" w:sz="0" w:space="0" w:color="auto"/>
                    <w:left w:val="none" w:sz="0" w:space="0" w:color="auto"/>
                    <w:bottom w:val="none" w:sz="0" w:space="0" w:color="auto"/>
                    <w:right w:val="none" w:sz="0" w:space="0" w:color="auto"/>
                  </w:divBdr>
                  <w:divsChild>
                    <w:div w:id="730081588">
                      <w:marLeft w:val="0"/>
                      <w:marRight w:val="0"/>
                      <w:marTop w:val="0"/>
                      <w:marBottom w:val="0"/>
                      <w:divBdr>
                        <w:top w:val="none" w:sz="0" w:space="0" w:color="auto"/>
                        <w:left w:val="none" w:sz="0" w:space="0" w:color="auto"/>
                        <w:bottom w:val="none" w:sz="0" w:space="0" w:color="auto"/>
                        <w:right w:val="none" w:sz="0" w:space="0" w:color="auto"/>
                      </w:divBdr>
                    </w:div>
                  </w:divsChild>
                </w:div>
                <w:div w:id="1362438672">
                  <w:marLeft w:val="0"/>
                  <w:marRight w:val="0"/>
                  <w:marTop w:val="0"/>
                  <w:marBottom w:val="0"/>
                  <w:divBdr>
                    <w:top w:val="none" w:sz="0" w:space="0" w:color="auto"/>
                    <w:left w:val="none" w:sz="0" w:space="0" w:color="auto"/>
                    <w:bottom w:val="none" w:sz="0" w:space="0" w:color="auto"/>
                    <w:right w:val="none" w:sz="0" w:space="0" w:color="auto"/>
                  </w:divBdr>
                  <w:divsChild>
                    <w:div w:id="1429691677">
                      <w:marLeft w:val="0"/>
                      <w:marRight w:val="0"/>
                      <w:marTop w:val="0"/>
                      <w:marBottom w:val="0"/>
                      <w:divBdr>
                        <w:top w:val="none" w:sz="0" w:space="0" w:color="auto"/>
                        <w:left w:val="none" w:sz="0" w:space="0" w:color="auto"/>
                        <w:bottom w:val="none" w:sz="0" w:space="0" w:color="auto"/>
                        <w:right w:val="none" w:sz="0" w:space="0" w:color="auto"/>
                      </w:divBdr>
                    </w:div>
                  </w:divsChild>
                </w:div>
                <w:div w:id="1397245087">
                  <w:marLeft w:val="0"/>
                  <w:marRight w:val="0"/>
                  <w:marTop w:val="0"/>
                  <w:marBottom w:val="0"/>
                  <w:divBdr>
                    <w:top w:val="none" w:sz="0" w:space="0" w:color="auto"/>
                    <w:left w:val="none" w:sz="0" w:space="0" w:color="auto"/>
                    <w:bottom w:val="none" w:sz="0" w:space="0" w:color="auto"/>
                    <w:right w:val="none" w:sz="0" w:space="0" w:color="auto"/>
                  </w:divBdr>
                  <w:divsChild>
                    <w:div w:id="2013800216">
                      <w:marLeft w:val="0"/>
                      <w:marRight w:val="0"/>
                      <w:marTop w:val="0"/>
                      <w:marBottom w:val="0"/>
                      <w:divBdr>
                        <w:top w:val="none" w:sz="0" w:space="0" w:color="auto"/>
                        <w:left w:val="none" w:sz="0" w:space="0" w:color="auto"/>
                        <w:bottom w:val="none" w:sz="0" w:space="0" w:color="auto"/>
                        <w:right w:val="none" w:sz="0" w:space="0" w:color="auto"/>
                      </w:divBdr>
                    </w:div>
                  </w:divsChild>
                </w:div>
                <w:div w:id="1398236840">
                  <w:marLeft w:val="0"/>
                  <w:marRight w:val="0"/>
                  <w:marTop w:val="0"/>
                  <w:marBottom w:val="0"/>
                  <w:divBdr>
                    <w:top w:val="none" w:sz="0" w:space="0" w:color="auto"/>
                    <w:left w:val="none" w:sz="0" w:space="0" w:color="auto"/>
                    <w:bottom w:val="none" w:sz="0" w:space="0" w:color="auto"/>
                    <w:right w:val="none" w:sz="0" w:space="0" w:color="auto"/>
                  </w:divBdr>
                  <w:divsChild>
                    <w:div w:id="1344430195">
                      <w:marLeft w:val="0"/>
                      <w:marRight w:val="0"/>
                      <w:marTop w:val="0"/>
                      <w:marBottom w:val="0"/>
                      <w:divBdr>
                        <w:top w:val="none" w:sz="0" w:space="0" w:color="auto"/>
                        <w:left w:val="none" w:sz="0" w:space="0" w:color="auto"/>
                        <w:bottom w:val="none" w:sz="0" w:space="0" w:color="auto"/>
                        <w:right w:val="none" w:sz="0" w:space="0" w:color="auto"/>
                      </w:divBdr>
                    </w:div>
                  </w:divsChild>
                </w:div>
                <w:div w:id="1531800901">
                  <w:marLeft w:val="0"/>
                  <w:marRight w:val="0"/>
                  <w:marTop w:val="0"/>
                  <w:marBottom w:val="0"/>
                  <w:divBdr>
                    <w:top w:val="none" w:sz="0" w:space="0" w:color="auto"/>
                    <w:left w:val="none" w:sz="0" w:space="0" w:color="auto"/>
                    <w:bottom w:val="none" w:sz="0" w:space="0" w:color="auto"/>
                    <w:right w:val="none" w:sz="0" w:space="0" w:color="auto"/>
                  </w:divBdr>
                  <w:divsChild>
                    <w:div w:id="1561599371">
                      <w:marLeft w:val="0"/>
                      <w:marRight w:val="0"/>
                      <w:marTop w:val="0"/>
                      <w:marBottom w:val="0"/>
                      <w:divBdr>
                        <w:top w:val="none" w:sz="0" w:space="0" w:color="auto"/>
                        <w:left w:val="none" w:sz="0" w:space="0" w:color="auto"/>
                        <w:bottom w:val="none" w:sz="0" w:space="0" w:color="auto"/>
                        <w:right w:val="none" w:sz="0" w:space="0" w:color="auto"/>
                      </w:divBdr>
                    </w:div>
                  </w:divsChild>
                </w:div>
                <w:div w:id="1591307367">
                  <w:marLeft w:val="0"/>
                  <w:marRight w:val="0"/>
                  <w:marTop w:val="0"/>
                  <w:marBottom w:val="0"/>
                  <w:divBdr>
                    <w:top w:val="none" w:sz="0" w:space="0" w:color="auto"/>
                    <w:left w:val="none" w:sz="0" w:space="0" w:color="auto"/>
                    <w:bottom w:val="none" w:sz="0" w:space="0" w:color="auto"/>
                    <w:right w:val="none" w:sz="0" w:space="0" w:color="auto"/>
                  </w:divBdr>
                  <w:divsChild>
                    <w:div w:id="1158576773">
                      <w:marLeft w:val="0"/>
                      <w:marRight w:val="0"/>
                      <w:marTop w:val="0"/>
                      <w:marBottom w:val="0"/>
                      <w:divBdr>
                        <w:top w:val="none" w:sz="0" w:space="0" w:color="auto"/>
                        <w:left w:val="none" w:sz="0" w:space="0" w:color="auto"/>
                        <w:bottom w:val="none" w:sz="0" w:space="0" w:color="auto"/>
                        <w:right w:val="none" w:sz="0" w:space="0" w:color="auto"/>
                      </w:divBdr>
                    </w:div>
                  </w:divsChild>
                </w:div>
                <w:div w:id="1642995990">
                  <w:marLeft w:val="0"/>
                  <w:marRight w:val="0"/>
                  <w:marTop w:val="0"/>
                  <w:marBottom w:val="0"/>
                  <w:divBdr>
                    <w:top w:val="none" w:sz="0" w:space="0" w:color="auto"/>
                    <w:left w:val="none" w:sz="0" w:space="0" w:color="auto"/>
                    <w:bottom w:val="none" w:sz="0" w:space="0" w:color="auto"/>
                    <w:right w:val="none" w:sz="0" w:space="0" w:color="auto"/>
                  </w:divBdr>
                  <w:divsChild>
                    <w:div w:id="62222513">
                      <w:marLeft w:val="0"/>
                      <w:marRight w:val="0"/>
                      <w:marTop w:val="0"/>
                      <w:marBottom w:val="0"/>
                      <w:divBdr>
                        <w:top w:val="none" w:sz="0" w:space="0" w:color="auto"/>
                        <w:left w:val="none" w:sz="0" w:space="0" w:color="auto"/>
                        <w:bottom w:val="none" w:sz="0" w:space="0" w:color="auto"/>
                        <w:right w:val="none" w:sz="0" w:space="0" w:color="auto"/>
                      </w:divBdr>
                    </w:div>
                  </w:divsChild>
                </w:div>
                <w:div w:id="1693333981">
                  <w:marLeft w:val="0"/>
                  <w:marRight w:val="0"/>
                  <w:marTop w:val="0"/>
                  <w:marBottom w:val="0"/>
                  <w:divBdr>
                    <w:top w:val="none" w:sz="0" w:space="0" w:color="auto"/>
                    <w:left w:val="none" w:sz="0" w:space="0" w:color="auto"/>
                    <w:bottom w:val="none" w:sz="0" w:space="0" w:color="auto"/>
                    <w:right w:val="none" w:sz="0" w:space="0" w:color="auto"/>
                  </w:divBdr>
                  <w:divsChild>
                    <w:div w:id="139226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455199">
          <w:marLeft w:val="0"/>
          <w:marRight w:val="0"/>
          <w:marTop w:val="0"/>
          <w:marBottom w:val="0"/>
          <w:divBdr>
            <w:top w:val="none" w:sz="0" w:space="0" w:color="auto"/>
            <w:left w:val="none" w:sz="0" w:space="0" w:color="auto"/>
            <w:bottom w:val="none" w:sz="0" w:space="0" w:color="auto"/>
            <w:right w:val="none" w:sz="0" w:space="0" w:color="auto"/>
          </w:divBdr>
        </w:div>
        <w:div w:id="1765373348">
          <w:marLeft w:val="0"/>
          <w:marRight w:val="0"/>
          <w:marTop w:val="0"/>
          <w:marBottom w:val="0"/>
          <w:divBdr>
            <w:top w:val="none" w:sz="0" w:space="0" w:color="auto"/>
            <w:left w:val="none" w:sz="0" w:space="0" w:color="auto"/>
            <w:bottom w:val="none" w:sz="0" w:space="0" w:color="auto"/>
            <w:right w:val="none" w:sz="0" w:space="0" w:color="auto"/>
          </w:divBdr>
        </w:div>
        <w:div w:id="1772967498">
          <w:marLeft w:val="0"/>
          <w:marRight w:val="0"/>
          <w:marTop w:val="0"/>
          <w:marBottom w:val="0"/>
          <w:divBdr>
            <w:top w:val="none" w:sz="0" w:space="0" w:color="auto"/>
            <w:left w:val="none" w:sz="0" w:space="0" w:color="auto"/>
            <w:bottom w:val="none" w:sz="0" w:space="0" w:color="auto"/>
            <w:right w:val="none" w:sz="0" w:space="0" w:color="auto"/>
          </w:divBdr>
          <w:divsChild>
            <w:div w:id="664019306">
              <w:marLeft w:val="-75"/>
              <w:marRight w:val="0"/>
              <w:marTop w:val="30"/>
              <w:marBottom w:val="30"/>
              <w:divBdr>
                <w:top w:val="none" w:sz="0" w:space="0" w:color="auto"/>
                <w:left w:val="none" w:sz="0" w:space="0" w:color="auto"/>
                <w:bottom w:val="none" w:sz="0" w:space="0" w:color="auto"/>
                <w:right w:val="none" w:sz="0" w:space="0" w:color="auto"/>
              </w:divBdr>
              <w:divsChild>
                <w:div w:id="14581520">
                  <w:marLeft w:val="0"/>
                  <w:marRight w:val="0"/>
                  <w:marTop w:val="0"/>
                  <w:marBottom w:val="0"/>
                  <w:divBdr>
                    <w:top w:val="none" w:sz="0" w:space="0" w:color="auto"/>
                    <w:left w:val="none" w:sz="0" w:space="0" w:color="auto"/>
                    <w:bottom w:val="none" w:sz="0" w:space="0" w:color="auto"/>
                    <w:right w:val="none" w:sz="0" w:space="0" w:color="auto"/>
                  </w:divBdr>
                  <w:divsChild>
                    <w:div w:id="1642225974">
                      <w:marLeft w:val="0"/>
                      <w:marRight w:val="0"/>
                      <w:marTop w:val="0"/>
                      <w:marBottom w:val="0"/>
                      <w:divBdr>
                        <w:top w:val="none" w:sz="0" w:space="0" w:color="auto"/>
                        <w:left w:val="none" w:sz="0" w:space="0" w:color="auto"/>
                        <w:bottom w:val="none" w:sz="0" w:space="0" w:color="auto"/>
                        <w:right w:val="none" w:sz="0" w:space="0" w:color="auto"/>
                      </w:divBdr>
                    </w:div>
                  </w:divsChild>
                </w:div>
                <w:div w:id="91053084">
                  <w:marLeft w:val="0"/>
                  <w:marRight w:val="0"/>
                  <w:marTop w:val="0"/>
                  <w:marBottom w:val="0"/>
                  <w:divBdr>
                    <w:top w:val="none" w:sz="0" w:space="0" w:color="auto"/>
                    <w:left w:val="none" w:sz="0" w:space="0" w:color="auto"/>
                    <w:bottom w:val="none" w:sz="0" w:space="0" w:color="auto"/>
                    <w:right w:val="none" w:sz="0" w:space="0" w:color="auto"/>
                  </w:divBdr>
                  <w:divsChild>
                    <w:div w:id="1131745431">
                      <w:marLeft w:val="0"/>
                      <w:marRight w:val="0"/>
                      <w:marTop w:val="0"/>
                      <w:marBottom w:val="0"/>
                      <w:divBdr>
                        <w:top w:val="none" w:sz="0" w:space="0" w:color="auto"/>
                        <w:left w:val="none" w:sz="0" w:space="0" w:color="auto"/>
                        <w:bottom w:val="none" w:sz="0" w:space="0" w:color="auto"/>
                        <w:right w:val="none" w:sz="0" w:space="0" w:color="auto"/>
                      </w:divBdr>
                    </w:div>
                  </w:divsChild>
                </w:div>
                <w:div w:id="92482508">
                  <w:marLeft w:val="0"/>
                  <w:marRight w:val="0"/>
                  <w:marTop w:val="0"/>
                  <w:marBottom w:val="0"/>
                  <w:divBdr>
                    <w:top w:val="none" w:sz="0" w:space="0" w:color="auto"/>
                    <w:left w:val="none" w:sz="0" w:space="0" w:color="auto"/>
                    <w:bottom w:val="none" w:sz="0" w:space="0" w:color="auto"/>
                    <w:right w:val="none" w:sz="0" w:space="0" w:color="auto"/>
                  </w:divBdr>
                  <w:divsChild>
                    <w:div w:id="1476214238">
                      <w:marLeft w:val="0"/>
                      <w:marRight w:val="0"/>
                      <w:marTop w:val="0"/>
                      <w:marBottom w:val="0"/>
                      <w:divBdr>
                        <w:top w:val="none" w:sz="0" w:space="0" w:color="auto"/>
                        <w:left w:val="none" w:sz="0" w:space="0" w:color="auto"/>
                        <w:bottom w:val="none" w:sz="0" w:space="0" w:color="auto"/>
                        <w:right w:val="none" w:sz="0" w:space="0" w:color="auto"/>
                      </w:divBdr>
                    </w:div>
                  </w:divsChild>
                </w:div>
                <w:div w:id="136189379">
                  <w:marLeft w:val="0"/>
                  <w:marRight w:val="0"/>
                  <w:marTop w:val="0"/>
                  <w:marBottom w:val="0"/>
                  <w:divBdr>
                    <w:top w:val="none" w:sz="0" w:space="0" w:color="auto"/>
                    <w:left w:val="none" w:sz="0" w:space="0" w:color="auto"/>
                    <w:bottom w:val="none" w:sz="0" w:space="0" w:color="auto"/>
                    <w:right w:val="none" w:sz="0" w:space="0" w:color="auto"/>
                  </w:divBdr>
                  <w:divsChild>
                    <w:div w:id="521482934">
                      <w:marLeft w:val="0"/>
                      <w:marRight w:val="0"/>
                      <w:marTop w:val="0"/>
                      <w:marBottom w:val="0"/>
                      <w:divBdr>
                        <w:top w:val="none" w:sz="0" w:space="0" w:color="auto"/>
                        <w:left w:val="none" w:sz="0" w:space="0" w:color="auto"/>
                        <w:bottom w:val="none" w:sz="0" w:space="0" w:color="auto"/>
                        <w:right w:val="none" w:sz="0" w:space="0" w:color="auto"/>
                      </w:divBdr>
                    </w:div>
                  </w:divsChild>
                </w:div>
                <w:div w:id="156501382">
                  <w:marLeft w:val="0"/>
                  <w:marRight w:val="0"/>
                  <w:marTop w:val="0"/>
                  <w:marBottom w:val="0"/>
                  <w:divBdr>
                    <w:top w:val="none" w:sz="0" w:space="0" w:color="auto"/>
                    <w:left w:val="none" w:sz="0" w:space="0" w:color="auto"/>
                    <w:bottom w:val="none" w:sz="0" w:space="0" w:color="auto"/>
                    <w:right w:val="none" w:sz="0" w:space="0" w:color="auto"/>
                  </w:divBdr>
                  <w:divsChild>
                    <w:div w:id="900599542">
                      <w:marLeft w:val="0"/>
                      <w:marRight w:val="0"/>
                      <w:marTop w:val="0"/>
                      <w:marBottom w:val="0"/>
                      <w:divBdr>
                        <w:top w:val="none" w:sz="0" w:space="0" w:color="auto"/>
                        <w:left w:val="none" w:sz="0" w:space="0" w:color="auto"/>
                        <w:bottom w:val="none" w:sz="0" w:space="0" w:color="auto"/>
                        <w:right w:val="none" w:sz="0" w:space="0" w:color="auto"/>
                      </w:divBdr>
                    </w:div>
                  </w:divsChild>
                </w:div>
                <w:div w:id="161554371">
                  <w:marLeft w:val="0"/>
                  <w:marRight w:val="0"/>
                  <w:marTop w:val="0"/>
                  <w:marBottom w:val="0"/>
                  <w:divBdr>
                    <w:top w:val="none" w:sz="0" w:space="0" w:color="auto"/>
                    <w:left w:val="none" w:sz="0" w:space="0" w:color="auto"/>
                    <w:bottom w:val="none" w:sz="0" w:space="0" w:color="auto"/>
                    <w:right w:val="none" w:sz="0" w:space="0" w:color="auto"/>
                  </w:divBdr>
                  <w:divsChild>
                    <w:div w:id="23411616">
                      <w:marLeft w:val="0"/>
                      <w:marRight w:val="0"/>
                      <w:marTop w:val="0"/>
                      <w:marBottom w:val="0"/>
                      <w:divBdr>
                        <w:top w:val="none" w:sz="0" w:space="0" w:color="auto"/>
                        <w:left w:val="none" w:sz="0" w:space="0" w:color="auto"/>
                        <w:bottom w:val="none" w:sz="0" w:space="0" w:color="auto"/>
                        <w:right w:val="none" w:sz="0" w:space="0" w:color="auto"/>
                      </w:divBdr>
                    </w:div>
                  </w:divsChild>
                </w:div>
                <w:div w:id="180321403">
                  <w:marLeft w:val="0"/>
                  <w:marRight w:val="0"/>
                  <w:marTop w:val="0"/>
                  <w:marBottom w:val="0"/>
                  <w:divBdr>
                    <w:top w:val="none" w:sz="0" w:space="0" w:color="auto"/>
                    <w:left w:val="none" w:sz="0" w:space="0" w:color="auto"/>
                    <w:bottom w:val="none" w:sz="0" w:space="0" w:color="auto"/>
                    <w:right w:val="none" w:sz="0" w:space="0" w:color="auto"/>
                  </w:divBdr>
                  <w:divsChild>
                    <w:div w:id="499347351">
                      <w:marLeft w:val="0"/>
                      <w:marRight w:val="0"/>
                      <w:marTop w:val="0"/>
                      <w:marBottom w:val="0"/>
                      <w:divBdr>
                        <w:top w:val="none" w:sz="0" w:space="0" w:color="auto"/>
                        <w:left w:val="none" w:sz="0" w:space="0" w:color="auto"/>
                        <w:bottom w:val="none" w:sz="0" w:space="0" w:color="auto"/>
                        <w:right w:val="none" w:sz="0" w:space="0" w:color="auto"/>
                      </w:divBdr>
                    </w:div>
                  </w:divsChild>
                </w:div>
                <w:div w:id="184906557">
                  <w:marLeft w:val="0"/>
                  <w:marRight w:val="0"/>
                  <w:marTop w:val="0"/>
                  <w:marBottom w:val="0"/>
                  <w:divBdr>
                    <w:top w:val="none" w:sz="0" w:space="0" w:color="auto"/>
                    <w:left w:val="none" w:sz="0" w:space="0" w:color="auto"/>
                    <w:bottom w:val="none" w:sz="0" w:space="0" w:color="auto"/>
                    <w:right w:val="none" w:sz="0" w:space="0" w:color="auto"/>
                  </w:divBdr>
                  <w:divsChild>
                    <w:div w:id="1540819852">
                      <w:marLeft w:val="0"/>
                      <w:marRight w:val="0"/>
                      <w:marTop w:val="0"/>
                      <w:marBottom w:val="0"/>
                      <w:divBdr>
                        <w:top w:val="none" w:sz="0" w:space="0" w:color="auto"/>
                        <w:left w:val="none" w:sz="0" w:space="0" w:color="auto"/>
                        <w:bottom w:val="none" w:sz="0" w:space="0" w:color="auto"/>
                        <w:right w:val="none" w:sz="0" w:space="0" w:color="auto"/>
                      </w:divBdr>
                    </w:div>
                  </w:divsChild>
                </w:div>
                <w:div w:id="200678061">
                  <w:marLeft w:val="0"/>
                  <w:marRight w:val="0"/>
                  <w:marTop w:val="0"/>
                  <w:marBottom w:val="0"/>
                  <w:divBdr>
                    <w:top w:val="none" w:sz="0" w:space="0" w:color="auto"/>
                    <w:left w:val="none" w:sz="0" w:space="0" w:color="auto"/>
                    <w:bottom w:val="none" w:sz="0" w:space="0" w:color="auto"/>
                    <w:right w:val="none" w:sz="0" w:space="0" w:color="auto"/>
                  </w:divBdr>
                  <w:divsChild>
                    <w:div w:id="2024628451">
                      <w:marLeft w:val="0"/>
                      <w:marRight w:val="0"/>
                      <w:marTop w:val="0"/>
                      <w:marBottom w:val="0"/>
                      <w:divBdr>
                        <w:top w:val="none" w:sz="0" w:space="0" w:color="auto"/>
                        <w:left w:val="none" w:sz="0" w:space="0" w:color="auto"/>
                        <w:bottom w:val="none" w:sz="0" w:space="0" w:color="auto"/>
                        <w:right w:val="none" w:sz="0" w:space="0" w:color="auto"/>
                      </w:divBdr>
                    </w:div>
                  </w:divsChild>
                </w:div>
                <w:div w:id="241069546">
                  <w:marLeft w:val="0"/>
                  <w:marRight w:val="0"/>
                  <w:marTop w:val="0"/>
                  <w:marBottom w:val="0"/>
                  <w:divBdr>
                    <w:top w:val="none" w:sz="0" w:space="0" w:color="auto"/>
                    <w:left w:val="none" w:sz="0" w:space="0" w:color="auto"/>
                    <w:bottom w:val="none" w:sz="0" w:space="0" w:color="auto"/>
                    <w:right w:val="none" w:sz="0" w:space="0" w:color="auto"/>
                  </w:divBdr>
                  <w:divsChild>
                    <w:div w:id="1079518664">
                      <w:marLeft w:val="0"/>
                      <w:marRight w:val="0"/>
                      <w:marTop w:val="0"/>
                      <w:marBottom w:val="0"/>
                      <w:divBdr>
                        <w:top w:val="none" w:sz="0" w:space="0" w:color="auto"/>
                        <w:left w:val="none" w:sz="0" w:space="0" w:color="auto"/>
                        <w:bottom w:val="none" w:sz="0" w:space="0" w:color="auto"/>
                        <w:right w:val="none" w:sz="0" w:space="0" w:color="auto"/>
                      </w:divBdr>
                    </w:div>
                    <w:div w:id="1566333720">
                      <w:marLeft w:val="0"/>
                      <w:marRight w:val="0"/>
                      <w:marTop w:val="0"/>
                      <w:marBottom w:val="0"/>
                      <w:divBdr>
                        <w:top w:val="none" w:sz="0" w:space="0" w:color="auto"/>
                        <w:left w:val="none" w:sz="0" w:space="0" w:color="auto"/>
                        <w:bottom w:val="none" w:sz="0" w:space="0" w:color="auto"/>
                        <w:right w:val="none" w:sz="0" w:space="0" w:color="auto"/>
                      </w:divBdr>
                    </w:div>
                  </w:divsChild>
                </w:div>
                <w:div w:id="250821433">
                  <w:marLeft w:val="0"/>
                  <w:marRight w:val="0"/>
                  <w:marTop w:val="0"/>
                  <w:marBottom w:val="0"/>
                  <w:divBdr>
                    <w:top w:val="none" w:sz="0" w:space="0" w:color="auto"/>
                    <w:left w:val="none" w:sz="0" w:space="0" w:color="auto"/>
                    <w:bottom w:val="none" w:sz="0" w:space="0" w:color="auto"/>
                    <w:right w:val="none" w:sz="0" w:space="0" w:color="auto"/>
                  </w:divBdr>
                  <w:divsChild>
                    <w:div w:id="45952474">
                      <w:marLeft w:val="0"/>
                      <w:marRight w:val="0"/>
                      <w:marTop w:val="0"/>
                      <w:marBottom w:val="0"/>
                      <w:divBdr>
                        <w:top w:val="none" w:sz="0" w:space="0" w:color="auto"/>
                        <w:left w:val="none" w:sz="0" w:space="0" w:color="auto"/>
                        <w:bottom w:val="none" w:sz="0" w:space="0" w:color="auto"/>
                        <w:right w:val="none" w:sz="0" w:space="0" w:color="auto"/>
                      </w:divBdr>
                    </w:div>
                  </w:divsChild>
                </w:div>
                <w:div w:id="262568090">
                  <w:marLeft w:val="0"/>
                  <w:marRight w:val="0"/>
                  <w:marTop w:val="0"/>
                  <w:marBottom w:val="0"/>
                  <w:divBdr>
                    <w:top w:val="none" w:sz="0" w:space="0" w:color="auto"/>
                    <w:left w:val="none" w:sz="0" w:space="0" w:color="auto"/>
                    <w:bottom w:val="none" w:sz="0" w:space="0" w:color="auto"/>
                    <w:right w:val="none" w:sz="0" w:space="0" w:color="auto"/>
                  </w:divBdr>
                  <w:divsChild>
                    <w:div w:id="946697264">
                      <w:marLeft w:val="0"/>
                      <w:marRight w:val="0"/>
                      <w:marTop w:val="0"/>
                      <w:marBottom w:val="0"/>
                      <w:divBdr>
                        <w:top w:val="none" w:sz="0" w:space="0" w:color="auto"/>
                        <w:left w:val="none" w:sz="0" w:space="0" w:color="auto"/>
                        <w:bottom w:val="none" w:sz="0" w:space="0" w:color="auto"/>
                        <w:right w:val="none" w:sz="0" w:space="0" w:color="auto"/>
                      </w:divBdr>
                    </w:div>
                  </w:divsChild>
                </w:div>
                <w:div w:id="384371951">
                  <w:marLeft w:val="0"/>
                  <w:marRight w:val="0"/>
                  <w:marTop w:val="0"/>
                  <w:marBottom w:val="0"/>
                  <w:divBdr>
                    <w:top w:val="none" w:sz="0" w:space="0" w:color="auto"/>
                    <w:left w:val="none" w:sz="0" w:space="0" w:color="auto"/>
                    <w:bottom w:val="none" w:sz="0" w:space="0" w:color="auto"/>
                    <w:right w:val="none" w:sz="0" w:space="0" w:color="auto"/>
                  </w:divBdr>
                  <w:divsChild>
                    <w:div w:id="88281193">
                      <w:marLeft w:val="0"/>
                      <w:marRight w:val="0"/>
                      <w:marTop w:val="0"/>
                      <w:marBottom w:val="0"/>
                      <w:divBdr>
                        <w:top w:val="none" w:sz="0" w:space="0" w:color="auto"/>
                        <w:left w:val="none" w:sz="0" w:space="0" w:color="auto"/>
                        <w:bottom w:val="none" w:sz="0" w:space="0" w:color="auto"/>
                        <w:right w:val="none" w:sz="0" w:space="0" w:color="auto"/>
                      </w:divBdr>
                    </w:div>
                  </w:divsChild>
                </w:div>
                <w:div w:id="397287593">
                  <w:marLeft w:val="0"/>
                  <w:marRight w:val="0"/>
                  <w:marTop w:val="0"/>
                  <w:marBottom w:val="0"/>
                  <w:divBdr>
                    <w:top w:val="none" w:sz="0" w:space="0" w:color="auto"/>
                    <w:left w:val="none" w:sz="0" w:space="0" w:color="auto"/>
                    <w:bottom w:val="none" w:sz="0" w:space="0" w:color="auto"/>
                    <w:right w:val="none" w:sz="0" w:space="0" w:color="auto"/>
                  </w:divBdr>
                  <w:divsChild>
                    <w:div w:id="1315180592">
                      <w:marLeft w:val="0"/>
                      <w:marRight w:val="0"/>
                      <w:marTop w:val="0"/>
                      <w:marBottom w:val="0"/>
                      <w:divBdr>
                        <w:top w:val="none" w:sz="0" w:space="0" w:color="auto"/>
                        <w:left w:val="none" w:sz="0" w:space="0" w:color="auto"/>
                        <w:bottom w:val="none" w:sz="0" w:space="0" w:color="auto"/>
                        <w:right w:val="none" w:sz="0" w:space="0" w:color="auto"/>
                      </w:divBdr>
                    </w:div>
                  </w:divsChild>
                </w:div>
                <w:div w:id="402946257">
                  <w:marLeft w:val="0"/>
                  <w:marRight w:val="0"/>
                  <w:marTop w:val="0"/>
                  <w:marBottom w:val="0"/>
                  <w:divBdr>
                    <w:top w:val="none" w:sz="0" w:space="0" w:color="auto"/>
                    <w:left w:val="none" w:sz="0" w:space="0" w:color="auto"/>
                    <w:bottom w:val="none" w:sz="0" w:space="0" w:color="auto"/>
                    <w:right w:val="none" w:sz="0" w:space="0" w:color="auto"/>
                  </w:divBdr>
                  <w:divsChild>
                    <w:div w:id="776291700">
                      <w:marLeft w:val="0"/>
                      <w:marRight w:val="0"/>
                      <w:marTop w:val="0"/>
                      <w:marBottom w:val="0"/>
                      <w:divBdr>
                        <w:top w:val="none" w:sz="0" w:space="0" w:color="auto"/>
                        <w:left w:val="none" w:sz="0" w:space="0" w:color="auto"/>
                        <w:bottom w:val="none" w:sz="0" w:space="0" w:color="auto"/>
                        <w:right w:val="none" w:sz="0" w:space="0" w:color="auto"/>
                      </w:divBdr>
                    </w:div>
                  </w:divsChild>
                </w:div>
                <w:div w:id="428938264">
                  <w:marLeft w:val="0"/>
                  <w:marRight w:val="0"/>
                  <w:marTop w:val="0"/>
                  <w:marBottom w:val="0"/>
                  <w:divBdr>
                    <w:top w:val="none" w:sz="0" w:space="0" w:color="auto"/>
                    <w:left w:val="none" w:sz="0" w:space="0" w:color="auto"/>
                    <w:bottom w:val="none" w:sz="0" w:space="0" w:color="auto"/>
                    <w:right w:val="none" w:sz="0" w:space="0" w:color="auto"/>
                  </w:divBdr>
                  <w:divsChild>
                    <w:div w:id="154107670">
                      <w:marLeft w:val="0"/>
                      <w:marRight w:val="0"/>
                      <w:marTop w:val="0"/>
                      <w:marBottom w:val="0"/>
                      <w:divBdr>
                        <w:top w:val="none" w:sz="0" w:space="0" w:color="auto"/>
                        <w:left w:val="none" w:sz="0" w:space="0" w:color="auto"/>
                        <w:bottom w:val="none" w:sz="0" w:space="0" w:color="auto"/>
                        <w:right w:val="none" w:sz="0" w:space="0" w:color="auto"/>
                      </w:divBdr>
                    </w:div>
                  </w:divsChild>
                </w:div>
                <w:div w:id="499350722">
                  <w:marLeft w:val="0"/>
                  <w:marRight w:val="0"/>
                  <w:marTop w:val="0"/>
                  <w:marBottom w:val="0"/>
                  <w:divBdr>
                    <w:top w:val="none" w:sz="0" w:space="0" w:color="auto"/>
                    <w:left w:val="none" w:sz="0" w:space="0" w:color="auto"/>
                    <w:bottom w:val="none" w:sz="0" w:space="0" w:color="auto"/>
                    <w:right w:val="none" w:sz="0" w:space="0" w:color="auto"/>
                  </w:divBdr>
                  <w:divsChild>
                    <w:div w:id="1023441596">
                      <w:marLeft w:val="0"/>
                      <w:marRight w:val="0"/>
                      <w:marTop w:val="0"/>
                      <w:marBottom w:val="0"/>
                      <w:divBdr>
                        <w:top w:val="none" w:sz="0" w:space="0" w:color="auto"/>
                        <w:left w:val="none" w:sz="0" w:space="0" w:color="auto"/>
                        <w:bottom w:val="none" w:sz="0" w:space="0" w:color="auto"/>
                        <w:right w:val="none" w:sz="0" w:space="0" w:color="auto"/>
                      </w:divBdr>
                    </w:div>
                  </w:divsChild>
                </w:div>
                <w:div w:id="515463049">
                  <w:marLeft w:val="0"/>
                  <w:marRight w:val="0"/>
                  <w:marTop w:val="0"/>
                  <w:marBottom w:val="0"/>
                  <w:divBdr>
                    <w:top w:val="none" w:sz="0" w:space="0" w:color="auto"/>
                    <w:left w:val="none" w:sz="0" w:space="0" w:color="auto"/>
                    <w:bottom w:val="none" w:sz="0" w:space="0" w:color="auto"/>
                    <w:right w:val="none" w:sz="0" w:space="0" w:color="auto"/>
                  </w:divBdr>
                  <w:divsChild>
                    <w:div w:id="2086997270">
                      <w:marLeft w:val="0"/>
                      <w:marRight w:val="0"/>
                      <w:marTop w:val="0"/>
                      <w:marBottom w:val="0"/>
                      <w:divBdr>
                        <w:top w:val="none" w:sz="0" w:space="0" w:color="auto"/>
                        <w:left w:val="none" w:sz="0" w:space="0" w:color="auto"/>
                        <w:bottom w:val="none" w:sz="0" w:space="0" w:color="auto"/>
                        <w:right w:val="none" w:sz="0" w:space="0" w:color="auto"/>
                      </w:divBdr>
                    </w:div>
                  </w:divsChild>
                </w:div>
                <w:div w:id="545147082">
                  <w:marLeft w:val="0"/>
                  <w:marRight w:val="0"/>
                  <w:marTop w:val="0"/>
                  <w:marBottom w:val="0"/>
                  <w:divBdr>
                    <w:top w:val="none" w:sz="0" w:space="0" w:color="auto"/>
                    <w:left w:val="none" w:sz="0" w:space="0" w:color="auto"/>
                    <w:bottom w:val="none" w:sz="0" w:space="0" w:color="auto"/>
                    <w:right w:val="none" w:sz="0" w:space="0" w:color="auto"/>
                  </w:divBdr>
                  <w:divsChild>
                    <w:div w:id="231816844">
                      <w:marLeft w:val="0"/>
                      <w:marRight w:val="0"/>
                      <w:marTop w:val="0"/>
                      <w:marBottom w:val="0"/>
                      <w:divBdr>
                        <w:top w:val="none" w:sz="0" w:space="0" w:color="auto"/>
                        <w:left w:val="none" w:sz="0" w:space="0" w:color="auto"/>
                        <w:bottom w:val="none" w:sz="0" w:space="0" w:color="auto"/>
                        <w:right w:val="none" w:sz="0" w:space="0" w:color="auto"/>
                      </w:divBdr>
                    </w:div>
                  </w:divsChild>
                </w:div>
                <w:div w:id="557085511">
                  <w:marLeft w:val="0"/>
                  <w:marRight w:val="0"/>
                  <w:marTop w:val="0"/>
                  <w:marBottom w:val="0"/>
                  <w:divBdr>
                    <w:top w:val="none" w:sz="0" w:space="0" w:color="auto"/>
                    <w:left w:val="none" w:sz="0" w:space="0" w:color="auto"/>
                    <w:bottom w:val="none" w:sz="0" w:space="0" w:color="auto"/>
                    <w:right w:val="none" w:sz="0" w:space="0" w:color="auto"/>
                  </w:divBdr>
                  <w:divsChild>
                    <w:div w:id="1850481717">
                      <w:marLeft w:val="0"/>
                      <w:marRight w:val="0"/>
                      <w:marTop w:val="0"/>
                      <w:marBottom w:val="0"/>
                      <w:divBdr>
                        <w:top w:val="none" w:sz="0" w:space="0" w:color="auto"/>
                        <w:left w:val="none" w:sz="0" w:space="0" w:color="auto"/>
                        <w:bottom w:val="none" w:sz="0" w:space="0" w:color="auto"/>
                        <w:right w:val="none" w:sz="0" w:space="0" w:color="auto"/>
                      </w:divBdr>
                    </w:div>
                  </w:divsChild>
                </w:div>
                <w:div w:id="590160310">
                  <w:marLeft w:val="0"/>
                  <w:marRight w:val="0"/>
                  <w:marTop w:val="0"/>
                  <w:marBottom w:val="0"/>
                  <w:divBdr>
                    <w:top w:val="none" w:sz="0" w:space="0" w:color="auto"/>
                    <w:left w:val="none" w:sz="0" w:space="0" w:color="auto"/>
                    <w:bottom w:val="none" w:sz="0" w:space="0" w:color="auto"/>
                    <w:right w:val="none" w:sz="0" w:space="0" w:color="auto"/>
                  </w:divBdr>
                  <w:divsChild>
                    <w:div w:id="1521117939">
                      <w:marLeft w:val="0"/>
                      <w:marRight w:val="0"/>
                      <w:marTop w:val="0"/>
                      <w:marBottom w:val="0"/>
                      <w:divBdr>
                        <w:top w:val="none" w:sz="0" w:space="0" w:color="auto"/>
                        <w:left w:val="none" w:sz="0" w:space="0" w:color="auto"/>
                        <w:bottom w:val="none" w:sz="0" w:space="0" w:color="auto"/>
                        <w:right w:val="none" w:sz="0" w:space="0" w:color="auto"/>
                      </w:divBdr>
                    </w:div>
                  </w:divsChild>
                </w:div>
                <w:div w:id="742138734">
                  <w:marLeft w:val="0"/>
                  <w:marRight w:val="0"/>
                  <w:marTop w:val="0"/>
                  <w:marBottom w:val="0"/>
                  <w:divBdr>
                    <w:top w:val="none" w:sz="0" w:space="0" w:color="auto"/>
                    <w:left w:val="none" w:sz="0" w:space="0" w:color="auto"/>
                    <w:bottom w:val="none" w:sz="0" w:space="0" w:color="auto"/>
                    <w:right w:val="none" w:sz="0" w:space="0" w:color="auto"/>
                  </w:divBdr>
                  <w:divsChild>
                    <w:div w:id="1887719287">
                      <w:marLeft w:val="0"/>
                      <w:marRight w:val="0"/>
                      <w:marTop w:val="0"/>
                      <w:marBottom w:val="0"/>
                      <w:divBdr>
                        <w:top w:val="none" w:sz="0" w:space="0" w:color="auto"/>
                        <w:left w:val="none" w:sz="0" w:space="0" w:color="auto"/>
                        <w:bottom w:val="none" w:sz="0" w:space="0" w:color="auto"/>
                        <w:right w:val="none" w:sz="0" w:space="0" w:color="auto"/>
                      </w:divBdr>
                    </w:div>
                  </w:divsChild>
                </w:div>
                <w:div w:id="747577797">
                  <w:marLeft w:val="0"/>
                  <w:marRight w:val="0"/>
                  <w:marTop w:val="0"/>
                  <w:marBottom w:val="0"/>
                  <w:divBdr>
                    <w:top w:val="none" w:sz="0" w:space="0" w:color="auto"/>
                    <w:left w:val="none" w:sz="0" w:space="0" w:color="auto"/>
                    <w:bottom w:val="none" w:sz="0" w:space="0" w:color="auto"/>
                    <w:right w:val="none" w:sz="0" w:space="0" w:color="auto"/>
                  </w:divBdr>
                  <w:divsChild>
                    <w:div w:id="264848930">
                      <w:marLeft w:val="0"/>
                      <w:marRight w:val="0"/>
                      <w:marTop w:val="0"/>
                      <w:marBottom w:val="0"/>
                      <w:divBdr>
                        <w:top w:val="none" w:sz="0" w:space="0" w:color="auto"/>
                        <w:left w:val="none" w:sz="0" w:space="0" w:color="auto"/>
                        <w:bottom w:val="none" w:sz="0" w:space="0" w:color="auto"/>
                        <w:right w:val="none" w:sz="0" w:space="0" w:color="auto"/>
                      </w:divBdr>
                    </w:div>
                  </w:divsChild>
                </w:div>
                <w:div w:id="812022540">
                  <w:marLeft w:val="0"/>
                  <w:marRight w:val="0"/>
                  <w:marTop w:val="0"/>
                  <w:marBottom w:val="0"/>
                  <w:divBdr>
                    <w:top w:val="none" w:sz="0" w:space="0" w:color="auto"/>
                    <w:left w:val="none" w:sz="0" w:space="0" w:color="auto"/>
                    <w:bottom w:val="none" w:sz="0" w:space="0" w:color="auto"/>
                    <w:right w:val="none" w:sz="0" w:space="0" w:color="auto"/>
                  </w:divBdr>
                  <w:divsChild>
                    <w:div w:id="759066586">
                      <w:marLeft w:val="0"/>
                      <w:marRight w:val="0"/>
                      <w:marTop w:val="0"/>
                      <w:marBottom w:val="0"/>
                      <w:divBdr>
                        <w:top w:val="none" w:sz="0" w:space="0" w:color="auto"/>
                        <w:left w:val="none" w:sz="0" w:space="0" w:color="auto"/>
                        <w:bottom w:val="none" w:sz="0" w:space="0" w:color="auto"/>
                        <w:right w:val="none" w:sz="0" w:space="0" w:color="auto"/>
                      </w:divBdr>
                    </w:div>
                  </w:divsChild>
                </w:div>
                <w:div w:id="853960080">
                  <w:marLeft w:val="0"/>
                  <w:marRight w:val="0"/>
                  <w:marTop w:val="0"/>
                  <w:marBottom w:val="0"/>
                  <w:divBdr>
                    <w:top w:val="none" w:sz="0" w:space="0" w:color="auto"/>
                    <w:left w:val="none" w:sz="0" w:space="0" w:color="auto"/>
                    <w:bottom w:val="none" w:sz="0" w:space="0" w:color="auto"/>
                    <w:right w:val="none" w:sz="0" w:space="0" w:color="auto"/>
                  </w:divBdr>
                  <w:divsChild>
                    <w:div w:id="1179386498">
                      <w:marLeft w:val="0"/>
                      <w:marRight w:val="0"/>
                      <w:marTop w:val="0"/>
                      <w:marBottom w:val="0"/>
                      <w:divBdr>
                        <w:top w:val="none" w:sz="0" w:space="0" w:color="auto"/>
                        <w:left w:val="none" w:sz="0" w:space="0" w:color="auto"/>
                        <w:bottom w:val="none" w:sz="0" w:space="0" w:color="auto"/>
                        <w:right w:val="none" w:sz="0" w:space="0" w:color="auto"/>
                      </w:divBdr>
                    </w:div>
                  </w:divsChild>
                </w:div>
                <w:div w:id="949435357">
                  <w:marLeft w:val="0"/>
                  <w:marRight w:val="0"/>
                  <w:marTop w:val="0"/>
                  <w:marBottom w:val="0"/>
                  <w:divBdr>
                    <w:top w:val="none" w:sz="0" w:space="0" w:color="auto"/>
                    <w:left w:val="none" w:sz="0" w:space="0" w:color="auto"/>
                    <w:bottom w:val="none" w:sz="0" w:space="0" w:color="auto"/>
                    <w:right w:val="none" w:sz="0" w:space="0" w:color="auto"/>
                  </w:divBdr>
                  <w:divsChild>
                    <w:div w:id="1861624138">
                      <w:marLeft w:val="0"/>
                      <w:marRight w:val="0"/>
                      <w:marTop w:val="0"/>
                      <w:marBottom w:val="0"/>
                      <w:divBdr>
                        <w:top w:val="none" w:sz="0" w:space="0" w:color="auto"/>
                        <w:left w:val="none" w:sz="0" w:space="0" w:color="auto"/>
                        <w:bottom w:val="none" w:sz="0" w:space="0" w:color="auto"/>
                        <w:right w:val="none" w:sz="0" w:space="0" w:color="auto"/>
                      </w:divBdr>
                    </w:div>
                  </w:divsChild>
                </w:div>
                <w:div w:id="986864316">
                  <w:marLeft w:val="0"/>
                  <w:marRight w:val="0"/>
                  <w:marTop w:val="0"/>
                  <w:marBottom w:val="0"/>
                  <w:divBdr>
                    <w:top w:val="none" w:sz="0" w:space="0" w:color="auto"/>
                    <w:left w:val="none" w:sz="0" w:space="0" w:color="auto"/>
                    <w:bottom w:val="none" w:sz="0" w:space="0" w:color="auto"/>
                    <w:right w:val="none" w:sz="0" w:space="0" w:color="auto"/>
                  </w:divBdr>
                  <w:divsChild>
                    <w:div w:id="915821068">
                      <w:marLeft w:val="0"/>
                      <w:marRight w:val="0"/>
                      <w:marTop w:val="0"/>
                      <w:marBottom w:val="0"/>
                      <w:divBdr>
                        <w:top w:val="none" w:sz="0" w:space="0" w:color="auto"/>
                        <w:left w:val="none" w:sz="0" w:space="0" w:color="auto"/>
                        <w:bottom w:val="none" w:sz="0" w:space="0" w:color="auto"/>
                        <w:right w:val="none" w:sz="0" w:space="0" w:color="auto"/>
                      </w:divBdr>
                    </w:div>
                  </w:divsChild>
                </w:div>
                <w:div w:id="987590865">
                  <w:marLeft w:val="0"/>
                  <w:marRight w:val="0"/>
                  <w:marTop w:val="0"/>
                  <w:marBottom w:val="0"/>
                  <w:divBdr>
                    <w:top w:val="none" w:sz="0" w:space="0" w:color="auto"/>
                    <w:left w:val="none" w:sz="0" w:space="0" w:color="auto"/>
                    <w:bottom w:val="none" w:sz="0" w:space="0" w:color="auto"/>
                    <w:right w:val="none" w:sz="0" w:space="0" w:color="auto"/>
                  </w:divBdr>
                  <w:divsChild>
                    <w:div w:id="1251622224">
                      <w:marLeft w:val="0"/>
                      <w:marRight w:val="0"/>
                      <w:marTop w:val="0"/>
                      <w:marBottom w:val="0"/>
                      <w:divBdr>
                        <w:top w:val="none" w:sz="0" w:space="0" w:color="auto"/>
                        <w:left w:val="none" w:sz="0" w:space="0" w:color="auto"/>
                        <w:bottom w:val="none" w:sz="0" w:space="0" w:color="auto"/>
                        <w:right w:val="none" w:sz="0" w:space="0" w:color="auto"/>
                      </w:divBdr>
                    </w:div>
                  </w:divsChild>
                </w:div>
                <w:div w:id="993487134">
                  <w:marLeft w:val="0"/>
                  <w:marRight w:val="0"/>
                  <w:marTop w:val="0"/>
                  <w:marBottom w:val="0"/>
                  <w:divBdr>
                    <w:top w:val="none" w:sz="0" w:space="0" w:color="auto"/>
                    <w:left w:val="none" w:sz="0" w:space="0" w:color="auto"/>
                    <w:bottom w:val="none" w:sz="0" w:space="0" w:color="auto"/>
                    <w:right w:val="none" w:sz="0" w:space="0" w:color="auto"/>
                  </w:divBdr>
                  <w:divsChild>
                    <w:div w:id="214582372">
                      <w:marLeft w:val="0"/>
                      <w:marRight w:val="0"/>
                      <w:marTop w:val="0"/>
                      <w:marBottom w:val="0"/>
                      <w:divBdr>
                        <w:top w:val="none" w:sz="0" w:space="0" w:color="auto"/>
                        <w:left w:val="none" w:sz="0" w:space="0" w:color="auto"/>
                        <w:bottom w:val="none" w:sz="0" w:space="0" w:color="auto"/>
                        <w:right w:val="none" w:sz="0" w:space="0" w:color="auto"/>
                      </w:divBdr>
                    </w:div>
                    <w:div w:id="1748304983">
                      <w:marLeft w:val="0"/>
                      <w:marRight w:val="0"/>
                      <w:marTop w:val="0"/>
                      <w:marBottom w:val="0"/>
                      <w:divBdr>
                        <w:top w:val="none" w:sz="0" w:space="0" w:color="auto"/>
                        <w:left w:val="none" w:sz="0" w:space="0" w:color="auto"/>
                        <w:bottom w:val="none" w:sz="0" w:space="0" w:color="auto"/>
                        <w:right w:val="none" w:sz="0" w:space="0" w:color="auto"/>
                      </w:divBdr>
                    </w:div>
                  </w:divsChild>
                </w:div>
                <w:div w:id="1016660731">
                  <w:marLeft w:val="0"/>
                  <w:marRight w:val="0"/>
                  <w:marTop w:val="0"/>
                  <w:marBottom w:val="0"/>
                  <w:divBdr>
                    <w:top w:val="none" w:sz="0" w:space="0" w:color="auto"/>
                    <w:left w:val="none" w:sz="0" w:space="0" w:color="auto"/>
                    <w:bottom w:val="none" w:sz="0" w:space="0" w:color="auto"/>
                    <w:right w:val="none" w:sz="0" w:space="0" w:color="auto"/>
                  </w:divBdr>
                  <w:divsChild>
                    <w:div w:id="1255631444">
                      <w:marLeft w:val="0"/>
                      <w:marRight w:val="0"/>
                      <w:marTop w:val="0"/>
                      <w:marBottom w:val="0"/>
                      <w:divBdr>
                        <w:top w:val="none" w:sz="0" w:space="0" w:color="auto"/>
                        <w:left w:val="none" w:sz="0" w:space="0" w:color="auto"/>
                        <w:bottom w:val="none" w:sz="0" w:space="0" w:color="auto"/>
                        <w:right w:val="none" w:sz="0" w:space="0" w:color="auto"/>
                      </w:divBdr>
                    </w:div>
                  </w:divsChild>
                </w:div>
                <w:div w:id="1127823125">
                  <w:marLeft w:val="0"/>
                  <w:marRight w:val="0"/>
                  <w:marTop w:val="0"/>
                  <w:marBottom w:val="0"/>
                  <w:divBdr>
                    <w:top w:val="none" w:sz="0" w:space="0" w:color="auto"/>
                    <w:left w:val="none" w:sz="0" w:space="0" w:color="auto"/>
                    <w:bottom w:val="none" w:sz="0" w:space="0" w:color="auto"/>
                    <w:right w:val="none" w:sz="0" w:space="0" w:color="auto"/>
                  </w:divBdr>
                  <w:divsChild>
                    <w:div w:id="468783857">
                      <w:marLeft w:val="0"/>
                      <w:marRight w:val="0"/>
                      <w:marTop w:val="0"/>
                      <w:marBottom w:val="0"/>
                      <w:divBdr>
                        <w:top w:val="none" w:sz="0" w:space="0" w:color="auto"/>
                        <w:left w:val="none" w:sz="0" w:space="0" w:color="auto"/>
                        <w:bottom w:val="none" w:sz="0" w:space="0" w:color="auto"/>
                        <w:right w:val="none" w:sz="0" w:space="0" w:color="auto"/>
                      </w:divBdr>
                    </w:div>
                  </w:divsChild>
                </w:div>
                <w:div w:id="1127966287">
                  <w:marLeft w:val="0"/>
                  <w:marRight w:val="0"/>
                  <w:marTop w:val="0"/>
                  <w:marBottom w:val="0"/>
                  <w:divBdr>
                    <w:top w:val="none" w:sz="0" w:space="0" w:color="auto"/>
                    <w:left w:val="none" w:sz="0" w:space="0" w:color="auto"/>
                    <w:bottom w:val="none" w:sz="0" w:space="0" w:color="auto"/>
                    <w:right w:val="none" w:sz="0" w:space="0" w:color="auto"/>
                  </w:divBdr>
                  <w:divsChild>
                    <w:div w:id="1293054542">
                      <w:marLeft w:val="0"/>
                      <w:marRight w:val="0"/>
                      <w:marTop w:val="0"/>
                      <w:marBottom w:val="0"/>
                      <w:divBdr>
                        <w:top w:val="none" w:sz="0" w:space="0" w:color="auto"/>
                        <w:left w:val="none" w:sz="0" w:space="0" w:color="auto"/>
                        <w:bottom w:val="none" w:sz="0" w:space="0" w:color="auto"/>
                        <w:right w:val="none" w:sz="0" w:space="0" w:color="auto"/>
                      </w:divBdr>
                    </w:div>
                  </w:divsChild>
                </w:div>
                <w:div w:id="1185553910">
                  <w:marLeft w:val="0"/>
                  <w:marRight w:val="0"/>
                  <w:marTop w:val="0"/>
                  <w:marBottom w:val="0"/>
                  <w:divBdr>
                    <w:top w:val="none" w:sz="0" w:space="0" w:color="auto"/>
                    <w:left w:val="none" w:sz="0" w:space="0" w:color="auto"/>
                    <w:bottom w:val="none" w:sz="0" w:space="0" w:color="auto"/>
                    <w:right w:val="none" w:sz="0" w:space="0" w:color="auto"/>
                  </w:divBdr>
                  <w:divsChild>
                    <w:div w:id="815561401">
                      <w:marLeft w:val="0"/>
                      <w:marRight w:val="0"/>
                      <w:marTop w:val="0"/>
                      <w:marBottom w:val="0"/>
                      <w:divBdr>
                        <w:top w:val="none" w:sz="0" w:space="0" w:color="auto"/>
                        <w:left w:val="none" w:sz="0" w:space="0" w:color="auto"/>
                        <w:bottom w:val="none" w:sz="0" w:space="0" w:color="auto"/>
                        <w:right w:val="none" w:sz="0" w:space="0" w:color="auto"/>
                      </w:divBdr>
                    </w:div>
                  </w:divsChild>
                </w:div>
                <w:div w:id="1193765147">
                  <w:marLeft w:val="0"/>
                  <w:marRight w:val="0"/>
                  <w:marTop w:val="0"/>
                  <w:marBottom w:val="0"/>
                  <w:divBdr>
                    <w:top w:val="none" w:sz="0" w:space="0" w:color="auto"/>
                    <w:left w:val="none" w:sz="0" w:space="0" w:color="auto"/>
                    <w:bottom w:val="none" w:sz="0" w:space="0" w:color="auto"/>
                    <w:right w:val="none" w:sz="0" w:space="0" w:color="auto"/>
                  </w:divBdr>
                  <w:divsChild>
                    <w:div w:id="1523402448">
                      <w:marLeft w:val="0"/>
                      <w:marRight w:val="0"/>
                      <w:marTop w:val="0"/>
                      <w:marBottom w:val="0"/>
                      <w:divBdr>
                        <w:top w:val="none" w:sz="0" w:space="0" w:color="auto"/>
                        <w:left w:val="none" w:sz="0" w:space="0" w:color="auto"/>
                        <w:bottom w:val="none" w:sz="0" w:space="0" w:color="auto"/>
                        <w:right w:val="none" w:sz="0" w:space="0" w:color="auto"/>
                      </w:divBdr>
                    </w:div>
                  </w:divsChild>
                </w:div>
                <w:div w:id="1280143564">
                  <w:marLeft w:val="0"/>
                  <w:marRight w:val="0"/>
                  <w:marTop w:val="0"/>
                  <w:marBottom w:val="0"/>
                  <w:divBdr>
                    <w:top w:val="none" w:sz="0" w:space="0" w:color="auto"/>
                    <w:left w:val="none" w:sz="0" w:space="0" w:color="auto"/>
                    <w:bottom w:val="none" w:sz="0" w:space="0" w:color="auto"/>
                    <w:right w:val="none" w:sz="0" w:space="0" w:color="auto"/>
                  </w:divBdr>
                  <w:divsChild>
                    <w:div w:id="795679187">
                      <w:marLeft w:val="0"/>
                      <w:marRight w:val="0"/>
                      <w:marTop w:val="0"/>
                      <w:marBottom w:val="0"/>
                      <w:divBdr>
                        <w:top w:val="none" w:sz="0" w:space="0" w:color="auto"/>
                        <w:left w:val="none" w:sz="0" w:space="0" w:color="auto"/>
                        <w:bottom w:val="none" w:sz="0" w:space="0" w:color="auto"/>
                        <w:right w:val="none" w:sz="0" w:space="0" w:color="auto"/>
                      </w:divBdr>
                    </w:div>
                  </w:divsChild>
                </w:div>
                <w:div w:id="1331913009">
                  <w:marLeft w:val="0"/>
                  <w:marRight w:val="0"/>
                  <w:marTop w:val="0"/>
                  <w:marBottom w:val="0"/>
                  <w:divBdr>
                    <w:top w:val="none" w:sz="0" w:space="0" w:color="auto"/>
                    <w:left w:val="none" w:sz="0" w:space="0" w:color="auto"/>
                    <w:bottom w:val="none" w:sz="0" w:space="0" w:color="auto"/>
                    <w:right w:val="none" w:sz="0" w:space="0" w:color="auto"/>
                  </w:divBdr>
                  <w:divsChild>
                    <w:div w:id="2047018974">
                      <w:marLeft w:val="0"/>
                      <w:marRight w:val="0"/>
                      <w:marTop w:val="0"/>
                      <w:marBottom w:val="0"/>
                      <w:divBdr>
                        <w:top w:val="none" w:sz="0" w:space="0" w:color="auto"/>
                        <w:left w:val="none" w:sz="0" w:space="0" w:color="auto"/>
                        <w:bottom w:val="none" w:sz="0" w:space="0" w:color="auto"/>
                        <w:right w:val="none" w:sz="0" w:space="0" w:color="auto"/>
                      </w:divBdr>
                    </w:div>
                  </w:divsChild>
                </w:div>
                <w:div w:id="1371950995">
                  <w:marLeft w:val="0"/>
                  <w:marRight w:val="0"/>
                  <w:marTop w:val="0"/>
                  <w:marBottom w:val="0"/>
                  <w:divBdr>
                    <w:top w:val="none" w:sz="0" w:space="0" w:color="auto"/>
                    <w:left w:val="none" w:sz="0" w:space="0" w:color="auto"/>
                    <w:bottom w:val="none" w:sz="0" w:space="0" w:color="auto"/>
                    <w:right w:val="none" w:sz="0" w:space="0" w:color="auto"/>
                  </w:divBdr>
                  <w:divsChild>
                    <w:div w:id="1890726257">
                      <w:marLeft w:val="0"/>
                      <w:marRight w:val="0"/>
                      <w:marTop w:val="0"/>
                      <w:marBottom w:val="0"/>
                      <w:divBdr>
                        <w:top w:val="none" w:sz="0" w:space="0" w:color="auto"/>
                        <w:left w:val="none" w:sz="0" w:space="0" w:color="auto"/>
                        <w:bottom w:val="none" w:sz="0" w:space="0" w:color="auto"/>
                        <w:right w:val="none" w:sz="0" w:space="0" w:color="auto"/>
                      </w:divBdr>
                    </w:div>
                  </w:divsChild>
                </w:div>
                <w:div w:id="1408110592">
                  <w:marLeft w:val="0"/>
                  <w:marRight w:val="0"/>
                  <w:marTop w:val="0"/>
                  <w:marBottom w:val="0"/>
                  <w:divBdr>
                    <w:top w:val="none" w:sz="0" w:space="0" w:color="auto"/>
                    <w:left w:val="none" w:sz="0" w:space="0" w:color="auto"/>
                    <w:bottom w:val="none" w:sz="0" w:space="0" w:color="auto"/>
                    <w:right w:val="none" w:sz="0" w:space="0" w:color="auto"/>
                  </w:divBdr>
                  <w:divsChild>
                    <w:div w:id="1322080494">
                      <w:marLeft w:val="0"/>
                      <w:marRight w:val="0"/>
                      <w:marTop w:val="0"/>
                      <w:marBottom w:val="0"/>
                      <w:divBdr>
                        <w:top w:val="none" w:sz="0" w:space="0" w:color="auto"/>
                        <w:left w:val="none" w:sz="0" w:space="0" w:color="auto"/>
                        <w:bottom w:val="none" w:sz="0" w:space="0" w:color="auto"/>
                        <w:right w:val="none" w:sz="0" w:space="0" w:color="auto"/>
                      </w:divBdr>
                    </w:div>
                  </w:divsChild>
                </w:div>
                <w:div w:id="1433748250">
                  <w:marLeft w:val="0"/>
                  <w:marRight w:val="0"/>
                  <w:marTop w:val="0"/>
                  <w:marBottom w:val="0"/>
                  <w:divBdr>
                    <w:top w:val="none" w:sz="0" w:space="0" w:color="auto"/>
                    <w:left w:val="none" w:sz="0" w:space="0" w:color="auto"/>
                    <w:bottom w:val="none" w:sz="0" w:space="0" w:color="auto"/>
                    <w:right w:val="none" w:sz="0" w:space="0" w:color="auto"/>
                  </w:divBdr>
                  <w:divsChild>
                    <w:div w:id="256137411">
                      <w:marLeft w:val="0"/>
                      <w:marRight w:val="0"/>
                      <w:marTop w:val="0"/>
                      <w:marBottom w:val="0"/>
                      <w:divBdr>
                        <w:top w:val="none" w:sz="0" w:space="0" w:color="auto"/>
                        <w:left w:val="none" w:sz="0" w:space="0" w:color="auto"/>
                        <w:bottom w:val="none" w:sz="0" w:space="0" w:color="auto"/>
                        <w:right w:val="none" w:sz="0" w:space="0" w:color="auto"/>
                      </w:divBdr>
                    </w:div>
                  </w:divsChild>
                </w:div>
                <w:div w:id="1476990987">
                  <w:marLeft w:val="0"/>
                  <w:marRight w:val="0"/>
                  <w:marTop w:val="0"/>
                  <w:marBottom w:val="0"/>
                  <w:divBdr>
                    <w:top w:val="none" w:sz="0" w:space="0" w:color="auto"/>
                    <w:left w:val="none" w:sz="0" w:space="0" w:color="auto"/>
                    <w:bottom w:val="none" w:sz="0" w:space="0" w:color="auto"/>
                    <w:right w:val="none" w:sz="0" w:space="0" w:color="auto"/>
                  </w:divBdr>
                  <w:divsChild>
                    <w:div w:id="1277524819">
                      <w:marLeft w:val="0"/>
                      <w:marRight w:val="0"/>
                      <w:marTop w:val="0"/>
                      <w:marBottom w:val="0"/>
                      <w:divBdr>
                        <w:top w:val="none" w:sz="0" w:space="0" w:color="auto"/>
                        <w:left w:val="none" w:sz="0" w:space="0" w:color="auto"/>
                        <w:bottom w:val="none" w:sz="0" w:space="0" w:color="auto"/>
                        <w:right w:val="none" w:sz="0" w:space="0" w:color="auto"/>
                      </w:divBdr>
                    </w:div>
                  </w:divsChild>
                </w:div>
                <w:div w:id="1535658846">
                  <w:marLeft w:val="0"/>
                  <w:marRight w:val="0"/>
                  <w:marTop w:val="0"/>
                  <w:marBottom w:val="0"/>
                  <w:divBdr>
                    <w:top w:val="none" w:sz="0" w:space="0" w:color="auto"/>
                    <w:left w:val="none" w:sz="0" w:space="0" w:color="auto"/>
                    <w:bottom w:val="none" w:sz="0" w:space="0" w:color="auto"/>
                    <w:right w:val="none" w:sz="0" w:space="0" w:color="auto"/>
                  </w:divBdr>
                  <w:divsChild>
                    <w:div w:id="2071732158">
                      <w:marLeft w:val="0"/>
                      <w:marRight w:val="0"/>
                      <w:marTop w:val="0"/>
                      <w:marBottom w:val="0"/>
                      <w:divBdr>
                        <w:top w:val="none" w:sz="0" w:space="0" w:color="auto"/>
                        <w:left w:val="none" w:sz="0" w:space="0" w:color="auto"/>
                        <w:bottom w:val="none" w:sz="0" w:space="0" w:color="auto"/>
                        <w:right w:val="none" w:sz="0" w:space="0" w:color="auto"/>
                      </w:divBdr>
                    </w:div>
                  </w:divsChild>
                </w:div>
                <w:div w:id="1551726840">
                  <w:marLeft w:val="0"/>
                  <w:marRight w:val="0"/>
                  <w:marTop w:val="0"/>
                  <w:marBottom w:val="0"/>
                  <w:divBdr>
                    <w:top w:val="none" w:sz="0" w:space="0" w:color="auto"/>
                    <w:left w:val="none" w:sz="0" w:space="0" w:color="auto"/>
                    <w:bottom w:val="none" w:sz="0" w:space="0" w:color="auto"/>
                    <w:right w:val="none" w:sz="0" w:space="0" w:color="auto"/>
                  </w:divBdr>
                  <w:divsChild>
                    <w:div w:id="525414562">
                      <w:marLeft w:val="0"/>
                      <w:marRight w:val="0"/>
                      <w:marTop w:val="0"/>
                      <w:marBottom w:val="0"/>
                      <w:divBdr>
                        <w:top w:val="none" w:sz="0" w:space="0" w:color="auto"/>
                        <w:left w:val="none" w:sz="0" w:space="0" w:color="auto"/>
                        <w:bottom w:val="none" w:sz="0" w:space="0" w:color="auto"/>
                        <w:right w:val="none" w:sz="0" w:space="0" w:color="auto"/>
                      </w:divBdr>
                    </w:div>
                  </w:divsChild>
                </w:div>
                <w:div w:id="1616448033">
                  <w:marLeft w:val="0"/>
                  <w:marRight w:val="0"/>
                  <w:marTop w:val="0"/>
                  <w:marBottom w:val="0"/>
                  <w:divBdr>
                    <w:top w:val="none" w:sz="0" w:space="0" w:color="auto"/>
                    <w:left w:val="none" w:sz="0" w:space="0" w:color="auto"/>
                    <w:bottom w:val="none" w:sz="0" w:space="0" w:color="auto"/>
                    <w:right w:val="none" w:sz="0" w:space="0" w:color="auto"/>
                  </w:divBdr>
                  <w:divsChild>
                    <w:div w:id="2102027000">
                      <w:marLeft w:val="0"/>
                      <w:marRight w:val="0"/>
                      <w:marTop w:val="0"/>
                      <w:marBottom w:val="0"/>
                      <w:divBdr>
                        <w:top w:val="none" w:sz="0" w:space="0" w:color="auto"/>
                        <w:left w:val="none" w:sz="0" w:space="0" w:color="auto"/>
                        <w:bottom w:val="none" w:sz="0" w:space="0" w:color="auto"/>
                        <w:right w:val="none" w:sz="0" w:space="0" w:color="auto"/>
                      </w:divBdr>
                    </w:div>
                  </w:divsChild>
                </w:div>
                <w:div w:id="1640574978">
                  <w:marLeft w:val="0"/>
                  <w:marRight w:val="0"/>
                  <w:marTop w:val="0"/>
                  <w:marBottom w:val="0"/>
                  <w:divBdr>
                    <w:top w:val="none" w:sz="0" w:space="0" w:color="auto"/>
                    <w:left w:val="none" w:sz="0" w:space="0" w:color="auto"/>
                    <w:bottom w:val="none" w:sz="0" w:space="0" w:color="auto"/>
                    <w:right w:val="none" w:sz="0" w:space="0" w:color="auto"/>
                  </w:divBdr>
                  <w:divsChild>
                    <w:div w:id="1309555158">
                      <w:marLeft w:val="0"/>
                      <w:marRight w:val="0"/>
                      <w:marTop w:val="0"/>
                      <w:marBottom w:val="0"/>
                      <w:divBdr>
                        <w:top w:val="none" w:sz="0" w:space="0" w:color="auto"/>
                        <w:left w:val="none" w:sz="0" w:space="0" w:color="auto"/>
                        <w:bottom w:val="none" w:sz="0" w:space="0" w:color="auto"/>
                        <w:right w:val="none" w:sz="0" w:space="0" w:color="auto"/>
                      </w:divBdr>
                    </w:div>
                  </w:divsChild>
                </w:div>
                <w:div w:id="1676036498">
                  <w:marLeft w:val="0"/>
                  <w:marRight w:val="0"/>
                  <w:marTop w:val="0"/>
                  <w:marBottom w:val="0"/>
                  <w:divBdr>
                    <w:top w:val="none" w:sz="0" w:space="0" w:color="auto"/>
                    <w:left w:val="none" w:sz="0" w:space="0" w:color="auto"/>
                    <w:bottom w:val="none" w:sz="0" w:space="0" w:color="auto"/>
                    <w:right w:val="none" w:sz="0" w:space="0" w:color="auto"/>
                  </w:divBdr>
                  <w:divsChild>
                    <w:div w:id="1354259325">
                      <w:marLeft w:val="0"/>
                      <w:marRight w:val="0"/>
                      <w:marTop w:val="0"/>
                      <w:marBottom w:val="0"/>
                      <w:divBdr>
                        <w:top w:val="none" w:sz="0" w:space="0" w:color="auto"/>
                        <w:left w:val="none" w:sz="0" w:space="0" w:color="auto"/>
                        <w:bottom w:val="none" w:sz="0" w:space="0" w:color="auto"/>
                        <w:right w:val="none" w:sz="0" w:space="0" w:color="auto"/>
                      </w:divBdr>
                    </w:div>
                  </w:divsChild>
                </w:div>
                <w:div w:id="1694378703">
                  <w:marLeft w:val="0"/>
                  <w:marRight w:val="0"/>
                  <w:marTop w:val="0"/>
                  <w:marBottom w:val="0"/>
                  <w:divBdr>
                    <w:top w:val="none" w:sz="0" w:space="0" w:color="auto"/>
                    <w:left w:val="none" w:sz="0" w:space="0" w:color="auto"/>
                    <w:bottom w:val="none" w:sz="0" w:space="0" w:color="auto"/>
                    <w:right w:val="none" w:sz="0" w:space="0" w:color="auto"/>
                  </w:divBdr>
                  <w:divsChild>
                    <w:div w:id="855466107">
                      <w:marLeft w:val="0"/>
                      <w:marRight w:val="0"/>
                      <w:marTop w:val="0"/>
                      <w:marBottom w:val="0"/>
                      <w:divBdr>
                        <w:top w:val="none" w:sz="0" w:space="0" w:color="auto"/>
                        <w:left w:val="none" w:sz="0" w:space="0" w:color="auto"/>
                        <w:bottom w:val="none" w:sz="0" w:space="0" w:color="auto"/>
                        <w:right w:val="none" w:sz="0" w:space="0" w:color="auto"/>
                      </w:divBdr>
                    </w:div>
                  </w:divsChild>
                </w:div>
                <w:div w:id="1766730547">
                  <w:marLeft w:val="0"/>
                  <w:marRight w:val="0"/>
                  <w:marTop w:val="0"/>
                  <w:marBottom w:val="0"/>
                  <w:divBdr>
                    <w:top w:val="none" w:sz="0" w:space="0" w:color="auto"/>
                    <w:left w:val="none" w:sz="0" w:space="0" w:color="auto"/>
                    <w:bottom w:val="none" w:sz="0" w:space="0" w:color="auto"/>
                    <w:right w:val="none" w:sz="0" w:space="0" w:color="auto"/>
                  </w:divBdr>
                  <w:divsChild>
                    <w:div w:id="1853035454">
                      <w:marLeft w:val="0"/>
                      <w:marRight w:val="0"/>
                      <w:marTop w:val="0"/>
                      <w:marBottom w:val="0"/>
                      <w:divBdr>
                        <w:top w:val="none" w:sz="0" w:space="0" w:color="auto"/>
                        <w:left w:val="none" w:sz="0" w:space="0" w:color="auto"/>
                        <w:bottom w:val="none" w:sz="0" w:space="0" w:color="auto"/>
                        <w:right w:val="none" w:sz="0" w:space="0" w:color="auto"/>
                      </w:divBdr>
                    </w:div>
                  </w:divsChild>
                </w:div>
                <w:div w:id="1854999141">
                  <w:marLeft w:val="0"/>
                  <w:marRight w:val="0"/>
                  <w:marTop w:val="0"/>
                  <w:marBottom w:val="0"/>
                  <w:divBdr>
                    <w:top w:val="none" w:sz="0" w:space="0" w:color="auto"/>
                    <w:left w:val="none" w:sz="0" w:space="0" w:color="auto"/>
                    <w:bottom w:val="none" w:sz="0" w:space="0" w:color="auto"/>
                    <w:right w:val="none" w:sz="0" w:space="0" w:color="auto"/>
                  </w:divBdr>
                  <w:divsChild>
                    <w:div w:id="1933317978">
                      <w:marLeft w:val="0"/>
                      <w:marRight w:val="0"/>
                      <w:marTop w:val="0"/>
                      <w:marBottom w:val="0"/>
                      <w:divBdr>
                        <w:top w:val="none" w:sz="0" w:space="0" w:color="auto"/>
                        <w:left w:val="none" w:sz="0" w:space="0" w:color="auto"/>
                        <w:bottom w:val="none" w:sz="0" w:space="0" w:color="auto"/>
                        <w:right w:val="none" w:sz="0" w:space="0" w:color="auto"/>
                      </w:divBdr>
                    </w:div>
                  </w:divsChild>
                </w:div>
                <w:div w:id="1871407573">
                  <w:marLeft w:val="0"/>
                  <w:marRight w:val="0"/>
                  <w:marTop w:val="0"/>
                  <w:marBottom w:val="0"/>
                  <w:divBdr>
                    <w:top w:val="none" w:sz="0" w:space="0" w:color="auto"/>
                    <w:left w:val="none" w:sz="0" w:space="0" w:color="auto"/>
                    <w:bottom w:val="none" w:sz="0" w:space="0" w:color="auto"/>
                    <w:right w:val="none" w:sz="0" w:space="0" w:color="auto"/>
                  </w:divBdr>
                  <w:divsChild>
                    <w:div w:id="983850020">
                      <w:marLeft w:val="0"/>
                      <w:marRight w:val="0"/>
                      <w:marTop w:val="0"/>
                      <w:marBottom w:val="0"/>
                      <w:divBdr>
                        <w:top w:val="none" w:sz="0" w:space="0" w:color="auto"/>
                        <w:left w:val="none" w:sz="0" w:space="0" w:color="auto"/>
                        <w:bottom w:val="none" w:sz="0" w:space="0" w:color="auto"/>
                        <w:right w:val="none" w:sz="0" w:space="0" w:color="auto"/>
                      </w:divBdr>
                    </w:div>
                  </w:divsChild>
                </w:div>
                <w:div w:id="1907763390">
                  <w:marLeft w:val="0"/>
                  <w:marRight w:val="0"/>
                  <w:marTop w:val="0"/>
                  <w:marBottom w:val="0"/>
                  <w:divBdr>
                    <w:top w:val="none" w:sz="0" w:space="0" w:color="auto"/>
                    <w:left w:val="none" w:sz="0" w:space="0" w:color="auto"/>
                    <w:bottom w:val="none" w:sz="0" w:space="0" w:color="auto"/>
                    <w:right w:val="none" w:sz="0" w:space="0" w:color="auto"/>
                  </w:divBdr>
                  <w:divsChild>
                    <w:div w:id="1555117316">
                      <w:marLeft w:val="0"/>
                      <w:marRight w:val="0"/>
                      <w:marTop w:val="0"/>
                      <w:marBottom w:val="0"/>
                      <w:divBdr>
                        <w:top w:val="none" w:sz="0" w:space="0" w:color="auto"/>
                        <w:left w:val="none" w:sz="0" w:space="0" w:color="auto"/>
                        <w:bottom w:val="none" w:sz="0" w:space="0" w:color="auto"/>
                        <w:right w:val="none" w:sz="0" w:space="0" w:color="auto"/>
                      </w:divBdr>
                    </w:div>
                  </w:divsChild>
                </w:div>
                <w:div w:id="1927421780">
                  <w:marLeft w:val="0"/>
                  <w:marRight w:val="0"/>
                  <w:marTop w:val="0"/>
                  <w:marBottom w:val="0"/>
                  <w:divBdr>
                    <w:top w:val="none" w:sz="0" w:space="0" w:color="auto"/>
                    <w:left w:val="none" w:sz="0" w:space="0" w:color="auto"/>
                    <w:bottom w:val="none" w:sz="0" w:space="0" w:color="auto"/>
                    <w:right w:val="none" w:sz="0" w:space="0" w:color="auto"/>
                  </w:divBdr>
                  <w:divsChild>
                    <w:div w:id="1516650420">
                      <w:marLeft w:val="0"/>
                      <w:marRight w:val="0"/>
                      <w:marTop w:val="0"/>
                      <w:marBottom w:val="0"/>
                      <w:divBdr>
                        <w:top w:val="none" w:sz="0" w:space="0" w:color="auto"/>
                        <w:left w:val="none" w:sz="0" w:space="0" w:color="auto"/>
                        <w:bottom w:val="none" w:sz="0" w:space="0" w:color="auto"/>
                        <w:right w:val="none" w:sz="0" w:space="0" w:color="auto"/>
                      </w:divBdr>
                    </w:div>
                  </w:divsChild>
                </w:div>
                <w:div w:id="2066639318">
                  <w:marLeft w:val="0"/>
                  <w:marRight w:val="0"/>
                  <w:marTop w:val="0"/>
                  <w:marBottom w:val="0"/>
                  <w:divBdr>
                    <w:top w:val="none" w:sz="0" w:space="0" w:color="auto"/>
                    <w:left w:val="none" w:sz="0" w:space="0" w:color="auto"/>
                    <w:bottom w:val="none" w:sz="0" w:space="0" w:color="auto"/>
                    <w:right w:val="none" w:sz="0" w:space="0" w:color="auto"/>
                  </w:divBdr>
                  <w:divsChild>
                    <w:div w:id="1577669731">
                      <w:marLeft w:val="0"/>
                      <w:marRight w:val="0"/>
                      <w:marTop w:val="0"/>
                      <w:marBottom w:val="0"/>
                      <w:divBdr>
                        <w:top w:val="none" w:sz="0" w:space="0" w:color="auto"/>
                        <w:left w:val="none" w:sz="0" w:space="0" w:color="auto"/>
                        <w:bottom w:val="none" w:sz="0" w:space="0" w:color="auto"/>
                        <w:right w:val="none" w:sz="0" w:space="0" w:color="auto"/>
                      </w:divBdr>
                    </w:div>
                  </w:divsChild>
                </w:div>
                <w:div w:id="2072843567">
                  <w:marLeft w:val="0"/>
                  <w:marRight w:val="0"/>
                  <w:marTop w:val="0"/>
                  <w:marBottom w:val="0"/>
                  <w:divBdr>
                    <w:top w:val="none" w:sz="0" w:space="0" w:color="auto"/>
                    <w:left w:val="none" w:sz="0" w:space="0" w:color="auto"/>
                    <w:bottom w:val="none" w:sz="0" w:space="0" w:color="auto"/>
                    <w:right w:val="none" w:sz="0" w:space="0" w:color="auto"/>
                  </w:divBdr>
                  <w:divsChild>
                    <w:div w:id="721095394">
                      <w:marLeft w:val="0"/>
                      <w:marRight w:val="0"/>
                      <w:marTop w:val="0"/>
                      <w:marBottom w:val="0"/>
                      <w:divBdr>
                        <w:top w:val="none" w:sz="0" w:space="0" w:color="auto"/>
                        <w:left w:val="none" w:sz="0" w:space="0" w:color="auto"/>
                        <w:bottom w:val="none" w:sz="0" w:space="0" w:color="auto"/>
                        <w:right w:val="none" w:sz="0" w:space="0" w:color="auto"/>
                      </w:divBdr>
                    </w:div>
                  </w:divsChild>
                </w:div>
                <w:div w:id="2086299384">
                  <w:marLeft w:val="0"/>
                  <w:marRight w:val="0"/>
                  <w:marTop w:val="0"/>
                  <w:marBottom w:val="0"/>
                  <w:divBdr>
                    <w:top w:val="none" w:sz="0" w:space="0" w:color="auto"/>
                    <w:left w:val="none" w:sz="0" w:space="0" w:color="auto"/>
                    <w:bottom w:val="none" w:sz="0" w:space="0" w:color="auto"/>
                    <w:right w:val="none" w:sz="0" w:space="0" w:color="auto"/>
                  </w:divBdr>
                  <w:divsChild>
                    <w:div w:id="11822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0040">
          <w:marLeft w:val="0"/>
          <w:marRight w:val="0"/>
          <w:marTop w:val="0"/>
          <w:marBottom w:val="0"/>
          <w:divBdr>
            <w:top w:val="none" w:sz="0" w:space="0" w:color="auto"/>
            <w:left w:val="none" w:sz="0" w:space="0" w:color="auto"/>
            <w:bottom w:val="none" w:sz="0" w:space="0" w:color="auto"/>
            <w:right w:val="none" w:sz="0" w:space="0" w:color="auto"/>
          </w:divBdr>
        </w:div>
        <w:div w:id="1845704282">
          <w:marLeft w:val="0"/>
          <w:marRight w:val="0"/>
          <w:marTop w:val="0"/>
          <w:marBottom w:val="0"/>
          <w:divBdr>
            <w:top w:val="none" w:sz="0" w:space="0" w:color="auto"/>
            <w:left w:val="none" w:sz="0" w:space="0" w:color="auto"/>
            <w:bottom w:val="none" w:sz="0" w:space="0" w:color="auto"/>
            <w:right w:val="none" w:sz="0" w:space="0" w:color="auto"/>
          </w:divBdr>
        </w:div>
        <w:div w:id="1869752202">
          <w:marLeft w:val="0"/>
          <w:marRight w:val="0"/>
          <w:marTop w:val="0"/>
          <w:marBottom w:val="0"/>
          <w:divBdr>
            <w:top w:val="none" w:sz="0" w:space="0" w:color="auto"/>
            <w:left w:val="none" w:sz="0" w:space="0" w:color="auto"/>
            <w:bottom w:val="none" w:sz="0" w:space="0" w:color="auto"/>
            <w:right w:val="none" w:sz="0" w:space="0" w:color="auto"/>
          </w:divBdr>
        </w:div>
        <w:div w:id="1888445864">
          <w:marLeft w:val="0"/>
          <w:marRight w:val="0"/>
          <w:marTop w:val="0"/>
          <w:marBottom w:val="0"/>
          <w:divBdr>
            <w:top w:val="none" w:sz="0" w:space="0" w:color="auto"/>
            <w:left w:val="none" w:sz="0" w:space="0" w:color="auto"/>
            <w:bottom w:val="none" w:sz="0" w:space="0" w:color="auto"/>
            <w:right w:val="none" w:sz="0" w:space="0" w:color="auto"/>
          </w:divBdr>
          <w:divsChild>
            <w:div w:id="1975132766">
              <w:marLeft w:val="-75"/>
              <w:marRight w:val="0"/>
              <w:marTop w:val="30"/>
              <w:marBottom w:val="30"/>
              <w:divBdr>
                <w:top w:val="none" w:sz="0" w:space="0" w:color="auto"/>
                <w:left w:val="none" w:sz="0" w:space="0" w:color="auto"/>
                <w:bottom w:val="none" w:sz="0" w:space="0" w:color="auto"/>
                <w:right w:val="none" w:sz="0" w:space="0" w:color="auto"/>
              </w:divBdr>
              <w:divsChild>
                <w:div w:id="46614658">
                  <w:marLeft w:val="0"/>
                  <w:marRight w:val="0"/>
                  <w:marTop w:val="0"/>
                  <w:marBottom w:val="0"/>
                  <w:divBdr>
                    <w:top w:val="none" w:sz="0" w:space="0" w:color="auto"/>
                    <w:left w:val="none" w:sz="0" w:space="0" w:color="auto"/>
                    <w:bottom w:val="none" w:sz="0" w:space="0" w:color="auto"/>
                    <w:right w:val="none" w:sz="0" w:space="0" w:color="auto"/>
                  </w:divBdr>
                  <w:divsChild>
                    <w:div w:id="506359632">
                      <w:marLeft w:val="0"/>
                      <w:marRight w:val="0"/>
                      <w:marTop w:val="0"/>
                      <w:marBottom w:val="0"/>
                      <w:divBdr>
                        <w:top w:val="none" w:sz="0" w:space="0" w:color="auto"/>
                        <w:left w:val="none" w:sz="0" w:space="0" w:color="auto"/>
                        <w:bottom w:val="none" w:sz="0" w:space="0" w:color="auto"/>
                        <w:right w:val="none" w:sz="0" w:space="0" w:color="auto"/>
                      </w:divBdr>
                    </w:div>
                  </w:divsChild>
                </w:div>
                <w:div w:id="90509636">
                  <w:marLeft w:val="0"/>
                  <w:marRight w:val="0"/>
                  <w:marTop w:val="0"/>
                  <w:marBottom w:val="0"/>
                  <w:divBdr>
                    <w:top w:val="none" w:sz="0" w:space="0" w:color="auto"/>
                    <w:left w:val="none" w:sz="0" w:space="0" w:color="auto"/>
                    <w:bottom w:val="none" w:sz="0" w:space="0" w:color="auto"/>
                    <w:right w:val="none" w:sz="0" w:space="0" w:color="auto"/>
                  </w:divBdr>
                  <w:divsChild>
                    <w:div w:id="1228105512">
                      <w:marLeft w:val="0"/>
                      <w:marRight w:val="0"/>
                      <w:marTop w:val="0"/>
                      <w:marBottom w:val="0"/>
                      <w:divBdr>
                        <w:top w:val="none" w:sz="0" w:space="0" w:color="auto"/>
                        <w:left w:val="none" w:sz="0" w:space="0" w:color="auto"/>
                        <w:bottom w:val="none" w:sz="0" w:space="0" w:color="auto"/>
                        <w:right w:val="none" w:sz="0" w:space="0" w:color="auto"/>
                      </w:divBdr>
                    </w:div>
                  </w:divsChild>
                </w:div>
                <w:div w:id="95364983">
                  <w:marLeft w:val="0"/>
                  <w:marRight w:val="0"/>
                  <w:marTop w:val="0"/>
                  <w:marBottom w:val="0"/>
                  <w:divBdr>
                    <w:top w:val="none" w:sz="0" w:space="0" w:color="auto"/>
                    <w:left w:val="none" w:sz="0" w:space="0" w:color="auto"/>
                    <w:bottom w:val="none" w:sz="0" w:space="0" w:color="auto"/>
                    <w:right w:val="none" w:sz="0" w:space="0" w:color="auto"/>
                  </w:divBdr>
                  <w:divsChild>
                    <w:div w:id="171535241">
                      <w:marLeft w:val="0"/>
                      <w:marRight w:val="0"/>
                      <w:marTop w:val="0"/>
                      <w:marBottom w:val="0"/>
                      <w:divBdr>
                        <w:top w:val="none" w:sz="0" w:space="0" w:color="auto"/>
                        <w:left w:val="none" w:sz="0" w:space="0" w:color="auto"/>
                        <w:bottom w:val="none" w:sz="0" w:space="0" w:color="auto"/>
                        <w:right w:val="none" w:sz="0" w:space="0" w:color="auto"/>
                      </w:divBdr>
                    </w:div>
                  </w:divsChild>
                </w:div>
                <w:div w:id="161816308">
                  <w:marLeft w:val="0"/>
                  <w:marRight w:val="0"/>
                  <w:marTop w:val="0"/>
                  <w:marBottom w:val="0"/>
                  <w:divBdr>
                    <w:top w:val="none" w:sz="0" w:space="0" w:color="auto"/>
                    <w:left w:val="none" w:sz="0" w:space="0" w:color="auto"/>
                    <w:bottom w:val="none" w:sz="0" w:space="0" w:color="auto"/>
                    <w:right w:val="none" w:sz="0" w:space="0" w:color="auto"/>
                  </w:divBdr>
                  <w:divsChild>
                    <w:div w:id="1441026164">
                      <w:marLeft w:val="0"/>
                      <w:marRight w:val="0"/>
                      <w:marTop w:val="0"/>
                      <w:marBottom w:val="0"/>
                      <w:divBdr>
                        <w:top w:val="none" w:sz="0" w:space="0" w:color="auto"/>
                        <w:left w:val="none" w:sz="0" w:space="0" w:color="auto"/>
                        <w:bottom w:val="none" w:sz="0" w:space="0" w:color="auto"/>
                        <w:right w:val="none" w:sz="0" w:space="0" w:color="auto"/>
                      </w:divBdr>
                    </w:div>
                  </w:divsChild>
                </w:div>
                <w:div w:id="169487705">
                  <w:marLeft w:val="0"/>
                  <w:marRight w:val="0"/>
                  <w:marTop w:val="0"/>
                  <w:marBottom w:val="0"/>
                  <w:divBdr>
                    <w:top w:val="none" w:sz="0" w:space="0" w:color="auto"/>
                    <w:left w:val="none" w:sz="0" w:space="0" w:color="auto"/>
                    <w:bottom w:val="none" w:sz="0" w:space="0" w:color="auto"/>
                    <w:right w:val="none" w:sz="0" w:space="0" w:color="auto"/>
                  </w:divBdr>
                  <w:divsChild>
                    <w:div w:id="1184124954">
                      <w:marLeft w:val="0"/>
                      <w:marRight w:val="0"/>
                      <w:marTop w:val="0"/>
                      <w:marBottom w:val="0"/>
                      <w:divBdr>
                        <w:top w:val="none" w:sz="0" w:space="0" w:color="auto"/>
                        <w:left w:val="none" w:sz="0" w:space="0" w:color="auto"/>
                        <w:bottom w:val="none" w:sz="0" w:space="0" w:color="auto"/>
                        <w:right w:val="none" w:sz="0" w:space="0" w:color="auto"/>
                      </w:divBdr>
                    </w:div>
                  </w:divsChild>
                </w:div>
                <w:div w:id="236064227">
                  <w:marLeft w:val="0"/>
                  <w:marRight w:val="0"/>
                  <w:marTop w:val="0"/>
                  <w:marBottom w:val="0"/>
                  <w:divBdr>
                    <w:top w:val="none" w:sz="0" w:space="0" w:color="auto"/>
                    <w:left w:val="none" w:sz="0" w:space="0" w:color="auto"/>
                    <w:bottom w:val="none" w:sz="0" w:space="0" w:color="auto"/>
                    <w:right w:val="none" w:sz="0" w:space="0" w:color="auto"/>
                  </w:divBdr>
                  <w:divsChild>
                    <w:div w:id="540626803">
                      <w:marLeft w:val="0"/>
                      <w:marRight w:val="0"/>
                      <w:marTop w:val="0"/>
                      <w:marBottom w:val="0"/>
                      <w:divBdr>
                        <w:top w:val="none" w:sz="0" w:space="0" w:color="auto"/>
                        <w:left w:val="none" w:sz="0" w:space="0" w:color="auto"/>
                        <w:bottom w:val="none" w:sz="0" w:space="0" w:color="auto"/>
                        <w:right w:val="none" w:sz="0" w:space="0" w:color="auto"/>
                      </w:divBdr>
                    </w:div>
                  </w:divsChild>
                </w:div>
                <w:div w:id="296033600">
                  <w:marLeft w:val="0"/>
                  <w:marRight w:val="0"/>
                  <w:marTop w:val="0"/>
                  <w:marBottom w:val="0"/>
                  <w:divBdr>
                    <w:top w:val="none" w:sz="0" w:space="0" w:color="auto"/>
                    <w:left w:val="none" w:sz="0" w:space="0" w:color="auto"/>
                    <w:bottom w:val="none" w:sz="0" w:space="0" w:color="auto"/>
                    <w:right w:val="none" w:sz="0" w:space="0" w:color="auto"/>
                  </w:divBdr>
                  <w:divsChild>
                    <w:div w:id="1485704213">
                      <w:marLeft w:val="0"/>
                      <w:marRight w:val="0"/>
                      <w:marTop w:val="0"/>
                      <w:marBottom w:val="0"/>
                      <w:divBdr>
                        <w:top w:val="none" w:sz="0" w:space="0" w:color="auto"/>
                        <w:left w:val="none" w:sz="0" w:space="0" w:color="auto"/>
                        <w:bottom w:val="none" w:sz="0" w:space="0" w:color="auto"/>
                        <w:right w:val="none" w:sz="0" w:space="0" w:color="auto"/>
                      </w:divBdr>
                    </w:div>
                  </w:divsChild>
                </w:div>
                <w:div w:id="312760524">
                  <w:marLeft w:val="0"/>
                  <w:marRight w:val="0"/>
                  <w:marTop w:val="0"/>
                  <w:marBottom w:val="0"/>
                  <w:divBdr>
                    <w:top w:val="none" w:sz="0" w:space="0" w:color="auto"/>
                    <w:left w:val="none" w:sz="0" w:space="0" w:color="auto"/>
                    <w:bottom w:val="none" w:sz="0" w:space="0" w:color="auto"/>
                    <w:right w:val="none" w:sz="0" w:space="0" w:color="auto"/>
                  </w:divBdr>
                  <w:divsChild>
                    <w:div w:id="1401439741">
                      <w:marLeft w:val="0"/>
                      <w:marRight w:val="0"/>
                      <w:marTop w:val="0"/>
                      <w:marBottom w:val="0"/>
                      <w:divBdr>
                        <w:top w:val="none" w:sz="0" w:space="0" w:color="auto"/>
                        <w:left w:val="none" w:sz="0" w:space="0" w:color="auto"/>
                        <w:bottom w:val="none" w:sz="0" w:space="0" w:color="auto"/>
                        <w:right w:val="none" w:sz="0" w:space="0" w:color="auto"/>
                      </w:divBdr>
                    </w:div>
                  </w:divsChild>
                </w:div>
                <w:div w:id="321200500">
                  <w:marLeft w:val="0"/>
                  <w:marRight w:val="0"/>
                  <w:marTop w:val="0"/>
                  <w:marBottom w:val="0"/>
                  <w:divBdr>
                    <w:top w:val="none" w:sz="0" w:space="0" w:color="auto"/>
                    <w:left w:val="none" w:sz="0" w:space="0" w:color="auto"/>
                    <w:bottom w:val="none" w:sz="0" w:space="0" w:color="auto"/>
                    <w:right w:val="none" w:sz="0" w:space="0" w:color="auto"/>
                  </w:divBdr>
                  <w:divsChild>
                    <w:div w:id="1896162257">
                      <w:marLeft w:val="0"/>
                      <w:marRight w:val="0"/>
                      <w:marTop w:val="0"/>
                      <w:marBottom w:val="0"/>
                      <w:divBdr>
                        <w:top w:val="none" w:sz="0" w:space="0" w:color="auto"/>
                        <w:left w:val="none" w:sz="0" w:space="0" w:color="auto"/>
                        <w:bottom w:val="none" w:sz="0" w:space="0" w:color="auto"/>
                        <w:right w:val="none" w:sz="0" w:space="0" w:color="auto"/>
                      </w:divBdr>
                    </w:div>
                  </w:divsChild>
                </w:div>
                <w:div w:id="324552894">
                  <w:marLeft w:val="0"/>
                  <w:marRight w:val="0"/>
                  <w:marTop w:val="0"/>
                  <w:marBottom w:val="0"/>
                  <w:divBdr>
                    <w:top w:val="none" w:sz="0" w:space="0" w:color="auto"/>
                    <w:left w:val="none" w:sz="0" w:space="0" w:color="auto"/>
                    <w:bottom w:val="none" w:sz="0" w:space="0" w:color="auto"/>
                    <w:right w:val="none" w:sz="0" w:space="0" w:color="auto"/>
                  </w:divBdr>
                  <w:divsChild>
                    <w:div w:id="957686373">
                      <w:marLeft w:val="0"/>
                      <w:marRight w:val="0"/>
                      <w:marTop w:val="0"/>
                      <w:marBottom w:val="0"/>
                      <w:divBdr>
                        <w:top w:val="none" w:sz="0" w:space="0" w:color="auto"/>
                        <w:left w:val="none" w:sz="0" w:space="0" w:color="auto"/>
                        <w:bottom w:val="none" w:sz="0" w:space="0" w:color="auto"/>
                        <w:right w:val="none" w:sz="0" w:space="0" w:color="auto"/>
                      </w:divBdr>
                    </w:div>
                  </w:divsChild>
                </w:div>
                <w:div w:id="389228298">
                  <w:marLeft w:val="0"/>
                  <w:marRight w:val="0"/>
                  <w:marTop w:val="0"/>
                  <w:marBottom w:val="0"/>
                  <w:divBdr>
                    <w:top w:val="none" w:sz="0" w:space="0" w:color="auto"/>
                    <w:left w:val="none" w:sz="0" w:space="0" w:color="auto"/>
                    <w:bottom w:val="none" w:sz="0" w:space="0" w:color="auto"/>
                    <w:right w:val="none" w:sz="0" w:space="0" w:color="auto"/>
                  </w:divBdr>
                  <w:divsChild>
                    <w:div w:id="1652903542">
                      <w:marLeft w:val="0"/>
                      <w:marRight w:val="0"/>
                      <w:marTop w:val="0"/>
                      <w:marBottom w:val="0"/>
                      <w:divBdr>
                        <w:top w:val="none" w:sz="0" w:space="0" w:color="auto"/>
                        <w:left w:val="none" w:sz="0" w:space="0" w:color="auto"/>
                        <w:bottom w:val="none" w:sz="0" w:space="0" w:color="auto"/>
                        <w:right w:val="none" w:sz="0" w:space="0" w:color="auto"/>
                      </w:divBdr>
                    </w:div>
                  </w:divsChild>
                </w:div>
                <w:div w:id="396325470">
                  <w:marLeft w:val="0"/>
                  <w:marRight w:val="0"/>
                  <w:marTop w:val="0"/>
                  <w:marBottom w:val="0"/>
                  <w:divBdr>
                    <w:top w:val="none" w:sz="0" w:space="0" w:color="auto"/>
                    <w:left w:val="none" w:sz="0" w:space="0" w:color="auto"/>
                    <w:bottom w:val="none" w:sz="0" w:space="0" w:color="auto"/>
                    <w:right w:val="none" w:sz="0" w:space="0" w:color="auto"/>
                  </w:divBdr>
                  <w:divsChild>
                    <w:div w:id="1471483829">
                      <w:marLeft w:val="0"/>
                      <w:marRight w:val="0"/>
                      <w:marTop w:val="0"/>
                      <w:marBottom w:val="0"/>
                      <w:divBdr>
                        <w:top w:val="none" w:sz="0" w:space="0" w:color="auto"/>
                        <w:left w:val="none" w:sz="0" w:space="0" w:color="auto"/>
                        <w:bottom w:val="none" w:sz="0" w:space="0" w:color="auto"/>
                        <w:right w:val="none" w:sz="0" w:space="0" w:color="auto"/>
                      </w:divBdr>
                    </w:div>
                  </w:divsChild>
                </w:div>
                <w:div w:id="422146140">
                  <w:marLeft w:val="0"/>
                  <w:marRight w:val="0"/>
                  <w:marTop w:val="0"/>
                  <w:marBottom w:val="0"/>
                  <w:divBdr>
                    <w:top w:val="none" w:sz="0" w:space="0" w:color="auto"/>
                    <w:left w:val="none" w:sz="0" w:space="0" w:color="auto"/>
                    <w:bottom w:val="none" w:sz="0" w:space="0" w:color="auto"/>
                    <w:right w:val="none" w:sz="0" w:space="0" w:color="auto"/>
                  </w:divBdr>
                  <w:divsChild>
                    <w:div w:id="227497820">
                      <w:marLeft w:val="0"/>
                      <w:marRight w:val="0"/>
                      <w:marTop w:val="0"/>
                      <w:marBottom w:val="0"/>
                      <w:divBdr>
                        <w:top w:val="none" w:sz="0" w:space="0" w:color="auto"/>
                        <w:left w:val="none" w:sz="0" w:space="0" w:color="auto"/>
                        <w:bottom w:val="none" w:sz="0" w:space="0" w:color="auto"/>
                        <w:right w:val="none" w:sz="0" w:space="0" w:color="auto"/>
                      </w:divBdr>
                    </w:div>
                  </w:divsChild>
                </w:div>
                <w:div w:id="449132512">
                  <w:marLeft w:val="0"/>
                  <w:marRight w:val="0"/>
                  <w:marTop w:val="0"/>
                  <w:marBottom w:val="0"/>
                  <w:divBdr>
                    <w:top w:val="none" w:sz="0" w:space="0" w:color="auto"/>
                    <w:left w:val="none" w:sz="0" w:space="0" w:color="auto"/>
                    <w:bottom w:val="none" w:sz="0" w:space="0" w:color="auto"/>
                    <w:right w:val="none" w:sz="0" w:space="0" w:color="auto"/>
                  </w:divBdr>
                  <w:divsChild>
                    <w:div w:id="525296371">
                      <w:marLeft w:val="0"/>
                      <w:marRight w:val="0"/>
                      <w:marTop w:val="0"/>
                      <w:marBottom w:val="0"/>
                      <w:divBdr>
                        <w:top w:val="none" w:sz="0" w:space="0" w:color="auto"/>
                        <w:left w:val="none" w:sz="0" w:space="0" w:color="auto"/>
                        <w:bottom w:val="none" w:sz="0" w:space="0" w:color="auto"/>
                        <w:right w:val="none" w:sz="0" w:space="0" w:color="auto"/>
                      </w:divBdr>
                    </w:div>
                  </w:divsChild>
                </w:div>
                <w:div w:id="454106943">
                  <w:marLeft w:val="0"/>
                  <w:marRight w:val="0"/>
                  <w:marTop w:val="0"/>
                  <w:marBottom w:val="0"/>
                  <w:divBdr>
                    <w:top w:val="none" w:sz="0" w:space="0" w:color="auto"/>
                    <w:left w:val="none" w:sz="0" w:space="0" w:color="auto"/>
                    <w:bottom w:val="none" w:sz="0" w:space="0" w:color="auto"/>
                    <w:right w:val="none" w:sz="0" w:space="0" w:color="auto"/>
                  </w:divBdr>
                  <w:divsChild>
                    <w:div w:id="1306929442">
                      <w:marLeft w:val="0"/>
                      <w:marRight w:val="0"/>
                      <w:marTop w:val="0"/>
                      <w:marBottom w:val="0"/>
                      <w:divBdr>
                        <w:top w:val="none" w:sz="0" w:space="0" w:color="auto"/>
                        <w:left w:val="none" w:sz="0" w:space="0" w:color="auto"/>
                        <w:bottom w:val="none" w:sz="0" w:space="0" w:color="auto"/>
                        <w:right w:val="none" w:sz="0" w:space="0" w:color="auto"/>
                      </w:divBdr>
                    </w:div>
                  </w:divsChild>
                </w:div>
                <w:div w:id="479081422">
                  <w:marLeft w:val="0"/>
                  <w:marRight w:val="0"/>
                  <w:marTop w:val="0"/>
                  <w:marBottom w:val="0"/>
                  <w:divBdr>
                    <w:top w:val="none" w:sz="0" w:space="0" w:color="auto"/>
                    <w:left w:val="none" w:sz="0" w:space="0" w:color="auto"/>
                    <w:bottom w:val="none" w:sz="0" w:space="0" w:color="auto"/>
                    <w:right w:val="none" w:sz="0" w:space="0" w:color="auto"/>
                  </w:divBdr>
                  <w:divsChild>
                    <w:div w:id="2101364758">
                      <w:marLeft w:val="0"/>
                      <w:marRight w:val="0"/>
                      <w:marTop w:val="0"/>
                      <w:marBottom w:val="0"/>
                      <w:divBdr>
                        <w:top w:val="none" w:sz="0" w:space="0" w:color="auto"/>
                        <w:left w:val="none" w:sz="0" w:space="0" w:color="auto"/>
                        <w:bottom w:val="none" w:sz="0" w:space="0" w:color="auto"/>
                        <w:right w:val="none" w:sz="0" w:space="0" w:color="auto"/>
                      </w:divBdr>
                    </w:div>
                  </w:divsChild>
                </w:div>
                <w:div w:id="492306771">
                  <w:marLeft w:val="0"/>
                  <w:marRight w:val="0"/>
                  <w:marTop w:val="0"/>
                  <w:marBottom w:val="0"/>
                  <w:divBdr>
                    <w:top w:val="none" w:sz="0" w:space="0" w:color="auto"/>
                    <w:left w:val="none" w:sz="0" w:space="0" w:color="auto"/>
                    <w:bottom w:val="none" w:sz="0" w:space="0" w:color="auto"/>
                    <w:right w:val="none" w:sz="0" w:space="0" w:color="auto"/>
                  </w:divBdr>
                  <w:divsChild>
                    <w:div w:id="1067920541">
                      <w:marLeft w:val="0"/>
                      <w:marRight w:val="0"/>
                      <w:marTop w:val="0"/>
                      <w:marBottom w:val="0"/>
                      <w:divBdr>
                        <w:top w:val="none" w:sz="0" w:space="0" w:color="auto"/>
                        <w:left w:val="none" w:sz="0" w:space="0" w:color="auto"/>
                        <w:bottom w:val="none" w:sz="0" w:space="0" w:color="auto"/>
                        <w:right w:val="none" w:sz="0" w:space="0" w:color="auto"/>
                      </w:divBdr>
                    </w:div>
                  </w:divsChild>
                </w:div>
                <w:div w:id="504173074">
                  <w:marLeft w:val="0"/>
                  <w:marRight w:val="0"/>
                  <w:marTop w:val="0"/>
                  <w:marBottom w:val="0"/>
                  <w:divBdr>
                    <w:top w:val="none" w:sz="0" w:space="0" w:color="auto"/>
                    <w:left w:val="none" w:sz="0" w:space="0" w:color="auto"/>
                    <w:bottom w:val="none" w:sz="0" w:space="0" w:color="auto"/>
                    <w:right w:val="none" w:sz="0" w:space="0" w:color="auto"/>
                  </w:divBdr>
                  <w:divsChild>
                    <w:div w:id="898857633">
                      <w:marLeft w:val="0"/>
                      <w:marRight w:val="0"/>
                      <w:marTop w:val="0"/>
                      <w:marBottom w:val="0"/>
                      <w:divBdr>
                        <w:top w:val="none" w:sz="0" w:space="0" w:color="auto"/>
                        <w:left w:val="none" w:sz="0" w:space="0" w:color="auto"/>
                        <w:bottom w:val="none" w:sz="0" w:space="0" w:color="auto"/>
                        <w:right w:val="none" w:sz="0" w:space="0" w:color="auto"/>
                      </w:divBdr>
                    </w:div>
                  </w:divsChild>
                </w:div>
                <w:div w:id="536282865">
                  <w:marLeft w:val="0"/>
                  <w:marRight w:val="0"/>
                  <w:marTop w:val="0"/>
                  <w:marBottom w:val="0"/>
                  <w:divBdr>
                    <w:top w:val="none" w:sz="0" w:space="0" w:color="auto"/>
                    <w:left w:val="none" w:sz="0" w:space="0" w:color="auto"/>
                    <w:bottom w:val="none" w:sz="0" w:space="0" w:color="auto"/>
                    <w:right w:val="none" w:sz="0" w:space="0" w:color="auto"/>
                  </w:divBdr>
                  <w:divsChild>
                    <w:div w:id="1983928337">
                      <w:marLeft w:val="0"/>
                      <w:marRight w:val="0"/>
                      <w:marTop w:val="0"/>
                      <w:marBottom w:val="0"/>
                      <w:divBdr>
                        <w:top w:val="none" w:sz="0" w:space="0" w:color="auto"/>
                        <w:left w:val="none" w:sz="0" w:space="0" w:color="auto"/>
                        <w:bottom w:val="none" w:sz="0" w:space="0" w:color="auto"/>
                        <w:right w:val="none" w:sz="0" w:space="0" w:color="auto"/>
                      </w:divBdr>
                    </w:div>
                  </w:divsChild>
                </w:div>
                <w:div w:id="578059621">
                  <w:marLeft w:val="0"/>
                  <w:marRight w:val="0"/>
                  <w:marTop w:val="0"/>
                  <w:marBottom w:val="0"/>
                  <w:divBdr>
                    <w:top w:val="none" w:sz="0" w:space="0" w:color="auto"/>
                    <w:left w:val="none" w:sz="0" w:space="0" w:color="auto"/>
                    <w:bottom w:val="none" w:sz="0" w:space="0" w:color="auto"/>
                    <w:right w:val="none" w:sz="0" w:space="0" w:color="auto"/>
                  </w:divBdr>
                  <w:divsChild>
                    <w:div w:id="342518799">
                      <w:marLeft w:val="0"/>
                      <w:marRight w:val="0"/>
                      <w:marTop w:val="0"/>
                      <w:marBottom w:val="0"/>
                      <w:divBdr>
                        <w:top w:val="none" w:sz="0" w:space="0" w:color="auto"/>
                        <w:left w:val="none" w:sz="0" w:space="0" w:color="auto"/>
                        <w:bottom w:val="none" w:sz="0" w:space="0" w:color="auto"/>
                        <w:right w:val="none" w:sz="0" w:space="0" w:color="auto"/>
                      </w:divBdr>
                    </w:div>
                  </w:divsChild>
                </w:div>
                <w:div w:id="586502543">
                  <w:marLeft w:val="0"/>
                  <w:marRight w:val="0"/>
                  <w:marTop w:val="0"/>
                  <w:marBottom w:val="0"/>
                  <w:divBdr>
                    <w:top w:val="none" w:sz="0" w:space="0" w:color="auto"/>
                    <w:left w:val="none" w:sz="0" w:space="0" w:color="auto"/>
                    <w:bottom w:val="none" w:sz="0" w:space="0" w:color="auto"/>
                    <w:right w:val="none" w:sz="0" w:space="0" w:color="auto"/>
                  </w:divBdr>
                  <w:divsChild>
                    <w:div w:id="493882613">
                      <w:marLeft w:val="0"/>
                      <w:marRight w:val="0"/>
                      <w:marTop w:val="0"/>
                      <w:marBottom w:val="0"/>
                      <w:divBdr>
                        <w:top w:val="none" w:sz="0" w:space="0" w:color="auto"/>
                        <w:left w:val="none" w:sz="0" w:space="0" w:color="auto"/>
                        <w:bottom w:val="none" w:sz="0" w:space="0" w:color="auto"/>
                        <w:right w:val="none" w:sz="0" w:space="0" w:color="auto"/>
                      </w:divBdr>
                    </w:div>
                  </w:divsChild>
                </w:div>
                <w:div w:id="618726314">
                  <w:marLeft w:val="0"/>
                  <w:marRight w:val="0"/>
                  <w:marTop w:val="0"/>
                  <w:marBottom w:val="0"/>
                  <w:divBdr>
                    <w:top w:val="none" w:sz="0" w:space="0" w:color="auto"/>
                    <w:left w:val="none" w:sz="0" w:space="0" w:color="auto"/>
                    <w:bottom w:val="none" w:sz="0" w:space="0" w:color="auto"/>
                    <w:right w:val="none" w:sz="0" w:space="0" w:color="auto"/>
                  </w:divBdr>
                  <w:divsChild>
                    <w:div w:id="916862197">
                      <w:marLeft w:val="0"/>
                      <w:marRight w:val="0"/>
                      <w:marTop w:val="0"/>
                      <w:marBottom w:val="0"/>
                      <w:divBdr>
                        <w:top w:val="none" w:sz="0" w:space="0" w:color="auto"/>
                        <w:left w:val="none" w:sz="0" w:space="0" w:color="auto"/>
                        <w:bottom w:val="none" w:sz="0" w:space="0" w:color="auto"/>
                        <w:right w:val="none" w:sz="0" w:space="0" w:color="auto"/>
                      </w:divBdr>
                    </w:div>
                  </w:divsChild>
                </w:div>
                <w:div w:id="627932442">
                  <w:marLeft w:val="0"/>
                  <w:marRight w:val="0"/>
                  <w:marTop w:val="0"/>
                  <w:marBottom w:val="0"/>
                  <w:divBdr>
                    <w:top w:val="none" w:sz="0" w:space="0" w:color="auto"/>
                    <w:left w:val="none" w:sz="0" w:space="0" w:color="auto"/>
                    <w:bottom w:val="none" w:sz="0" w:space="0" w:color="auto"/>
                    <w:right w:val="none" w:sz="0" w:space="0" w:color="auto"/>
                  </w:divBdr>
                  <w:divsChild>
                    <w:div w:id="1632440248">
                      <w:marLeft w:val="0"/>
                      <w:marRight w:val="0"/>
                      <w:marTop w:val="0"/>
                      <w:marBottom w:val="0"/>
                      <w:divBdr>
                        <w:top w:val="none" w:sz="0" w:space="0" w:color="auto"/>
                        <w:left w:val="none" w:sz="0" w:space="0" w:color="auto"/>
                        <w:bottom w:val="none" w:sz="0" w:space="0" w:color="auto"/>
                        <w:right w:val="none" w:sz="0" w:space="0" w:color="auto"/>
                      </w:divBdr>
                    </w:div>
                  </w:divsChild>
                </w:div>
                <w:div w:id="658118646">
                  <w:marLeft w:val="0"/>
                  <w:marRight w:val="0"/>
                  <w:marTop w:val="0"/>
                  <w:marBottom w:val="0"/>
                  <w:divBdr>
                    <w:top w:val="none" w:sz="0" w:space="0" w:color="auto"/>
                    <w:left w:val="none" w:sz="0" w:space="0" w:color="auto"/>
                    <w:bottom w:val="none" w:sz="0" w:space="0" w:color="auto"/>
                    <w:right w:val="none" w:sz="0" w:space="0" w:color="auto"/>
                  </w:divBdr>
                  <w:divsChild>
                    <w:div w:id="1658729603">
                      <w:marLeft w:val="0"/>
                      <w:marRight w:val="0"/>
                      <w:marTop w:val="0"/>
                      <w:marBottom w:val="0"/>
                      <w:divBdr>
                        <w:top w:val="none" w:sz="0" w:space="0" w:color="auto"/>
                        <w:left w:val="none" w:sz="0" w:space="0" w:color="auto"/>
                        <w:bottom w:val="none" w:sz="0" w:space="0" w:color="auto"/>
                        <w:right w:val="none" w:sz="0" w:space="0" w:color="auto"/>
                      </w:divBdr>
                    </w:div>
                  </w:divsChild>
                </w:div>
                <w:div w:id="712384942">
                  <w:marLeft w:val="0"/>
                  <w:marRight w:val="0"/>
                  <w:marTop w:val="0"/>
                  <w:marBottom w:val="0"/>
                  <w:divBdr>
                    <w:top w:val="none" w:sz="0" w:space="0" w:color="auto"/>
                    <w:left w:val="none" w:sz="0" w:space="0" w:color="auto"/>
                    <w:bottom w:val="none" w:sz="0" w:space="0" w:color="auto"/>
                    <w:right w:val="none" w:sz="0" w:space="0" w:color="auto"/>
                  </w:divBdr>
                  <w:divsChild>
                    <w:div w:id="791753846">
                      <w:marLeft w:val="0"/>
                      <w:marRight w:val="0"/>
                      <w:marTop w:val="0"/>
                      <w:marBottom w:val="0"/>
                      <w:divBdr>
                        <w:top w:val="none" w:sz="0" w:space="0" w:color="auto"/>
                        <w:left w:val="none" w:sz="0" w:space="0" w:color="auto"/>
                        <w:bottom w:val="none" w:sz="0" w:space="0" w:color="auto"/>
                        <w:right w:val="none" w:sz="0" w:space="0" w:color="auto"/>
                      </w:divBdr>
                    </w:div>
                  </w:divsChild>
                </w:div>
                <w:div w:id="740757212">
                  <w:marLeft w:val="0"/>
                  <w:marRight w:val="0"/>
                  <w:marTop w:val="0"/>
                  <w:marBottom w:val="0"/>
                  <w:divBdr>
                    <w:top w:val="none" w:sz="0" w:space="0" w:color="auto"/>
                    <w:left w:val="none" w:sz="0" w:space="0" w:color="auto"/>
                    <w:bottom w:val="none" w:sz="0" w:space="0" w:color="auto"/>
                    <w:right w:val="none" w:sz="0" w:space="0" w:color="auto"/>
                  </w:divBdr>
                  <w:divsChild>
                    <w:div w:id="1035471824">
                      <w:marLeft w:val="0"/>
                      <w:marRight w:val="0"/>
                      <w:marTop w:val="0"/>
                      <w:marBottom w:val="0"/>
                      <w:divBdr>
                        <w:top w:val="none" w:sz="0" w:space="0" w:color="auto"/>
                        <w:left w:val="none" w:sz="0" w:space="0" w:color="auto"/>
                        <w:bottom w:val="none" w:sz="0" w:space="0" w:color="auto"/>
                        <w:right w:val="none" w:sz="0" w:space="0" w:color="auto"/>
                      </w:divBdr>
                    </w:div>
                  </w:divsChild>
                </w:div>
                <w:div w:id="754670074">
                  <w:marLeft w:val="0"/>
                  <w:marRight w:val="0"/>
                  <w:marTop w:val="0"/>
                  <w:marBottom w:val="0"/>
                  <w:divBdr>
                    <w:top w:val="none" w:sz="0" w:space="0" w:color="auto"/>
                    <w:left w:val="none" w:sz="0" w:space="0" w:color="auto"/>
                    <w:bottom w:val="none" w:sz="0" w:space="0" w:color="auto"/>
                    <w:right w:val="none" w:sz="0" w:space="0" w:color="auto"/>
                  </w:divBdr>
                  <w:divsChild>
                    <w:div w:id="218976253">
                      <w:marLeft w:val="0"/>
                      <w:marRight w:val="0"/>
                      <w:marTop w:val="0"/>
                      <w:marBottom w:val="0"/>
                      <w:divBdr>
                        <w:top w:val="none" w:sz="0" w:space="0" w:color="auto"/>
                        <w:left w:val="none" w:sz="0" w:space="0" w:color="auto"/>
                        <w:bottom w:val="none" w:sz="0" w:space="0" w:color="auto"/>
                        <w:right w:val="none" w:sz="0" w:space="0" w:color="auto"/>
                      </w:divBdr>
                    </w:div>
                  </w:divsChild>
                </w:div>
                <w:div w:id="789979467">
                  <w:marLeft w:val="0"/>
                  <w:marRight w:val="0"/>
                  <w:marTop w:val="0"/>
                  <w:marBottom w:val="0"/>
                  <w:divBdr>
                    <w:top w:val="none" w:sz="0" w:space="0" w:color="auto"/>
                    <w:left w:val="none" w:sz="0" w:space="0" w:color="auto"/>
                    <w:bottom w:val="none" w:sz="0" w:space="0" w:color="auto"/>
                    <w:right w:val="none" w:sz="0" w:space="0" w:color="auto"/>
                  </w:divBdr>
                  <w:divsChild>
                    <w:div w:id="1888636534">
                      <w:marLeft w:val="0"/>
                      <w:marRight w:val="0"/>
                      <w:marTop w:val="0"/>
                      <w:marBottom w:val="0"/>
                      <w:divBdr>
                        <w:top w:val="none" w:sz="0" w:space="0" w:color="auto"/>
                        <w:left w:val="none" w:sz="0" w:space="0" w:color="auto"/>
                        <w:bottom w:val="none" w:sz="0" w:space="0" w:color="auto"/>
                        <w:right w:val="none" w:sz="0" w:space="0" w:color="auto"/>
                      </w:divBdr>
                    </w:div>
                  </w:divsChild>
                </w:div>
                <w:div w:id="793868157">
                  <w:marLeft w:val="0"/>
                  <w:marRight w:val="0"/>
                  <w:marTop w:val="0"/>
                  <w:marBottom w:val="0"/>
                  <w:divBdr>
                    <w:top w:val="none" w:sz="0" w:space="0" w:color="auto"/>
                    <w:left w:val="none" w:sz="0" w:space="0" w:color="auto"/>
                    <w:bottom w:val="none" w:sz="0" w:space="0" w:color="auto"/>
                    <w:right w:val="none" w:sz="0" w:space="0" w:color="auto"/>
                  </w:divBdr>
                  <w:divsChild>
                    <w:div w:id="743724296">
                      <w:marLeft w:val="0"/>
                      <w:marRight w:val="0"/>
                      <w:marTop w:val="0"/>
                      <w:marBottom w:val="0"/>
                      <w:divBdr>
                        <w:top w:val="none" w:sz="0" w:space="0" w:color="auto"/>
                        <w:left w:val="none" w:sz="0" w:space="0" w:color="auto"/>
                        <w:bottom w:val="none" w:sz="0" w:space="0" w:color="auto"/>
                        <w:right w:val="none" w:sz="0" w:space="0" w:color="auto"/>
                      </w:divBdr>
                    </w:div>
                  </w:divsChild>
                </w:div>
                <w:div w:id="816453013">
                  <w:marLeft w:val="0"/>
                  <w:marRight w:val="0"/>
                  <w:marTop w:val="0"/>
                  <w:marBottom w:val="0"/>
                  <w:divBdr>
                    <w:top w:val="none" w:sz="0" w:space="0" w:color="auto"/>
                    <w:left w:val="none" w:sz="0" w:space="0" w:color="auto"/>
                    <w:bottom w:val="none" w:sz="0" w:space="0" w:color="auto"/>
                    <w:right w:val="none" w:sz="0" w:space="0" w:color="auto"/>
                  </w:divBdr>
                  <w:divsChild>
                    <w:div w:id="1520969535">
                      <w:marLeft w:val="0"/>
                      <w:marRight w:val="0"/>
                      <w:marTop w:val="0"/>
                      <w:marBottom w:val="0"/>
                      <w:divBdr>
                        <w:top w:val="none" w:sz="0" w:space="0" w:color="auto"/>
                        <w:left w:val="none" w:sz="0" w:space="0" w:color="auto"/>
                        <w:bottom w:val="none" w:sz="0" w:space="0" w:color="auto"/>
                        <w:right w:val="none" w:sz="0" w:space="0" w:color="auto"/>
                      </w:divBdr>
                    </w:div>
                  </w:divsChild>
                </w:div>
                <w:div w:id="822351945">
                  <w:marLeft w:val="0"/>
                  <w:marRight w:val="0"/>
                  <w:marTop w:val="0"/>
                  <w:marBottom w:val="0"/>
                  <w:divBdr>
                    <w:top w:val="none" w:sz="0" w:space="0" w:color="auto"/>
                    <w:left w:val="none" w:sz="0" w:space="0" w:color="auto"/>
                    <w:bottom w:val="none" w:sz="0" w:space="0" w:color="auto"/>
                    <w:right w:val="none" w:sz="0" w:space="0" w:color="auto"/>
                  </w:divBdr>
                  <w:divsChild>
                    <w:div w:id="1354768344">
                      <w:marLeft w:val="0"/>
                      <w:marRight w:val="0"/>
                      <w:marTop w:val="0"/>
                      <w:marBottom w:val="0"/>
                      <w:divBdr>
                        <w:top w:val="none" w:sz="0" w:space="0" w:color="auto"/>
                        <w:left w:val="none" w:sz="0" w:space="0" w:color="auto"/>
                        <w:bottom w:val="none" w:sz="0" w:space="0" w:color="auto"/>
                        <w:right w:val="none" w:sz="0" w:space="0" w:color="auto"/>
                      </w:divBdr>
                    </w:div>
                  </w:divsChild>
                </w:div>
                <w:div w:id="845905469">
                  <w:marLeft w:val="0"/>
                  <w:marRight w:val="0"/>
                  <w:marTop w:val="0"/>
                  <w:marBottom w:val="0"/>
                  <w:divBdr>
                    <w:top w:val="none" w:sz="0" w:space="0" w:color="auto"/>
                    <w:left w:val="none" w:sz="0" w:space="0" w:color="auto"/>
                    <w:bottom w:val="none" w:sz="0" w:space="0" w:color="auto"/>
                    <w:right w:val="none" w:sz="0" w:space="0" w:color="auto"/>
                  </w:divBdr>
                  <w:divsChild>
                    <w:div w:id="2079092021">
                      <w:marLeft w:val="0"/>
                      <w:marRight w:val="0"/>
                      <w:marTop w:val="0"/>
                      <w:marBottom w:val="0"/>
                      <w:divBdr>
                        <w:top w:val="none" w:sz="0" w:space="0" w:color="auto"/>
                        <w:left w:val="none" w:sz="0" w:space="0" w:color="auto"/>
                        <w:bottom w:val="none" w:sz="0" w:space="0" w:color="auto"/>
                        <w:right w:val="none" w:sz="0" w:space="0" w:color="auto"/>
                      </w:divBdr>
                    </w:div>
                  </w:divsChild>
                </w:div>
                <w:div w:id="898827656">
                  <w:marLeft w:val="0"/>
                  <w:marRight w:val="0"/>
                  <w:marTop w:val="0"/>
                  <w:marBottom w:val="0"/>
                  <w:divBdr>
                    <w:top w:val="none" w:sz="0" w:space="0" w:color="auto"/>
                    <w:left w:val="none" w:sz="0" w:space="0" w:color="auto"/>
                    <w:bottom w:val="none" w:sz="0" w:space="0" w:color="auto"/>
                    <w:right w:val="none" w:sz="0" w:space="0" w:color="auto"/>
                  </w:divBdr>
                  <w:divsChild>
                    <w:div w:id="1596160904">
                      <w:marLeft w:val="0"/>
                      <w:marRight w:val="0"/>
                      <w:marTop w:val="0"/>
                      <w:marBottom w:val="0"/>
                      <w:divBdr>
                        <w:top w:val="none" w:sz="0" w:space="0" w:color="auto"/>
                        <w:left w:val="none" w:sz="0" w:space="0" w:color="auto"/>
                        <w:bottom w:val="none" w:sz="0" w:space="0" w:color="auto"/>
                        <w:right w:val="none" w:sz="0" w:space="0" w:color="auto"/>
                      </w:divBdr>
                    </w:div>
                  </w:divsChild>
                </w:div>
                <w:div w:id="943852642">
                  <w:marLeft w:val="0"/>
                  <w:marRight w:val="0"/>
                  <w:marTop w:val="0"/>
                  <w:marBottom w:val="0"/>
                  <w:divBdr>
                    <w:top w:val="none" w:sz="0" w:space="0" w:color="auto"/>
                    <w:left w:val="none" w:sz="0" w:space="0" w:color="auto"/>
                    <w:bottom w:val="none" w:sz="0" w:space="0" w:color="auto"/>
                    <w:right w:val="none" w:sz="0" w:space="0" w:color="auto"/>
                  </w:divBdr>
                  <w:divsChild>
                    <w:div w:id="137964809">
                      <w:marLeft w:val="0"/>
                      <w:marRight w:val="0"/>
                      <w:marTop w:val="0"/>
                      <w:marBottom w:val="0"/>
                      <w:divBdr>
                        <w:top w:val="none" w:sz="0" w:space="0" w:color="auto"/>
                        <w:left w:val="none" w:sz="0" w:space="0" w:color="auto"/>
                        <w:bottom w:val="none" w:sz="0" w:space="0" w:color="auto"/>
                        <w:right w:val="none" w:sz="0" w:space="0" w:color="auto"/>
                      </w:divBdr>
                    </w:div>
                  </w:divsChild>
                </w:div>
                <w:div w:id="945696678">
                  <w:marLeft w:val="0"/>
                  <w:marRight w:val="0"/>
                  <w:marTop w:val="0"/>
                  <w:marBottom w:val="0"/>
                  <w:divBdr>
                    <w:top w:val="none" w:sz="0" w:space="0" w:color="auto"/>
                    <w:left w:val="none" w:sz="0" w:space="0" w:color="auto"/>
                    <w:bottom w:val="none" w:sz="0" w:space="0" w:color="auto"/>
                    <w:right w:val="none" w:sz="0" w:space="0" w:color="auto"/>
                  </w:divBdr>
                  <w:divsChild>
                    <w:div w:id="1498107581">
                      <w:marLeft w:val="0"/>
                      <w:marRight w:val="0"/>
                      <w:marTop w:val="0"/>
                      <w:marBottom w:val="0"/>
                      <w:divBdr>
                        <w:top w:val="none" w:sz="0" w:space="0" w:color="auto"/>
                        <w:left w:val="none" w:sz="0" w:space="0" w:color="auto"/>
                        <w:bottom w:val="none" w:sz="0" w:space="0" w:color="auto"/>
                        <w:right w:val="none" w:sz="0" w:space="0" w:color="auto"/>
                      </w:divBdr>
                    </w:div>
                  </w:divsChild>
                </w:div>
                <w:div w:id="959646089">
                  <w:marLeft w:val="0"/>
                  <w:marRight w:val="0"/>
                  <w:marTop w:val="0"/>
                  <w:marBottom w:val="0"/>
                  <w:divBdr>
                    <w:top w:val="none" w:sz="0" w:space="0" w:color="auto"/>
                    <w:left w:val="none" w:sz="0" w:space="0" w:color="auto"/>
                    <w:bottom w:val="none" w:sz="0" w:space="0" w:color="auto"/>
                    <w:right w:val="none" w:sz="0" w:space="0" w:color="auto"/>
                  </w:divBdr>
                  <w:divsChild>
                    <w:div w:id="196046891">
                      <w:marLeft w:val="0"/>
                      <w:marRight w:val="0"/>
                      <w:marTop w:val="0"/>
                      <w:marBottom w:val="0"/>
                      <w:divBdr>
                        <w:top w:val="none" w:sz="0" w:space="0" w:color="auto"/>
                        <w:left w:val="none" w:sz="0" w:space="0" w:color="auto"/>
                        <w:bottom w:val="none" w:sz="0" w:space="0" w:color="auto"/>
                        <w:right w:val="none" w:sz="0" w:space="0" w:color="auto"/>
                      </w:divBdr>
                    </w:div>
                  </w:divsChild>
                </w:div>
                <w:div w:id="971255648">
                  <w:marLeft w:val="0"/>
                  <w:marRight w:val="0"/>
                  <w:marTop w:val="0"/>
                  <w:marBottom w:val="0"/>
                  <w:divBdr>
                    <w:top w:val="none" w:sz="0" w:space="0" w:color="auto"/>
                    <w:left w:val="none" w:sz="0" w:space="0" w:color="auto"/>
                    <w:bottom w:val="none" w:sz="0" w:space="0" w:color="auto"/>
                    <w:right w:val="none" w:sz="0" w:space="0" w:color="auto"/>
                  </w:divBdr>
                  <w:divsChild>
                    <w:div w:id="2104952030">
                      <w:marLeft w:val="0"/>
                      <w:marRight w:val="0"/>
                      <w:marTop w:val="0"/>
                      <w:marBottom w:val="0"/>
                      <w:divBdr>
                        <w:top w:val="none" w:sz="0" w:space="0" w:color="auto"/>
                        <w:left w:val="none" w:sz="0" w:space="0" w:color="auto"/>
                        <w:bottom w:val="none" w:sz="0" w:space="0" w:color="auto"/>
                        <w:right w:val="none" w:sz="0" w:space="0" w:color="auto"/>
                      </w:divBdr>
                    </w:div>
                  </w:divsChild>
                </w:div>
                <w:div w:id="998459957">
                  <w:marLeft w:val="0"/>
                  <w:marRight w:val="0"/>
                  <w:marTop w:val="0"/>
                  <w:marBottom w:val="0"/>
                  <w:divBdr>
                    <w:top w:val="none" w:sz="0" w:space="0" w:color="auto"/>
                    <w:left w:val="none" w:sz="0" w:space="0" w:color="auto"/>
                    <w:bottom w:val="none" w:sz="0" w:space="0" w:color="auto"/>
                    <w:right w:val="none" w:sz="0" w:space="0" w:color="auto"/>
                  </w:divBdr>
                  <w:divsChild>
                    <w:div w:id="2054112336">
                      <w:marLeft w:val="0"/>
                      <w:marRight w:val="0"/>
                      <w:marTop w:val="0"/>
                      <w:marBottom w:val="0"/>
                      <w:divBdr>
                        <w:top w:val="none" w:sz="0" w:space="0" w:color="auto"/>
                        <w:left w:val="none" w:sz="0" w:space="0" w:color="auto"/>
                        <w:bottom w:val="none" w:sz="0" w:space="0" w:color="auto"/>
                        <w:right w:val="none" w:sz="0" w:space="0" w:color="auto"/>
                      </w:divBdr>
                    </w:div>
                  </w:divsChild>
                </w:div>
                <w:div w:id="998996036">
                  <w:marLeft w:val="0"/>
                  <w:marRight w:val="0"/>
                  <w:marTop w:val="0"/>
                  <w:marBottom w:val="0"/>
                  <w:divBdr>
                    <w:top w:val="none" w:sz="0" w:space="0" w:color="auto"/>
                    <w:left w:val="none" w:sz="0" w:space="0" w:color="auto"/>
                    <w:bottom w:val="none" w:sz="0" w:space="0" w:color="auto"/>
                    <w:right w:val="none" w:sz="0" w:space="0" w:color="auto"/>
                  </w:divBdr>
                  <w:divsChild>
                    <w:div w:id="922639398">
                      <w:marLeft w:val="0"/>
                      <w:marRight w:val="0"/>
                      <w:marTop w:val="0"/>
                      <w:marBottom w:val="0"/>
                      <w:divBdr>
                        <w:top w:val="none" w:sz="0" w:space="0" w:color="auto"/>
                        <w:left w:val="none" w:sz="0" w:space="0" w:color="auto"/>
                        <w:bottom w:val="none" w:sz="0" w:space="0" w:color="auto"/>
                        <w:right w:val="none" w:sz="0" w:space="0" w:color="auto"/>
                      </w:divBdr>
                    </w:div>
                  </w:divsChild>
                </w:div>
                <w:div w:id="1075474989">
                  <w:marLeft w:val="0"/>
                  <w:marRight w:val="0"/>
                  <w:marTop w:val="0"/>
                  <w:marBottom w:val="0"/>
                  <w:divBdr>
                    <w:top w:val="none" w:sz="0" w:space="0" w:color="auto"/>
                    <w:left w:val="none" w:sz="0" w:space="0" w:color="auto"/>
                    <w:bottom w:val="none" w:sz="0" w:space="0" w:color="auto"/>
                    <w:right w:val="none" w:sz="0" w:space="0" w:color="auto"/>
                  </w:divBdr>
                  <w:divsChild>
                    <w:div w:id="60031942">
                      <w:marLeft w:val="0"/>
                      <w:marRight w:val="0"/>
                      <w:marTop w:val="0"/>
                      <w:marBottom w:val="0"/>
                      <w:divBdr>
                        <w:top w:val="none" w:sz="0" w:space="0" w:color="auto"/>
                        <w:left w:val="none" w:sz="0" w:space="0" w:color="auto"/>
                        <w:bottom w:val="none" w:sz="0" w:space="0" w:color="auto"/>
                        <w:right w:val="none" w:sz="0" w:space="0" w:color="auto"/>
                      </w:divBdr>
                    </w:div>
                  </w:divsChild>
                </w:div>
                <w:div w:id="1086849468">
                  <w:marLeft w:val="0"/>
                  <w:marRight w:val="0"/>
                  <w:marTop w:val="0"/>
                  <w:marBottom w:val="0"/>
                  <w:divBdr>
                    <w:top w:val="none" w:sz="0" w:space="0" w:color="auto"/>
                    <w:left w:val="none" w:sz="0" w:space="0" w:color="auto"/>
                    <w:bottom w:val="none" w:sz="0" w:space="0" w:color="auto"/>
                    <w:right w:val="none" w:sz="0" w:space="0" w:color="auto"/>
                  </w:divBdr>
                  <w:divsChild>
                    <w:div w:id="278607814">
                      <w:marLeft w:val="0"/>
                      <w:marRight w:val="0"/>
                      <w:marTop w:val="0"/>
                      <w:marBottom w:val="0"/>
                      <w:divBdr>
                        <w:top w:val="none" w:sz="0" w:space="0" w:color="auto"/>
                        <w:left w:val="none" w:sz="0" w:space="0" w:color="auto"/>
                        <w:bottom w:val="none" w:sz="0" w:space="0" w:color="auto"/>
                        <w:right w:val="none" w:sz="0" w:space="0" w:color="auto"/>
                      </w:divBdr>
                    </w:div>
                  </w:divsChild>
                </w:div>
                <w:div w:id="1094595139">
                  <w:marLeft w:val="0"/>
                  <w:marRight w:val="0"/>
                  <w:marTop w:val="0"/>
                  <w:marBottom w:val="0"/>
                  <w:divBdr>
                    <w:top w:val="none" w:sz="0" w:space="0" w:color="auto"/>
                    <w:left w:val="none" w:sz="0" w:space="0" w:color="auto"/>
                    <w:bottom w:val="none" w:sz="0" w:space="0" w:color="auto"/>
                    <w:right w:val="none" w:sz="0" w:space="0" w:color="auto"/>
                  </w:divBdr>
                  <w:divsChild>
                    <w:div w:id="572786013">
                      <w:marLeft w:val="0"/>
                      <w:marRight w:val="0"/>
                      <w:marTop w:val="0"/>
                      <w:marBottom w:val="0"/>
                      <w:divBdr>
                        <w:top w:val="none" w:sz="0" w:space="0" w:color="auto"/>
                        <w:left w:val="none" w:sz="0" w:space="0" w:color="auto"/>
                        <w:bottom w:val="none" w:sz="0" w:space="0" w:color="auto"/>
                        <w:right w:val="none" w:sz="0" w:space="0" w:color="auto"/>
                      </w:divBdr>
                    </w:div>
                  </w:divsChild>
                </w:div>
                <w:div w:id="1122721986">
                  <w:marLeft w:val="0"/>
                  <w:marRight w:val="0"/>
                  <w:marTop w:val="0"/>
                  <w:marBottom w:val="0"/>
                  <w:divBdr>
                    <w:top w:val="none" w:sz="0" w:space="0" w:color="auto"/>
                    <w:left w:val="none" w:sz="0" w:space="0" w:color="auto"/>
                    <w:bottom w:val="none" w:sz="0" w:space="0" w:color="auto"/>
                    <w:right w:val="none" w:sz="0" w:space="0" w:color="auto"/>
                  </w:divBdr>
                  <w:divsChild>
                    <w:div w:id="1870297011">
                      <w:marLeft w:val="0"/>
                      <w:marRight w:val="0"/>
                      <w:marTop w:val="0"/>
                      <w:marBottom w:val="0"/>
                      <w:divBdr>
                        <w:top w:val="none" w:sz="0" w:space="0" w:color="auto"/>
                        <w:left w:val="none" w:sz="0" w:space="0" w:color="auto"/>
                        <w:bottom w:val="none" w:sz="0" w:space="0" w:color="auto"/>
                        <w:right w:val="none" w:sz="0" w:space="0" w:color="auto"/>
                      </w:divBdr>
                    </w:div>
                  </w:divsChild>
                </w:div>
                <w:div w:id="1128552587">
                  <w:marLeft w:val="0"/>
                  <w:marRight w:val="0"/>
                  <w:marTop w:val="0"/>
                  <w:marBottom w:val="0"/>
                  <w:divBdr>
                    <w:top w:val="none" w:sz="0" w:space="0" w:color="auto"/>
                    <w:left w:val="none" w:sz="0" w:space="0" w:color="auto"/>
                    <w:bottom w:val="none" w:sz="0" w:space="0" w:color="auto"/>
                    <w:right w:val="none" w:sz="0" w:space="0" w:color="auto"/>
                  </w:divBdr>
                  <w:divsChild>
                    <w:div w:id="1046413607">
                      <w:marLeft w:val="0"/>
                      <w:marRight w:val="0"/>
                      <w:marTop w:val="0"/>
                      <w:marBottom w:val="0"/>
                      <w:divBdr>
                        <w:top w:val="none" w:sz="0" w:space="0" w:color="auto"/>
                        <w:left w:val="none" w:sz="0" w:space="0" w:color="auto"/>
                        <w:bottom w:val="none" w:sz="0" w:space="0" w:color="auto"/>
                        <w:right w:val="none" w:sz="0" w:space="0" w:color="auto"/>
                      </w:divBdr>
                    </w:div>
                  </w:divsChild>
                </w:div>
                <w:div w:id="1170826419">
                  <w:marLeft w:val="0"/>
                  <w:marRight w:val="0"/>
                  <w:marTop w:val="0"/>
                  <w:marBottom w:val="0"/>
                  <w:divBdr>
                    <w:top w:val="none" w:sz="0" w:space="0" w:color="auto"/>
                    <w:left w:val="none" w:sz="0" w:space="0" w:color="auto"/>
                    <w:bottom w:val="none" w:sz="0" w:space="0" w:color="auto"/>
                    <w:right w:val="none" w:sz="0" w:space="0" w:color="auto"/>
                  </w:divBdr>
                  <w:divsChild>
                    <w:div w:id="1094785087">
                      <w:marLeft w:val="0"/>
                      <w:marRight w:val="0"/>
                      <w:marTop w:val="0"/>
                      <w:marBottom w:val="0"/>
                      <w:divBdr>
                        <w:top w:val="none" w:sz="0" w:space="0" w:color="auto"/>
                        <w:left w:val="none" w:sz="0" w:space="0" w:color="auto"/>
                        <w:bottom w:val="none" w:sz="0" w:space="0" w:color="auto"/>
                        <w:right w:val="none" w:sz="0" w:space="0" w:color="auto"/>
                      </w:divBdr>
                    </w:div>
                  </w:divsChild>
                </w:div>
                <w:div w:id="1205630616">
                  <w:marLeft w:val="0"/>
                  <w:marRight w:val="0"/>
                  <w:marTop w:val="0"/>
                  <w:marBottom w:val="0"/>
                  <w:divBdr>
                    <w:top w:val="none" w:sz="0" w:space="0" w:color="auto"/>
                    <w:left w:val="none" w:sz="0" w:space="0" w:color="auto"/>
                    <w:bottom w:val="none" w:sz="0" w:space="0" w:color="auto"/>
                    <w:right w:val="none" w:sz="0" w:space="0" w:color="auto"/>
                  </w:divBdr>
                  <w:divsChild>
                    <w:div w:id="1218281196">
                      <w:marLeft w:val="0"/>
                      <w:marRight w:val="0"/>
                      <w:marTop w:val="0"/>
                      <w:marBottom w:val="0"/>
                      <w:divBdr>
                        <w:top w:val="none" w:sz="0" w:space="0" w:color="auto"/>
                        <w:left w:val="none" w:sz="0" w:space="0" w:color="auto"/>
                        <w:bottom w:val="none" w:sz="0" w:space="0" w:color="auto"/>
                        <w:right w:val="none" w:sz="0" w:space="0" w:color="auto"/>
                      </w:divBdr>
                    </w:div>
                  </w:divsChild>
                </w:div>
                <w:div w:id="1247106950">
                  <w:marLeft w:val="0"/>
                  <w:marRight w:val="0"/>
                  <w:marTop w:val="0"/>
                  <w:marBottom w:val="0"/>
                  <w:divBdr>
                    <w:top w:val="none" w:sz="0" w:space="0" w:color="auto"/>
                    <w:left w:val="none" w:sz="0" w:space="0" w:color="auto"/>
                    <w:bottom w:val="none" w:sz="0" w:space="0" w:color="auto"/>
                    <w:right w:val="none" w:sz="0" w:space="0" w:color="auto"/>
                  </w:divBdr>
                  <w:divsChild>
                    <w:div w:id="238253433">
                      <w:marLeft w:val="0"/>
                      <w:marRight w:val="0"/>
                      <w:marTop w:val="0"/>
                      <w:marBottom w:val="0"/>
                      <w:divBdr>
                        <w:top w:val="none" w:sz="0" w:space="0" w:color="auto"/>
                        <w:left w:val="none" w:sz="0" w:space="0" w:color="auto"/>
                        <w:bottom w:val="none" w:sz="0" w:space="0" w:color="auto"/>
                        <w:right w:val="none" w:sz="0" w:space="0" w:color="auto"/>
                      </w:divBdr>
                    </w:div>
                  </w:divsChild>
                </w:div>
                <w:div w:id="1277904099">
                  <w:marLeft w:val="0"/>
                  <w:marRight w:val="0"/>
                  <w:marTop w:val="0"/>
                  <w:marBottom w:val="0"/>
                  <w:divBdr>
                    <w:top w:val="none" w:sz="0" w:space="0" w:color="auto"/>
                    <w:left w:val="none" w:sz="0" w:space="0" w:color="auto"/>
                    <w:bottom w:val="none" w:sz="0" w:space="0" w:color="auto"/>
                    <w:right w:val="none" w:sz="0" w:space="0" w:color="auto"/>
                  </w:divBdr>
                  <w:divsChild>
                    <w:div w:id="910888569">
                      <w:marLeft w:val="0"/>
                      <w:marRight w:val="0"/>
                      <w:marTop w:val="0"/>
                      <w:marBottom w:val="0"/>
                      <w:divBdr>
                        <w:top w:val="none" w:sz="0" w:space="0" w:color="auto"/>
                        <w:left w:val="none" w:sz="0" w:space="0" w:color="auto"/>
                        <w:bottom w:val="none" w:sz="0" w:space="0" w:color="auto"/>
                        <w:right w:val="none" w:sz="0" w:space="0" w:color="auto"/>
                      </w:divBdr>
                    </w:div>
                  </w:divsChild>
                </w:div>
                <w:div w:id="1284846539">
                  <w:marLeft w:val="0"/>
                  <w:marRight w:val="0"/>
                  <w:marTop w:val="0"/>
                  <w:marBottom w:val="0"/>
                  <w:divBdr>
                    <w:top w:val="none" w:sz="0" w:space="0" w:color="auto"/>
                    <w:left w:val="none" w:sz="0" w:space="0" w:color="auto"/>
                    <w:bottom w:val="none" w:sz="0" w:space="0" w:color="auto"/>
                    <w:right w:val="none" w:sz="0" w:space="0" w:color="auto"/>
                  </w:divBdr>
                  <w:divsChild>
                    <w:div w:id="1776100240">
                      <w:marLeft w:val="0"/>
                      <w:marRight w:val="0"/>
                      <w:marTop w:val="0"/>
                      <w:marBottom w:val="0"/>
                      <w:divBdr>
                        <w:top w:val="none" w:sz="0" w:space="0" w:color="auto"/>
                        <w:left w:val="none" w:sz="0" w:space="0" w:color="auto"/>
                        <w:bottom w:val="none" w:sz="0" w:space="0" w:color="auto"/>
                        <w:right w:val="none" w:sz="0" w:space="0" w:color="auto"/>
                      </w:divBdr>
                    </w:div>
                  </w:divsChild>
                </w:div>
                <w:div w:id="1302075707">
                  <w:marLeft w:val="0"/>
                  <w:marRight w:val="0"/>
                  <w:marTop w:val="0"/>
                  <w:marBottom w:val="0"/>
                  <w:divBdr>
                    <w:top w:val="none" w:sz="0" w:space="0" w:color="auto"/>
                    <w:left w:val="none" w:sz="0" w:space="0" w:color="auto"/>
                    <w:bottom w:val="none" w:sz="0" w:space="0" w:color="auto"/>
                    <w:right w:val="none" w:sz="0" w:space="0" w:color="auto"/>
                  </w:divBdr>
                  <w:divsChild>
                    <w:div w:id="1605267299">
                      <w:marLeft w:val="0"/>
                      <w:marRight w:val="0"/>
                      <w:marTop w:val="0"/>
                      <w:marBottom w:val="0"/>
                      <w:divBdr>
                        <w:top w:val="none" w:sz="0" w:space="0" w:color="auto"/>
                        <w:left w:val="none" w:sz="0" w:space="0" w:color="auto"/>
                        <w:bottom w:val="none" w:sz="0" w:space="0" w:color="auto"/>
                        <w:right w:val="none" w:sz="0" w:space="0" w:color="auto"/>
                      </w:divBdr>
                    </w:div>
                  </w:divsChild>
                </w:div>
                <w:div w:id="1338462076">
                  <w:marLeft w:val="0"/>
                  <w:marRight w:val="0"/>
                  <w:marTop w:val="0"/>
                  <w:marBottom w:val="0"/>
                  <w:divBdr>
                    <w:top w:val="none" w:sz="0" w:space="0" w:color="auto"/>
                    <w:left w:val="none" w:sz="0" w:space="0" w:color="auto"/>
                    <w:bottom w:val="none" w:sz="0" w:space="0" w:color="auto"/>
                    <w:right w:val="none" w:sz="0" w:space="0" w:color="auto"/>
                  </w:divBdr>
                  <w:divsChild>
                    <w:div w:id="1538658814">
                      <w:marLeft w:val="0"/>
                      <w:marRight w:val="0"/>
                      <w:marTop w:val="0"/>
                      <w:marBottom w:val="0"/>
                      <w:divBdr>
                        <w:top w:val="none" w:sz="0" w:space="0" w:color="auto"/>
                        <w:left w:val="none" w:sz="0" w:space="0" w:color="auto"/>
                        <w:bottom w:val="none" w:sz="0" w:space="0" w:color="auto"/>
                        <w:right w:val="none" w:sz="0" w:space="0" w:color="auto"/>
                      </w:divBdr>
                    </w:div>
                  </w:divsChild>
                </w:div>
                <w:div w:id="1361201235">
                  <w:marLeft w:val="0"/>
                  <w:marRight w:val="0"/>
                  <w:marTop w:val="0"/>
                  <w:marBottom w:val="0"/>
                  <w:divBdr>
                    <w:top w:val="none" w:sz="0" w:space="0" w:color="auto"/>
                    <w:left w:val="none" w:sz="0" w:space="0" w:color="auto"/>
                    <w:bottom w:val="none" w:sz="0" w:space="0" w:color="auto"/>
                    <w:right w:val="none" w:sz="0" w:space="0" w:color="auto"/>
                  </w:divBdr>
                  <w:divsChild>
                    <w:div w:id="372577243">
                      <w:marLeft w:val="0"/>
                      <w:marRight w:val="0"/>
                      <w:marTop w:val="0"/>
                      <w:marBottom w:val="0"/>
                      <w:divBdr>
                        <w:top w:val="none" w:sz="0" w:space="0" w:color="auto"/>
                        <w:left w:val="none" w:sz="0" w:space="0" w:color="auto"/>
                        <w:bottom w:val="none" w:sz="0" w:space="0" w:color="auto"/>
                        <w:right w:val="none" w:sz="0" w:space="0" w:color="auto"/>
                      </w:divBdr>
                    </w:div>
                  </w:divsChild>
                </w:div>
                <w:div w:id="1421835687">
                  <w:marLeft w:val="0"/>
                  <w:marRight w:val="0"/>
                  <w:marTop w:val="0"/>
                  <w:marBottom w:val="0"/>
                  <w:divBdr>
                    <w:top w:val="none" w:sz="0" w:space="0" w:color="auto"/>
                    <w:left w:val="none" w:sz="0" w:space="0" w:color="auto"/>
                    <w:bottom w:val="none" w:sz="0" w:space="0" w:color="auto"/>
                    <w:right w:val="none" w:sz="0" w:space="0" w:color="auto"/>
                  </w:divBdr>
                  <w:divsChild>
                    <w:div w:id="2017225424">
                      <w:marLeft w:val="0"/>
                      <w:marRight w:val="0"/>
                      <w:marTop w:val="0"/>
                      <w:marBottom w:val="0"/>
                      <w:divBdr>
                        <w:top w:val="none" w:sz="0" w:space="0" w:color="auto"/>
                        <w:left w:val="none" w:sz="0" w:space="0" w:color="auto"/>
                        <w:bottom w:val="none" w:sz="0" w:space="0" w:color="auto"/>
                        <w:right w:val="none" w:sz="0" w:space="0" w:color="auto"/>
                      </w:divBdr>
                    </w:div>
                  </w:divsChild>
                </w:div>
                <w:div w:id="1454446498">
                  <w:marLeft w:val="0"/>
                  <w:marRight w:val="0"/>
                  <w:marTop w:val="0"/>
                  <w:marBottom w:val="0"/>
                  <w:divBdr>
                    <w:top w:val="none" w:sz="0" w:space="0" w:color="auto"/>
                    <w:left w:val="none" w:sz="0" w:space="0" w:color="auto"/>
                    <w:bottom w:val="none" w:sz="0" w:space="0" w:color="auto"/>
                    <w:right w:val="none" w:sz="0" w:space="0" w:color="auto"/>
                  </w:divBdr>
                  <w:divsChild>
                    <w:div w:id="1224482960">
                      <w:marLeft w:val="0"/>
                      <w:marRight w:val="0"/>
                      <w:marTop w:val="0"/>
                      <w:marBottom w:val="0"/>
                      <w:divBdr>
                        <w:top w:val="none" w:sz="0" w:space="0" w:color="auto"/>
                        <w:left w:val="none" w:sz="0" w:space="0" w:color="auto"/>
                        <w:bottom w:val="none" w:sz="0" w:space="0" w:color="auto"/>
                        <w:right w:val="none" w:sz="0" w:space="0" w:color="auto"/>
                      </w:divBdr>
                    </w:div>
                  </w:divsChild>
                </w:div>
                <w:div w:id="1523781467">
                  <w:marLeft w:val="0"/>
                  <w:marRight w:val="0"/>
                  <w:marTop w:val="0"/>
                  <w:marBottom w:val="0"/>
                  <w:divBdr>
                    <w:top w:val="none" w:sz="0" w:space="0" w:color="auto"/>
                    <w:left w:val="none" w:sz="0" w:space="0" w:color="auto"/>
                    <w:bottom w:val="none" w:sz="0" w:space="0" w:color="auto"/>
                    <w:right w:val="none" w:sz="0" w:space="0" w:color="auto"/>
                  </w:divBdr>
                  <w:divsChild>
                    <w:div w:id="1021013632">
                      <w:marLeft w:val="0"/>
                      <w:marRight w:val="0"/>
                      <w:marTop w:val="0"/>
                      <w:marBottom w:val="0"/>
                      <w:divBdr>
                        <w:top w:val="none" w:sz="0" w:space="0" w:color="auto"/>
                        <w:left w:val="none" w:sz="0" w:space="0" w:color="auto"/>
                        <w:bottom w:val="none" w:sz="0" w:space="0" w:color="auto"/>
                        <w:right w:val="none" w:sz="0" w:space="0" w:color="auto"/>
                      </w:divBdr>
                    </w:div>
                  </w:divsChild>
                </w:div>
                <w:div w:id="1552693024">
                  <w:marLeft w:val="0"/>
                  <w:marRight w:val="0"/>
                  <w:marTop w:val="0"/>
                  <w:marBottom w:val="0"/>
                  <w:divBdr>
                    <w:top w:val="none" w:sz="0" w:space="0" w:color="auto"/>
                    <w:left w:val="none" w:sz="0" w:space="0" w:color="auto"/>
                    <w:bottom w:val="none" w:sz="0" w:space="0" w:color="auto"/>
                    <w:right w:val="none" w:sz="0" w:space="0" w:color="auto"/>
                  </w:divBdr>
                  <w:divsChild>
                    <w:div w:id="2038659396">
                      <w:marLeft w:val="0"/>
                      <w:marRight w:val="0"/>
                      <w:marTop w:val="0"/>
                      <w:marBottom w:val="0"/>
                      <w:divBdr>
                        <w:top w:val="none" w:sz="0" w:space="0" w:color="auto"/>
                        <w:left w:val="none" w:sz="0" w:space="0" w:color="auto"/>
                        <w:bottom w:val="none" w:sz="0" w:space="0" w:color="auto"/>
                        <w:right w:val="none" w:sz="0" w:space="0" w:color="auto"/>
                      </w:divBdr>
                    </w:div>
                  </w:divsChild>
                </w:div>
                <w:div w:id="1572156876">
                  <w:marLeft w:val="0"/>
                  <w:marRight w:val="0"/>
                  <w:marTop w:val="0"/>
                  <w:marBottom w:val="0"/>
                  <w:divBdr>
                    <w:top w:val="none" w:sz="0" w:space="0" w:color="auto"/>
                    <w:left w:val="none" w:sz="0" w:space="0" w:color="auto"/>
                    <w:bottom w:val="none" w:sz="0" w:space="0" w:color="auto"/>
                    <w:right w:val="none" w:sz="0" w:space="0" w:color="auto"/>
                  </w:divBdr>
                  <w:divsChild>
                    <w:div w:id="966854622">
                      <w:marLeft w:val="0"/>
                      <w:marRight w:val="0"/>
                      <w:marTop w:val="0"/>
                      <w:marBottom w:val="0"/>
                      <w:divBdr>
                        <w:top w:val="none" w:sz="0" w:space="0" w:color="auto"/>
                        <w:left w:val="none" w:sz="0" w:space="0" w:color="auto"/>
                        <w:bottom w:val="none" w:sz="0" w:space="0" w:color="auto"/>
                        <w:right w:val="none" w:sz="0" w:space="0" w:color="auto"/>
                      </w:divBdr>
                    </w:div>
                  </w:divsChild>
                </w:div>
                <w:div w:id="1669406297">
                  <w:marLeft w:val="0"/>
                  <w:marRight w:val="0"/>
                  <w:marTop w:val="0"/>
                  <w:marBottom w:val="0"/>
                  <w:divBdr>
                    <w:top w:val="none" w:sz="0" w:space="0" w:color="auto"/>
                    <w:left w:val="none" w:sz="0" w:space="0" w:color="auto"/>
                    <w:bottom w:val="none" w:sz="0" w:space="0" w:color="auto"/>
                    <w:right w:val="none" w:sz="0" w:space="0" w:color="auto"/>
                  </w:divBdr>
                  <w:divsChild>
                    <w:div w:id="584918098">
                      <w:marLeft w:val="0"/>
                      <w:marRight w:val="0"/>
                      <w:marTop w:val="0"/>
                      <w:marBottom w:val="0"/>
                      <w:divBdr>
                        <w:top w:val="none" w:sz="0" w:space="0" w:color="auto"/>
                        <w:left w:val="none" w:sz="0" w:space="0" w:color="auto"/>
                        <w:bottom w:val="none" w:sz="0" w:space="0" w:color="auto"/>
                        <w:right w:val="none" w:sz="0" w:space="0" w:color="auto"/>
                      </w:divBdr>
                    </w:div>
                  </w:divsChild>
                </w:div>
                <w:div w:id="1693607683">
                  <w:marLeft w:val="0"/>
                  <w:marRight w:val="0"/>
                  <w:marTop w:val="0"/>
                  <w:marBottom w:val="0"/>
                  <w:divBdr>
                    <w:top w:val="none" w:sz="0" w:space="0" w:color="auto"/>
                    <w:left w:val="none" w:sz="0" w:space="0" w:color="auto"/>
                    <w:bottom w:val="none" w:sz="0" w:space="0" w:color="auto"/>
                    <w:right w:val="none" w:sz="0" w:space="0" w:color="auto"/>
                  </w:divBdr>
                  <w:divsChild>
                    <w:div w:id="1716809672">
                      <w:marLeft w:val="0"/>
                      <w:marRight w:val="0"/>
                      <w:marTop w:val="0"/>
                      <w:marBottom w:val="0"/>
                      <w:divBdr>
                        <w:top w:val="none" w:sz="0" w:space="0" w:color="auto"/>
                        <w:left w:val="none" w:sz="0" w:space="0" w:color="auto"/>
                        <w:bottom w:val="none" w:sz="0" w:space="0" w:color="auto"/>
                        <w:right w:val="none" w:sz="0" w:space="0" w:color="auto"/>
                      </w:divBdr>
                    </w:div>
                  </w:divsChild>
                </w:div>
                <w:div w:id="1693997747">
                  <w:marLeft w:val="0"/>
                  <w:marRight w:val="0"/>
                  <w:marTop w:val="0"/>
                  <w:marBottom w:val="0"/>
                  <w:divBdr>
                    <w:top w:val="none" w:sz="0" w:space="0" w:color="auto"/>
                    <w:left w:val="none" w:sz="0" w:space="0" w:color="auto"/>
                    <w:bottom w:val="none" w:sz="0" w:space="0" w:color="auto"/>
                    <w:right w:val="none" w:sz="0" w:space="0" w:color="auto"/>
                  </w:divBdr>
                  <w:divsChild>
                    <w:div w:id="600185634">
                      <w:marLeft w:val="0"/>
                      <w:marRight w:val="0"/>
                      <w:marTop w:val="0"/>
                      <w:marBottom w:val="0"/>
                      <w:divBdr>
                        <w:top w:val="none" w:sz="0" w:space="0" w:color="auto"/>
                        <w:left w:val="none" w:sz="0" w:space="0" w:color="auto"/>
                        <w:bottom w:val="none" w:sz="0" w:space="0" w:color="auto"/>
                        <w:right w:val="none" w:sz="0" w:space="0" w:color="auto"/>
                      </w:divBdr>
                    </w:div>
                  </w:divsChild>
                </w:div>
                <w:div w:id="1694065381">
                  <w:marLeft w:val="0"/>
                  <w:marRight w:val="0"/>
                  <w:marTop w:val="0"/>
                  <w:marBottom w:val="0"/>
                  <w:divBdr>
                    <w:top w:val="none" w:sz="0" w:space="0" w:color="auto"/>
                    <w:left w:val="none" w:sz="0" w:space="0" w:color="auto"/>
                    <w:bottom w:val="none" w:sz="0" w:space="0" w:color="auto"/>
                    <w:right w:val="none" w:sz="0" w:space="0" w:color="auto"/>
                  </w:divBdr>
                  <w:divsChild>
                    <w:div w:id="1393233300">
                      <w:marLeft w:val="0"/>
                      <w:marRight w:val="0"/>
                      <w:marTop w:val="0"/>
                      <w:marBottom w:val="0"/>
                      <w:divBdr>
                        <w:top w:val="none" w:sz="0" w:space="0" w:color="auto"/>
                        <w:left w:val="none" w:sz="0" w:space="0" w:color="auto"/>
                        <w:bottom w:val="none" w:sz="0" w:space="0" w:color="auto"/>
                        <w:right w:val="none" w:sz="0" w:space="0" w:color="auto"/>
                      </w:divBdr>
                    </w:div>
                  </w:divsChild>
                </w:div>
                <w:div w:id="1733773142">
                  <w:marLeft w:val="0"/>
                  <w:marRight w:val="0"/>
                  <w:marTop w:val="0"/>
                  <w:marBottom w:val="0"/>
                  <w:divBdr>
                    <w:top w:val="none" w:sz="0" w:space="0" w:color="auto"/>
                    <w:left w:val="none" w:sz="0" w:space="0" w:color="auto"/>
                    <w:bottom w:val="none" w:sz="0" w:space="0" w:color="auto"/>
                    <w:right w:val="none" w:sz="0" w:space="0" w:color="auto"/>
                  </w:divBdr>
                  <w:divsChild>
                    <w:div w:id="985862701">
                      <w:marLeft w:val="0"/>
                      <w:marRight w:val="0"/>
                      <w:marTop w:val="0"/>
                      <w:marBottom w:val="0"/>
                      <w:divBdr>
                        <w:top w:val="none" w:sz="0" w:space="0" w:color="auto"/>
                        <w:left w:val="none" w:sz="0" w:space="0" w:color="auto"/>
                        <w:bottom w:val="none" w:sz="0" w:space="0" w:color="auto"/>
                        <w:right w:val="none" w:sz="0" w:space="0" w:color="auto"/>
                      </w:divBdr>
                    </w:div>
                  </w:divsChild>
                </w:div>
                <w:div w:id="1752240455">
                  <w:marLeft w:val="0"/>
                  <w:marRight w:val="0"/>
                  <w:marTop w:val="0"/>
                  <w:marBottom w:val="0"/>
                  <w:divBdr>
                    <w:top w:val="none" w:sz="0" w:space="0" w:color="auto"/>
                    <w:left w:val="none" w:sz="0" w:space="0" w:color="auto"/>
                    <w:bottom w:val="none" w:sz="0" w:space="0" w:color="auto"/>
                    <w:right w:val="none" w:sz="0" w:space="0" w:color="auto"/>
                  </w:divBdr>
                  <w:divsChild>
                    <w:div w:id="1746612393">
                      <w:marLeft w:val="0"/>
                      <w:marRight w:val="0"/>
                      <w:marTop w:val="0"/>
                      <w:marBottom w:val="0"/>
                      <w:divBdr>
                        <w:top w:val="none" w:sz="0" w:space="0" w:color="auto"/>
                        <w:left w:val="none" w:sz="0" w:space="0" w:color="auto"/>
                        <w:bottom w:val="none" w:sz="0" w:space="0" w:color="auto"/>
                        <w:right w:val="none" w:sz="0" w:space="0" w:color="auto"/>
                      </w:divBdr>
                    </w:div>
                  </w:divsChild>
                </w:div>
                <w:div w:id="1775515536">
                  <w:marLeft w:val="0"/>
                  <w:marRight w:val="0"/>
                  <w:marTop w:val="0"/>
                  <w:marBottom w:val="0"/>
                  <w:divBdr>
                    <w:top w:val="none" w:sz="0" w:space="0" w:color="auto"/>
                    <w:left w:val="none" w:sz="0" w:space="0" w:color="auto"/>
                    <w:bottom w:val="none" w:sz="0" w:space="0" w:color="auto"/>
                    <w:right w:val="none" w:sz="0" w:space="0" w:color="auto"/>
                  </w:divBdr>
                  <w:divsChild>
                    <w:div w:id="557859337">
                      <w:marLeft w:val="0"/>
                      <w:marRight w:val="0"/>
                      <w:marTop w:val="0"/>
                      <w:marBottom w:val="0"/>
                      <w:divBdr>
                        <w:top w:val="none" w:sz="0" w:space="0" w:color="auto"/>
                        <w:left w:val="none" w:sz="0" w:space="0" w:color="auto"/>
                        <w:bottom w:val="none" w:sz="0" w:space="0" w:color="auto"/>
                        <w:right w:val="none" w:sz="0" w:space="0" w:color="auto"/>
                      </w:divBdr>
                    </w:div>
                  </w:divsChild>
                </w:div>
                <w:div w:id="1793549584">
                  <w:marLeft w:val="0"/>
                  <w:marRight w:val="0"/>
                  <w:marTop w:val="0"/>
                  <w:marBottom w:val="0"/>
                  <w:divBdr>
                    <w:top w:val="none" w:sz="0" w:space="0" w:color="auto"/>
                    <w:left w:val="none" w:sz="0" w:space="0" w:color="auto"/>
                    <w:bottom w:val="none" w:sz="0" w:space="0" w:color="auto"/>
                    <w:right w:val="none" w:sz="0" w:space="0" w:color="auto"/>
                  </w:divBdr>
                  <w:divsChild>
                    <w:div w:id="1413502421">
                      <w:marLeft w:val="0"/>
                      <w:marRight w:val="0"/>
                      <w:marTop w:val="0"/>
                      <w:marBottom w:val="0"/>
                      <w:divBdr>
                        <w:top w:val="none" w:sz="0" w:space="0" w:color="auto"/>
                        <w:left w:val="none" w:sz="0" w:space="0" w:color="auto"/>
                        <w:bottom w:val="none" w:sz="0" w:space="0" w:color="auto"/>
                        <w:right w:val="none" w:sz="0" w:space="0" w:color="auto"/>
                      </w:divBdr>
                    </w:div>
                  </w:divsChild>
                </w:div>
                <w:div w:id="1814643342">
                  <w:marLeft w:val="0"/>
                  <w:marRight w:val="0"/>
                  <w:marTop w:val="0"/>
                  <w:marBottom w:val="0"/>
                  <w:divBdr>
                    <w:top w:val="none" w:sz="0" w:space="0" w:color="auto"/>
                    <w:left w:val="none" w:sz="0" w:space="0" w:color="auto"/>
                    <w:bottom w:val="none" w:sz="0" w:space="0" w:color="auto"/>
                    <w:right w:val="none" w:sz="0" w:space="0" w:color="auto"/>
                  </w:divBdr>
                  <w:divsChild>
                    <w:div w:id="562757745">
                      <w:marLeft w:val="0"/>
                      <w:marRight w:val="0"/>
                      <w:marTop w:val="0"/>
                      <w:marBottom w:val="0"/>
                      <w:divBdr>
                        <w:top w:val="none" w:sz="0" w:space="0" w:color="auto"/>
                        <w:left w:val="none" w:sz="0" w:space="0" w:color="auto"/>
                        <w:bottom w:val="none" w:sz="0" w:space="0" w:color="auto"/>
                        <w:right w:val="none" w:sz="0" w:space="0" w:color="auto"/>
                      </w:divBdr>
                    </w:div>
                  </w:divsChild>
                </w:div>
                <w:div w:id="1825664917">
                  <w:marLeft w:val="0"/>
                  <w:marRight w:val="0"/>
                  <w:marTop w:val="0"/>
                  <w:marBottom w:val="0"/>
                  <w:divBdr>
                    <w:top w:val="none" w:sz="0" w:space="0" w:color="auto"/>
                    <w:left w:val="none" w:sz="0" w:space="0" w:color="auto"/>
                    <w:bottom w:val="none" w:sz="0" w:space="0" w:color="auto"/>
                    <w:right w:val="none" w:sz="0" w:space="0" w:color="auto"/>
                  </w:divBdr>
                  <w:divsChild>
                    <w:div w:id="1122460645">
                      <w:marLeft w:val="0"/>
                      <w:marRight w:val="0"/>
                      <w:marTop w:val="0"/>
                      <w:marBottom w:val="0"/>
                      <w:divBdr>
                        <w:top w:val="none" w:sz="0" w:space="0" w:color="auto"/>
                        <w:left w:val="none" w:sz="0" w:space="0" w:color="auto"/>
                        <w:bottom w:val="none" w:sz="0" w:space="0" w:color="auto"/>
                        <w:right w:val="none" w:sz="0" w:space="0" w:color="auto"/>
                      </w:divBdr>
                    </w:div>
                  </w:divsChild>
                </w:div>
                <w:div w:id="1846625170">
                  <w:marLeft w:val="0"/>
                  <w:marRight w:val="0"/>
                  <w:marTop w:val="0"/>
                  <w:marBottom w:val="0"/>
                  <w:divBdr>
                    <w:top w:val="none" w:sz="0" w:space="0" w:color="auto"/>
                    <w:left w:val="none" w:sz="0" w:space="0" w:color="auto"/>
                    <w:bottom w:val="none" w:sz="0" w:space="0" w:color="auto"/>
                    <w:right w:val="none" w:sz="0" w:space="0" w:color="auto"/>
                  </w:divBdr>
                  <w:divsChild>
                    <w:div w:id="896432236">
                      <w:marLeft w:val="0"/>
                      <w:marRight w:val="0"/>
                      <w:marTop w:val="0"/>
                      <w:marBottom w:val="0"/>
                      <w:divBdr>
                        <w:top w:val="none" w:sz="0" w:space="0" w:color="auto"/>
                        <w:left w:val="none" w:sz="0" w:space="0" w:color="auto"/>
                        <w:bottom w:val="none" w:sz="0" w:space="0" w:color="auto"/>
                        <w:right w:val="none" w:sz="0" w:space="0" w:color="auto"/>
                      </w:divBdr>
                    </w:div>
                  </w:divsChild>
                </w:div>
                <w:div w:id="1850562803">
                  <w:marLeft w:val="0"/>
                  <w:marRight w:val="0"/>
                  <w:marTop w:val="0"/>
                  <w:marBottom w:val="0"/>
                  <w:divBdr>
                    <w:top w:val="none" w:sz="0" w:space="0" w:color="auto"/>
                    <w:left w:val="none" w:sz="0" w:space="0" w:color="auto"/>
                    <w:bottom w:val="none" w:sz="0" w:space="0" w:color="auto"/>
                    <w:right w:val="none" w:sz="0" w:space="0" w:color="auto"/>
                  </w:divBdr>
                  <w:divsChild>
                    <w:div w:id="809709591">
                      <w:marLeft w:val="0"/>
                      <w:marRight w:val="0"/>
                      <w:marTop w:val="0"/>
                      <w:marBottom w:val="0"/>
                      <w:divBdr>
                        <w:top w:val="none" w:sz="0" w:space="0" w:color="auto"/>
                        <w:left w:val="none" w:sz="0" w:space="0" w:color="auto"/>
                        <w:bottom w:val="none" w:sz="0" w:space="0" w:color="auto"/>
                        <w:right w:val="none" w:sz="0" w:space="0" w:color="auto"/>
                      </w:divBdr>
                    </w:div>
                  </w:divsChild>
                </w:div>
                <w:div w:id="1861814042">
                  <w:marLeft w:val="0"/>
                  <w:marRight w:val="0"/>
                  <w:marTop w:val="0"/>
                  <w:marBottom w:val="0"/>
                  <w:divBdr>
                    <w:top w:val="none" w:sz="0" w:space="0" w:color="auto"/>
                    <w:left w:val="none" w:sz="0" w:space="0" w:color="auto"/>
                    <w:bottom w:val="none" w:sz="0" w:space="0" w:color="auto"/>
                    <w:right w:val="none" w:sz="0" w:space="0" w:color="auto"/>
                  </w:divBdr>
                  <w:divsChild>
                    <w:div w:id="1984313608">
                      <w:marLeft w:val="0"/>
                      <w:marRight w:val="0"/>
                      <w:marTop w:val="0"/>
                      <w:marBottom w:val="0"/>
                      <w:divBdr>
                        <w:top w:val="none" w:sz="0" w:space="0" w:color="auto"/>
                        <w:left w:val="none" w:sz="0" w:space="0" w:color="auto"/>
                        <w:bottom w:val="none" w:sz="0" w:space="0" w:color="auto"/>
                        <w:right w:val="none" w:sz="0" w:space="0" w:color="auto"/>
                      </w:divBdr>
                    </w:div>
                  </w:divsChild>
                </w:div>
                <w:div w:id="1929583786">
                  <w:marLeft w:val="0"/>
                  <w:marRight w:val="0"/>
                  <w:marTop w:val="0"/>
                  <w:marBottom w:val="0"/>
                  <w:divBdr>
                    <w:top w:val="none" w:sz="0" w:space="0" w:color="auto"/>
                    <w:left w:val="none" w:sz="0" w:space="0" w:color="auto"/>
                    <w:bottom w:val="none" w:sz="0" w:space="0" w:color="auto"/>
                    <w:right w:val="none" w:sz="0" w:space="0" w:color="auto"/>
                  </w:divBdr>
                  <w:divsChild>
                    <w:div w:id="1115515044">
                      <w:marLeft w:val="0"/>
                      <w:marRight w:val="0"/>
                      <w:marTop w:val="0"/>
                      <w:marBottom w:val="0"/>
                      <w:divBdr>
                        <w:top w:val="none" w:sz="0" w:space="0" w:color="auto"/>
                        <w:left w:val="none" w:sz="0" w:space="0" w:color="auto"/>
                        <w:bottom w:val="none" w:sz="0" w:space="0" w:color="auto"/>
                        <w:right w:val="none" w:sz="0" w:space="0" w:color="auto"/>
                      </w:divBdr>
                    </w:div>
                  </w:divsChild>
                </w:div>
                <w:div w:id="1948926518">
                  <w:marLeft w:val="0"/>
                  <w:marRight w:val="0"/>
                  <w:marTop w:val="0"/>
                  <w:marBottom w:val="0"/>
                  <w:divBdr>
                    <w:top w:val="none" w:sz="0" w:space="0" w:color="auto"/>
                    <w:left w:val="none" w:sz="0" w:space="0" w:color="auto"/>
                    <w:bottom w:val="none" w:sz="0" w:space="0" w:color="auto"/>
                    <w:right w:val="none" w:sz="0" w:space="0" w:color="auto"/>
                  </w:divBdr>
                  <w:divsChild>
                    <w:div w:id="390688959">
                      <w:marLeft w:val="0"/>
                      <w:marRight w:val="0"/>
                      <w:marTop w:val="0"/>
                      <w:marBottom w:val="0"/>
                      <w:divBdr>
                        <w:top w:val="none" w:sz="0" w:space="0" w:color="auto"/>
                        <w:left w:val="none" w:sz="0" w:space="0" w:color="auto"/>
                        <w:bottom w:val="none" w:sz="0" w:space="0" w:color="auto"/>
                        <w:right w:val="none" w:sz="0" w:space="0" w:color="auto"/>
                      </w:divBdr>
                    </w:div>
                  </w:divsChild>
                </w:div>
                <w:div w:id="1964069272">
                  <w:marLeft w:val="0"/>
                  <w:marRight w:val="0"/>
                  <w:marTop w:val="0"/>
                  <w:marBottom w:val="0"/>
                  <w:divBdr>
                    <w:top w:val="none" w:sz="0" w:space="0" w:color="auto"/>
                    <w:left w:val="none" w:sz="0" w:space="0" w:color="auto"/>
                    <w:bottom w:val="none" w:sz="0" w:space="0" w:color="auto"/>
                    <w:right w:val="none" w:sz="0" w:space="0" w:color="auto"/>
                  </w:divBdr>
                  <w:divsChild>
                    <w:div w:id="1668970881">
                      <w:marLeft w:val="0"/>
                      <w:marRight w:val="0"/>
                      <w:marTop w:val="0"/>
                      <w:marBottom w:val="0"/>
                      <w:divBdr>
                        <w:top w:val="none" w:sz="0" w:space="0" w:color="auto"/>
                        <w:left w:val="none" w:sz="0" w:space="0" w:color="auto"/>
                        <w:bottom w:val="none" w:sz="0" w:space="0" w:color="auto"/>
                        <w:right w:val="none" w:sz="0" w:space="0" w:color="auto"/>
                      </w:divBdr>
                    </w:div>
                  </w:divsChild>
                </w:div>
                <w:div w:id="1968773548">
                  <w:marLeft w:val="0"/>
                  <w:marRight w:val="0"/>
                  <w:marTop w:val="0"/>
                  <w:marBottom w:val="0"/>
                  <w:divBdr>
                    <w:top w:val="none" w:sz="0" w:space="0" w:color="auto"/>
                    <w:left w:val="none" w:sz="0" w:space="0" w:color="auto"/>
                    <w:bottom w:val="none" w:sz="0" w:space="0" w:color="auto"/>
                    <w:right w:val="none" w:sz="0" w:space="0" w:color="auto"/>
                  </w:divBdr>
                  <w:divsChild>
                    <w:div w:id="702633649">
                      <w:marLeft w:val="0"/>
                      <w:marRight w:val="0"/>
                      <w:marTop w:val="0"/>
                      <w:marBottom w:val="0"/>
                      <w:divBdr>
                        <w:top w:val="none" w:sz="0" w:space="0" w:color="auto"/>
                        <w:left w:val="none" w:sz="0" w:space="0" w:color="auto"/>
                        <w:bottom w:val="none" w:sz="0" w:space="0" w:color="auto"/>
                        <w:right w:val="none" w:sz="0" w:space="0" w:color="auto"/>
                      </w:divBdr>
                    </w:div>
                  </w:divsChild>
                </w:div>
                <w:div w:id="2003393335">
                  <w:marLeft w:val="0"/>
                  <w:marRight w:val="0"/>
                  <w:marTop w:val="0"/>
                  <w:marBottom w:val="0"/>
                  <w:divBdr>
                    <w:top w:val="none" w:sz="0" w:space="0" w:color="auto"/>
                    <w:left w:val="none" w:sz="0" w:space="0" w:color="auto"/>
                    <w:bottom w:val="none" w:sz="0" w:space="0" w:color="auto"/>
                    <w:right w:val="none" w:sz="0" w:space="0" w:color="auto"/>
                  </w:divBdr>
                  <w:divsChild>
                    <w:div w:id="631443640">
                      <w:marLeft w:val="0"/>
                      <w:marRight w:val="0"/>
                      <w:marTop w:val="0"/>
                      <w:marBottom w:val="0"/>
                      <w:divBdr>
                        <w:top w:val="none" w:sz="0" w:space="0" w:color="auto"/>
                        <w:left w:val="none" w:sz="0" w:space="0" w:color="auto"/>
                        <w:bottom w:val="none" w:sz="0" w:space="0" w:color="auto"/>
                        <w:right w:val="none" w:sz="0" w:space="0" w:color="auto"/>
                      </w:divBdr>
                    </w:div>
                  </w:divsChild>
                </w:div>
                <w:div w:id="2008552192">
                  <w:marLeft w:val="0"/>
                  <w:marRight w:val="0"/>
                  <w:marTop w:val="0"/>
                  <w:marBottom w:val="0"/>
                  <w:divBdr>
                    <w:top w:val="none" w:sz="0" w:space="0" w:color="auto"/>
                    <w:left w:val="none" w:sz="0" w:space="0" w:color="auto"/>
                    <w:bottom w:val="none" w:sz="0" w:space="0" w:color="auto"/>
                    <w:right w:val="none" w:sz="0" w:space="0" w:color="auto"/>
                  </w:divBdr>
                  <w:divsChild>
                    <w:div w:id="551815435">
                      <w:marLeft w:val="0"/>
                      <w:marRight w:val="0"/>
                      <w:marTop w:val="0"/>
                      <w:marBottom w:val="0"/>
                      <w:divBdr>
                        <w:top w:val="none" w:sz="0" w:space="0" w:color="auto"/>
                        <w:left w:val="none" w:sz="0" w:space="0" w:color="auto"/>
                        <w:bottom w:val="none" w:sz="0" w:space="0" w:color="auto"/>
                        <w:right w:val="none" w:sz="0" w:space="0" w:color="auto"/>
                      </w:divBdr>
                    </w:div>
                  </w:divsChild>
                </w:div>
                <w:div w:id="2019965316">
                  <w:marLeft w:val="0"/>
                  <w:marRight w:val="0"/>
                  <w:marTop w:val="0"/>
                  <w:marBottom w:val="0"/>
                  <w:divBdr>
                    <w:top w:val="none" w:sz="0" w:space="0" w:color="auto"/>
                    <w:left w:val="none" w:sz="0" w:space="0" w:color="auto"/>
                    <w:bottom w:val="none" w:sz="0" w:space="0" w:color="auto"/>
                    <w:right w:val="none" w:sz="0" w:space="0" w:color="auto"/>
                  </w:divBdr>
                  <w:divsChild>
                    <w:div w:id="196898083">
                      <w:marLeft w:val="0"/>
                      <w:marRight w:val="0"/>
                      <w:marTop w:val="0"/>
                      <w:marBottom w:val="0"/>
                      <w:divBdr>
                        <w:top w:val="none" w:sz="0" w:space="0" w:color="auto"/>
                        <w:left w:val="none" w:sz="0" w:space="0" w:color="auto"/>
                        <w:bottom w:val="none" w:sz="0" w:space="0" w:color="auto"/>
                        <w:right w:val="none" w:sz="0" w:space="0" w:color="auto"/>
                      </w:divBdr>
                    </w:div>
                  </w:divsChild>
                </w:div>
                <w:div w:id="2045517151">
                  <w:marLeft w:val="0"/>
                  <w:marRight w:val="0"/>
                  <w:marTop w:val="0"/>
                  <w:marBottom w:val="0"/>
                  <w:divBdr>
                    <w:top w:val="none" w:sz="0" w:space="0" w:color="auto"/>
                    <w:left w:val="none" w:sz="0" w:space="0" w:color="auto"/>
                    <w:bottom w:val="none" w:sz="0" w:space="0" w:color="auto"/>
                    <w:right w:val="none" w:sz="0" w:space="0" w:color="auto"/>
                  </w:divBdr>
                  <w:divsChild>
                    <w:div w:id="139999249">
                      <w:marLeft w:val="0"/>
                      <w:marRight w:val="0"/>
                      <w:marTop w:val="0"/>
                      <w:marBottom w:val="0"/>
                      <w:divBdr>
                        <w:top w:val="none" w:sz="0" w:space="0" w:color="auto"/>
                        <w:left w:val="none" w:sz="0" w:space="0" w:color="auto"/>
                        <w:bottom w:val="none" w:sz="0" w:space="0" w:color="auto"/>
                        <w:right w:val="none" w:sz="0" w:space="0" w:color="auto"/>
                      </w:divBdr>
                    </w:div>
                  </w:divsChild>
                </w:div>
                <w:div w:id="2048874926">
                  <w:marLeft w:val="0"/>
                  <w:marRight w:val="0"/>
                  <w:marTop w:val="0"/>
                  <w:marBottom w:val="0"/>
                  <w:divBdr>
                    <w:top w:val="none" w:sz="0" w:space="0" w:color="auto"/>
                    <w:left w:val="none" w:sz="0" w:space="0" w:color="auto"/>
                    <w:bottom w:val="none" w:sz="0" w:space="0" w:color="auto"/>
                    <w:right w:val="none" w:sz="0" w:space="0" w:color="auto"/>
                  </w:divBdr>
                  <w:divsChild>
                    <w:div w:id="1482190725">
                      <w:marLeft w:val="0"/>
                      <w:marRight w:val="0"/>
                      <w:marTop w:val="0"/>
                      <w:marBottom w:val="0"/>
                      <w:divBdr>
                        <w:top w:val="none" w:sz="0" w:space="0" w:color="auto"/>
                        <w:left w:val="none" w:sz="0" w:space="0" w:color="auto"/>
                        <w:bottom w:val="none" w:sz="0" w:space="0" w:color="auto"/>
                        <w:right w:val="none" w:sz="0" w:space="0" w:color="auto"/>
                      </w:divBdr>
                    </w:div>
                  </w:divsChild>
                </w:div>
                <w:div w:id="2053189034">
                  <w:marLeft w:val="0"/>
                  <w:marRight w:val="0"/>
                  <w:marTop w:val="0"/>
                  <w:marBottom w:val="0"/>
                  <w:divBdr>
                    <w:top w:val="none" w:sz="0" w:space="0" w:color="auto"/>
                    <w:left w:val="none" w:sz="0" w:space="0" w:color="auto"/>
                    <w:bottom w:val="none" w:sz="0" w:space="0" w:color="auto"/>
                    <w:right w:val="none" w:sz="0" w:space="0" w:color="auto"/>
                  </w:divBdr>
                  <w:divsChild>
                    <w:div w:id="105077956">
                      <w:marLeft w:val="0"/>
                      <w:marRight w:val="0"/>
                      <w:marTop w:val="0"/>
                      <w:marBottom w:val="0"/>
                      <w:divBdr>
                        <w:top w:val="none" w:sz="0" w:space="0" w:color="auto"/>
                        <w:left w:val="none" w:sz="0" w:space="0" w:color="auto"/>
                        <w:bottom w:val="none" w:sz="0" w:space="0" w:color="auto"/>
                        <w:right w:val="none" w:sz="0" w:space="0" w:color="auto"/>
                      </w:divBdr>
                    </w:div>
                  </w:divsChild>
                </w:div>
                <w:div w:id="2065248430">
                  <w:marLeft w:val="0"/>
                  <w:marRight w:val="0"/>
                  <w:marTop w:val="0"/>
                  <w:marBottom w:val="0"/>
                  <w:divBdr>
                    <w:top w:val="none" w:sz="0" w:space="0" w:color="auto"/>
                    <w:left w:val="none" w:sz="0" w:space="0" w:color="auto"/>
                    <w:bottom w:val="none" w:sz="0" w:space="0" w:color="auto"/>
                    <w:right w:val="none" w:sz="0" w:space="0" w:color="auto"/>
                  </w:divBdr>
                  <w:divsChild>
                    <w:div w:id="168255685">
                      <w:marLeft w:val="0"/>
                      <w:marRight w:val="0"/>
                      <w:marTop w:val="0"/>
                      <w:marBottom w:val="0"/>
                      <w:divBdr>
                        <w:top w:val="none" w:sz="0" w:space="0" w:color="auto"/>
                        <w:left w:val="none" w:sz="0" w:space="0" w:color="auto"/>
                        <w:bottom w:val="none" w:sz="0" w:space="0" w:color="auto"/>
                        <w:right w:val="none" w:sz="0" w:space="0" w:color="auto"/>
                      </w:divBdr>
                    </w:div>
                  </w:divsChild>
                </w:div>
                <w:div w:id="2089644187">
                  <w:marLeft w:val="0"/>
                  <w:marRight w:val="0"/>
                  <w:marTop w:val="0"/>
                  <w:marBottom w:val="0"/>
                  <w:divBdr>
                    <w:top w:val="none" w:sz="0" w:space="0" w:color="auto"/>
                    <w:left w:val="none" w:sz="0" w:space="0" w:color="auto"/>
                    <w:bottom w:val="none" w:sz="0" w:space="0" w:color="auto"/>
                    <w:right w:val="none" w:sz="0" w:space="0" w:color="auto"/>
                  </w:divBdr>
                  <w:divsChild>
                    <w:div w:id="58477923">
                      <w:marLeft w:val="0"/>
                      <w:marRight w:val="0"/>
                      <w:marTop w:val="0"/>
                      <w:marBottom w:val="0"/>
                      <w:divBdr>
                        <w:top w:val="none" w:sz="0" w:space="0" w:color="auto"/>
                        <w:left w:val="none" w:sz="0" w:space="0" w:color="auto"/>
                        <w:bottom w:val="none" w:sz="0" w:space="0" w:color="auto"/>
                        <w:right w:val="none" w:sz="0" w:space="0" w:color="auto"/>
                      </w:divBdr>
                    </w:div>
                  </w:divsChild>
                </w:div>
                <w:div w:id="2095085698">
                  <w:marLeft w:val="0"/>
                  <w:marRight w:val="0"/>
                  <w:marTop w:val="0"/>
                  <w:marBottom w:val="0"/>
                  <w:divBdr>
                    <w:top w:val="none" w:sz="0" w:space="0" w:color="auto"/>
                    <w:left w:val="none" w:sz="0" w:space="0" w:color="auto"/>
                    <w:bottom w:val="none" w:sz="0" w:space="0" w:color="auto"/>
                    <w:right w:val="none" w:sz="0" w:space="0" w:color="auto"/>
                  </w:divBdr>
                  <w:divsChild>
                    <w:div w:id="567350734">
                      <w:marLeft w:val="0"/>
                      <w:marRight w:val="0"/>
                      <w:marTop w:val="0"/>
                      <w:marBottom w:val="0"/>
                      <w:divBdr>
                        <w:top w:val="none" w:sz="0" w:space="0" w:color="auto"/>
                        <w:left w:val="none" w:sz="0" w:space="0" w:color="auto"/>
                        <w:bottom w:val="none" w:sz="0" w:space="0" w:color="auto"/>
                        <w:right w:val="none" w:sz="0" w:space="0" w:color="auto"/>
                      </w:divBdr>
                    </w:div>
                  </w:divsChild>
                </w:div>
                <w:div w:id="2115637583">
                  <w:marLeft w:val="0"/>
                  <w:marRight w:val="0"/>
                  <w:marTop w:val="0"/>
                  <w:marBottom w:val="0"/>
                  <w:divBdr>
                    <w:top w:val="none" w:sz="0" w:space="0" w:color="auto"/>
                    <w:left w:val="none" w:sz="0" w:space="0" w:color="auto"/>
                    <w:bottom w:val="none" w:sz="0" w:space="0" w:color="auto"/>
                    <w:right w:val="none" w:sz="0" w:space="0" w:color="auto"/>
                  </w:divBdr>
                  <w:divsChild>
                    <w:div w:id="1365595015">
                      <w:marLeft w:val="0"/>
                      <w:marRight w:val="0"/>
                      <w:marTop w:val="0"/>
                      <w:marBottom w:val="0"/>
                      <w:divBdr>
                        <w:top w:val="none" w:sz="0" w:space="0" w:color="auto"/>
                        <w:left w:val="none" w:sz="0" w:space="0" w:color="auto"/>
                        <w:bottom w:val="none" w:sz="0" w:space="0" w:color="auto"/>
                        <w:right w:val="none" w:sz="0" w:space="0" w:color="auto"/>
                      </w:divBdr>
                    </w:div>
                  </w:divsChild>
                </w:div>
                <w:div w:id="2132894247">
                  <w:marLeft w:val="0"/>
                  <w:marRight w:val="0"/>
                  <w:marTop w:val="0"/>
                  <w:marBottom w:val="0"/>
                  <w:divBdr>
                    <w:top w:val="none" w:sz="0" w:space="0" w:color="auto"/>
                    <w:left w:val="none" w:sz="0" w:space="0" w:color="auto"/>
                    <w:bottom w:val="none" w:sz="0" w:space="0" w:color="auto"/>
                    <w:right w:val="none" w:sz="0" w:space="0" w:color="auto"/>
                  </w:divBdr>
                  <w:divsChild>
                    <w:div w:id="1623608248">
                      <w:marLeft w:val="0"/>
                      <w:marRight w:val="0"/>
                      <w:marTop w:val="0"/>
                      <w:marBottom w:val="0"/>
                      <w:divBdr>
                        <w:top w:val="none" w:sz="0" w:space="0" w:color="auto"/>
                        <w:left w:val="none" w:sz="0" w:space="0" w:color="auto"/>
                        <w:bottom w:val="none" w:sz="0" w:space="0" w:color="auto"/>
                        <w:right w:val="none" w:sz="0" w:space="0" w:color="auto"/>
                      </w:divBdr>
                    </w:div>
                  </w:divsChild>
                </w:div>
                <w:div w:id="2144617582">
                  <w:marLeft w:val="0"/>
                  <w:marRight w:val="0"/>
                  <w:marTop w:val="0"/>
                  <w:marBottom w:val="0"/>
                  <w:divBdr>
                    <w:top w:val="none" w:sz="0" w:space="0" w:color="auto"/>
                    <w:left w:val="none" w:sz="0" w:space="0" w:color="auto"/>
                    <w:bottom w:val="none" w:sz="0" w:space="0" w:color="auto"/>
                    <w:right w:val="none" w:sz="0" w:space="0" w:color="auto"/>
                  </w:divBdr>
                  <w:divsChild>
                    <w:div w:id="8533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47821">
          <w:marLeft w:val="0"/>
          <w:marRight w:val="0"/>
          <w:marTop w:val="0"/>
          <w:marBottom w:val="0"/>
          <w:divBdr>
            <w:top w:val="none" w:sz="0" w:space="0" w:color="auto"/>
            <w:left w:val="none" w:sz="0" w:space="0" w:color="auto"/>
            <w:bottom w:val="none" w:sz="0" w:space="0" w:color="auto"/>
            <w:right w:val="none" w:sz="0" w:space="0" w:color="auto"/>
          </w:divBdr>
        </w:div>
        <w:div w:id="1900899598">
          <w:marLeft w:val="0"/>
          <w:marRight w:val="0"/>
          <w:marTop w:val="0"/>
          <w:marBottom w:val="0"/>
          <w:divBdr>
            <w:top w:val="none" w:sz="0" w:space="0" w:color="auto"/>
            <w:left w:val="none" w:sz="0" w:space="0" w:color="auto"/>
            <w:bottom w:val="none" w:sz="0" w:space="0" w:color="auto"/>
            <w:right w:val="none" w:sz="0" w:space="0" w:color="auto"/>
          </w:divBdr>
        </w:div>
        <w:div w:id="1902907425">
          <w:marLeft w:val="0"/>
          <w:marRight w:val="0"/>
          <w:marTop w:val="0"/>
          <w:marBottom w:val="0"/>
          <w:divBdr>
            <w:top w:val="none" w:sz="0" w:space="0" w:color="auto"/>
            <w:left w:val="none" w:sz="0" w:space="0" w:color="auto"/>
            <w:bottom w:val="none" w:sz="0" w:space="0" w:color="auto"/>
            <w:right w:val="none" w:sz="0" w:space="0" w:color="auto"/>
          </w:divBdr>
        </w:div>
        <w:div w:id="1924218084">
          <w:marLeft w:val="0"/>
          <w:marRight w:val="0"/>
          <w:marTop w:val="0"/>
          <w:marBottom w:val="0"/>
          <w:divBdr>
            <w:top w:val="none" w:sz="0" w:space="0" w:color="auto"/>
            <w:left w:val="none" w:sz="0" w:space="0" w:color="auto"/>
            <w:bottom w:val="none" w:sz="0" w:space="0" w:color="auto"/>
            <w:right w:val="none" w:sz="0" w:space="0" w:color="auto"/>
          </w:divBdr>
        </w:div>
        <w:div w:id="1938246766">
          <w:marLeft w:val="0"/>
          <w:marRight w:val="0"/>
          <w:marTop w:val="0"/>
          <w:marBottom w:val="0"/>
          <w:divBdr>
            <w:top w:val="none" w:sz="0" w:space="0" w:color="auto"/>
            <w:left w:val="none" w:sz="0" w:space="0" w:color="auto"/>
            <w:bottom w:val="none" w:sz="0" w:space="0" w:color="auto"/>
            <w:right w:val="none" w:sz="0" w:space="0" w:color="auto"/>
          </w:divBdr>
        </w:div>
        <w:div w:id="1955864113">
          <w:marLeft w:val="0"/>
          <w:marRight w:val="0"/>
          <w:marTop w:val="0"/>
          <w:marBottom w:val="0"/>
          <w:divBdr>
            <w:top w:val="none" w:sz="0" w:space="0" w:color="auto"/>
            <w:left w:val="none" w:sz="0" w:space="0" w:color="auto"/>
            <w:bottom w:val="none" w:sz="0" w:space="0" w:color="auto"/>
            <w:right w:val="none" w:sz="0" w:space="0" w:color="auto"/>
          </w:divBdr>
        </w:div>
        <w:div w:id="1959219313">
          <w:marLeft w:val="0"/>
          <w:marRight w:val="0"/>
          <w:marTop w:val="0"/>
          <w:marBottom w:val="0"/>
          <w:divBdr>
            <w:top w:val="none" w:sz="0" w:space="0" w:color="auto"/>
            <w:left w:val="none" w:sz="0" w:space="0" w:color="auto"/>
            <w:bottom w:val="none" w:sz="0" w:space="0" w:color="auto"/>
            <w:right w:val="none" w:sz="0" w:space="0" w:color="auto"/>
          </w:divBdr>
        </w:div>
        <w:div w:id="1961691647">
          <w:marLeft w:val="0"/>
          <w:marRight w:val="0"/>
          <w:marTop w:val="0"/>
          <w:marBottom w:val="0"/>
          <w:divBdr>
            <w:top w:val="none" w:sz="0" w:space="0" w:color="auto"/>
            <w:left w:val="none" w:sz="0" w:space="0" w:color="auto"/>
            <w:bottom w:val="none" w:sz="0" w:space="0" w:color="auto"/>
            <w:right w:val="none" w:sz="0" w:space="0" w:color="auto"/>
          </w:divBdr>
        </w:div>
        <w:div w:id="1986163322">
          <w:marLeft w:val="0"/>
          <w:marRight w:val="0"/>
          <w:marTop w:val="0"/>
          <w:marBottom w:val="0"/>
          <w:divBdr>
            <w:top w:val="none" w:sz="0" w:space="0" w:color="auto"/>
            <w:left w:val="none" w:sz="0" w:space="0" w:color="auto"/>
            <w:bottom w:val="none" w:sz="0" w:space="0" w:color="auto"/>
            <w:right w:val="none" w:sz="0" w:space="0" w:color="auto"/>
          </w:divBdr>
        </w:div>
        <w:div w:id="1988508020">
          <w:marLeft w:val="0"/>
          <w:marRight w:val="0"/>
          <w:marTop w:val="0"/>
          <w:marBottom w:val="0"/>
          <w:divBdr>
            <w:top w:val="none" w:sz="0" w:space="0" w:color="auto"/>
            <w:left w:val="none" w:sz="0" w:space="0" w:color="auto"/>
            <w:bottom w:val="none" w:sz="0" w:space="0" w:color="auto"/>
            <w:right w:val="none" w:sz="0" w:space="0" w:color="auto"/>
          </w:divBdr>
        </w:div>
        <w:div w:id="1995178962">
          <w:marLeft w:val="0"/>
          <w:marRight w:val="0"/>
          <w:marTop w:val="0"/>
          <w:marBottom w:val="0"/>
          <w:divBdr>
            <w:top w:val="none" w:sz="0" w:space="0" w:color="auto"/>
            <w:left w:val="none" w:sz="0" w:space="0" w:color="auto"/>
            <w:bottom w:val="none" w:sz="0" w:space="0" w:color="auto"/>
            <w:right w:val="none" w:sz="0" w:space="0" w:color="auto"/>
          </w:divBdr>
        </w:div>
        <w:div w:id="2011718420">
          <w:marLeft w:val="0"/>
          <w:marRight w:val="0"/>
          <w:marTop w:val="0"/>
          <w:marBottom w:val="0"/>
          <w:divBdr>
            <w:top w:val="none" w:sz="0" w:space="0" w:color="auto"/>
            <w:left w:val="none" w:sz="0" w:space="0" w:color="auto"/>
            <w:bottom w:val="none" w:sz="0" w:space="0" w:color="auto"/>
            <w:right w:val="none" w:sz="0" w:space="0" w:color="auto"/>
          </w:divBdr>
          <w:divsChild>
            <w:div w:id="1787851126">
              <w:marLeft w:val="-75"/>
              <w:marRight w:val="0"/>
              <w:marTop w:val="30"/>
              <w:marBottom w:val="30"/>
              <w:divBdr>
                <w:top w:val="none" w:sz="0" w:space="0" w:color="auto"/>
                <w:left w:val="none" w:sz="0" w:space="0" w:color="auto"/>
                <w:bottom w:val="none" w:sz="0" w:space="0" w:color="auto"/>
                <w:right w:val="none" w:sz="0" w:space="0" w:color="auto"/>
              </w:divBdr>
              <w:divsChild>
                <w:div w:id="7365977">
                  <w:marLeft w:val="0"/>
                  <w:marRight w:val="0"/>
                  <w:marTop w:val="0"/>
                  <w:marBottom w:val="0"/>
                  <w:divBdr>
                    <w:top w:val="none" w:sz="0" w:space="0" w:color="auto"/>
                    <w:left w:val="none" w:sz="0" w:space="0" w:color="auto"/>
                    <w:bottom w:val="none" w:sz="0" w:space="0" w:color="auto"/>
                    <w:right w:val="none" w:sz="0" w:space="0" w:color="auto"/>
                  </w:divBdr>
                  <w:divsChild>
                    <w:div w:id="1518346549">
                      <w:marLeft w:val="0"/>
                      <w:marRight w:val="0"/>
                      <w:marTop w:val="0"/>
                      <w:marBottom w:val="0"/>
                      <w:divBdr>
                        <w:top w:val="none" w:sz="0" w:space="0" w:color="auto"/>
                        <w:left w:val="none" w:sz="0" w:space="0" w:color="auto"/>
                        <w:bottom w:val="none" w:sz="0" w:space="0" w:color="auto"/>
                        <w:right w:val="none" w:sz="0" w:space="0" w:color="auto"/>
                      </w:divBdr>
                    </w:div>
                  </w:divsChild>
                </w:div>
                <w:div w:id="89086167">
                  <w:marLeft w:val="0"/>
                  <w:marRight w:val="0"/>
                  <w:marTop w:val="0"/>
                  <w:marBottom w:val="0"/>
                  <w:divBdr>
                    <w:top w:val="none" w:sz="0" w:space="0" w:color="auto"/>
                    <w:left w:val="none" w:sz="0" w:space="0" w:color="auto"/>
                    <w:bottom w:val="none" w:sz="0" w:space="0" w:color="auto"/>
                    <w:right w:val="none" w:sz="0" w:space="0" w:color="auto"/>
                  </w:divBdr>
                  <w:divsChild>
                    <w:div w:id="893085400">
                      <w:marLeft w:val="0"/>
                      <w:marRight w:val="0"/>
                      <w:marTop w:val="0"/>
                      <w:marBottom w:val="0"/>
                      <w:divBdr>
                        <w:top w:val="none" w:sz="0" w:space="0" w:color="auto"/>
                        <w:left w:val="none" w:sz="0" w:space="0" w:color="auto"/>
                        <w:bottom w:val="none" w:sz="0" w:space="0" w:color="auto"/>
                        <w:right w:val="none" w:sz="0" w:space="0" w:color="auto"/>
                      </w:divBdr>
                    </w:div>
                  </w:divsChild>
                </w:div>
                <w:div w:id="245960930">
                  <w:marLeft w:val="0"/>
                  <w:marRight w:val="0"/>
                  <w:marTop w:val="0"/>
                  <w:marBottom w:val="0"/>
                  <w:divBdr>
                    <w:top w:val="none" w:sz="0" w:space="0" w:color="auto"/>
                    <w:left w:val="none" w:sz="0" w:space="0" w:color="auto"/>
                    <w:bottom w:val="none" w:sz="0" w:space="0" w:color="auto"/>
                    <w:right w:val="none" w:sz="0" w:space="0" w:color="auto"/>
                  </w:divBdr>
                  <w:divsChild>
                    <w:div w:id="1804157146">
                      <w:marLeft w:val="0"/>
                      <w:marRight w:val="0"/>
                      <w:marTop w:val="0"/>
                      <w:marBottom w:val="0"/>
                      <w:divBdr>
                        <w:top w:val="none" w:sz="0" w:space="0" w:color="auto"/>
                        <w:left w:val="none" w:sz="0" w:space="0" w:color="auto"/>
                        <w:bottom w:val="none" w:sz="0" w:space="0" w:color="auto"/>
                        <w:right w:val="none" w:sz="0" w:space="0" w:color="auto"/>
                      </w:divBdr>
                    </w:div>
                  </w:divsChild>
                </w:div>
                <w:div w:id="407272711">
                  <w:marLeft w:val="0"/>
                  <w:marRight w:val="0"/>
                  <w:marTop w:val="0"/>
                  <w:marBottom w:val="0"/>
                  <w:divBdr>
                    <w:top w:val="none" w:sz="0" w:space="0" w:color="auto"/>
                    <w:left w:val="none" w:sz="0" w:space="0" w:color="auto"/>
                    <w:bottom w:val="none" w:sz="0" w:space="0" w:color="auto"/>
                    <w:right w:val="none" w:sz="0" w:space="0" w:color="auto"/>
                  </w:divBdr>
                  <w:divsChild>
                    <w:div w:id="1161509289">
                      <w:marLeft w:val="0"/>
                      <w:marRight w:val="0"/>
                      <w:marTop w:val="0"/>
                      <w:marBottom w:val="0"/>
                      <w:divBdr>
                        <w:top w:val="none" w:sz="0" w:space="0" w:color="auto"/>
                        <w:left w:val="none" w:sz="0" w:space="0" w:color="auto"/>
                        <w:bottom w:val="none" w:sz="0" w:space="0" w:color="auto"/>
                        <w:right w:val="none" w:sz="0" w:space="0" w:color="auto"/>
                      </w:divBdr>
                    </w:div>
                  </w:divsChild>
                </w:div>
                <w:div w:id="417099834">
                  <w:marLeft w:val="0"/>
                  <w:marRight w:val="0"/>
                  <w:marTop w:val="0"/>
                  <w:marBottom w:val="0"/>
                  <w:divBdr>
                    <w:top w:val="none" w:sz="0" w:space="0" w:color="auto"/>
                    <w:left w:val="none" w:sz="0" w:space="0" w:color="auto"/>
                    <w:bottom w:val="none" w:sz="0" w:space="0" w:color="auto"/>
                    <w:right w:val="none" w:sz="0" w:space="0" w:color="auto"/>
                  </w:divBdr>
                  <w:divsChild>
                    <w:div w:id="1542936526">
                      <w:marLeft w:val="0"/>
                      <w:marRight w:val="0"/>
                      <w:marTop w:val="0"/>
                      <w:marBottom w:val="0"/>
                      <w:divBdr>
                        <w:top w:val="none" w:sz="0" w:space="0" w:color="auto"/>
                        <w:left w:val="none" w:sz="0" w:space="0" w:color="auto"/>
                        <w:bottom w:val="none" w:sz="0" w:space="0" w:color="auto"/>
                        <w:right w:val="none" w:sz="0" w:space="0" w:color="auto"/>
                      </w:divBdr>
                    </w:div>
                  </w:divsChild>
                </w:div>
                <w:div w:id="423376402">
                  <w:marLeft w:val="0"/>
                  <w:marRight w:val="0"/>
                  <w:marTop w:val="0"/>
                  <w:marBottom w:val="0"/>
                  <w:divBdr>
                    <w:top w:val="none" w:sz="0" w:space="0" w:color="auto"/>
                    <w:left w:val="none" w:sz="0" w:space="0" w:color="auto"/>
                    <w:bottom w:val="none" w:sz="0" w:space="0" w:color="auto"/>
                    <w:right w:val="none" w:sz="0" w:space="0" w:color="auto"/>
                  </w:divBdr>
                  <w:divsChild>
                    <w:div w:id="1253707467">
                      <w:marLeft w:val="0"/>
                      <w:marRight w:val="0"/>
                      <w:marTop w:val="0"/>
                      <w:marBottom w:val="0"/>
                      <w:divBdr>
                        <w:top w:val="none" w:sz="0" w:space="0" w:color="auto"/>
                        <w:left w:val="none" w:sz="0" w:space="0" w:color="auto"/>
                        <w:bottom w:val="none" w:sz="0" w:space="0" w:color="auto"/>
                        <w:right w:val="none" w:sz="0" w:space="0" w:color="auto"/>
                      </w:divBdr>
                    </w:div>
                  </w:divsChild>
                </w:div>
                <w:div w:id="440301719">
                  <w:marLeft w:val="0"/>
                  <w:marRight w:val="0"/>
                  <w:marTop w:val="0"/>
                  <w:marBottom w:val="0"/>
                  <w:divBdr>
                    <w:top w:val="none" w:sz="0" w:space="0" w:color="auto"/>
                    <w:left w:val="none" w:sz="0" w:space="0" w:color="auto"/>
                    <w:bottom w:val="none" w:sz="0" w:space="0" w:color="auto"/>
                    <w:right w:val="none" w:sz="0" w:space="0" w:color="auto"/>
                  </w:divBdr>
                  <w:divsChild>
                    <w:div w:id="479151596">
                      <w:marLeft w:val="0"/>
                      <w:marRight w:val="0"/>
                      <w:marTop w:val="0"/>
                      <w:marBottom w:val="0"/>
                      <w:divBdr>
                        <w:top w:val="none" w:sz="0" w:space="0" w:color="auto"/>
                        <w:left w:val="none" w:sz="0" w:space="0" w:color="auto"/>
                        <w:bottom w:val="none" w:sz="0" w:space="0" w:color="auto"/>
                        <w:right w:val="none" w:sz="0" w:space="0" w:color="auto"/>
                      </w:divBdr>
                    </w:div>
                  </w:divsChild>
                </w:div>
                <w:div w:id="489293113">
                  <w:marLeft w:val="0"/>
                  <w:marRight w:val="0"/>
                  <w:marTop w:val="0"/>
                  <w:marBottom w:val="0"/>
                  <w:divBdr>
                    <w:top w:val="none" w:sz="0" w:space="0" w:color="auto"/>
                    <w:left w:val="none" w:sz="0" w:space="0" w:color="auto"/>
                    <w:bottom w:val="none" w:sz="0" w:space="0" w:color="auto"/>
                    <w:right w:val="none" w:sz="0" w:space="0" w:color="auto"/>
                  </w:divBdr>
                  <w:divsChild>
                    <w:div w:id="994836584">
                      <w:marLeft w:val="0"/>
                      <w:marRight w:val="0"/>
                      <w:marTop w:val="0"/>
                      <w:marBottom w:val="0"/>
                      <w:divBdr>
                        <w:top w:val="none" w:sz="0" w:space="0" w:color="auto"/>
                        <w:left w:val="none" w:sz="0" w:space="0" w:color="auto"/>
                        <w:bottom w:val="none" w:sz="0" w:space="0" w:color="auto"/>
                        <w:right w:val="none" w:sz="0" w:space="0" w:color="auto"/>
                      </w:divBdr>
                    </w:div>
                  </w:divsChild>
                </w:div>
                <w:div w:id="550195681">
                  <w:marLeft w:val="0"/>
                  <w:marRight w:val="0"/>
                  <w:marTop w:val="0"/>
                  <w:marBottom w:val="0"/>
                  <w:divBdr>
                    <w:top w:val="none" w:sz="0" w:space="0" w:color="auto"/>
                    <w:left w:val="none" w:sz="0" w:space="0" w:color="auto"/>
                    <w:bottom w:val="none" w:sz="0" w:space="0" w:color="auto"/>
                    <w:right w:val="none" w:sz="0" w:space="0" w:color="auto"/>
                  </w:divBdr>
                  <w:divsChild>
                    <w:div w:id="1674651595">
                      <w:marLeft w:val="0"/>
                      <w:marRight w:val="0"/>
                      <w:marTop w:val="0"/>
                      <w:marBottom w:val="0"/>
                      <w:divBdr>
                        <w:top w:val="none" w:sz="0" w:space="0" w:color="auto"/>
                        <w:left w:val="none" w:sz="0" w:space="0" w:color="auto"/>
                        <w:bottom w:val="none" w:sz="0" w:space="0" w:color="auto"/>
                        <w:right w:val="none" w:sz="0" w:space="0" w:color="auto"/>
                      </w:divBdr>
                    </w:div>
                  </w:divsChild>
                </w:div>
                <w:div w:id="619606900">
                  <w:marLeft w:val="0"/>
                  <w:marRight w:val="0"/>
                  <w:marTop w:val="0"/>
                  <w:marBottom w:val="0"/>
                  <w:divBdr>
                    <w:top w:val="none" w:sz="0" w:space="0" w:color="auto"/>
                    <w:left w:val="none" w:sz="0" w:space="0" w:color="auto"/>
                    <w:bottom w:val="none" w:sz="0" w:space="0" w:color="auto"/>
                    <w:right w:val="none" w:sz="0" w:space="0" w:color="auto"/>
                  </w:divBdr>
                  <w:divsChild>
                    <w:div w:id="629750999">
                      <w:marLeft w:val="0"/>
                      <w:marRight w:val="0"/>
                      <w:marTop w:val="0"/>
                      <w:marBottom w:val="0"/>
                      <w:divBdr>
                        <w:top w:val="none" w:sz="0" w:space="0" w:color="auto"/>
                        <w:left w:val="none" w:sz="0" w:space="0" w:color="auto"/>
                        <w:bottom w:val="none" w:sz="0" w:space="0" w:color="auto"/>
                        <w:right w:val="none" w:sz="0" w:space="0" w:color="auto"/>
                      </w:divBdr>
                    </w:div>
                  </w:divsChild>
                </w:div>
                <w:div w:id="704410272">
                  <w:marLeft w:val="0"/>
                  <w:marRight w:val="0"/>
                  <w:marTop w:val="0"/>
                  <w:marBottom w:val="0"/>
                  <w:divBdr>
                    <w:top w:val="none" w:sz="0" w:space="0" w:color="auto"/>
                    <w:left w:val="none" w:sz="0" w:space="0" w:color="auto"/>
                    <w:bottom w:val="none" w:sz="0" w:space="0" w:color="auto"/>
                    <w:right w:val="none" w:sz="0" w:space="0" w:color="auto"/>
                  </w:divBdr>
                  <w:divsChild>
                    <w:div w:id="1595670696">
                      <w:marLeft w:val="0"/>
                      <w:marRight w:val="0"/>
                      <w:marTop w:val="0"/>
                      <w:marBottom w:val="0"/>
                      <w:divBdr>
                        <w:top w:val="none" w:sz="0" w:space="0" w:color="auto"/>
                        <w:left w:val="none" w:sz="0" w:space="0" w:color="auto"/>
                        <w:bottom w:val="none" w:sz="0" w:space="0" w:color="auto"/>
                        <w:right w:val="none" w:sz="0" w:space="0" w:color="auto"/>
                      </w:divBdr>
                    </w:div>
                  </w:divsChild>
                </w:div>
                <w:div w:id="809631896">
                  <w:marLeft w:val="0"/>
                  <w:marRight w:val="0"/>
                  <w:marTop w:val="0"/>
                  <w:marBottom w:val="0"/>
                  <w:divBdr>
                    <w:top w:val="none" w:sz="0" w:space="0" w:color="auto"/>
                    <w:left w:val="none" w:sz="0" w:space="0" w:color="auto"/>
                    <w:bottom w:val="none" w:sz="0" w:space="0" w:color="auto"/>
                    <w:right w:val="none" w:sz="0" w:space="0" w:color="auto"/>
                  </w:divBdr>
                  <w:divsChild>
                    <w:div w:id="1267814747">
                      <w:marLeft w:val="0"/>
                      <w:marRight w:val="0"/>
                      <w:marTop w:val="0"/>
                      <w:marBottom w:val="0"/>
                      <w:divBdr>
                        <w:top w:val="none" w:sz="0" w:space="0" w:color="auto"/>
                        <w:left w:val="none" w:sz="0" w:space="0" w:color="auto"/>
                        <w:bottom w:val="none" w:sz="0" w:space="0" w:color="auto"/>
                        <w:right w:val="none" w:sz="0" w:space="0" w:color="auto"/>
                      </w:divBdr>
                    </w:div>
                  </w:divsChild>
                </w:div>
                <w:div w:id="820970612">
                  <w:marLeft w:val="0"/>
                  <w:marRight w:val="0"/>
                  <w:marTop w:val="0"/>
                  <w:marBottom w:val="0"/>
                  <w:divBdr>
                    <w:top w:val="none" w:sz="0" w:space="0" w:color="auto"/>
                    <w:left w:val="none" w:sz="0" w:space="0" w:color="auto"/>
                    <w:bottom w:val="none" w:sz="0" w:space="0" w:color="auto"/>
                    <w:right w:val="none" w:sz="0" w:space="0" w:color="auto"/>
                  </w:divBdr>
                  <w:divsChild>
                    <w:div w:id="108208265">
                      <w:marLeft w:val="0"/>
                      <w:marRight w:val="0"/>
                      <w:marTop w:val="0"/>
                      <w:marBottom w:val="0"/>
                      <w:divBdr>
                        <w:top w:val="none" w:sz="0" w:space="0" w:color="auto"/>
                        <w:left w:val="none" w:sz="0" w:space="0" w:color="auto"/>
                        <w:bottom w:val="none" w:sz="0" w:space="0" w:color="auto"/>
                        <w:right w:val="none" w:sz="0" w:space="0" w:color="auto"/>
                      </w:divBdr>
                    </w:div>
                  </w:divsChild>
                </w:div>
                <w:div w:id="854418767">
                  <w:marLeft w:val="0"/>
                  <w:marRight w:val="0"/>
                  <w:marTop w:val="0"/>
                  <w:marBottom w:val="0"/>
                  <w:divBdr>
                    <w:top w:val="none" w:sz="0" w:space="0" w:color="auto"/>
                    <w:left w:val="none" w:sz="0" w:space="0" w:color="auto"/>
                    <w:bottom w:val="none" w:sz="0" w:space="0" w:color="auto"/>
                    <w:right w:val="none" w:sz="0" w:space="0" w:color="auto"/>
                  </w:divBdr>
                  <w:divsChild>
                    <w:div w:id="154733840">
                      <w:marLeft w:val="0"/>
                      <w:marRight w:val="0"/>
                      <w:marTop w:val="0"/>
                      <w:marBottom w:val="0"/>
                      <w:divBdr>
                        <w:top w:val="none" w:sz="0" w:space="0" w:color="auto"/>
                        <w:left w:val="none" w:sz="0" w:space="0" w:color="auto"/>
                        <w:bottom w:val="none" w:sz="0" w:space="0" w:color="auto"/>
                        <w:right w:val="none" w:sz="0" w:space="0" w:color="auto"/>
                      </w:divBdr>
                    </w:div>
                  </w:divsChild>
                </w:div>
                <w:div w:id="895045251">
                  <w:marLeft w:val="0"/>
                  <w:marRight w:val="0"/>
                  <w:marTop w:val="0"/>
                  <w:marBottom w:val="0"/>
                  <w:divBdr>
                    <w:top w:val="none" w:sz="0" w:space="0" w:color="auto"/>
                    <w:left w:val="none" w:sz="0" w:space="0" w:color="auto"/>
                    <w:bottom w:val="none" w:sz="0" w:space="0" w:color="auto"/>
                    <w:right w:val="none" w:sz="0" w:space="0" w:color="auto"/>
                  </w:divBdr>
                  <w:divsChild>
                    <w:div w:id="1769619805">
                      <w:marLeft w:val="0"/>
                      <w:marRight w:val="0"/>
                      <w:marTop w:val="0"/>
                      <w:marBottom w:val="0"/>
                      <w:divBdr>
                        <w:top w:val="none" w:sz="0" w:space="0" w:color="auto"/>
                        <w:left w:val="none" w:sz="0" w:space="0" w:color="auto"/>
                        <w:bottom w:val="none" w:sz="0" w:space="0" w:color="auto"/>
                        <w:right w:val="none" w:sz="0" w:space="0" w:color="auto"/>
                      </w:divBdr>
                    </w:div>
                  </w:divsChild>
                </w:div>
                <w:div w:id="957637972">
                  <w:marLeft w:val="0"/>
                  <w:marRight w:val="0"/>
                  <w:marTop w:val="0"/>
                  <w:marBottom w:val="0"/>
                  <w:divBdr>
                    <w:top w:val="none" w:sz="0" w:space="0" w:color="auto"/>
                    <w:left w:val="none" w:sz="0" w:space="0" w:color="auto"/>
                    <w:bottom w:val="none" w:sz="0" w:space="0" w:color="auto"/>
                    <w:right w:val="none" w:sz="0" w:space="0" w:color="auto"/>
                  </w:divBdr>
                  <w:divsChild>
                    <w:div w:id="186212570">
                      <w:marLeft w:val="0"/>
                      <w:marRight w:val="0"/>
                      <w:marTop w:val="0"/>
                      <w:marBottom w:val="0"/>
                      <w:divBdr>
                        <w:top w:val="none" w:sz="0" w:space="0" w:color="auto"/>
                        <w:left w:val="none" w:sz="0" w:space="0" w:color="auto"/>
                        <w:bottom w:val="none" w:sz="0" w:space="0" w:color="auto"/>
                        <w:right w:val="none" w:sz="0" w:space="0" w:color="auto"/>
                      </w:divBdr>
                    </w:div>
                  </w:divsChild>
                </w:div>
                <w:div w:id="961301240">
                  <w:marLeft w:val="0"/>
                  <w:marRight w:val="0"/>
                  <w:marTop w:val="0"/>
                  <w:marBottom w:val="0"/>
                  <w:divBdr>
                    <w:top w:val="none" w:sz="0" w:space="0" w:color="auto"/>
                    <w:left w:val="none" w:sz="0" w:space="0" w:color="auto"/>
                    <w:bottom w:val="none" w:sz="0" w:space="0" w:color="auto"/>
                    <w:right w:val="none" w:sz="0" w:space="0" w:color="auto"/>
                  </w:divBdr>
                  <w:divsChild>
                    <w:div w:id="173421660">
                      <w:marLeft w:val="0"/>
                      <w:marRight w:val="0"/>
                      <w:marTop w:val="0"/>
                      <w:marBottom w:val="0"/>
                      <w:divBdr>
                        <w:top w:val="none" w:sz="0" w:space="0" w:color="auto"/>
                        <w:left w:val="none" w:sz="0" w:space="0" w:color="auto"/>
                        <w:bottom w:val="none" w:sz="0" w:space="0" w:color="auto"/>
                        <w:right w:val="none" w:sz="0" w:space="0" w:color="auto"/>
                      </w:divBdr>
                    </w:div>
                  </w:divsChild>
                </w:div>
                <w:div w:id="1123381996">
                  <w:marLeft w:val="0"/>
                  <w:marRight w:val="0"/>
                  <w:marTop w:val="0"/>
                  <w:marBottom w:val="0"/>
                  <w:divBdr>
                    <w:top w:val="none" w:sz="0" w:space="0" w:color="auto"/>
                    <w:left w:val="none" w:sz="0" w:space="0" w:color="auto"/>
                    <w:bottom w:val="none" w:sz="0" w:space="0" w:color="auto"/>
                    <w:right w:val="none" w:sz="0" w:space="0" w:color="auto"/>
                  </w:divBdr>
                  <w:divsChild>
                    <w:div w:id="620383279">
                      <w:marLeft w:val="0"/>
                      <w:marRight w:val="0"/>
                      <w:marTop w:val="0"/>
                      <w:marBottom w:val="0"/>
                      <w:divBdr>
                        <w:top w:val="none" w:sz="0" w:space="0" w:color="auto"/>
                        <w:left w:val="none" w:sz="0" w:space="0" w:color="auto"/>
                        <w:bottom w:val="none" w:sz="0" w:space="0" w:color="auto"/>
                        <w:right w:val="none" w:sz="0" w:space="0" w:color="auto"/>
                      </w:divBdr>
                    </w:div>
                  </w:divsChild>
                </w:div>
                <w:div w:id="1150244770">
                  <w:marLeft w:val="0"/>
                  <w:marRight w:val="0"/>
                  <w:marTop w:val="0"/>
                  <w:marBottom w:val="0"/>
                  <w:divBdr>
                    <w:top w:val="none" w:sz="0" w:space="0" w:color="auto"/>
                    <w:left w:val="none" w:sz="0" w:space="0" w:color="auto"/>
                    <w:bottom w:val="none" w:sz="0" w:space="0" w:color="auto"/>
                    <w:right w:val="none" w:sz="0" w:space="0" w:color="auto"/>
                  </w:divBdr>
                  <w:divsChild>
                    <w:div w:id="911545163">
                      <w:marLeft w:val="0"/>
                      <w:marRight w:val="0"/>
                      <w:marTop w:val="0"/>
                      <w:marBottom w:val="0"/>
                      <w:divBdr>
                        <w:top w:val="none" w:sz="0" w:space="0" w:color="auto"/>
                        <w:left w:val="none" w:sz="0" w:space="0" w:color="auto"/>
                        <w:bottom w:val="none" w:sz="0" w:space="0" w:color="auto"/>
                        <w:right w:val="none" w:sz="0" w:space="0" w:color="auto"/>
                      </w:divBdr>
                    </w:div>
                  </w:divsChild>
                </w:div>
                <w:div w:id="1184980081">
                  <w:marLeft w:val="0"/>
                  <w:marRight w:val="0"/>
                  <w:marTop w:val="0"/>
                  <w:marBottom w:val="0"/>
                  <w:divBdr>
                    <w:top w:val="none" w:sz="0" w:space="0" w:color="auto"/>
                    <w:left w:val="none" w:sz="0" w:space="0" w:color="auto"/>
                    <w:bottom w:val="none" w:sz="0" w:space="0" w:color="auto"/>
                    <w:right w:val="none" w:sz="0" w:space="0" w:color="auto"/>
                  </w:divBdr>
                  <w:divsChild>
                    <w:div w:id="1111978748">
                      <w:marLeft w:val="0"/>
                      <w:marRight w:val="0"/>
                      <w:marTop w:val="0"/>
                      <w:marBottom w:val="0"/>
                      <w:divBdr>
                        <w:top w:val="none" w:sz="0" w:space="0" w:color="auto"/>
                        <w:left w:val="none" w:sz="0" w:space="0" w:color="auto"/>
                        <w:bottom w:val="none" w:sz="0" w:space="0" w:color="auto"/>
                        <w:right w:val="none" w:sz="0" w:space="0" w:color="auto"/>
                      </w:divBdr>
                    </w:div>
                  </w:divsChild>
                </w:div>
                <w:div w:id="1217357745">
                  <w:marLeft w:val="0"/>
                  <w:marRight w:val="0"/>
                  <w:marTop w:val="0"/>
                  <w:marBottom w:val="0"/>
                  <w:divBdr>
                    <w:top w:val="none" w:sz="0" w:space="0" w:color="auto"/>
                    <w:left w:val="none" w:sz="0" w:space="0" w:color="auto"/>
                    <w:bottom w:val="none" w:sz="0" w:space="0" w:color="auto"/>
                    <w:right w:val="none" w:sz="0" w:space="0" w:color="auto"/>
                  </w:divBdr>
                  <w:divsChild>
                    <w:div w:id="144903814">
                      <w:marLeft w:val="0"/>
                      <w:marRight w:val="0"/>
                      <w:marTop w:val="0"/>
                      <w:marBottom w:val="0"/>
                      <w:divBdr>
                        <w:top w:val="none" w:sz="0" w:space="0" w:color="auto"/>
                        <w:left w:val="none" w:sz="0" w:space="0" w:color="auto"/>
                        <w:bottom w:val="none" w:sz="0" w:space="0" w:color="auto"/>
                        <w:right w:val="none" w:sz="0" w:space="0" w:color="auto"/>
                      </w:divBdr>
                    </w:div>
                  </w:divsChild>
                </w:div>
                <w:div w:id="1314524397">
                  <w:marLeft w:val="0"/>
                  <w:marRight w:val="0"/>
                  <w:marTop w:val="0"/>
                  <w:marBottom w:val="0"/>
                  <w:divBdr>
                    <w:top w:val="none" w:sz="0" w:space="0" w:color="auto"/>
                    <w:left w:val="none" w:sz="0" w:space="0" w:color="auto"/>
                    <w:bottom w:val="none" w:sz="0" w:space="0" w:color="auto"/>
                    <w:right w:val="none" w:sz="0" w:space="0" w:color="auto"/>
                  </w:divBdr>
                  <w:divsChild>
                    <w:div w:id="934023301">
                      <w:marLeft w:val="0"/>
                      <w:marRight w:val="0"/>
                      <w:marTop w:val="0"/>
                      <w:marBottom w:val="0"/>
                      <w:divBdr>
                        <w:top w:val="none" w:sz="0" w:space="0" w:color="auto"/>
                        <w:left w:val="none" w:sz="0" w:space="0" w:color="auto"/>
                        <w:bottom w:val="none" w:sz="0" w:space="0" w:color="auto"/>
                        <w:right w:val="none" w:sz="0" w:space="0" w:color="auto"/>
                      </w:divBdr>
                    </w:div>
                  </w:divsChild>
                </w:div>
                <w:div w:id="1318680791">
                  <w:marLeft w:val="0"/>
                  <w:marRight w:val="0"/>
                  <w:marTop w:val="0"/>
                  <w:marBottom w:val="0"/>
                  <w:divBdr>
                    <w:top w:val="none" w:sz="0" w:space="0" w:color="auto"/>
                    <w:left w:val="none" w:sz="0" w:space="0" w:color="auto"/>
                    <w:bottom w:val="none" w:sz="0" w:space="0" w:color="auto"/>
                    <w:right w:val="none" w:sz="0" w:space="0" w:color="auto"/>
                  </w:divBdr>
                  <w:divsChild>
                    <w:div w:id="1523012939">
                      <w:marLeft w:val="0"/>
                      <w:marRight w:val="0"/>
                      <w:marTop w:val="0"/>
                      <w:marBottom w:val="0"/>
                      <w:divBdr>
                        <w:top w:val="none" w:sz="0" w:space="0" w:color="auto"/>
                        <w:left w:val="none" w:sz="0" w:space="0" w:color="auto"/>
                        <w:bottom w:val="none" w:sz="0" w:space="0" w:color="auto"/>
                        <w:right w:val="none" w:sz="0" w:space="0" w:color="auto"/>
                      </w:divBdr>
                    </w:div>
                  </w:divsChild>
                </w:div>
                <w:div w:id="1536045220">
                  <w:marLeft w:val="0"/>
                  <w:marRight w:val="0"/>
                  <w:marTop w:val="0"/>
                  <w:marBottom w:val="0"/>
                  <w:divBdr>
                    <w:top w:val="none" w:sz="0" w:space="0" w:color="auto"/>
                    <w:left w:val="none" w:sz="0" w:space="0" w:color="auto"/>
                    <w:bottom w:val="none" w:sz="0" w:space="0" w:color="auto"/>
                    <w:right w:val="none" w:sz="0" w:space="0" w:color="auto"/>
                  </w:divBdr>
                  <w:divsChild>
                    <w:div w:id="1494026717">
                      <w:marLeft w:val="0"/>
                      <w:marRight w:val="0"/>
                      <w:marTop w:val="0"/>
                      <w:marBottom w:val="0"/>
                      <w:divBdr>
                        <w:top w:val="none" w:sz="0" w:space="0" w:color="auto"/>
                        <w:left w:val="none" w:sz="0" w:space="0" w:color="auto"/>
                        <w:bottom w:val="none" w:sz="0" w:space="0" w:color="auto"/>
                        <w:right w:val="none" w:sz="0" w:space="0" w:color="auto"/>
                      </w:divBdr>
                    </w:div>
                  </w:divsChild>
                </w:div>
                <w:div w:id="1540433397">
                  <w:marLeft w:val="0"/>
                  <w:marRight w:val="0"/>
                  <w:marTop w:val="0"/>
                  <w:marBottom w:val="0"/>
                  <w:divBdr>
                    <w:top w:val="none" w:sz="0" w:space="0" w:color="auto"/>
                    <w:left w:val="none" w:sz="0" w:space="0" w:color="auto"/>
                    <w:bottom w:val="none" w:sz="0" w:space="0" w:color="auto"/>
                    <w:right w:val="none" w:sz="0" w:space="0" w:color="auto"/>
                  </w:divBdr>
                  <w:divsChild>
                    <w:div w:id="1175995883">
                      <w:marLeft w:val="0"/>
                      <w:marRight w:val="0"/>
                      <w:marTop w:val="0"/>
                      <w:marBottom w:val="0"/>
                      <w:divBdr>
                        <w:top w:val="none" w:sz="0" w:space="0" w:color="auto"/>
                        <w:left w:val="none" w:sz="0" w:space="0" w:color="auto"/>
                        <w:bottom w:val="none" w:sz="0" w:space="0" w:color="auto"/>
                        <w:right w:val="none" w:sz="0" w:space="0" w:color="auto"/>
                      </w:divBdr>
                    </w:div>
                  </w:divsChild>
                </w:div>
                <w:div w:id="1561863986">
                  <w:marLeft w:val="0"/>
                  <w:marRight w:val="0"/>
                  <w:marTop w:val="0"/>
                  <w:marBottom w:val="0"/>
                  <w:divBdr>
                    <w:top w:val="none" w:sz="0" w:space="0" w:color="auto"/>
                    <w:left w:val="none" w:sz="0" w:space="0" w:color="auto"/>
                    <w:bottom w:val="none" w:sz="0" w:space="0" w:color="auto"/>
                    <w:right w:val="none" w:sz="0" w:space="0" w:color="auto"/>
                  </w:divBdr>
                  <w:divsChild>
                    <w:div w:id="1243487223">
                      <w:marLeft w:val="0"/>
                      <w:marRight w:val="0"/>
                      <w:marTop w:val="0"/>
                      <w:marBottom w:val="0"/>
                      <w:divBdr>
                        <w:top w:val="none" w:sz="0" w:space="0" w:color="auto"/>
                        <w:left w:val="none" w:sz="0" w:space="0" w:color="auto"/>
                        <w:bottom w:val="none" w:sz="0" w:space="0" w:color="auto"/>
                        <w:right w:val="none" w:sz="0" w:space="0" w:color="auto"/>
                      </w:divBdr>
                    </w:div>
                  </w:divsChild>
                </w:div>
                <w:div w:id="1569488757">
                  <w:marLeft w:val="0"/>
                  <w:marRight w:val="0"/>
                  <w:marTop w:val="0"/>
                  <w:marBottom w:val="0"/>
                  <w:divBdr>
                    <w:top w:val="none" w:sz="0" w:space="0" w:color="auto"/>
                    <w:left w:val="none" w:sz="0" w:space="0" w:color="auto"/>
                    <w:bottom w:val="none" w:sz="0" w:space="0" w:color="auto"/>
                    <w:right w:val="none" w:sz="0" w:space="0" w:color="auto"/>
                  </w:divBdr>
                  <w:divsChild>
                    <w:div w:id="1493445994">
                      <w:marLeft w:val="0"/>
                      <w:marRight w:val="0"/>
                      <w:marTop w:val="0"/>
                      <w:marBottom w:val="0"/>
                      <w:divBdr>
                        <w:top w:val="none" w:sz="0" w:space="0" w:color="auto"/>
                        <w:left w:val="none" w:sz="0" w:space="0" w:color="auto"/>
                        <w:bottom w:val="none" w:sz="0" w:space="0" w:color="auto"/>
                        <w:right w:val="none" w:sz="0" w:space="0" w:color="auto"/>
                      </w:divBdr>
                    </w:div>
                  </w:divsChild>
                </w:div>
                <w:div w:id="1669405167">
                  <w:marLeft w:val="0"/>
                  <w:marRight w:val="0"/>
                  <w:marTop w:val="0"/>
                  <w:marBottom w:val="0"/>
                  <w:divBdr>
                    <w:top w:val="none" w:sz="0" w:space="0" w:color="auto"/>
                    <w:left w:val="none" w:sz="0" w:space="0" w:color="auto"/>
                    <w:bottom w:val="none" w:sz="0" w:space="0" w:color="auto"/>
                    <w:right w:val="none" w:sz="0" w:space="0" w:color="auto"/>
                  </w:divBdr>
                  <w:divsChild>
                    <w:div w:id="161628777">
                      <w:marLeft w:val="0"/>
                      <w:marRight w:val="0"/>
                      <w:marTop w:val="0"/>
                      <w:marBottom w:val="0"/>
                      <w:divBdr>
                        <w:top w:val="none" w:sz="0" w:space="0" w:color="auto"/>
                        <w:left w:val="none" w:sz="0" w:space="0" w:color="auto"/>
                        <w:bottom w:val="none" w:sz="0" w:space="0" w:color="auto"/>
                        <w:right w:val="none" w:sz="0" w:space="0" w:color="auto"/>
                      </w:divBdr>
                    </w:div>
                  </w:divsChild>
                </w:div>
                <w:div w:id="1724937848">
                  <w:marLeft w:val="0"/>
                  <w:marRight w:val="0"/>
                  <w:marTop w:val="0"/>
                  <w:marBottom w:val="0"/>
                  <w:divBdr>
                    <w:top w:val="none" w:sz="0" w:space="0" w:color="auto"/>
                    <w:left w:val="none" w:sz="0" w:space="0" w:color="auto"/>
                    <w:bottom w:val="none" w:sz="0" w:space="0" w:color="auto"/>
                    <w:right w:val="none" w:sz="0" w:space="0" w:color="auto"/>
                  </w:divBdr>
                  <w:divsChild>
                    <w:div w:id="58285355">
                      <w:marLeft w:val="0"/>
                      <w:marRight w:val="0"/>
                      <w:marTop w:val="0"/>
                      <w:marBottom w:val="0"/>
                      <w:divBdr>
                        <w:top w:val="none" w:sz="0" w:space="0" w:color="auto"/>
                        <w:left w:val="none" w:sz="0" w:space="0" w:color="auto"/>
                        <w:bottom w:val="none" w:sz="0" w:space="0" w:color="auto"/>
                        <w:right w:val="none" w:sz="0" w:space="0" w:color="auto"/>
                      </w:divBdr>
                    </w:div>
                  </w:divsChild>
                </w:div>
                <w:div w:id="1802308253">
                  <w:marLeft w:val="0"/>
                  <w:marRight w:val="0"/>
                  <w:marTop w:val="0"/>
                  <w:marBottom w:val="0"/>
                  <w:divBdr>
                    <w:top w:val="none" w:sz="0" w:space="0" w:color="auto"/>
                    <w:left w:val="none" w:sz="0" w:space="0" w:color="auto"/>
                    <w:bottom w:val="none" w:sz="0" w:space="0" w:color="auto"/>
                    <w:right w:val="none" w:sz="0" w:space="0" w:color="auto"/>
                  </w:divBdr>
                  <w:divsChild>
                    <w:div w:id="217279532">
                      <w:marLeft w:val="0"/>
                      <w:marRight w:val="0"/>
                      <w:marTop w:val="0"/>
                      <w:marBottom w:val="0"/>
                      <w:divBdr>
                        <w:top w:val="none" w:sz="0" w:space="0" w:color="auto"/>
                        <w:left w:val="none" w:sz="0" w:space="0" w:color="auto"/>
                        <w:bottom w:val="none" w:sz="0" w:space="0" w:color="auto"/>
                        <w:right w:val="none" w:sz="0" w:space="0" w:color="auto"/>
                      </w:divBdr>
                    </w:div>
                  </w:divsChild>
                </w:div>
                <w:div w:id="1859654292">
                  <w:marLeft w:val="0"/>
                  <w:marRight w:val="0"/>
                  <w:marTop w:val="0"/>
                  <w:marBottom w:val="0"/>
                  <w:divBdr>
                    <w:top w:val="none" w:sz="0" w:space="0" w:color="auto"/>
                    <w:left w:val="none" w:sz="0" w:space="0" w:color="auto"/>
                    <w:bottom w:val="none" w:sz="0" w:space="0" w:color="auto"/>
                    <w:right w:val="none" w:sz="0" w:space="0" w:color="auto"/>
                  </w:divBdr>
                  <w:divsChild>
                    <w:div w:id="1717392786">
                      <w:marLeft w:val="0"/>
                      <w:marRight w:val="0"/>
                      <w:marTop w:val="0"/>
                      <w:marBottom w:val="0"/>
                      <w:divBdr>
                        <w:top w:val="none" w:sz="0" w:space="0" w:color="auto"/>
                        <w:left w:val="none" w:sz="0" w:space="0" w:color="auto"/>
                        <w:bottom w:val="none" w:sz="0" w:space="0" w:color="auto"/>
                        <w:right w:val="none" w:sz="0" w:space="0" w:color="auto"/>
                      </w:divBdr>
                    </w:div>
                  </w:divsChild>
                </w:div>
                <w:div w:id="1862354289">
                  <w:marLeft w:val="0"/>
                  <w:marRight w:val="0"/>
                  <w:marTop w:val="0"/>
                  <w:marBottom w:val="0"/>
                  <w:divBdr>
                    <w:top w:val="none" w:sz="0" w:space="0" w:color="auto"/>
                    <w:left w:val="none" w:sz="0" w:space="0" w:color="auto"/>
                    <w:bottom w:val="none" w:sz="0" w:space="0" w:color="auto"/>
                    <w:right w:val="none" w:sz="0" w:space="0" w:color="auto"/>
                  </w:divBdr>
                  <w:divsChild>
                    <w:div w:id="1003583242">
                      <w:marLeft w:val="0"/>
                      <w:marRight w:val="0"/>
                      <w:marTop w:val="0"/>
                      <w:marBottom w:val="0"/>
                      <w:divBdr>
                        <w:top w:val="none" w:sz="0" w:space="0" w:color="auto"/>
                        <w:left w:val="none" w:sz="0" w:space="0" w:color="auto"/>
                        <w:bottom w:val="none" w:sz="0" w:space="0" w:color="auto"/>
                        <w:right w:val="none" w:sz="0" w:space="0" w:color="auto"/>
                      </w:divBdr>
                    </w:div>
                  </w:divsChild>
                </w:div>
                <w:div w:id="1903060676">
                  <w:marLeft w:val="0"/>
                  <w:marRight w:val="0"/>
                  <w:marTop w:val="0"/>
                  <w:marBottom w:val="0"/>
                  <w:divBdr>
                    <w:top w:val="none" w:sz="0" w:space="0" w:color="auto"/>
                    <w:left w:val="none" w:sz="0" w:space="0" w:color="auto"/>
                    <w:bottom w:val="none" w:sz="0" w:space="0" w:color="auto"/>
                    <w:right w:val="none" w:sz="0" w:space="0" w:color="auto"/>
                  </w:divBdr>
                  <w:divsChild>
                    <w:div w:id="1530220179">
                      <w:marLeft w:val="0"/>
                      <w:marRight w:val="0"/>
                      <w:marTop w:val="0"/>
                      <w:marBottom w:val="0"/>
                      <w:divBdr>
                        <w:top w:val="none" w:sz="0" w:space="0" w:color="auto"/>
                        <w:left w:val="none" w:sz="0" w:space="0" w:color="auto"/>
                        <w:bottom w:val="none" w:sz="0" w:space="0" w:color="auto"/>
                        <w:right w:val="none" w:sz="0" w:space="0" w:color="auto"/>
                      </w:divBdr>
                    </w:div>
                  </w:divsChild>
                </w:div>
                <w:div w:id="1906450646">
                  <w:marLeft w:val="0"/>
                  <w:marRight w:val="0"/>
                  <w:marTop w:val="0"/>
                  <w:marBottom w:val="0"/>
                  <w:divBdr>
                    <w:top w:val="none" w:sz="0" w:space="0" w:color="auto"/>
                    <w:left w:val="none" w:sz="0" w:space="0" w:color="auto"/>
                    <w:bottom w:val="none" w:sz="0" w:space="0" w:color="auto"/>
                    <w:right w:val="none" w:sz="0" w:space="0" w:color="auto"/>
                  </w:divBdr>
                  <w:divsChild>
                    <w:div w:id="481586854">
                      <w:marLeft w:val="0"/>
                      <w:marRight w:val="0"/>
                      <w:marTop w:val="0"/>
                      <w:marBottom w:val="0"/>
                      <w:divBdr>
                        <w:top w:val="none" w:sz="0" w:space="0" w:color="auto"/>
                        <w:left w:val="none" w:sz="0" w:space="0" w:color="auto"/>
                        <w:bottom w:val="none" w:sz="0" w:space="0" w:color="auto"/>
                        <w:right w:val="none" w:sz="0" w:space="0" w:color="auto"/>
                      </w:divBdr>
                    </w:div>
                  </w:divsChild>
                </w:div>
                <w:div w:id="2031107719">
                  <w:marLeft w:val="0"/>
                  <w:marRight w:val="0"/>
                  <w:marTop w:val="0"/>
                  <w:marBottom w:val="0"/>
                  <w:divBdr>
                    <w:top w:val="none" w:sz="0" w:space="0" w:color="auto"/>
                    <w:left w:val="none" w:sz="0" w:space="0" w:color="auto"/>
                    <w:bottom w:val="none" w:sz="0" w:space="0" w:color="auto"/>
                    <w:right w:val="none" w:sz="0" w:space="0" w:color="auto"/>
                  </w:divBdr>
                  <w:divsChild>
                    <w:div w:id="714427324">
                      <w:marLeft w:val="0"/>
                      <w:marRight w:val="0"/>
                      <w:marTop w:val="0"/>
                      <w:marBottom w:val="0"/>
                      <w:divBdr>
                        <w:top w:val="none" w:sz="0" w:space="0" w:color="auto"/>
                        <w:left w:val="none" w:sz="0" w:space="0" w:color="auto"/>
                        <w:bottom w:val="none" w:sz="0" w:space="0" w:color="auto"/>
                        <w:right w:val="none" w:sz="0" w:space="0" w:color="auto"/>
                      </w:divBdr>
                    </w:div>
                  </w:divsChild>
                </w:div>
                <w:div w:id="2143842528">
                  <w:marLeft w:val="0"/>
                  <w:marRight w:val="0"/>
                  <w:marTop w:val="0"/>
                  <w:marBottom w:val="0"/>
                  <w:divBdr>
                    <w:top w:val="none" w:sz="0" w:space="0" w:color="auto"/>
                    <w:left w:val="none" w:sz="0" w:space="0" w:color="auto"/>
                    <w:bottom w:val="none" w:sz="0" w:space="0" w:color="auto"/>
                    <w:right w:val="none" w:sz="0" w:space="0" w:color="auto"/>
                  </w:divBdr>
                  <w:divsChild>
                    <w:div w:id="15480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2581">
          <w:marLeft w:val="0"/>
          <w:marRight w:val="0"/>
          <w:marTop w:val="0"/>
          <w:marBottom w:val="0"/>
          <w:divBdr>
            <w:top w:val="none" w:sz="0" w:space="0" w:color="auto"/>
            <w:left w:val="none" w:sz="0" w:space="0" w:color="auto"/>
            <w:bottom w:val="none" w:sz="0" w:space="0" w:color="auto"/>
            <w:right w:val="none" w:sz="0" w:space="0" w:color="auto"/>
          </w:divBdr>
        </w:div>
        <w:div w:id="2040736136">
          <w:marLeft w:val="0"/>
          <w:marRight w:val="0"/>
          <w:marTop w:val="0"/>
          <w:marBottom w:val="0"/>
          <w:divBdr>
            <w:top w:val="none" w:sz="0" w:space="0" w:color="auto"/>
            <w:left w:val="none" w:sz="0" w:space="0" w:color="auto"/>
            <w:bottom w:val="none" w:sz="0" w:space="0" w:color="auto"/>
            <w:right w:val="none" w:sz="0" w:space="0" w:color="auto"/>
          </w:divBdr>
        </w:div>
        <w:div w:id="2051106516">
          <w:marLeft w:val="0"/>
          <w:marRight w:val="0"/>
          <w:marTop w:val="0"/>
          <w:marBottom w:val="0"/>
          <w:divBdr>
            <w:top w:val="none" w:sz="0" w:space="0" w:color="auto"/>
            <w:left w:val="none" w:sz="0" w:space="0" w:color="auto"/>
            <w:bottom w:val="none" w:sz="0" w:space="0" w:color="auto"/>
            <w:right w:val="none" w:sz="0" w:space="0" w:color="auto"/>
          </w:divBdr>
        </w:div>
        <w:div w:id="2056923610">
          <w:marLeft w:val="0"/>
          <w:marRight w:val="0"/>
          <w:marTop w:val="0"/>
          <w:marBottom w:val="0"/>
          <w:divBdr>
            <w:top w:val="none" w:sz="0" w:space="0" w:color="auto"/>
            <w:left w:val="none" w:sz="0" w:space="0" w:color="auto"/>
            <w:bottom w:val="none" w:sz="0" w:space="0" w:color="auto"/>
            <w:right w:val="none" w:sz="0" w:space="0" w:color="auto"/>
          </w:divBdr>
        </w:div>
        <w:div w:id="2083916025">
          <w:marLeft w:val="0"/>
          <w:marRight w:val="0"/>
          <w:marTop w:val="0"/>
          <w:marBottom w:val="0"/>
          <w:divBdr>
            <w:top w:val="none" w:sz="0" w:space="0" w:color="auto"/>
            <w:left w:val="none" w:sz="0" w:space="0" w:color="auto"/>
            <w:bottom w:val="none" w:sz="0" w:space="0" w:color="auto"/>
            <w:right w:val="none" w:sz="0" w:space="0" w:color="auto"/>
          </w:divBdr>
        </w:div>
        <w:div w:id="2120755529">
          <w:marLeft w:val="0"/>
          <w:marRight w:val="0"/>
          <w:marTop w:val="0"/>
          <w:marBottom w:val="0"/>
          <w:divBdr>
            <w:top w:val="none" w:sz="0" w:space="0" w:color="auto"/>
            <w:left w:val="none" w:sz="0" w:space="0" w:color="auto"/>
            <w:bottom w:val="none" w:sz="0" w:space="0" w:color="auto"/>
            <w:right w:val="none" w:sz="0" w:space="0" w:color="auto"/>
          </w:divBdr>
        </w:div>
        <w:div w:id="2131896118">
          <w:marLeft w:val="0"/>
          <w:marRight w:val="0"/>
          <w:marTop w:val="0"/>
          <w:marBottom w:val="0"/>
          <w:divBdr>
            <w:top w:val="none" w:sz="0" w:space="0" w:color="auto"/>
            <w:left w:val="none" w:sz="0" w:space="0" w:color="auto"/>
            <w:bottom w:val="none" w:sz="0" w:space="0" w:color="auto"/>
            <w:right w:val="none" w:sz="0" w:space="0" w:color="auto"/>
          </w:divBdr>
        </w:div>
        <w:div w:id="2132554934">
          <w:marLeft w:val="0"/>
          <w:marRight w:val="0"/>
          <w:marTop w:val="0"/>
          <w:marBottom w:val="0"/>
          <w:divBdr>
            <w:top w:val="none" w:sz="0" w:space="0" w:color="auto"/>
            <w:left w:val="none" w:sz="0" w:space="0" w:color="auto"/>
            <w:bottom w:val="none" w:sz="0" w:space="0" w:color="auto"/>
            <w:right w:val="none" w:sz="0" w:space="0" w:color="auto"/>
          </w:divBdr>
        </w:div>
        <w:div w:id="2133401627">
          <w:marLeft w:val="0"/>
          <w:marRight w:val="0"/>
          <w:marTop w:val="0"/>
          <w:marBottom w:val="0"/>
          <w:divBdr>
            <w:top w:val="none" w:sz="0" w:space="0" w:color="auto"/>
            <w:left w:val="none" w:sz="0" w:space="0" w:color="auto"/>
            <w:bottom w:val="none" w:sz="0" w:space="0" w:color="auto"/>
            <w:right w:val="none" w:sz="0" w:space="0" w:color="auto"/>
          </w:divBdr>
        </w:div>
        <w:div w:id="2137795189">
          <w:marLeft w:val="0"/>
          <w:marRight w:val="0"/>
          <w:marTop w:val="0"/>
          <w:marBottom w:val="0"/>
          <w:divBdr>
            <w:top w:val="none" w:sz="0" w:space="0" w:color="auto"/>
            <w:left w:val="none" w:sz="0" w:space="0" w:color="auto"/>
            <w:bottom w:val="none" w:sz="0" w:space="0" w:color="auto"/>
            <w:right w:val="none" w:sz="0" w:space="0" w:color="auto"/>
          </w:divBdr>
        </w:div>
      </w:divsChild>
    </w:div>
    <w:div w:id="19624260">
      <w:bodyDiv w:val="1"/>
      <w:marLeft w:val="0"/>
      <w:marRight w:val="0"/>
      <w:marTop w:val="0"/>
      <w:marBottom w:val="0"/>
      <w:divBdr>
        <w:top w:val="none" w:sz="0" w:space="0" w:color="auto"/>
        <w:left w:val="none" w:sz="0" w:space="0" w:color="auto"/>
        <w:bottom w:val="none" w:sz="0" w:space="0" w:color="auto"/>
        <w:right w:val="none" w:sz="0" w:space="0" w:color="auto"/>
      </w:divBdr>
    </w:div>
    <w:div w:id="54012608">
      <w:bodyDiv w:val="1"/>
      <w:marLeft w:val="0"/>
      <w:marRight w:val="0"/>
      <w:marTop w:val="0"/>
      <w:marBottom w:val="0"/>
      <w:divBdr>
        <w:top w:val="none" w:sz="0" w:space="0" w:color="auto"/>
        <w:left w:val="none" w:sz="0" w:space="0" w:color="auto"/>
        <w:bottom w:val="none" w:sz="0" w:space="0" w:color="auto"/>
        <w:right w:val="none" w:sz="0" w:space="0" w:color="auto"/>
      </w:divBdr>
      <w:divsChild>
        <w:div w:id="356473038">
          <w:marLeft w:val="0"/>
          <w:marRight w:val="0"/>
          <w:marTop w:val="0"/>
          <w:marBottom w:val="0"/>
          <w:divBdr>
            <w:top w:val="none" w:sz="0" w:space="0" w:color="auto"/>
            <w:left w:val="none" w:sz="0" w:space="0" w:color="auto"/>
            <w:bottom w:val="none" w:sz="0" w:space="0" w:color="auto"/>
            <w:right w:val="none" w:sz="0" w:space="0" w:color="auto"/>
          </w:divBdr>
        </w:div>
        <w:div w:id="1893231270">
          <w:marLeft w:val="0"/>
          <w:marRight w:val="0"/>
          <w:marTop w:val="0"/>
          <w:marBottom w:val="0"/>
          <w:divBdr>
            <w:top w:val="none" w:sz="0" w:space="0" w:color="auto"/>
            <w:left w:val="none" w:sz="0" w:space="0" w:color="auto"/>
            <w:bottom w:val="none" w:sz="0" w:space="0" w:color="auto"/>
            <w:right w:val="none" w:sz="0" w:space="0" w:color="auto"/>
          </w:divBdr>
        </w:div>
        <w:div w:id="1895966062">
          <w:marLeft w:val="0"/>
          <w:marRight w:val="0"/>
          <w:marTop w:val="0"/>
          <w:marBottom w:val="0"/>
          <w:divBdr>
            <w:top w:val="none" w:sz="0" w:space="0" w:color="auto"/>
            <w:left w:val="none" w:sz="0" w:space="0" w:color="auto"/>
            <w:bottom w:val="none" w:sz="0" w:space="0" w:color="auto"/>
            <w:right w:val="none" w:sz="0" w:space="0" w:color="auto"/>
          </w:divBdr>
          <w:divsChild>
            <w:div w:id="24911488">
              <w:marLeft w:val="0"/>
              <w:marRight w:val="0"/>
              <w:marTop w:val="0"/>
              <w:marBottom w:val="0"/>
              <w:divBdr>
                <w:top w:val="none" w:sz="0" w:space="0" w:color="auto"/>
                <w:left w:val="none" w:sz="0" w:space="0" w:color="auto"/>
                <w:bottom w:val="none" w:sz="0" w:space="0" w:color="auto"/>
                <w:right w:val="none" w:sz="0" w:space="0" w:color="auto"/>
              </w:divBdr>
            </w:div>
            <w:div w:id="112678610">
              <w:marLeft w:val="0"/>
              <w:marRight w:val="0"/>
              <w:marTop w:val="0"/>
              <w:marBottom w:val="0"/>
              <w:divBdr>
                <w:top w:val="none" w:sz="0" w:space="0" w:color="auto"/>
                <w:left w:val="none" w:sz="0" w:space="0" w:color="auto"/>
                <w:bottom w:val="none" w:sz="0" w:space="0" w:color="auto"/>
                <w:right w:val="none" w:sz="0" w:space="0" w:color="auto"/>
              </w:divBdr>
            </w:div>
            <w:div w:id="140973730">
              <w:marLeft w:val="0"/>
              <w:marRight w:val="0"/>
              <w:marTop w:val="0"/>
              <w:marBottom w:val="0"/>
              <w:divBdr>
                <w:top w:val="none" w:sz="0" w:space="0" w:color="auto"/>
                <w:left w:val="none" w:sz="0" w:space="0" w:color="auto"/>
                <w:bottom w:val="none" w:sz="0" w:space="0" w:color="auto"/>
                <w:right w:val="none" w:sz="0" w:space="0" w:color="auto"/>
              </w:divBdr>
            </w:div>
            <w:div w:id="221646695">
              <w:marLeft w:val="0"/>
              <w:marRight w:val="0"/>
              <w:marTop w:val="0"/>
              <w:marBottom w:val="0"/>
              <w:divBdr>
                <w:top w:val="none" w:sz="0" w:space="0" w:color="auto"/>
                <w:left w:val="none" w:sz="0" w:space="0" w:color="auto"/>
                <w:bottom w:val="none" w:sz="0" w:space="0" w:color="auto"/>
                <w:right w:val="none" w:sz="0" w:space="0" w:color="auto"/>
              </w:divBdr>
            </w:div>
            <w:div w:id="279538104">
              <w:marLeft w:val="0"/>
              <w:marRight w:val="0"/>
              <w:marTop w:val="0"/>
              <w:marBottom w:val="0"/>
              <w:divBdr>
                <w:top w:val="none" w:sz="0" w:space="0" w:color="auto"/>
                <w:left w:val="none" w:sz="0" w:space="0" w:color="auto"/>
                <w:bottom w:val="none" w:sz="0" w:space="0" w:color="auto"/>
                <w:right w:val="none" w:sz="0" w:space="0" w:color="auto"/>
              </w:divBdr>
            </w:div>
            <w:div w:id="281960086">
              <w:marLeft w:val="0"/>
              <w:marRight w:val="0"/>
              <w:marTop w:val="0"/>
              <w:marBottom w:val="0"/>
              <w:divBdr>
                <w:top w:val="none" w:sz="0" w:space="0" w:color="auto"/>
                <w:left w:val="none" w:sz="0" w:space="0" w:color="auto"/>
                <w:bottom w:val="none" w:sz="0" w:space="0" w:color="auto"/>
                <w:right w:val="none" w:sz="0" w:space="0" w:color="auto"/>
              </w:divBdr>
            </w:div>
            <w:div w:id="355272756">
              <w:marLeft w:val="0"/>
              <w:marRight w:val="0"/>
              <w:marTop w:val="0"/>
              <w:marBottom w:val="0"/>
              <w:divBdr>
                <w:top w:val="none" w:sz="0" w:space="0" w:color="auto"/>
                <w:left w:val="none" w:sz="0" w:space="0" w:color="auto"/>
                <w:bottom w:val="none" w:sz="0" w:space="0" w:color="auto"/>
                <w:right w:val="none" w:sz="0" w:space="0" w:color="auto"/>
              </w:divBdr>
            </w:div>
            <w:div w:id="508640454">
              <w:marLeft w:val="0"/>
              <w:marRight w:val="0"/>
              <w:marTop w:val="0"/>
              <w:marBottom w:val="0"/>
              <w:divBdr>
                <w:top w:val="none" w:sz="0" w:space="0" w:color="auto"/>
                <w:left w:val="none" w:sz="0" w:space="0" w:color="auto"/>
                <w:bottom w:val="none" w:sz="0" w:space="0" w:color="auto"/>
                <w:right w:val="none" w:sz="0" w:space="0" w:color="auto"/>
              </w:divBdr>
            </w:div>
            <w:div w:id="742096590">
              <w:marLeft w:val="0"/>
              <w:marRight w:val="0"/>
              <w:marTop w:val="0"/>
              <w:marBottom w:val="0"/>
              <w:divBdr>
                <w:top w:val="none" w:sz="0" w:space="0" w:color="auto"/>
                <w:left w:val="none" w:sz="0" w:space="0" w:color="auto"/>
                <w:bottom w:val="none" w:sz="0" w:space="0" w:color="auto"/>
                <w:right w:val="none" w:sz="0" w:space="0" w:color="auto"/>
              </w:divBdr>
            </w:div>
            <w:div w:id="1042100513">
              <w:marLeft w:val="0"/>
              <w:marRight w:val="0"/>
              <w:marTop w:val="0"/>
              <w:marBottom w:val="0"/>
              <w:divBdr>
                <w:top w:val="none" w:sz="0" w:space="0" w:color="auto"/>
                <w:left w:val="none" w:sz="0" w:space="0" w:color="auto"/>
                <w:bottom w:val="none" w:sz="0" w:space="0" w:color="auto"/>
                <w:right w:val="none" w:sz="0" w:space="0" w:color="auto"/>
              </w:divBdr>
            </w:div>
            <w:div w:id="1052341190">
              <w:marLeft w:val="0"/>
              <w:marRight w:val="0"/>
              <w:marTop w:val="0"/>
              <w:marBottom w:val="0"/>
              <w:divBdr>
                <w:top w:val="none" w:sz="0" w:space="0" w:color="auto"/>
                <w:left w:val="none" w:sz="0" w:space="0" w:color="auto"/>
                <w:bottom w:val="none" w:sz="0" w:space="0" w:color="auto"/>
                <w:right w:val="none" w:sz="0" w:space="0" w:color="auto"/>
              </w:divBdr>
            </w:div>
            <w:div w:id="1122650284">
              <w:marLeft w:val="0"/>
              <w:marRight w:val="0"/>
              <w:marTop w:val="0"/>
              <w:marBottom w:val="0"/>
              <w:divBdr>
                <w:top w:val="none" w:sz="0" w:space="0" w:color="auto"/>
                <w:left w:val="none" w:sz="0" w:space="0" w:color="auto"/>
                <w:bottom w:val="none" w:sz="0" w:space="0" w:color="auto"/>
                <w:right w:val="none" w:sz="0" w:space="0" w:color="auto"/>
              </w:divBdr>
            </w:div>
            <w:div w:id="1246302591">
              <w:marLeft w:val="0"/>
              <w:marRight w:val="0"/>
              <w:marTop w:val="0"/>
              <w:marBottom w:val="0"/>
              <w:divBdr>
                <w:top w:val="none" w:sz="0" w:space="0" w:color="auto"/>
                <w:left w:val="none" w:sz="0" w:space="0" w:color="auto"/>
                <w:bottom w:val="none" w:sz="0" w:space="0" w:color="auto"/>
                <w:right w:val="none" w:sz="0" w:space="0" w:color="auto"/>
              </w:divBdr>
            </w:div>
            <w:div w:id="1294365353">
              <w:marLeft w:val="0"/>
              <w:marRight w:val="0"/>
              <w:marTop w:val="0"/>
              <w:marBottom w:val="0"/>
              <w:divBdr>
                <w:top w:val="none" w:sz="0" w:space="0" w:color="auto"/>
                <w:left w:val="none" w:sz="0" w:space="0" w:color="auto"/>
                <w:bottom w:val="none" w:sz="0" w:space="0" w:color="auto"/>
                <w:right w:val="none" w:sz="0" w:space="0" w:color="auto"/>
              </w:divBdr>
            </w:div>
            <w:div w:id="1359815880">
              <w:marLeft w:val="0"/>
              <w:marRight w:val="0"/>
              <w:marTop w:val="0"/>
              <w:marBottom w:val="0"/>
              <w:divBdr>
                <w:top w:val="none" w:sz="0" w:space="0" w:color="auto"/>
                <w:left w:val="none" w:sz="0" w:space="0" w:color="auto"/>
                <w:bottom w:val="none" w:sz="0" w:space="0" w:color="auto"/>
                <w:right w:val="none" w:sz="0" w:space="0" w:color="auto"/>
              </w:divBdr>
            </w:div>
            <w:div w:id="1495414933">
              <w:marLeft w:val="0"/>
              <w:marRight w:val="0"/>
              <w:marTop w:val="0"/>
              <w:marBottom w:val="0"/>
              <w:divBdr>
                <w:top w:val="none" w:sz="0" w:space="0" w:color="auto"/>
                <w:left w:val="none" w:sz="0" w:space="0" w:color="auto"/>
                <w:bottom w:val="none" w:sz="0" w:space="0" w:color="auto"/>
                <w:right w:val="none" w:sz="0" w:space="0" w:color="auto"/>
              </w:divBdr>
            </w:div>
            <w:div w:id="1532455033">
              <w:marLeft w:val="0"/>
              <w:marRight w:val="0"/>
              <w:marTop w:val="0"/>
              <w:marBottom w:val="0"/>
              <w:divBdr>
                <w:top w:val="none" w:sz="0" w:space="0" w:color="auto"/>
                <w:left w:val="none" w:sz="0" w:space="0" w:color="auto"/>
                <w:bottom w:val="none" w:sz="0" w:space="0" w:color="auto"/>
                <w:right w:val="none" w:sz="0" w:space="0" w:color="auto"/>
              </w:divBdr>
            </w:div>
            <w:div w:id="1581136143">
              <w:marLeft w:val="0"/>
              <w:marRight w:val="0"/>
              <w:marTop w:val="0"/>
              <w:marBottom w:val="0"/>
              <w:divBdr>
                <w:top w:val="none" w:sz="0" w:space="0" w:color="auto"/>
                <w:left w:val="none" w:sz="0" w:space="0" w:color="auto"/>
                <w:bottom w:val="none" w:sz="0" w:space="0" w:color="auto"/>
                <w:right w:val="none" w:sz="0" w:space="0" w:color="auto"/>
              </w:divBdr>
            </w:div>
            <w:div w:id="1654406373">
              <w:marLeft w:val="0"/>
              <w:marRight w:val="0"/>
              <w:marTop w:val="0"/>
              <w:marBottom w:val="0"/>
              <w:divBdr>
                <w:top w:val="none" w:sz="0" w:space="0" w:color="auto"/>
                <w:left w:val="none" w:sz="0" w:space="0" w:color="auto"/>
                <w:bottom w:val="none" w:sz="0" w:space="0" w:color="auto"/>
                <w:right w:val="none" w:sz="0" w:space="0" w:color="auto"/>
              </w:divBdr>
            </w:div>
            <w:div w:id="1844589674">
              <w:marLeft w:val="0"/>
              <w:marRight w:val="0"/>
              <w:marTop w:val="0"/>
              <w:marBottom w:val="0"/>
              <w:divBdr>
                <w:top w:val="none" w:sz="0" w:space="0" w:color="auto"/>
                <w:left w:val="none" w:sz="0" w:space="0" w:color="auto"/>
                <w:bottom w:val="none" w:sz="0" w:space="0" w:color="auto"/>
                <w:right w:val="none" w:sz="0" w:space="0" w:color="auto"/>
              </w:divBdr>
            </w:div>
          </w:divsChild>
        </w:div>
        <w:div w:id="1943340786">
          <w:marLeft w:val="0"/>
          <w:marRight w:val="0"/>
          <w:marTop w:val="0"/>
          <w:marBottom w:val="0"/>
          <w:divBdr>
            <w:top w:val="none" w:sz="0" w:space="0" w:color="auto"/>
            <w:left w:val="none" w:sz="0" w:space="0" w:color="auto"/>
            <w:bottom w:val="none" w:sz="0" w:space="0" w:color="auto"/>
            <w:right w:val="none" w:sz="0" w:space="0" w:color="auto"/>
          </w:divBdr>
        </w:div>
        <w:div w:id="1994604687">
          <w:marLeft w:val="0"/>
          <w:marRight w:val="0"/>
          <w:marTop w:val="0"/>
          <w:marBottom w:val="0"/>
          <w:divBdr>
            <w:top w:val="none" w:sz="0" w:space="0" w:color="auto"/>
            <w:left w:val="none" w:sz="0" w:space="0" w:color="auto"/>
            <w:bottom w:val="none" w:sz="0" w:space="0" w:color="auto"/>
            <w:right w:val="none" w:sz="0" w:space="0" w:color="auto"/>
          </w:divBdr>
          <w:divsChild>
            <w:div w:id="788296">
              <w:marLeft w:val="0"/>
              <w:marRight w:val="0"/>
              <w:marTop w:val="0"/>
              <w:marBottom w:val="0"/>
              <w:divBdr>
                <w:top w:val="none" w:sz="0" w:space="0" w:color="auto"/>
                <w:left w:val="none" w:sz="0" w:space="0" w:color="auto"/>
                <w:bottom w:val="none" w:sz="0" w:space="0" w:color="auto"/>
                <w:right w:val="none" w:sz="0" w:space="0" w:color="auto"/>
              </w:divBdr>
            </w:div>
            <w:div w:id="171263672">
              <w:marLeft w:val="0"/>
              <w:marRight w:val="0"/>
              <w:marTop w:val="0"/>
              <w:marBottom w:val="0"/>
              <w:divBdr>
                <w:top w:val="none" w:sz="0" w:space="0" w:color="auto"/>
                <w:left w:val="none" w:sz="0" w:space="0" w:color="auto"/>
                <w:bottom w:val="none" w:sz="0" w:space="0" w:color="auto"/>
                <w:right w:val="none" w:sz="0" w:space="0" w:color="auto"/>
              </w:divBdr>
            </w:div>
            <w:div w:id="217402413">
              <w:marLeft w:val="0"/>
              <w:marRight w:val="0"/>
              <w:marTop w:val="0"/>
              <w:marBottom w:val="0"/>
              <w:divBdr>
                <w:top w:val="none" w:sz="0" w:space="0" w:color="auto"/>
                <w:left w:val="none" w:sz="0" w:space="0" w:color="auto"/>
                <w:bottom w:val="none" w:sz="0" w:space="0" w:color="auto"/>
                <w:right w:val="none" w:sz="0" w:space="0" w:color="auto"/>
              </w:divBdr>
            </w:div>
            <w:div w:id="246041198">
              <w:marLeft w:val="0"/>
              <w:marRight w:val="0"/>
              <w:marTop w:val="0"/>
              <w:marBottom w:val="0"/>
              <w:divBdr>
                <w:top w:val="none" w:sz="0" w:space="0" w:color="auto"/>
                <w:left w:val="none" w:sz="0" w:space="0" w:color="auto"/>
                <w:bottom w:val="none" w:sz="0" w:space="0" w:color="auto"/>
                <w:right w:val="none" w:sz="0" w:space="0" w:color="auto"/>
              </w:divBdr>
            </w:div>
            <w:div w:id="275794306">
              <w:marLeft w:val="0"/>
              <w:marRight w:val="0"/>
              <w:marTop w:val="0"/>
              <w:marBottom w:val="0"/>
              <w:divBdr>
                <w:top w:val="none" w:sz="0" w:space="0" w:color="auto"/>
                <w:left w:val="none" w:sz="0" w:space="0" w:color="auto"/>
                <w:bottom w:val="none" w:sz="0" w:space="0" w:color="auto"/>
                <w:right w:val="none" w:sz="0" w:space="0" w:color="auto"/>
              </w:divBdr>
            </w:div>
            <w:div w:id="287470423">
              <w:marLeft w:val="0"/>
              <w:marRight w:val="0"/>
              <w:marTop w:val="0"/>
              <w:marBottom w:val="0"/>
              <w:divBdr>
                <w:top w:val="none" w:sz="0" w:space="0" w:color="auto"/>
                <w:left w:val="none" w:sz="0" w:space="0" w:color="auto"/>
                <w:bottom w:val="none" w:sz="0" w:space="0" w:color="auto"/>
                <w:right w:val="none" w:sz="0" w:space="0" w:color="auto"/>
              </w:divBdr>
            </w:div>
            <w:div w:id="352389421">
              <w:marLeft w:val="0"/>
              <w:marRight w:val="0"/>
              <w:marTop w:val="0"/>
              <w:marBottom w:val="0"/>
              <w:divBdr>
                <w:top w:val="none" w:sz="0" w:space="0" w:color="auto"/>
                <w:left w:val="none" w:sz="0" w:space="0" w:color="auto"/>
                <w:bottom w:val="none" w:sz="0" w:space="0" w:color="auto"/>
                <w:right w:val="none" w:sz="0" w:space="0" w:color="auto"/>
              </w:divBdr>
            </w:div>
            <w:div w:id="354044894">
              <w:marLeft w:val="0"/>
              <w:marRight w:val="0"/>
              <w:marTop w:val="0"/>
              <w:marBottom w:val="0"/>
              <w:divBdr>
                <w:top w:val="none" w:sz="0" w:space="0" w:color="auto"/>
                <w:left w:val="none" w:sz="0" w:space="0" w:color="auto"/>
                <w:bottom w:val="none" w:sz="0" w:space="0" w:color="auto"/>
                <w:right w:val="none" w:sz="0" w:space="0" w:color="auto"/>
              </w:divBdr>
            </w:div>
            <w:div w:id="493684237">
              <w:marLeft w:val="0"/>
              <w:marRight w:val="0"/>
              <w:marTop w:val="0"/>
              <w:marBottom w:val="0"/>
              <w:divBdr>
                <w:top w:val="none" w:sz="0" w:space="0" w:color="auto"/>
                <w:left w:val="none" w:sz="0" w:space="0" w:color="auto"/>
                <w:bottom w:val="none" w:sz="0" w:space="0" w:color="auto"/>
                <w:right w:val="none" w:sz="0" w:space="0" w:color="auto"/>
              </w:divBdr>
            </w:div>
            <w:div w:id="497961186">
              <w:marLeft w:val="0"/>
              <w:marRight w:val="0"/>
              <w:marTop w:val="0"/>
              <w:marBottom w:val="0"/>
              <w:divBdr>
                <w:top w:val="none" w:sz="0" w:space="0" w:color="auto"/>
                <w:left w:val="none" w:sz="0" w:space="0" w:color="auto"/>
                <w:bottom w:val="none" w:sz="0" w:space="0" w:color="auto"/>
                <w:right w:val="none" w:sz="0" w:space="0" w:color="auto"/>
              </w:divBdr>
            </w:div>
            <w:div w:id="577906171">
              <w:marLeft w:val="0"/>
              <w:marRight w:val="0"/>
              <w:marTop w:val="0"/>
              <w:marBottom w:val="0"/>
              <w:divBdr>
                <w:top w:val="none" w:sz="0" w:space="0" w:color="auto"/>
                <w:left w:val="none" w:sz="0" w:space="0" w:color="auto"/>
                <w:bottom w:val="none" w:sz="0" w:space="0" w:color="auto"/>
                <w:right w:val="none" w:sz="0" w:space="0" w:color="auto"/>
              </w:divBdr>
            </w:div>
            <w:div w:id="617179581">
              <w:marLeft w:val="0"/>
              <w:marRight w:val="0"/>
              <w:marTop w:val="0"/>
              <w:marBottom w:val="0"/>
              <w:divBdr>
                <w:top w:val="none" w:sz="0" w:space="0" w:color="auto"/>
                <w:left w:val="none" w:sz="0" w:space="0" w:color="auto"/>
                <w:bottom w:val="none" w:sz="0" w:space="0" w:color="auto"/>
                <w:right w:val="none" w:sz="0" w:space="0" w:color="auto"/>
              </w:divBdr>
            </w:div>
            <w:div w:id="952321341">
              <w:marLeft w:val="0"/>
              <w:marRight w:val="0"/>
              <w:marTop w:val="0"/>
              <w:marBottom w:val="0"/>
              <w:divBdr>
                <w:top w:val="none" w:sz="0" w:space="0" w:color="auto"/>
                <w:left w:val="none" w:sz="0" w:space="0" w:color="auto"/>
                <w:bottom w:val="none" w:sz="0" w:space="0" w:color="auto"/>
                <w:right w:val="none" w:sz="0" w:space="0" w:color="auto"/>
              </w:divBdr>
            </w:div>
            <w:div w:id="1272783003">
              <w:marLeft w:val="0"/>
              <w:marRight w:val="0"/>
              <w:marTop w:val="0"/>
              <w:marBottom w:val="0"/>
              <w:divBdr>
                <w:top w:val="none" w:sz="0" w:space="0" w:color="auto"/>
                <w:left w:val="none" w:sz="0" w:space="0" w:color="auto"/>
                <w:bottom w:val="none" w:sz="0" w:space="0" w:color="auto"/>
                <w:right w:val="none" w:sz="0" w:space="0" w:color="auto"/>
              </w:divBdr>
            </w:div>
            <w:div w:id="1703558705">
              <w:marLeft w:val="0"/>
              <w:marRight w:val="0"/>
              <w:marTop w:val="0"/>
              <w:marBottom w:val="0"/>
              <w:divBdr>
                <w:top w:val="none" w:sz="0" w:space="0" w:color="auto"/>
                <w:left w:val="none" w:sz="0" w:space="0" w:color="auto"/>
                <w:bottom w:val="none" w:sz="0" w:space="0" w:color="auto"/>
                <w:right w:val="none" w:sz="0" w:space="0" w:color="auto"/>
              </w:divBdr>
            </w:div>
            <w:div w:id="1887329056">
              <w:marLeft w:val="0"/>
              <w:marRight w:val="0"/>
              <w:marTop w:val="0"/>
              <w:marBottom w:val="0"/>
              <w:divBdr>
                <w:top w:val="none" w:sz="0" w:space="0" w:color="auto"/>
                <w:left w:val="none" w:sz="0" w:space="0" w:color="auto"/>
                <w:bottom w:val="none" w:sz="0" w:space="0" w:color="auto"/>
                <w:right w:val="none" w:sz="0" w:space="0" w:color="auto"/>
              </w:divBdr>
            </w:div>
            <w:div w:id="1893341553">
              <w:marLeft w:val="0"/>
              <w:marRight w:val="0"/>
              <w:marTop w:val="0"/>
              <w:marBottom w:val="0"/>
              <w:divBdr>
                <w:top w:val="none" w:sz="0" w:space="0" w:color="auto"/>
                <w:left w:val="none" w:sz="0" w:space="0" w:color="auto"/>
                <w:bottom w:val="none" w:sz="0" w:space="0" w:color="auto"/>
                <w:right w:val="none" w:sz="0" w:space="0" w:color="auto"/>
              </w:divBdr>
            </w:div>
            <w:div w:id="2010520120">
              <w:marLeft w:val="0"/>
              <w:marRight w:val="0"/>
              <w:marTop w:val="0"/>
              <w:marBottom w:val="0"/>
              <w:divBdr>
                <w:top w:val="none" w:sz="0" w:space="0" w:color="auto"/>
                <w:left w:val="none" w:sz="0" w:space="0" w:color="auto"/>
                <w:bottom w:val="none" w:sz="0" w:space="0" w:color="auto"/>
                <w:right w:val="none" w:sz="0" w:space="0" w:color="auto"/>
              </w:divBdr>
            </w:div>
            <w:div w:id="202069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1880">
      <w:bodyDiv w:val="1"/>
      <w:marLeft w:val="0"/>
      <w:marRight w:val="0"/>
      <w:marTop w:val="0"/>
      <w:marBottom w:val="0"/>
      <w:divBdr>
        <w:top w:val="none" w:sz="0" w:space="0" w:color="auto"/>
        <w:left w:val="none" w:sz="0" w:space="0" w:color="auto"/>
        <w:bottom w:val="none" w:sz="0" w:space="0" w:color="auto"/>
        <w:right w:val="none" w:sz="0" w:space="0" w:color="auto"/>
      </w:divBdr>
    </w:div>
    <w:div w:id="80151273">
      <w:bodyDiv w:val="1"/>
      <w:marLeft w:val="0"/>
      <w:marRight w:val="0"/>
      <w:marTop w:val="0"/>
      <w:marBottom w:val="0"/>
      <w:divBdr>
        <w:top w:val="none" w:sz="0" w:space="0" w:color="auto"/>
        <w:left w:val="none" w:sz="0" w:space="0" w:color="auto"/>
        <w:bottom w:val="none" w:sz="0" w:space="0" w:color="auto"/>
        <w:right w:val="none" w:sz="0" w:space="0" w:color="auto"/>
      </w:divBdr>
    </w:div>
    <w:div w:id="129372321">
      <w:bodyDiv w:val="1"/>
      <w:marLeft w:val="0"/>
      <w:marRight w:val="0"/>
      <w:marTop w:val="0"/>
      <w:marBottom w:val="0"/>
      <w:divBdr>
        <w:top w:val="none" w:sz="0" w:space="0" w:color="auto"/>
        <w:left w:val="none" w:sz="0" w:space="0" w:color="auto"/>
        <w:bottom w:val="none" w:sz="0" w:space="0" w:color="auto"/>
        <w:right w:val="none" w:sz="0" w:space="0" w:color="auto"/>
      </w:divBdr>
    </w:div>
    <w:div w:id="163710202">
      <w:bodyDiv w:val="1"/>
      <w:marLeft w:val="0"/>
      <w:marRight w:val="0"/>
      <w:marTop w:val="0"/>
      <w:marBottom w:val="0"/>
      <w:divBdr>
        <w:top w:val="none" w:sz="0" w:space="0" w:color="auto"/>
        <w:left w:val="none" w:sz="0" w:space="0" w:color="auto"/>
        <w:bottom w:val="none" w:sz="0" w:space="0" w:color="auto"/>
        <w:right w:val="none" w:sz="0" w:space="0" w:color="auto"/>
      </w:divBdr>
      <w:divsChild>
        <w:div w:id="932621">
          <w:marLeft w:val="0"/>
          <w:marRight w:val="0"/>
          <w:marTop w:val="0"/>
          <w:marBottom w:val="0"/>
          <w:divBdr>
            <w:top w:val="none" w:sz="0" w:space="0" w:color="auto"/>
            <w:left w:val="none" w:sz="0" w:space="0" w:color="auto"/>
            <w:bottom w:val="none" w:sz="0" w:space="0" w:color="auto"/>
            <w:right w:val="none" w:sz="0" w:space="0" w:color="auto"/>
          </w:divBdr>
          <w:divsChild>
            <w:div w:id="929922584">
              <w:marLeft w:val="0"/>
              <w:marRight w:val="0"/>
              <w:marTop w:val="0"/>
              <w:marBottom w:val="0"/>
              <w:divBdr>
                <w:top w:val="none" w:sz="0" w:space="0" w:color="auto"/>
                <w:left w:val="none" w:sz="0" w:space="0" w:color="auto"/>
                <w:bottom w:val="none" w:sz="0" w:space="0" w:color="auto"/>
                <w:right w:val="none" w:sz="0" w:space="0" w:color="auto"/>
              </w:divBdr>
            </w:div>
          </w:divsChild>
        </w:div>
        <w:div w:id="72510419">
          <w:marLeft w:val="0"/>
          <w:marRight w:val="0"/>
          <w:marTop w:val="0"/>
          <w:marBottom w:val="0"/>
          <w:divBdr>
            <w:top w:val="none" w:sz="0" w:space="0" w:color="auto"/>
            <w:left w:val="none" w:sz="0" w:space="0" w:color="auto"/>
            <w:bottom w:val="none" w:sz="0" w:space="0" w:color="auto"/>
            <w:right w:val="none" w:sz="0" w:space="0" w:color="auto"/>
          </w:divBdr>
          <w:divsChild>
            <w:div w:id="1176113340">
              <w:marLeft w:val="0"/>
              <w:marRight w:val="0"/>
              <w:marTop w:val="0"/>
              <w:marBottom w:val="0"/>
              <w:divBdr>
                <w:top w:val="none" w:sz="0" w:space="0" w:color="auto"/>
                <w:left w:val="none" w:sz="0" w:space="0" w:color="auto"/>
                <w:bottom w:val="none" w:sz="0" w:space="0" w:color="auto"/>
                <w:right w:val="none" w:sz="0" w:space="0" w:color="auto"/>
              </w:divBdr>
            </w:div>
            <w:div w:id="1645890987">
              <w:marLeft w:val="0"/>
              <w:marRight w:val="0"/>
              <w:marTop w:val="0"/>
              <w:marBottom w:val="0"/>
              <w:divBdr>
                <w:top w:val="none" w:sz="0" w:space="0" w:color="auto"/>
                <w:left w:val="none" w:sz="0" w:space="0" w:color="auto"/>
                <w:bottom w:val="none" w:sz="0" w:space="0" w:color="auto"/>
                <w:right w:val="none" w:sz="0" w:space="0" w:color="auto"/>
              </w:divBdr>
            </w:div>
          </w:divsChild>
        </w:div>
        <w:div w:id="101921178">
          <w:marLeft w:val="0"/>
          <w:marRight w:val="0"/>
          <w:marTop w:val="0"/>
          <w:marBottom w:val="0"/>
          <w:divBdr>
            <w:top w:val="none" w:sz="0" w:space="0" w:color="auto"/>
            <w:left w:val="none" w:sz="0" w:space="0" w:color="auto"/>
            <w:bottom w:val="none" w:sz="0" w:space="0" w:color="auto"/>
            <w:right w:val="none" w:sz="0" w:space="0" w:color="auto"/>
          </w:divBdr>
          <w:divsChild>
            <w:div w:id="936601264">
              <w:marLeft w:val="0"/>
              <w:marRight w:val="0"/>
              <w:marTop w:val="0"/>
              <w:marBottom w:val="0"/>
              <w:divBdr>
                <w:top w:val="none" w:sz="0" w:space="0" w:color="auto"/>
                <w:left w:val="none" w:sz="0" w:space="0" w:color="auto"/>
                <w:bottom w:val="none" w:sz="0" w:space="0" w:color="auto"/>
                <w:right w:val="none" w:sz="0" w:space="0" w:color="auto"/>
              </w:divBdr>
            </w:div>
          </w:divsChild>
        </w:div>
        <w:div w:id="108621307">
          <w:marLeft w:val="0"/>
          <w:marRight w:val="0"/>
          <w:marTop w:val="0"/>
          <w:marBottom w:val="0"/>
          <w:divBdr>
            <w:top w:val="none" w:sz="0" w:space="0" w:color="auto"/>
            <w:left w:val="none" w:sz="0" w:space="0" w:color="auto"/>
            <w:bottom w:val="none" w:sz="0" w:space="0" w:color="auto"/>
            <w:right w:val="none" w:sz="0" w:space="0" w:color="auto"/>
          </w:divBdr>
          <w:divsChild>
            <w:div w:id="649408315">
              <w:marLeft w:val="0"/>
              <w:marRight w:val="0"/>
              <w:marTop w:val="0"/>
              <w:marBottom w:val="0"/>
              <w:divBdr>
                <w:top w:val="none" w:sz="0" w:space="0" w:color="auto"/>
                <w:left w:val="none" w:sz="0" w:space="0" w:color="auto"/>
                <w:bottom w:val="none" w:sz="0" w:space="0" w:color="auto"/>
                <w:right w:val="none" w:sz="0" w:space="0" w:color="auto"/>
              </w:divBdr>
            </w:div>
          </w:divsChild>
        </w:div>
        <w:div w:id="145169671">
          <w:marLeft w:val="0"/>
          <w:marRight w:val="0"/>
          <w:marTop w:val="0"/>
          <w:marBottom w:val="0"/>
          <w:divBdr>
            <w:top w:val="none" w:sz="0" w:space="0" w:color="auto"/>
            <w:left w:val="none" w:sz="0" w:space="0" w:color="auto"/>
            <w:bottom w:val="none" w:sz="0" w:space="0" w:color="auto"/>
            <w:right w:val="none" w:sz="0" w:space="0" w:color="auto"/>
          </w:divBdr>
          <w:divsChild>
            <w:div w:id="554850771">
              <w:marLeft w:val="0"/>
              <w:marRight w:val="0"/>
              <w:marTop w:val="0"/>
              <w:marBottom w:val="0"/>
              <w:divBdr>
                <w:top w:val="none" w:sz="0" w:space="0" w:color="auto"/>
                <w:left w:val="none" w:sz="0" w:space="0" w:color="auto"/>
                <w:bottom w:val="none" w:sz="0" w:space="0" w:color="auto"/>
                <w:right w:val="none" w:sz="0" w:space="0" w:color="auto"/>
              </w:divBdr>
            </w:div>
          </w:divsChild>
        </w:div>
        <w:div w:id="149754031">
          <w:marLeft w:val="0"/>
          <w:marRight w:val="0"/>
          <w:marTop w:val="0"/>
          <w:marBottom w:val="0"/>
          <w:divBdr>
            <w:top w:val="none" w:sz="0" w:space="0" w:color="auto"/>
            <w:left w:val="none" w:sz="0" w:space="0" w:color="auto"/>
            <w:bottom w:val="none" w:sz="0" w:space="0" w:color="auto"/>
            <w:right w:val="none" w:sz="0" w:space="0" w:color="auto"/>
          </w:divBdr>
          <w:divsChild>
            <w:div w:id="881601843">
              <w:marLeft w:val="0"/>
              <w:marRight w:val="0"/>
              <w:marTop w:val="0"/>
              <w:marBottom w:val="0"/>
              <w:divBdr>
                <w:top w:val="none" w:sz="0" w:space="0" w:color="auto"/>
                <w:left w:val="none" w:sz="0" w:space="0" w:color="auto"/>
                <w:bottom w:val="none" w:sz="0" w:space="0" w:color="auto"/>
                <w:right w:val="none" w:sz="0" w:space="0" w:color="auto"/>
              </w:divBdr>
            </w:div>
          </w:divsChild>
        </w:div>
        <w:div w:id="216403473">
          <w:marLeft w:val="0"/>
          <w:marRight w:val="0"/>
          <w:marTop w:val="0"/>
          <w:marBottom w:val="0"/>
          <w:divBdr>
            <w:top w:val="none" w:sz="0" w:space="0" w:color="auto"/>
            <w:left w:val="none" w:sz="0" w:space="0" w:color="auto"/>
            <w:bottom w:val="none" w:sz="0" w:space="0" w:color="auto"/>
            <w:right w:val="none" w:sz="0" w:space="0" w:color="auto"/>
          </w:divBdr>
          <w:divsChild>
            <w:div w:id="1221555492">
              <w:marLeft w:val="0"/>
              <w:marRight w:val="0"/>
              <w:marTop w:val="0"/>
              <w:marBottom w:val="0"/>
              <w:divBdr>
                <w:top w:val="none" w:sz="0" w:space="0" w:color="auto"/>
                <w:left w:val="none" w:sz="0" w:space="0" w:color="auto"/>
                <w:bottom w:val="none" w:sz="0" w:space="0" w:color="auto"/>
                <w:right w:val="none" w:sz="0" w:space="0" w:color="auto"/>
              </w:divBdr>
            </w:div>
          </w:divsChild>
        </w:div>
        <w:div w:id="218174841">
          <w:marLeft w:val="0"/>
          <w:marRight w:val="0"/>
          <w:marTop w:val="0"/>
          <w:marBottom w:val="0"/>
          <w:divBdr>
            <w:top w:val="none" w:sz="0" w:space="0" w:color="auto"/>
            <w:left w:val="none" w:sz="0" w:space="0" w:color="auto"/>
            <w:bottom w:val="none" w:sz="0" w:space="0" w:color="auto"/>
            <w:right w:val="none" w:sz="0" w:space="0" w:color="auto"/>
          </w:divBdr>
          <w:divsChild>
            <w:div w:id="1694651308">
              <w:marLeft w:val="0"/>
              <w:marRight w:val="0"/>
              <w:marTop w:val="0"/>
              <w:marBottom w:val="0"/>
              <w:divBdr>
                <w:top w:val="none" w:sz="0" w:space="0" w:color="auto"/>
                <w:left w:val="none" w:sz="0" w:space="0" w:color="auto"/>
                <w:bottom w:val="none" w:sz="0" w:space="0" w:color="auto"/>
                <w:right w:val="none" w:sz="0" w:space="0" w:color="auto"/>
              </w:divBdr>
            </w:div>
          </w:divsChild>
        </w:div>
        <w:div w:id="253444515">
          <w:marLeft w:val="0"/>
          <w:marRight w:val="0"/>
          <w:marTop w:val="0"/>
          <w:marBottom w:val="0"/>
          <w:divBdr>
            <w:top w:val="none" w:sz="0" w:space="0" w:color="auto"/>
            <w:left w:val="none" w:sz="0" w:space="0" w:color="auto"/>
            <w:bottom w:val="none" w:sz="0" w:space="0" w:color="auto"/>
            <w:right w:val="none" w:sz="0" w:space="0" w:color="auto"/>
          </w:divBdr>
          <w:divsChild>
            <w:div w:id="325524462">
              <w:marLeft w:val="0"/>
              <w:marRight w:val="0"/>
              <w:marTop w:val="0"/>
              <w:marBottom w:val="0"/>
              <w:divBdr>
                <w:top w:val="none" w:sz="0" w:space="0" w:color="auto"/>
                <w:left w:val="none" w:sz="0" w:space="0" w:color="auto"/>
                <w:bottom w:val="none" w:sz="0" w:space="0" w:color="auto"/>
                <w:right w:val="none" w:sz="0" w:space="0" w:color="auto"/>
              </w:divBdr>
            </w:div>
          </w:divsChild>
        </w:div>
        <w:div w:id="280504257">
          <w:marLeft w:val="0"/>
          <w:marRight w:val="0"/>
          <w:marTop w:val="0"/>
          <w:marBottom w:val="0"/>
          <w:divBdr>
            <w:top w:val="none" w:sz="0" w:space="0" w:color="auto"/>
            <w:left w:val="none" w:sz="0" w:space="0" w:color="auto"/>
            <w:bottom w:val="none" w:sz="0" w:space="0" w:color="auto"/>
            <w:right w:val="none" w:sz="0" w:space="0" w:color="auto"/>
          </w:divBdr>
          <w:divsChild>
            <w:div w:id="1011295128">
              <w:marLeft w:val="0"/>
              <w:marRight w:val="0"/>
              <w:marTop w:val="0"/>
              <w:marBottom w:val="0"/>
              <w:divBdr>
                <w:top w:val="none" w:sz="0" w:space="0" w:color="auto"/>
                <w:left w:val="none" w:sz="0" w:space="0" w:color="auto"/>
                <w:bottom w:val="none" w:sz="0" w:space="0" w:color="auto"/>
                <w:right w:val="none" w:sz="0" w:space="0" w:color="auto"/>
              </w:divBdr>
            </w:div>
          </w:divsChild>
        </w:div>
        <w:div w:id="350617846">
          <w:marLeft w:val="0"/>
          <w:marRight w:val="0"/>
          <w:marTop w:val="0"/>
          <w:marBottom w:val="0"/>
          <w:divBdr>
            <w:top w:val="none" w:sz="0" w:space="0" w:color="auto"/>
            <w:left w:val="none" w:sz="0" w:space="0" w:color="auto"/>
            <w:bottom w:val="none" w:sz="0" w:space="0" w:color="auto"/>
            <w:right w:val="none" w:sz="0" w:space="0" w:color="auto"/>
          </w:divBdr>
          <w:divsChild>
            <w:div w:id="851457669">
              <w:marLeft w:val="0"/>
              <w:marRight w:val="0"/>
              <w:marTop w:val="0"/>
              <w:marBottom w:val="0"/>
              <w:divBdr>
                <w:top w:val="none" w:sz="0" w:space="0" w:color="auto"/>
                <w:left w:val="none" w:sz="0" w:space="0" w:color="auto"/>
                <w:bottom w:val="none" w:sz="0" w:space="0" w:color="auto"/>
                <w:right w:val="none" w:sz="0" w:space="0" w:color="auto"/>
              </w:divBdr>
            </w:div>
          </w:divsChild>
        </w:div>
        <w:div w:id="361395310">
          <w:marLeft w:val="0"/>
          <w:marRight w:val="0"/>
          <w:marTop w:val="0"/>
          <w:marBottom w:val="0"/>
          <w:divBdr>
            <w:top w:val="none" w:sz="0" w:space="0" w:color="auto"/>
            <w:left w:val="none" w:sz="0" w:space="0" w:color="auto"/>
            <w:bottom w:val="none" w:sz="0" w:space="0" w:color="auto"/>
            <w:right w:val="none" w:sz="0" w:space="0" w:color="auto"/>
          </w:divBdr>
          <w:divsChild>
            <w:div w:id="1916014644">
              <w:marLeft w:val="0"/>
              <w:marRight w:val="0"/>
              <w:marTop w:val="0"/>
              <w:marBottom w:val="0"/>
              <w:divBdr>
                <w:top w:val="none" w:sz="0" w:space="0" w:color="auto"/>
                <w:left w:val="none" w:sz="0" w:space="0" w:color="auto"/>
                <w:bottom w:val="none" w:sz="0" w:space="0" w:color="auto"/>
                <w:right w:val="none" w:sz="0" w:space="0" w:color="auto"/>
              </w:divBdr>
            </w:div>
          </w:divsChild>
        </w:div>
        <w:div w:id="363290062">
          <w:marLeft w:val="0"/>
          <w:marRight w:val="0"/>
          <w:marTop w:val="0"/>
          <w:marBottom w:val="0"/>
          <w:divBdr>
            <w:top w:val="none" w:sz="0" w:space="0" w:color="auto"/>
            <w:left w:val="none" w:sz="0" w:space="0" w:color="auto"/>
            <w:bottom w:val="none" w:sz="0" w:space="0" w:color="auto"/>
            <w:right w:val="none" w:sz="0" w:space="0" w:color="auto"/>
          </w:divBdr>
          <w:divsChild>
            <w:div w:id="1228227165">
              <w:marLeft w:val="0"/>
              <w:marRight w:val="0"/>
              <w:marTop w:val="0"/>
              <w:marBottom w:val="0"/>
              <w:divBdr>
                <w:top w:val="none" w:sz="0" w:space="0" w:color="auto"/>
                <w:left w:val="none" w:sz="0" w:space="0" w:color="auto"/>
                <w:bottom w:val="none" w:sz="0" w:space="0" w:color="auto"/>
                <w:right w:val="none" w:sz="0" w:space="0" w:color="auto"/>
              </w:divBdr>
            </w:div>
          </w:divsChild>
        </w:div>
        <w:div w:id="368534932">
          <w:marLeft w:val="0"/>
          <w:marRight w:val="0"/>
          <w:marTop w:val="0"/>
          <w:marBottom w:val="0"/>
          <w:divBdr>
            <w:top w:val="none" w:sz="0" w:space="0" w:color="auto"/>
            <w:left w:val="none" w:sz="0" w:space="0" w:color="auto"/>
            <w:bottom w:val="none" w:sz="0" w:space="0" w:color="auto"/>
            <w:right w:val="none" w:sz="0" w:space="0" w:color="auto"/>
          </w:divBdr>
          <w:divsChild>
            <w:div w:id="836649702">
              <w:marLeft w:val="0"/>
              <w:marRight w:val="0"/>
              <w:marTop w:val="0"/>
              <w:marBottom w:val="0"/>
              <w:divBdr>
                <w:top w:val="none" w:sz="0" w:space="0" w:color="auto"/>
                <w:left w:val="none" w:sz="0" w:space="0" w:color="auto"/>
                <w:bottom w:val="none" w:sz="0" w:space="0" w:color="auto"/>
                <w:right w:val="none" w:sz="0" w:space="0" w:color="auto"/>
              </w:divBdr>
            </w:div>
          </w:divsChild>
        </w:div>
        <w:div w:id="410860013">
          <w:marLeft w:val="0"/>
          <w:marRight w:val="0"/>
          <w:marTop w:val="0"/>
          <w:marBottom w:val="0"/>
          <w:divBdr>
            <w:top w:val="none" w:sz="0" w:space="0" w:color="auto"/>
            <w:left w:val="none" w:sz="0" w:space="0" w:color="auto"/>
            <w:bottom w:val="none" w:sz="0" w:space="0" w:color="auto"/>
            <w:right w:val="none" w:sz="0" w:space="0" w:color="auto"/>
          </w:divBdr>
          <w:divsChild>
            <w:div w:id="1890610147">
              <w:marLeft w:val="0"/>
              <w:marRight w:val="0"/>
              <w:marTop w:val="0"/>
              <w:marBottom w:val="0"/>
              <w:divBdr>
                <w:top w:val="none" w:sz="0" w:space="0" w:color="auto"/>
                <w:left w:val="none" w:sz="0" w:space="0" w:color="auto"/>
                <w:bottom w:val="none" w:sz="0" w:space="0" w:color="auto"/>
                <w:right w:val="none" w:sz="0" w:space="0" w:color="auto"/>
              </w:divBdr>
            </w:div>
          </w:divsChild>
        </w:div>
        <w:div w:id="443113126">
          <w:marLeft w:val="0"/>
          <w:marRight w:val="0"/>
          <w:marTop w:val="0"/>
          <w:marBottom w:val="0"/>
          <w:divBdr>
            <w:top w:val="none" w:sz="0" w:space="0" w:color="auto"/>
            <w:left w:val="none" w:sz="0" w:space="0" w:color="auto"/>
            <w:bottom w:val="none" w:sz="0" w:space="0" w:color="auto"/>
            <w:right w:val="none" w:sz="0" w:space="0" w:color="auto"/>
          </w:divBdr>
          <w:divsChild>
            <w:div w:id="346754066">
              <w:marLeft w:val="0"/>
              <w:marRight w:val="0"/>
              <w:marTop w:val="0"/>
              <w:marBottom w:val="0"/>
              <w:divBdr>
                <w:top w:val="none" w:sz="0" w:space="0" w:color="auto"/>
                <w:left w:val="none" w:sz="0" w:space="0" w:color="auto"/>
                <w:bottom w:val="none" w:sz="0" w:space="0" w:color="auto"/>
                <w:right w:val="none" w:sz="0" w:space="0" w:color="auto"/>
              </w:divBdr>
            </w:div>
            <w:div w:id="788931440">
              <w:marLeft w:val="0"/>
              <w:marRight w:val="0"/>
              <w:marTop w:val="0"/>
              <w:marBottom w:val="0"/>
              <w:divBdr>
                <w:top w:val="none" w:sz="0" w:space="0" w:color="auto"/>
                <w:left w:val="none" w:sz="0" w:space="0" w:color="auto"/>
                <w:bottom w:val="none" w:sz="0" w:space="0" w:color="auto"/>
                <w:right w:val="none" w:sz="0" w:space="0" w:color="auto"/>
              </w:divBdr>
            </w:div>
          </w:divsChild>
        </w:div>
        <w:div w:id="443231087">
          <w:marLeft w:val="0"/>
          <w:marRight w:val="0"/>
          <w:marTop w:val="0"/>
          <w:marBottom w:val="0"/>
          <w:divBdr>
            <w:top w:val="none" w:sz="0" w:space="0" w:color="auto"/>
            <w:left w:val="none" w:sz="0" w:space="0" w:color="auto"/>
            <w:bottom w:val="none" w:sz="0" w:space="0" w:color="auto"/>
            <w:right w:val="none" w:sz="0" w:space="0" w:color="auto"/>
          </w:divBdr>
          <w:divsChild>
            <w:div w:id="1396509010">
              <w:marLeft w:val="0"/>
              <w:marRight w:val="0"/>
              <w:marTop w:val="0"/>
              <w:marBottom w:val="0"/>
              <w:divBdr>
                <w:top w:val="none" w:sz="0" w:space="0" w:color="auto"/>
                <w:left w:val="none" w:sz="0" w:space="0" w:color="auto"/>
                <w:bottom w:val="none" w:sz="0" w:space="0" w:color="auto"/>
                <w:right w:val="none" w:sz="0" w:space="0" w:color="auto"/>
              </w:divBdr>
            </w:div>
          </w:divsChild>
        </w:div>
        <w:div w:id="473915030">
          <w:marLeft w:val="0"/>
          <w:marRight w:val="0"/>
          <w:marTop w:val="0"/>
          <w:marBottom w:val="0"/>
          <w:divBdr>
            <w:top w:val="none" w:sz="0" w:space="0" w:color="auto"/>
            <w:left w:val="none" w:sz="0" w:space="0" w:color="auto"/>
            <w:bottom w:val="none" w:sz="0" w:space="0" w:color="auto"/>
            <w:right w:val="none" w:sz="0" w:space="0" w:color="auto"/>
          </w:divBdr>
          <w:divsChild>
            <w:div w:id="504708468">
              <w:marLeft w:val="0"/>
              <w:marRight w:val="0"/>
              <w:marTop w:val="0"/>
              <w:marBottom w:val="0"/>
              <w:divBdr>
                <w:top w:val="none" w:sz="0" w:space="0" w:color="auto"/>
                <w:left w:val="none" w:sz="0" w:space="0" w:color="auto"/>
                <w:bottom w:val="none" w:sz="0" w:space="0" w:color="auto"/>
                <w:right w:val="none" w:sz="0" w:space="0" w:color="auto"/>
              </w:divBdr>
            </w:div>
          </w:divsChild>
        </w:div>
        <w:div w:id="598220561">
          <w:marLeft w:val="0"/>
          <w:marRight w:val="0"/>
          <w:marTop w:val="0"/>
          <w:marBottom w:val="0"/>
          <w:divBdr>
            <w:top w:val="none" w:sz="0" w:space="0" w:color="auto"/>
            <w:left w:val="none" w:sz="0" w:space="0" w:color="auto"/>
            <w:bottom w:val="none" w:sz="0" w:space="0" w:color="auto"/>
            <w:right w:val="none" w:sz="0" w:space="0" w:color="auto"/>
          </w:divBdr>
          <w:divsChild>
            <w:div w:id="177356952">
              <w:marLeft w:val="0"/>
              <w:marRight w:val="0"/>
              <w:marTop w:val="0"/>
              <w:marBottom w:val="0"/>
              <w:divBdr>
                <w:top w:val="none" w:sz="0" w:space="0" w:color="auto"/>
                <w:left w:val="none" w:sz="0" w:space="0" w:color="auto"/>
                <w:bottom w:val="none" w:sz="0" w:space="0" w:color="auto"/>
                <w:right w:val="none" w:sz="0" w:space="0" w:color="auto"/>
              </w:divBdr>
            </w:div>
          </w:divsChild>
        </w:div>
        <w:div w:id="636110629">
          <w:marLeft w:val="0"/>
          <w:marRight w:val="0"/>
          <w:marTop w:val="0"/>
          <w:marBottom w:val="0"/>
          <w:divBdr>
            <w:top w:val="none" w:sz="0" w:space="0" w:color="auto"/>
            <w:left w:val="none" w:sz="0" w:space="0" w:color="auto"/>
            <w:bottom w:val="none" w:sz="0" w:space="0" w:color="auto"/>
            <w:right w:val="none" w:sz="0" w:space="0" w:color="auto"/>
          </w:divBdr>
          <w:divsChild>
            <w:div w:id="1965190099">
              <w:marLeft w:val="0"/>
              <w:marRight w:val="0"/>
              <w:marTop w:val="0"/>
              <w:marBottom w:val="0"/>
              <w:divBdr>
                <w:top w:val="none" w:sz="0" w:space="0" w:color="auto"/>
                <w:left w:val="none" w:sz="0" w:space="0" w:color="auto"/>
                <w:bottom w:val="none" w:sz="0" w:space="0" w:color="auto"/>
                <w:right w:val="none" w:sz="0" w:space="0" w:color="auto"/>
              </w:divBdr>
            </w:div>
          </w:divsChild>
        </w:div>
        <w:div w:id="752556789">
          <w:marLeft w:val="0"/>
          <w:marRight w:val="0"/>
          <w:marTop w:val="0"/>
          <w:marBottom w:val="0"/>
          <w:divBdr>
            <w:top w:val="none" w:sz="0" w:space="0" w:color="auto"/>
            <w:left w:val="none" w:sz="0" w:space="0" w:color="auto"/>
            <w:bottom w:val="none" w:sz="0" w:space="0" w:color="auto"/>
            <w:right w:val="none" w:sz="0" w:space="0" w:color="auto"/>
          </w:divBdr>
          <w:divsChild>
            <w:div w:id="1329941911">
              <w:marLeft w:val="0"/>
              <w:marRight w:val="0"/>
              <w:marTop w:val="0"/>
              <w:marBottom w:val="0"/>
              <w:divBdr>
                <w:top w:val="none" w:sz="0" w:space="0" w:color="auto"/>
                <w:left w:val="none" w:sz="0" w:space="0" w:color="auto"/>
                <w:bottom w:val="none" w:sz="0" w:space="0" w:color="auto"/>
                <w:right w:val="none" w:sz="0" w:space="0" w:color="auto"/>
              </w:divBdr>
            </w:div>
          </w:divsChild>
        </w:div>
        <w:div w:id="809398056">
          <w:marLeft w:val="0"/>
          <w:marRight w:val="0"/>
          <w:marTop w:val="0"/>
          <w:marBottom w:val="0"/>
          <w:divBdr>
            <w:top w:val="none" w:sz="0" w:space="0" w:color="auto"/>
            <w:left w:val="none" w:sz="0" w:space="0" w:color="auto"/>
            <w:bottom w:val="none" w:sz="0" w:space="0" w:color="auto"/>
            <w:right w:val="none" w:sz="0" w:space="0" w:color="auto"/>
          </w:divBdr>
          <w:divsChild>
            <w:div w:id="609623937">
              <w:marLeft w:val="0"/>
              <w:marRight w:val="0"/>
              <w:marTop w:val="0"/>
              <w:marBottom w:val="0"/>
              <w:divBdr>
                <w:top w:val="none" w:sz="0" w:space="0" w:color="auto"/>
                <w:left w:val="none" w:sz="0" w:space="0" w:color="auto"/>
                <w:bottom w:val="none" w:sz="0" w:space="0" w:color="auto"/>
                <w:right w:val="none" w:sz="0" w:space="0" w:color="auto"/>
              </w:divBdr>
            </w:div>
          </w:divsChild>
        </w:div>
        <w:div w:id="844594875">
          <w:marLeft w:val="0"/>
          <w:marRight w:val="0"/>
          <w:marTop w:val="0"/>
          <w:marBottom w:val="0"/>
          <w:divBdr>
            <w:top w:val="none" w:sz="0" w:space="0" w:color="auto"/>
            <w:left w:val="none" w:sz="0" w:space="0" w:color="auto"/>
            <w:bottom w:val="none" w:sz="0" w:space="0" w:color="auto"/>
            <w:right w:val="none" w:sz="0" w:space="0" w:color="auto"/>
          </w:divBdr>
          <w:divsChild>
            <w:div w:id="873036983">
              <w:marLeft w:val="0"/>
              <w:marRight w:val="0"/>
              <w:marTop w:val="0"/>
              <w:marBottom w:val="0"/>
              <w:divBdr>
                <w:top w:val="none" w:sz="0" w:space="0" w:color="auto"/>
                <w:left w:val="none" w:sz="0" w:space="0" w:color="auto"/>
                <w:bottom w:val="none" w:sz="0" w:space="0" w:color="auto"/>
                <w:right w:val="none" w:sz="0" w:space="0" w:color="auto"/>
              </w:divBdr>
            </w:div>
          </w:divsChild>
        </w:div>
        <w:div w:id="851187760">
          <w:marLeft w:val="0"/>
          <w:marRight w:val="0"/>
          <w:marTop w:val="0"/>
          <w:marBottom w:val="0"/>
          <w:divBdr>
            <w:top w:val="none" w:sz="0" w:space="0" w:color="auto"/>
            <w:left w:val="none" w:sz="0" w:space="0" w:color="auto"/>
            <w:bottom w:val="none" w:sz="0" w:space="0" w:color="auto"/>
            <w:right w:val="none" w:sz="0" w:space="0" w:color="auto"/>
          </w:divBdr>
          <w:divsChild>
            <w:div w:id="10500518">
              <w:marLeft w:val="0"/>
              <w:marRight w:val="0"/>
              <w:marTop w:val="0"/>
              <w:marBottom w:val="0"/>
              <w:divBdr>
                <w:top w:val="none" w:sz="0" w:space="0" w:color="auto"/>
                <w:left w:val="none" w:sz="0" w:space="0" w:color="auto"/>
                <w:bottom w:val="none" w:sz="0" w:space="0" w:color="auto"/>
                <w:right w:val="none" w:sz="0" w:space="0" w:color="auto"/>
              </w:divBdr>
            </w:div>
          </w:divsChild>
        </w:div>
        <w:div w:id="925385315">
          <w:marLeft w:val="0"/>
          <w:marRight w:val="0"/>
          <w:marTop w:val="0"/>
          <w:marBottom w:val="0"/>
          <w:divBdr>
            <w:top w:val="none" w:sz="0" w:space="0" w:color="auto"/>
            <w:left w:val="none" w:sz="0" w:space="0" w:color="auto"/>
            <w:bottom w:val="none" w:sz="0" w:space="0" w:color="auto"/>
            <w:right w:val="none" w:sz="0" w:space="0" w:color="auto"/>
          </w:divBdr>
          <w:divsChild>
            <w:div w:id="778842407">
              <w:marLeft w:val="0"/>
              <w:marRight w:val="0"/>
              <w:marTop w:val="0"/>
              <w:marBottom w:val="0"/>
              <w:divBdr>
                <w:top w:val="none" w:sz="0" w:space="0" w:color="auto"/>
                <w:left w:val="none" w:sz="0" w:space="0" w:color="auto"/>
                <w:bottom w:val="none" w:sz="0" w:space="0" w:color="auto"/>
                <w:right w:val="none" w:sz="0" w:space="0" w:color="auto"/>
              </w:divBdr>
            </w:div>
          </w:divsChild>
        </w:div>
        <w:div w:id="933513964">
          <w:marLeft w:val="0"/>
          <w:marRight w:val="0"/>
          <w:marTop w:val="0"/>
          <w:marBottom w:val="0"/>
          <w:divBdr>
            <w:top w:val="none" w:sz="0" w:space="0" w:color="auto"/>
            <w:left w:val="none" w:sz="0" w:space="0" w:color="auto"/>
            <w:bottom w:val="none" w:sz="0" w:space="0" w:color="auto"/>
            <w:right w:val="none" w:sz="0" w:space="0" w:color="auto"/>
          </w:divBdr>
          <w:divsChild>
            <w:div w:id="898369791">
              <w:marLeft w:val="0"/>
              <w:marRight w:val="0"/>
              <w:marTop w:val="0"/>
              <w:marBottom w:val="0"/>
              <w:divBdr>
                <w:top w:val="none" w:sz="0" w:space="0" w:color="auto"/>
                <w:left w:val="none" w:sz="0" w:space="0" w:color="auto"/>
                <w:bottom w:val="none" w:sz="0" w:space="0" w:color="auto"/>
                <w:right w:val="none" w:sz="0" w:space="0" w:color="auto"/>
              </w:divBdr>
            </w:div>
          </w:divsChild>
        </w:div>
        <w:div w:id="965503238">
          <w:marLeft w:val="0"/>
          <w:marRight w:val="0"/>
          <w:marTop w:val="0"/>
          <w:marBottom w:val="0"/>
          <w:divBdr>
            <w:top w:val="none" w:sz="0" w:space="0" w:color="auto"/>
            <w:left w:val="none" w:sz="0" w:space="0" w:color="auto"/>
            <w:bottom w:val="none" w:sz="0" w:space="0" w:color="auto"/>
            <w:right w:val="none" w:sz="0" w:space="0" w:color="auto"/>
          </w:divBdr>
          <w:divsChild>
            <w:div w:id="557396106">
              <w:marLeft w:val="0"/>
              <w:marRight w:val="0"/>
              <w:marTop w:val="0"/>
              <w:marBottom w:val="0"/>
              <w:divBdr>
                <w:top w:val="none" w:sz="0" w:space="0" w:color="auto"/>
                <w:left w:val="none" w:sz="0" w:space="0" w:color="auto"/>
                <w:bottom w:val="none" w:sz="0" w:space="0" w:color="auto"/>
                <w:right w:val="none" w:sz="0" w:space="0" w:color="auto"/>
              </w:divBdr>
            </w:div>
          </w:divsChild>
        </w:div>
        <w:div w:id="985087346">
          <w:marLeft w:val="0"/>
          <w:marRight w:val="0"/>
          <w:marTop w:val="0"/>
          <w:marBottom w:val="0"/>
          <w:divBdr>
            <w:top w:val="none" w:sz="0" w:space="0" w:color="auto"/>
            <w:left w:val="none" w:sz="0" w:space="0" w:color="auto"/>
            <w:bottom w:val="none" w:sz="0" w:space="0" w:color="auto"/>
            <w:right w:val="none" w:sz="0" w:space="0" w:color="auto"/>
          </w:divBdr>
          <w:divsChild>
            <w:div w:id="1879005929">
              <w:marLeft w:val="0"/>
              <w:marRight w:val="0"/>
              <w:marTop w:val="0"/>
              <w:marBottom w:val="0"/>
              <w:divBdr>
                <w:top w:val="none" w:sz="0" w:space="0" w:color="auto"/>
                <w:left w:val="none" w:sz="0" w:space="0" w:color="auto"/>
                <w:bottom w:val="none" w:sz="0" w:space="0" w:color="auto"/>
                <w:right w:val="none" w:sz="0" w:space="0" w:color="auto"/>
              </w:divBdr>
            </w:div>
          </w:divsChild>
        </w:div>
        <w:div w:id="990524162">
          <w:marLeft w:val="0"/>
          <w:marRight w:val="0"/>
          <w:marTop w:val="0"/>
          <w:marBottom w:val="0"/>
          <w:divBdr>
            <w:top w:val="none" w:sz="0" w:space="0" w:color="auto"/>
            <w:left w:val="none" w:sz="0" w:space="0" w:color="auto"/>
            <w:bottom w:val="none" w:sz="0" w:space="0" w:color="auto"/>
            <w:right w:val="none" w:sz="0" w:space="0" w:color="auto"/>
          </w:divBdr>
          <w:divsChild>
            <w:div w:id="794257470">
              <w:marLeft w:val="0"/>
              <w:marRight w:val="0"/>
              <w:marTop w:val="0"/>
              <w:marBottom w:val="0"/>
              <w:divBdr>
                <w:top w:val="none" w:sz="0" w:space="0" w:color="auto"/>
                <w:left w:val="none" w:sz="0" w:space="0" w:color="auto"/>
                <w:bottom w:val="none" w:sz="0" w:space="0" w:color="auto"/>
                <w:right w:val="none" w:sz="0" w:space="0" w:color="auto"/>
              </w:divBdr>
            </w:div>
          </w:divsChild>
        </w:div>
        <w:div w:id="1086150553">
          <w:marLeft w:val="0"/>
          <w:marRight w:val="0"/>
          <w:marTop w:val="0"/>
          <w:marBottom w:val="0"/>
          <w:divBdr>
            <w:top w:val="none" w:sz="0" w:space="0" w:color="auto"/>
            <w:left w:val="none" w:sz="0" w:space="0" w:color="auto"/>
            <w:bottom w:val="none" w:sz="0" w:space="0" w:color="auto"/>
            <w:right w:val="none" w:sz="0" w:space="0" w:color="auto"/>
          </w:divBdr>
          <w:divsChild>
            <w:div w:id="1550148790">
              <w:marLeft w:val="0"/>
              <w:marRight w:val="0"/>
              <w:marTop w:val="0"/>
              <w:marBottom w:val="0"/>
              <w:divBdr>
                <w:top w:val="none" w:sz="0" w:space="0" w:color="auto"/>
                <w:left w:val="none" w:sz="0" w:space="0" w:color="auto"/>
                <w:bottom w:val="none" w:sz="0" w:space="0" w:color="auto"/>
                <w:right w:val="none" w:sz="0" w:space="0" w:color="auto"/>
              </w:divBdr>
            </w:div>
          </w:divsChild>
        </w:div>
        <w:div w:id="1181236229">
          <w:marLeft w:val="0"/>
          <w:marRight w:val="0"/>
          <w:marTop w:val="0"/>
          <w:marBottom w:val="0"/>
          <w:divBdr>
            <w:top w:val="none" w:sz="0" w:space="0" w:color="auto"/>
            <w:left w:val="none" w:sz="0" w:space="0" w:color="auto"/>
            <w:bottom w:val="none" w:sz="0" w:space="0" w:color="auto"/>
            <w:right w:val="none" w:sz="0" w:space="0" w:color="auto"/>
          </w:divBdr>
          <w:divsChild>
            <w:div w:id="773983004">
              <w:marLeft w:val="0"/>
              <w:marRight w:val="0"/>
              <w:marTop w:val="0"/>
              <w:marBottom w:val="0"/>
              <w:divBdr>
                <w:top w:val="none" w:sz="0" w:space="0" w:color="auto"/>
                <w:left w:val="none" w:sz="0" w:space="0" w:color="auto"/>
                <w:bottom w:val="none" w:sz="0" w:space="0" w:color="auto"/>
                <w:right w:val="none" w:sz="0" w:space="0" w:color="auto"/>
              </w:divBdr>
            </w:div>
          </w:divsChild>
        </w:div>
        <w:div w:id="1211648607">
          <w:marLeft w:val="0"/>
          <w:marRight w:val="0"/>
          <w:marTop w:val="0"/>
          <w:marBottom w:val="0"/>
          <w:divBdr>
            <w:top w:val="none" w:sz="0" w:space="0" w:color="auto"/>
            <w:left w:val="none" w:sz="0" w:space="0" w:color="auto"/>
            <w:bottom w:val="none" w:sz="0" w:space="0" w:color="auto"/>
            <w:right w:val="none" w:sz="0" w:space="0" w:color="auto"/>
          </w:divBdr>
          <w:divsChild>
            <w:div w:id="1426532080">
              <w:marLeft w:val="0"/>
              <w:marRight w:val="0"/>
              <w:marTop w:val="0"/>
              <w:marBottom w:val="0"/>
              <w:divBdr>
                <w:top w:val="none" w:sz="0" w:space="0" w:color="auto"/>
                <w:left w:val="none" w:sz="0" w:space="0" w:color="auto"/>
                <w:bottom w:val="none" w:sz="0" w:space="0" w:color="auto"/>
                <w:right w:val="none" w:sz="0" w:space="0" w:color="auto"/>
              </w:divBdr>
            </w:div>
          </w:divsChild>
        </w:div>
        <w:div w:id="1257057892">
          <w:marLeft w:val="0"/>
          <w:marRight w:val="0"/>
          <w:marTop w:val="0"/>
          <w:marBottom w:val="0"/>
          <w:divBdr>
            <w:top w:val="none" w:sz="0" w:space="0" w:color="auto"/>
            <w:left w:val="none" w:sz="0" w:space="0" w:color="auto"/>
            <w:bottom w:val="none" w:sz="0" w:space="0" w:color="auto"/>
            <w:right w:val="none" w:sz="0" w:space="0" w:color="auto"/>
          </w:divBdr>
          <w:divsChild>
            <w:div w:id="1868330731">
              <w:marLeft w:val="0"/>
              <w:marRight w:val="0"/>
              <w:marTop w:val="0"/>
              <w:marBottom w:val="0"/>
              <w:divBdr>
                <w:top w:val="none" w:sz="0" w:space="0" w:color="auto"/>
                <w:left w:val="none" w:sz="0" w:space="0" w:color="auto"/>
                <w:bottom w:val="none" w:sz="0" w:space="0" w:color="auto"/>
                <w:right w:val="none" w:sz="0" w:space="0" w:color="auto"/>
              </w:divBdr>
            </w:div>
          </w:divsChild>
        </w:div>
        <w:div w:id="1280142318">
          <w:marLeft w:val="0"/>
          <w:marRight w:val="0"/>
          <w:marTop w:val="0"/>
          <w:marBottom w:val="0"/>
          <w:divBdr>
            <w:top w:val="none" w:sz="0" w:space="0" w:color="auto"/>
            <w:left w:val="none" w:sz="0" w:space="0" w:color="auto"/>
            <w:bottom w:val="none" w:sz="0" w:space="0" w:color="auto"/>
            <w:right w:val="none" w:sz="0" w:space="0" w:color="auto"/>
          </w:divBdr>
          <w:divsChild>
            <w:div w:id="1421220944">
              <w:marLeft w:val="0"/>
              <w:marRight w:val="0"/>
              <w:marTop w:val="0"/>
              <w:marBottom w:val="0"/>
              <w:divBdr>
                <w:top w:val="none" w:sz="0" w:space="0" w:color="auto"/>
                <w:left w:val="none" w:sz="0" w:space="0" w:color="auto"/>
                <w:bottom w:val="none" w:sz="0" w:space="0" w:color="auto"/>
                <w:right w:val="none" w:sz="0" w:space="0" w:color="auto"/>
              </w:divBdr>
            </w:div>
          </w:divsChild>
        </w:div>
        <w:div w:id="1308240652">
          <w:marLeft w:val="0"/>
          <w:marRight w:val="0"/>
          <w:marTop w:val="0"/>
          <w:marBottom w:val="0"/>
          <w:divBdr>
            <w:top w:val="none" w:sz="0" w:space="0" w:color="auto"/>
            <w:left w:val="none" w:sz="0" w:space="0" w:color="auto"/>
            <w:bottom w:val="none" w:sz="0" w:space="0" w:color="auto"/>
            <w:right w:val="none" w:sz="0" w:space="0" w:color="auto"/>
          </w:divBdr>
          <w:divsChild>
            <w:div w:id="389691785">
              <w:marLeft w:val="0"/>
              <w:marRight w:val="0"/>
              <w:marTop w:val="0"/>
              <w:marBottom w:val="0"/>
              <w:divBdr>
                <w:top w:val="none" w:sz="0" w:space="0" w:color="auto"/>
                <w:left w:val="none" w:sz="0" w:space="0" w:color="auto"/>
                <w:bottom w:val="none" w:sz="0" w:space="0" w:color="auto"/>
                <w:right w:val="none" w:sz="0" w:space="0" w:color="auto"/>
              </w:divBdr>
            </w:div>
          </w:divsChild>
        </w:div>
        <w:div w:id="1344358724">
          <w:marLeft w:val="0"/>
          <w:marRight w:val="0"/>
          <w:marTop w:val="0"/>
          <w:marBottom w:val="0"/>
          <w:divBdr>
            <w:top w:val="none" w:sz="0" w:space="0" w:color="auto"/>
            <w:left w:val="none" w:sz="0" w:space="0" w:color="auto"/>
            <w:bottom w:val="none" w:sz="0" w:space="0" w:color="auto"/>
            <w:right w:val="none" w:sz="0" w:space="0" w:color="auto"/>
          </w:divBdr>
          <w:divsChild>
            <w:div w:id="16275961">
              <w:marLeft w:val="0"/>
              <w:marRight w:val="0"/>
              <w:marTop w:val="0"/>
              <w:marBottom w:val="0"/>
              <w:divBdr>
                <w:top w:val="none" w:sz="0" w:space="0" w:color="auto"/>
                <w:left w:val="none" w:sz="0" w:space="0" w:color="auto"/>
                <w:bottom w:val="none" w:sz="0" w:space="0" w:color="auto"/>
                <w:right w:val="none" w:sz="0" w:space="0" w:color="auto"/>
              </w:divBdr>
            </w:div>
          </w:divsChild>
        </w:div>
        <w:div w:id="1348099391">
          <w:marLeft w:val="0"/>
          <w:marRight w:val="0"/>
          <w:marTop w:val="0"/>
          <w:marBottom w:val="0"/>
          <w:divBdr>
            <w:top w:val="none" w:sz="0" w:space="0" w:color="auto"/>
            <w:left w:val="none" w:sz="0" w:space="0" w:color="auto"/>
            <w:bottom w:val="none" w:sz="0" w:space="0" w:color="auto"/>
            <w:right w:val="none" w:sz="0" w:space="0" w:color="auto"/>
          </w:divBdr>
          <w:divsChild>
            <w:div w:id="1776632388">
              <w:marLeft w:val="0"/>
              <w:marRight w:val="0"/>
              <w:marTop w:val="0"/>
              <w:marBottom w:val="0"/>
              <w:divBdr>
                <w:top w:val="none" w:sz="0" w:space="0" w:color="auto"/>
                <w:left w:val="none" w:sz="0" w:space="0" w:color="auto"/>
                <w:bottom w:val="none" w:sz="0" w:space="0" w:color="auto"/>
                <w:right w:val="none" w:sz="0" w:space="0" w:color="auto"/>
              </w:divBdr>
            </w:div>
          </w:divsChild>
        </w:div>
        <w:div w:id="1349067143">
          <w:marLeft w:val="0"/>
          <w:marRight w:val="0"/>
          <w:marTop w:val="0"/>
          <w:marBottom w:val="0"/>
          <w:divBdr>
            <w:top w:val="none" w:sz="0" w:space="0" w:color="auto"/>
            <w:left w:val="none" w:sz="0" w:space="0" w:color="auto"/>
            <w:bottom w:val="none" w:sz="0" w:space="0" w:color="auto"/>
            <w:right w:val="none" w:sz="0" w:space="0" w:color="auto"/>
          </w:divBdr>
          <w:divsChild>
            <w:div w:id="1839805529">
              <w:marLeft w:val="0"/>
              <w:marRight w:val="0"/>
              <w:marTop w:val="0"/>
              <w:marBottom w:val="0"/>
              <w:divBdr>
                <w:top w:val="none" w:sz="0" w:space="0" w:color="auto"/>
                <w:left w:val="none" w:sz="0" w:space="0" w:color="auto"/>
                <w:bottom w:val="none" w:sz="0" w:space="0" w:color="auto"/>
                <w:right w:val="none" w:sz="0" w:space="0" w:color="auto"/>
              </w:divBdr>
            </w:div>
          </w:divsChild>
        </w:div>
        <w:div w:id="1430589037">
          <w:marLeft w:val="0"/>
          <w:marRight w:val="0"/>
          <w:marTop w:val="0"/>
          <w:marBottom w:val="0"/>
          <w:divBdr>
            <w:top w:val="none" w:sz="0" w:space="0" w:color="auto"/>
            <w:left w:val="none" w:sz="0" w:space="0" w:color="auto"/>
            <w:bottom w:val="none" w:sz="0" w:space="0" w:color="auto"/>
            <w:right w:val="none" w:sz="0" w:space="0" w:color="auto"/>
          </w:divBdr>
          <w:divsChild>
            <w:div w:id="79178137">
              <w:marLeft w:val="0"/>
              <w:marRight w:val="0"/>
              <w:marTop w:val="0"/>
              <w:marBottom w:val="0"/>
              <w:divBdr>
                <w:top w:val="none" w:sz="0" w:space="0" w:color="auto"/>
                <w:left w:val="none" w:sz="0" w:space="0" w:color="auto"/>
                <w:bottom w:val="none" w:sz="0" w:space="0" w:color="auto"/>
                <w:right w:val="none" w:sz="0" w:space="0" w:color="auto"/>
              </w:divBdr>
            </w:div>
          </w:divsChild>
        </w:div>
        <w:div w:id="1506166100">
          <w:marLeft w:val="0"/>
          <w:marRight w:val="0"/>
          <w:marTop w:val="0"/>
          <w:marBottom w:val="0"/>
          <w:divBdr>
            <w:top w:val="none" w:sz="0" w:space="0" w:color="auto"/>
            <w:left w:val="none" w:sz="0" w:space="0" w:color="auto"/>
            <w:bottom w:val="none" w:sz="0" w:space="0" w:color="auto"/>
            <w:right w:val="none" w:sz="0" w:space="0" w:color="auto"/>
          </w:divBdr>
          <w:divsChild>
            <w:div w:id="951211320">
              <w:marLeft w:val="0"/>
              <w:marRight w:val="0"/>
              <w:marTop w:val="0"/>
              <w:marBottom w:val="0"/>
              <w:divBdr>
                <w:top w:val="none" w:sz="0" w:space="0" w:color="auto"/>
                <w:left w:val="none" w:sz="0" w:space="0" w:color="auto"/>
                <w:bottom w:val="none" w:sz="0" w:space="0" w:color="auto"/>
                <w:right w:val="none" w:sz="0" w:space="0" w:color="auto"/>
              </w:divBdr>
            </w:div>
          </w:divsChild>
        </w:div>
        <w:div w:id="1548106676">
          <w:marLeft w:val="0"/>
          <w:marRight w:val="0"/>
          <w:marTop w:val="0"/>
          <w:marBottom w:val="0"/>
          <w:divBdr>
            <w:top w:val="none" w:sz="0" w:space="0" w:color="auto"/>
            <w:left w:val="none" w:sz="0" w:space="0" w:color="auto"/>
            <w:bottom w:val="none" w:sz="0" w:space="0" w:color="auto"/>
            <w:right w:val="none" w:sz="0" w:space="0" w:color="auto"/>
          </w:divBdr>
          <w:divsChild>
            <w:div w:id="58288868">
              <w:marLeft w:val="0"/>
              <w:marRight w:val="0"/>
              <w:marTop w:val="0"/>
              <w:marBottom w:val="0"/>
              <w:divBdr>
                <w:top w:val="none" w:sz="0" w:space="0" w:color="auto"/>
                <w:left w:val="none" w:sz="0" w:space="0" w:color="auto"/>
                <w:bottom w:val="none" w:sz="0" w:space="0" w:color="auto"/>
                <w:right w:val="none" w:sz="0" w:space="0" w:color="auto"/>
              </w:divBdr>
            </w:div>
          </w:divsChild>
        </w:div>
        <w:div w:id="1560559007">
          <w:marLeft w:val="0"/>
          <w:marRight w:val="0"/>
          <w:marTop w:val="0"/>
          <w:marBottom w:val="0"/>
          <w:divBdr>
            <w:top w:val="none" w:sz="0" w:space="0" w:color="auto"/>
            <w:left w:val="none" w:sz="0" w:space="0" w:color="auto"/>
            <w:bottom w:val="none" w:sz="0" w:space="0" w:color="auto"/>
            <w:right w:val="none" w:sz="0" w:space="0" w:color="auto"/>
          </w:divBdr>
          <w:divsChild>
            <w:div w:id="351881607">
              <w:marLeft w:val="0"/>
              <w:marRight w:val="0"/>
              <w:marTop w:val="0"/>
              <w:marBottom w:val="0"/>
              <w:divBdr>
                <w:top w:val="none" w:sz="0" w:space="0" w:color="auto"/>
                <w:left w:val="none" w:sz="0" w:space="0" w:color="auto"/>
                <w:bottom w:val="none" w:sz="0" w:space="0" w:color="auto"/>
                <w:right w:val="none" w:sz="0" w:space="0" w:color="auto"/>
              </w:divBdr>
            </w:div>
          </w:divsChild>
        </w:div>
        <w:div w:id="1635134261">
          <w:marLeft w:val="0"/>
          <w:marRight w:val="0"/>
          <w:marTop w:val="0"/>
          <w:marBottom w:val="0"/>
          <w:divBdr>
            <w:top w:val="none" w:sz="0" w:space="0" w:color="auto"/>
            <w:left w:val="none" w:sz="0" w:space="0" w:color="auto"/>
            <w:bottom w:val="none" w:sz="0" w:space="0" w:color="auto"/>
            <w:right w:val="none" w:sz="0" w:space="0" w:color="auto"/>
          </w:divBdr>
          <w:divsChild>
            <w:div w:id="1549486358">
              <w:marLeft w:val="0"/>
              <w:marRight w:val="0"/>
              <w:marTop w:val="0"/>
              <w:marBottom w:val="0"/>
              <w:divBdr>
                <w:top w:val="none" w:sz="0" w:space="0" w:color="auto"/>
                <w:left w:val="none" w:sz="0" w:space="0" w:color="auto"/>
                <w:bottom w:val="none" w:sz="0" w:space="0" w:color="auto"/>
                <w:right w:val="none" w:sz="0" w:space="0" w:color="auto"/>
              </w:divBdr>
            </w:div>
          </w:divsChild>
        </w:div>
        <w:div w:id="1638993118">
          <w:marLeft w:val="0"/>
          <w:marRight w:val="0"/>
          <w:marTop w:val="0"/>
          <w:marBottom w:val="0"/>
          <w:divBdr>
            <w:top w:val="none" w:sz="0" w:space="0" w:color="auto"/>
            <w:left w:val="none" w:sz="0" w:space="0" w:color="auto"/>
            <w:bottom w:val="none" w:sz="0" w:space="0" w:color="auto"/>
            <w:right w:val="none" w:sz="0" w:space="0" w:color="auto"/>
          </w:divBdr>
          <w:divsChild>
            <w:div w:id="93985903">
              <w:marLeft w:val="0"/>
              <w:marRight w:val="0"/>
              <w:marTop w:val="0"/>
              <w:marBottom w:val="0"/>
              <w:divBdr>
                <w:top w:val="none" w:sz="0" w:space="0" w:color="auto"/>
                <w:left w:val="none" w:sz="0" w:space="0" w:color="auto"/>
                <w:bottom w:val="none" w:sz="0" w:space="0" w:color="auto"/>
                <w:right w:val="none" w:sz="0" w:space="0" w:color="auto"/>
              </w:divBdr>
            </w:div>
          </w:divsChild>
        </w:div>
        <w:div w:id="1667243970">
          <w:marLeft w:val="0"/>
          <w:marRight w:val="0"/>
          <w:marTop w:val="0"/>
          <w:marBottom w:val="0"/>
          <w:divBdr>
            <w:top w:val="none" w:sz="0" w:space="0" w:color="auto"/>
            <w:left w:val="none" w:sz="0" w:space="0" w:color="auto"/>
            <w:bottom w:val="none" w:sz="0" w:space="0" w:color="auto"/>
            <w:right w:val="none" w:sz="0" w:space="0" w:color="auto"/>
          </w:divBdr>
          <w:divsChild>
            <w:div w:id="1695691996">
              <w:marLeft w:val="0"/>
              <w:marRight w:val="0"/>
              <w:marTop w:val="0"/>
              <w:marBottom w:val="0"/>
              <w:divBdr>
                <w:top w:val="none" w:sz="0" w:space="0" w:color="auto"/>
                <w:left w:val="none" w:sz="0" w:space="0" w:color="auto"/>
                <w:bottom w:val="none" w:sz="0" w:space="0" w:color="auto"/>
                <w:right w:val="none" w:sz="0" w:space="0" w:color="auto"/>
              </w:divBdr>
            </w:div>
          </w:divsChild>
        </w:div>
        <w:div w:id="1751535953">
          <w:marLeft w:val="0"/>
          <w:marRight w:val="0"/>
          <w:marTop w:val="0"/>
          <w:marBottom w:val="0"/>
          <w:divBdr>
            <w:top w:val="none" w:sz="0" w:space="0" w:color="auto"/>
            <w:left w:val="none" w:sz="0" w:space="0" w:color="auto"/>
            <w:bottom w:val="none" w:sz="0" w:space="0" w:color="auto"/>
            <w:right w:val="none" w:sz="0" w:space="0" w:color="auto"/>
          </w:divBdr>
          <w:divsChild>
            <w:div w:id="1188446515">
              <w:marLeft w:val="0"/>
              <w:marRight w:val="0"/>
              <w:marTop w:val="0"/>
              <w:marBottom w:val="0"/>
              <w:divBdr>
                <w:top w:val="none" w:sz="0" w:space="0" w:color="auto"/>
                <w:left w:val="none" w:sz="0" w:space="0" w:color="auto"/>
                <w:bottom w:val="none" w:sz="0" w:space="0" w:color="auto"/>
                <w:right w:val="none" w:sz="0" w:space="0" w:color="auto"/>
              </w:divBdr>
            </w:div>
          </w:divsChild>
        </w:div>
        <w:div w:id="1759255808">
          <w:marLeft w:val="0"/>
          <w:marRight w:val="0"/>
          <w:marTop w:val="0"/>
          <w:marBottom w:val="0"/>
          <w:divBdr>
            <w:top w:val="none" w:sz="0" w:space="0" w:color="auto"/>
            <w:left w:val="none" w:sz="0" w:space="0" w:color="auto"/>
            <w:bottom w:val="none" w:sz="0" w:space="0" w:color="auto"/>
            <w:right w:val="none" w:sz="0" w:space="0" w:color="auto"/>
          </w:divBdr>
          <w:divsChild>
            <w:div w:id="2027823526">
              <w:marLeft w:val="0"/>
              <w:marRight w:val="0"/>
              <w:marTop w:val="0"/>
              <w:marBottom w:val="0"/>
              <w:divBdr>
                <w:top w:val="none" w:sz="0" w:space="0" w:color="auto"/>
                <w:left w:val="none" w:sz="0" w:space="0" w:color="auto"/>
                <w:bottom w:val="none" w:sz="0" w:space="0" w:color="auto"/>
                <w:right w:val="none" w:sz="0" w:space="0" w:color="auto"/>
              </w:divBdr>
            </w:div>
          </w:divsChild>
        </w:div>
        <w:div w:id="1800566486">
          <w:marLeft w:val="0"/>
          <w:marRight w:val="0"/>
          <w:marTop w:val="0"/>
          <w:marBottom w:val="0"/>
          <w:divBdr>
            <w:top w:val="none" w:sz="0" w:space="0" w:color="auto"/>
            <w:left w:val="none" w:sz="0" w:space="0" w:color="auto"/>
            <w:bottom w:val="none" w:sz="0" w:space="0" w:color="auto"/>
            <w:right w:val="none" w:sz="0" w:space="0" w:color="auto"/>
          </w:divBdr>
          <w:divsChild>
            <w:div w:id="553467984">
              <w:marLeft w:val="0"/>
              <w:marRight w:val="0"/>
              <w:marTop w:val="0"/>
              <w:marBottom w:val="0"/>
              <w:divBdr>
                <w:top w:val="none" w:sz="0" w:space="0" w:color="auto"/>
                <w:left w:val="none" w:sz="0" w:space="0" w:color="auto"/>
                <w:bottom w:val="none" w:sz="0" w:space="0" w:color="auto"/>
                <w:right w:val="none" w:sz="0" w:space="0" w:color="auto"/>
              </w:divBdr>
            </w:div>
          </w:divsChild>
        </w:div>
        <w:div w:id="1865749727">
          <w:marLeft w:val="0"/>
          <w:marRight w:val="0"/>
          <w:marTop w:val="0"/>
          <w:marBottom w:val="0"/>
          <w:divBdr>
            <w:top w:val="none" w:sz="0" w:space="0" w:color="auto"/>
            <w:left w:val="none" w:sz="0" w:space="0" w:color="auto"/>
            <w:bottom w:val="none" w:sz="0" w:space="0" w:color="auto"/>
            <w:right w:val="none" w:sz="0" w:space="0" w:color="auto"/>
          </w:divBdr>
          <w:divsChild>
            <w:div w:id="1768693188">
              <w:marLeft w:val="0"/>
              <w:marRight w:val="0"/>
              <w:marTop w:val="0"/>
              <w:marBottom w:val="0"/>
              <w:divBdr>
                <w:top w:val="none" w:sz="0" w:space="0" w:color="auto"/>
                <w:left w:val="none" w:sz="0" w:space="0" w:color="auto"/>
                <w:bottom w:val="none" w:sz="0" w:space="0" w:color="auto"/>
                <w:right w:val="none" w:sz="0" w:space="0" w:color="auto"/>
              </w:divBdr>
            </w:div>
          </w:divsChild>
        </w:div>
        <w:div w:id="1988900870">
          <w:marLeft w:val="0"/>
          <w:marRight w:val="0"/>
          <w:marTop w:val="0"/>
          <w:marBottom w:val="0"/>
          <w:divBdr>
            <w:top w:val="none" w:sz="0" w:space="0" w:color="auto"/>
            <w:left w:val="none" w:sz="0" w:space="0" w:color="auto"/>
            <w:bottom w:val="none" w:sz="0" w:space="0" w:color="auto"/>
            <w:right w:val="none" w:sz="0" w:space="0" w:color="auto"/>
          </w:divBdr>
          <w:divsChild>
            <w:div w:id="389690174">
              <w:marLeft w:val="0"/>
              <w:marRight w:val="0"/>
              <w:marTop w:val="0"/>
              <w:marBottom w:val="0"/>
              <w:divBdr>
                <w:top w:val="none" w:sz="0" w:space="0" w:color="auto"/>
                <w:left w:val="none" w:sz="0" w:space="0" w:color="auto"/>
                <w:bottom w:val="none" w:sz="0" w:space="0" w:color="auto"/>
                <w:right w:val="none" w:sz="0" w:space="0" w:color="auto"/>
              </w:divBdr>
            </w:div>
          </w:divsChild>
        </w:div>
        <w:div w:id="2019309546">
          <w:marLeft w:val="0"/>
          <w:marRight w:val="0"/>
          <w:marTop w:val="0"/>
          <w:marBottom w:val="0"/>
          <w:divBdr>
            <w:top w:val="none" w:sz="0" w:space="0" w:color="auto"/>
            <w:left w:val="none" w:sz="0" w:space="0" w:color="auto"/>
            <w:bottom w:val="none" w:sz="0" w:space="0" w:color="auto"/>
            <w:right w:val="none" w:sz="0" w:space="0" w:color="auto"/>
          </w:divBdr>
          <w:divsChild>
            <w:div w:id="1827479520">
              <w:marLeft w:val="0"/>
              <w:marRight w:val="0"/>
              <w:marTop w:val="0"/>
              <w:marBottom w:val="0"/>
              <w:divBdr>
                <w:top w:val="none" w:sz="0" w:space="0" w:color="auto"/>
                <w:left w:val="none" w:sz="0" w:space="0" w:color="auto"/>
                <w:bottom w:val="none" w:sz="0" w:space="0" w:color="auto"/>
                <w:right w:val="none" w:sz="0" w:space="0" w:color="auto"/>
              </w:divBdr>
            </w:div>
          </w:divsChild>
        </w:div>
        <w:div w:id="2031032200">
          <w:marLeft w:val="0"/>
          <w:marRight w:val="0"/>
          <w:marTop w:val="0"/>
          <w:marBottom w:val="0"/>
          <w:divBdr>
            <w:top w:val="none" w:sz="0" w:space="0" w:color="auto"/>
            <w:left w:val="none" w:sz="0" w:space="0" w:color="auto"/>
            <w:bottom w:val="none" w:sz="0" w:space="0" w:color="auto"/>
            <w:right w:val="none" w:sz="0" w:space="0" w:color="auto"/>
          </w:divBdr>
          <w:divsChild>
            <w:div w:id="693002303">
              <w:marLeft w:val="0"/>
              <w:marRight w:val="0"/>
              <w:marTop w:val="0"/>
              <w:marBottom w:val="0"/>
              <w:divBdr>
                <w:top w:val="none" w:sz="0" w:space="0" w:color="auto"/>
                <w:left w:val="none" w:sz="0" w:space="0" w:color="auto"/>
                <w:bottom w:val="none" w:sz="0" w:space="0" w:color="auto"/>
                <w:right w:val="none" w:sz="0" w:space="0" w:color="auto"/>
              </w:divBdr>
            </w:div>
          </w:divsChild>
        </w:div>
        <w:div w:id="2054621666">
          <w:marLeft w:val="0"/>
          <w:marRight w:val="0"/>
          <w:marTop w:val="0"/>
          <w:marBottom w:val="0"/>
          <w:divBdr>
            <w:top w:val="none" w:sz="0" w:space="0" w:color="auto"/>
            <w:left w:val="none" w:sz="0" w:space="0" w:color="auto"/>
            <w:bottom w:val="none" w:sz="0" w:space="0" w:color="auto"/>
            <w:right w:val="none" w:sz="0" w:space="0" w:color="auto"/>
          </w:divBdr>
          <w:divsChild>
            <w:div w:id="1539855239">
              <w:marLeft w:val="0"/>
              <w:marRight w:val="0"/>
              <w:marTop w:val="0"/>
              <w:marBottom w:val="0"/>
              <w:divBdr>
                <w:top w:val="none" w:sz="0" w:space="0" w:color="auto"/>
                <w:left w:val="none" w:sz="0" w:space="0" w:color="auto"/>
                <w:bottom w:val="none" w:sz="0" w:space="0" w:color="auto"/>
                <w:right w:val="none" w:sz="0" w:space="0" w:color="auto"/>
              </w:divBdr>
            </w:div>
          </w:divsChild>
        </w:div>
        <w:div w:id="2104303476">
          <w:marLeft w:val="0"/>
          <w:marRight w:val="0"/>
          <w:marTop w:val="0"/>
          <w:marBottom w:val="0"/>
          <w:divBdr>
            <w:top w:val="none" w:sz="0" w:space="0" w:color="auto"/>
            <w:left w:val="none" w:sz="0" w:space="0" w:color="auto"/>
            <w:bottom w:val="none" w:sz="0" w:space="0" w:color="auto"/>
            <w:right w:val="none" w:sz="0" w:space="0" w:color="auto"/>
          </w:divBdr>
          <w:divsChild>
            <w:div w:id="124545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8548">
      <w:bodyDiv w:val="1"/>
      <w:marLeft w:val="0"/>
      <w:marRight w:val="0"/>
      <w:marTop w:val="0"/>
      <w:marBottom w:val="0"/>
      <w:divBdr>
        <w:top w:val="none" w:sz="0" w:space="0" w:color="auto"/>
        <w:left w:val="none" w:sz="0" w:space="0" w:color="auto"/>
        <w:bottom w:val="none" w:sz="0" w:space="0" w:color="auto"/>
        <w:right w:val="none" w:sz="0" w:space="0" w:color="auto"/>
      </w:divBdr>
    </w:div>
    <w:div w:id="186067890">
      <w:bodyDiv w:val="1"/>
      <w:marLeft w:val="0"/>
      <w:marRight w:val="0"/>
      <w:marTop w:val="0"/>
      <w:marBottom w:val="0"/>
      <w:divBdr>
        <w:top w:val="none" w:sz="0" w:space="0" w:color="auto"/>
        <w:left w:val="none" w:sz="0" w:space="0" w:color="auto"/>
        <w:bottom w:val="none" w:sz="0" w:space="0" w:color="auto"/>
        <w:right w:val="none" w:sz="0" w:space="0" w:color="auto"/>
      </w:divBdr>
    </w:div>
    <w:div w:id="197353627">
      <w:bodyDiv w:val="1"/>
      <w:marLeft w:val="0"/>
      <w:marRight w:val="0"/>
      <w:marTop w:val="0"/>
      <w:marBottom w:val="0"/>
      <w:divBdr>
        <w:top w:val="none" w:sz="0" w:space="0" w:color="auto"/>
        <w:left w:val="none" w:sz="0" w:space="0" w:color="auto"/>
        <w:bottom w:val="none" w:sz="0" w:space="0" w:color="auto"/>
        <w:right w:val="none" w:sz="0" w:space="0" w:color="auto"/>
      </w:divBdr>
    </w:div>
    <w:div w:id="202913189">
      <w:bodyDiv w:val="1"/>
      <w:marLeft w:val="0"/>
      <w:marRight w:val="0"/>
      <w:marTop w:val="0"/>
      <w:marBottom w:val="0"/>
      <w:divBdr>
        <w:top w:val="none" w:sz="0" w:space="0" w:color="auto"/>
        <w:left w:val="none" w:sz="0" w:space="0" w:color="auto"/>
        <w:bottom w:val="none" w:sz="0" w:space="0" w:color="auto"/>
        <w:right w:val="none" w:sz="0" w:space="0" w:color="auto"/>
      </w:divBdr>
    </w:div>
    <w:div w:id="218978561">
      <w:bodyDiv w:val="1"/>
      <w:marLeft w:val="0"/>
      <w:marRight w:val="0"/>
      <w:marTop w:val="0"/>
      <w:marBottom w:val="0"/>
      <w:divBdr>
        <w:top w:val="none" w:sz="0" w:space="0" w:color="auto"/>
        <w:left w:val="none" w:sz="0" w:space="0" w:color="auto"/>
        <w:bottom w:val="none" w:sz="0" w:space="0" w:color="auto"/>
        <w:right w:val="none" w:sz="0" w:space="0" w:color="auto"/>
      </w:divBdr>
    </w:div>
    <w:div w:id="252401579">
      <w:bodyDiv w:val="1"/>
      <w:marLeft w:val="0"/>
      <w:marRight w:val="0"/>
      <w:marTop w:val="0"/>
      <w:marBottom w:val="0"/>
      <w:divBdr>
        <w:top w:val="none" w:sz="0" w:space="0" w:color="auto"/>
        <w:left w:val="none" w:sz="0" w:space="0" w:color="auto"/>
        <w:bottom w:val="none" w:sz="0" w:space="0" w:color="auto"/>
        <w:right w:val="none" w:sz="0" w:space="0" w:color="auto"/>
      </w:divBdr>
      <w:divsChild>
        <w:div w:id="14116243">
          <w:marLeft w:val="0"/>
          <w:marRight w:val="0"/>
          <w:marTop w:val="0"/>
          <w:marBottom w:val="0"/>
          <w:divBdr>
            <w:top w:val="none" w:sz="0" w:space="0" w:color="auto"/>
            <w:left w:val="none" w:sz="0" w:space="0" w:color="auto"/>
            <w:bottom w:val="none" w:sz="0" w:space="0" w:color="auto"/>
            <w:right w:val="none" w:sz="0" w:space="0" w:color="auto"/>
          </w:divBdr>
          <w:divsChild>
            <w:div w:id="192891277">
              <w:marLeft w:val="0"/>
              <w:marRight w:val="0"/>
              <w:marTop w:val="0"/>
              <w:marBottom w:val="0"/>
              <w:divBdr>
                <w:top w:val="none" w:sz="0" w:space="0" w:color="auto"/>
                <w:left w:val="none" w:sz="0" w:space="0" w:color="auto"/>
                <w:bottom w:val="none" w:sz="0" w:space="0" w:color="auto"/>
                <w:right w:val="none" w:sz="0" w:space="0" w:color="auto"/>
              </w:divBdr>
            </w:div>
            <w:div w:id="218366169">
              <w:marLeft w:val="0"/>
              <w:marRight w:val="0"/>
              <w:marTop w:val="0"/>
              <w:marBottom w:val="0"/>
              <w:divBdr>
                <w:top w:val="none" w:sz="0" w:space="0" w:color="auto"/>
                <w:left w:val="none" w:sz="0" w:space="0" w:color="auto"/>
                <w:bottom w:val="none" w:sz="0" w:space="0" w:color="auto"/>
                <w:right w:val="none" w:sz="0" w:space="0" w:color="auto"/>
              </w:divBdr>
            </w:div>
            <w:div w:id="223416431">
              <w:marLeft w:val="0"/>
              <w:marRight w:val="0"/>
              <w:marTop w:val="0"/>
              <w:marBottom w:val="0"/>
              <w:divBdr>
                <w:top w:val="none" w:sz="0" w:space="0" w:color="auto"/>
                <w:left w:val="none" w:sz="0" w:space="0" w:color="auto"/>
                <w:bottom w:val="none" w:sz="0" w:space="0" w:color="auto"/>
                <w:right w:val="none" w:sz="0" w:space="0" w:color="auto"/>
              </w:divBdr>
            </w:div>
            <w:div w:id="307826357">
              <w:marLeft w:val="0"/>
              <w:marRight w:val="0"/>
              <w:marTop w:val="0"/>
              <w:marBottom w:val="0"/>
              <w:divBdr>
                <w:top w:val="none" w:sz="0" w:space="0" w:color="auto"/>
                <w:left w:val="none" w:sz="0" w:space="0" w:color="auto"/>
                <w:bottom w:val="none" w:sz="0" w:space="0" w:color="auto"/>
                <w:right w:val="none" w:sz="0" w:space="0" w:color="auto"/>
              </w:divBdr>
            </w:div>
            <w:div w:id="310863437">
              <w:marLeft w:val="0"/>
              <w:marRight w:val="0"/>
              <w:marTop w:val="0"/>
              <w:marBottom w:val="0"/>
              <w:divBdr>
                <w:top w:val="none" w:sz="0" w:space="0" w:color="auto"/>
                <w:left w:val="none" w:sz="0" w:space="0" w:color="auto"/>
                <w:bottom w:val="none" w:sz="0" w:space="0" w:color="auto"/>
                <w:right w:val="none" w:sz="0" w:space="0" w:color="auto"/>
              </w:divBdr>
            </w:div>
            <w:div w:id="348721943">
              <w:marLeft w:val="0"/>
              <w:marRight w:val="0"/>
              <w:marTop w:val="0"/>
              <w:marBottom w:val="0"/>
              <w:divBdr>
                <w:top w:val="none" w:sz="0" w:space="0" w:color="auto"/>
                <w:left w:val="none" w:sz="0" w:space="0" w:color="auto"/>
                <w:bottom w:val="none" w:sz="0" w:space="0" w:color="auto"/>
                <w:right w:val="none" w:sz="0" w:space="0" w:color="auto"/>
              </w:divBdr>
            </w:div>
            <w:div w:id="421876781">
              <w:marLeft w:val="0"/>
              <w:marRight w:val="0"/>
              <w:marTop w:val="0"/>
              <w:marBottom w:val="0"/>
              <w:divBdr>
                <w:top w:val="none" w:sz="0" w:space="0" w:color="auto"/>
                <w:left w:val="none" w:sz="0" w:space="0" w:color="auto"/>
                <w:bottom w:val="none" w:sz="0" w:space="0" w:color="auto"/>
                <w:right w:val="none" w:sz="0" w:space="0" w:color="auto"/>
              </w:divBdr>
            </w:div>
            <w:div w:id="632368400">
              <w:marLeft w:val="0"/>
              <w:marRight w:val="0"/>
              <w:marTop w:val="0"/>
              <w:marBottom w:val="0"/>
              <w:divBdr>
                <w:top w:val="none" w:sz="0" w:space="0" w:color="auto"/>
                <w:left w:val="none" w:sz="0" w:space="0" w:color="auto"/>
                <w:bottom w:val="none" w:sz="0" w:space="0" w:color="auto"/>
                <w:right w:val="none" w:sz="0" w:space="0" w:color="auto"/>
              </w:divBdr>
            </w:div>
            <w:div w:id="802650654">
              <w:marLeft w:val="0"/>
              <w:marRight w:val="0"/>
              <w:marTop w:val="0"/>
              <w:marBottom w:val="0"/>
              <w:divBdr>
                <w:top w:val="none" w:sz="0" w:space="0" w:color="auto"/>
                <w:left w:val="none" w:sz="0" w:space="0" w:color="auto"/>
                <w:bottom w:val="none" w:sz="0" w:space="0" w:color="auto"/>
                <w:right w:val="none" w:sz="0" w:space="0" w:color="auto"/>
              </w:divBdr>
            </w:div>
            <w:div w:id="1046678951">
              <w:marLeft w:val="0"/>
              <w:marRight w:val="0"/>
              <w:marTop w:val="0"/>
              <w:marBottom w:val="0"/>
              <w:divBdr>
                <w:top w:val="none" w:sz="0" w:space="0" w:color="auto"/>
                <w:left w:val="none" w:sz="0" w:space="0" w:color="auto"/>
                <w:bottom w:val="none" w:sz="0" w:space="0" w:color="auto"/>
                <w:right w:val="none" w:sz="0" w:space="0" w:color="auto"/>
              </w:divBdr>
            </w:div>
            <w:div w:id="1098524141">
              <w:marLeft w:val="0"/>
              <w:marRight w:val="0"/>
              <w:marTop w:val="0"/>
              <w:marBottom w:val="0"/>
              <w:divBdr>
                <w:top w:val="none" w:sz="0" w:space="0" w:color="auto"/>
                <w:left w:val="none" w:sz="0" w:space="0" w:color="auto"/>
                <w:bottom w:val="none" w:sz="0" w:space="0" w:color="auto"/>
                <w:right w:val="none" w:sz="0" w:space="0" w:color="auto"/>
              </w:divBdr>
            </w:div>
            <w:div w:id="1109861593">
              <w:marLeft w:val="0"/>
              <w:marRight w:val="0"/>
              <w:marTop w:val="0"/>
              <w:marBottom w:val="0"/>
              <w:divBdr>
                <w:top w:val="none" w:sz="0" w:space="0" w:color="auto"/>
                <w:left w:val="none" w:sz="0" w:space="0" w:color="auto"/>
                <w:bottom w:val="none" w:sz="0" w:space="0" w:color="auto"/>
                <w:right w:val="none" w:sz="0" w:space="0" w:color="auto"/>
              </w:divBdr>
            </w:div>
            <w:div w:id="1141993674">
              <w:marLeft w:val="0"/>
              <w:marRight w:val="0"/>
              <w:marTop w:val="0"/>
              <w:marBottom w:val="0"/>
              <w:divBdr>
                <w:top w:val="none" w:sz="0" w:space="0" w:color="auto"/>
                <w:left w:val="none" w:sz="0" w:space="0" w:color="auto"/>
                <w:bottom w:val="none" w:sz="0" w:space="0" w:color="auto"/>
                <w:right w:val="none" w:sz="0" w:space="0" w:color="auto"/>
              </w:divBdr>
            </w:div>
            <w:div w:id="1308048138">
              <w:marLeft w:val="0"/>
              <w:marRight w:val="0"/>
              <w:marTop w:val="0"/>
              <w:marBottom w:val="0"/>
              <w:divBdr>
                <w:top w:val="none" w:sz="0" w:space="0" w:color="auto"/>
                <w:left w:val="none" w:sz="0" w:space="0" w:color="auto"/>
                <w:bottom w:val="none" w:sz="0" w:space="0" w:color="auto"/>
                <w:right w:val="none" w:sz="0" w:space="0" w:color="auto"/>
              </w:divBdr>
            </w:div>
            <w:div w:id="1438477356">
              <w:marLeft w:val="0"/>
              <w:marRight w:val="0"/>
              <w:marTop w:val="0"/>
              <w:marBottom w:val="0"/>
              <w:divBdr>
                <w:top w:val="none" w:sz="0" w:space="0" w:color="auto"/>
                <w:left w:val="none" w:sz="0" w:space="0" w:color="auto"/>
                <w:bottom w:val="none" w:sz="0" w:space="0" w:color="auto"/>
                <w:right w:val="none" w:sz="0" w:space="0" w:color="auto"/>
              </w:divBdr>
            </w:div>
            <w:div w:id="1456367173">
              <w:marLeft w:val="0"/>
              <w:marRight w:val="0"/>
              <w:marTop w:val="0"/>
              <w:marBottom w:val="0"/>
              <w:divBdr>
                <w:top w:val="none" w:sz="0" w:space="0" w:color="auto"/>
                <w:left w:val="none" w:sz="0" w:space="0" w:color="auto"/>
                <w:bottom w:val="none" w:sz="0" w:space="0" w:color="auto"/>
                <w:right w:val="none" w:sz="0" w:space="0" w:color="auto"/>
              </w:divBdr>
            </w:div>
            <w:div w:id="1733305480">
              <w:marLeft w:val="0"/>
              <w:marRight w:val="0"/>
              <w:marTop w:val="0"/>
              <w:marBottom w:val="0"/>
              <w:divBdr>
                <w:top w:val="none" w:sz="0" w:space="0" w:color="auto"/>
                <w:left w:val="none" w:sz="0" w:space="0" w:color="auto"/>
                <w:bottom w:val="none" w:sz="0" w:space="0" w:color="auto"/>
                <w:right w:val="none" w:sz="0" w:space="0" w:color="auto"/>
              </w:divBdr>
            </w:div>
            <w:div w:id="1749381425">
              <w:marLeft w:val="0"/>
              <w:marRight w:val="0"/>
              <w:marTop w:val="0"/>
              <w:marBottom w:val="0"/>
              <w:divBdr>
                <w:top w:val="none" w:sz="0" w:space="0" w:color="auto"/>
                <w:left w:val="none" w:sz="0" w:space="0" w:color="auto"/>
                <w:bottom w:val="none" w:sz="0" w:space="0" w:color="auto"/>
                <w:right w:val="none" w:sz="0" w:space="0" w:color="auto"/>
              </w:divBdr>
            </w:div>
            <w:div w:id="1906065716">
              <w:marLeft w:val="0"/>
              <w:marRight w:val="0"/>
              <w:marTop w:val="0"/>
              <w:marBottom w:val="0"/>
              <w:divBdr>
                <w:top w:val="none" w:sz="0" w:space="0" w:color="auto"/>
                <w:left w:val="none" w:sz="0" w:space="0" w:color="auto"/>
                <w:bottom w:val="none" w:sz="0" w:space="0" w:color="auto"/>
                <w:right w:val="none" w:sz="0" w:space="0" w:color="auto"/>
              </w:divBdr>
            </w:div>
            <w:div w:id="2115053746">
              <w:marLeft w:val="0"/>
              <w:marRight w:val="0"/>
              <w:marTop w:val="0"/>
              <w:marBottom w:val="0"/>
              <w:divBdr>
                <w:top w:val="none" w:sz="0" w:space="0" w:color="auto"/>
                <w:left w:val="none" w:sz="0" w:space="0" w:color="auto"/>
                <w:bottom w:val="none" w:sz="0" w:space="0" w:color="auto"/>
                <w:right w:val="none" w:sz="0" w:space="0" w:color="auto"/>
              </w:divBdr>
            </w:div>
          </w:divsChild>
        </w:div>
        <w:div w:id="44068699">
          <w:marLeft w:val="0"/>
          <w:marRight w:val="0"/>
          <w:marTop w:val="0"/>
          <w:marBottom w:val="0"/>
          <w:divBdr>
            <w:top w:val="none" w:sz="0" w:space="0" w:color="auto"/>
            <w:left w:val="none" w:sz="0" w:space="0" w:color="auto"/>
            <w:bottom w:val="none" w:sz="0" w:space="0" w:color="auto"/>
            <w:right w:val="none" w:sz="0" w:space="0" w:color="auto"/>
          </w:divBdr>
        </w:div>
        <w:div w:id="150873149">
          <w:marLeft w:val="0"/>
          <w:marRight w:val="0"/>
          <w:marTop w:val="0"/>
          <w:marBottom w:val="0"/>
          <w:divBdr>
            <w:top w:val="none" w:sz="0" w:space="0" w:color="auto"/>
            <w:left w:val="none" w:sz="0" w:space="0" w:color="auto"/>
            <w:bottom w:val="none" w:sz="0" w:space="0" w:color="auto"/>
            <w:right w:val="none" w:sz="0" w:space="0" w:color="auto"/>
          </w:divBdr>
        </w:div>
        <w:div w:id="192034269">
          <w:marLeft w:val="0"/>
          <w:marRight w:val="0"/>
          <w:marTop w:val="0"/>
          <w:marBottom w:val="0"/>
          <w:divBdr>
            <w:top w:val="none" w:sz="0" w:space="0" w:color="auto"/>
            <w:left w:val="none" w:sz="0" w:space="0" w:color="auto"/>
            <w:bottom w:val="none" w:sz="0" w:space="0" w:color="auto"/>
            <w:right w:val="none" w:sz="0" w:space="0" w:color="auto"/>
          </w:divBdr>
        </w:div>
        <w:div w:id="309142614">
          <w:marLeft w:val="0"/>
          <w:marRight w:val="0"/>
          <w:marTop w:val="0"/>
          <w:marBottom w:val="0"/>
          <w:divBdr>
            <w:top w:val="none" w:sz="0" w:space="0" w:color="auto"/>
            <w:left w:val="none" w:sz="0" w:space="0" w:color="auto"/>
            <w:bottom w:val="none" w:sz="0" w:space="0" w:color="auto"/>
            <w:right w:val="none" w:sz="0" w:space="0" w:color="auto"/>
          </w:divBdr>
        </w:div>
        <w:div w:id="352196451">
          <w:marLeft w:val="0"/>
          <w:marRight w:val="0"/>
          <w:marTop w:val="0"/>
          <w:marBottom w:val="0"/>
          <w:divBdr>
            <w:top w:val="none" w:sz="0" w:space="0" w:color="auto"/>
            <w:left w:val="none" w:sz="0" w:space="0" w:color="auto"/>
            <w:bottom w:val="none" w:sz="0" w:space="0" w:color="auto"/>
            <w:right w:val="none" w:sz="0" w:space="0" w:color="auto"/>
          </w:divBdr>
        </w:div>
        <w:div w:id="430009484">
          <w:marLeft w:val="0"/>
          <w:marRight w:val="0"/>
          <w:marTop w:val="0"/>
          <w:marBottom w:val="0"/>
          <w:divBdr>
            <w:top w:val="none" w:sz="0" w:space="0" w:color="auto"/>
            <w:left w:val="none" w:sz="0" w:space="0" w:color="auto"/>
            <w:bottom w:val="none" w:sz="0" w:space="0" w:color="auto"/>
            <w:right w:val="none" w:sz="0" w:space="0" w:color="auto"/>
          </w:divBdr>
        </w:div>
        <w:div w:id="466699810">
          <w:marLeft w:val="0"/>
          <w:marRight w:val="0"/>
          <w:marTop w:val="0"/>
          <w:marBottom w:val="0"/>
          <w:divBdr>
            <w:top w:val="none" w:sz="0" w:space="0" w:color="auto"/>
            <w:left w:val="none" w:sz="0" w:space="0" w:color="auto"/>
            <w:bottom w:val="none" w:sz="0" w:space="0" w:color="auto"/>
            <w:right w:val="none" w:sz="0" w:space="0" w:color="auto"/>
          </w:divBdr>
        </w:div>
        <w:div w:id="491023173">
          <w:marLeft w:val="0"/>
          <w:marRight w:val="0"/>
          <w:marTop w:val="0"/>
          <w:marBottom w:val="0"/>
          <w:divBdr>
            <w:top w:val="none" w:sz="0" w:space="0" w:color="auto"/>
            <w:left w:val="none" w:sz="0" w:space="0" w:color="auto"/>
            <w:bottom w:val="none" w:sz="0" w:space="0" w:color="auto"/>
            <w:right w:val="none" w:sz="0" w:space="0" w:color="auto"/>
          </w:divBdr>
        </w:div>
        <w:div w:id="726882717">
          <w:marLeft w:val="0"/>
          <w:marRight w:val="0"/>
          <w:marTop w:val="0"/>
          <w:marBottom w:val="0"/>
          <w:divBdr>
            <w:top w:val="none" w:sz="0" w:space="0" w:color="auto"/>
            <w:left w:val="none" w:sz="0" w:space="0" w:color="auto"/>
            <w:bottom w:val="none" w:sz="0" w:space="0" w:color="auto"/>
            <w:right w:val="none" w:sz="0" w:space="0" w:color="auto"/>
          </w:divBdr>
        </w:div>
        <w:div w:id="847598878">
          <w:marLeft w:val="0"/>
          <w:marRight w:val="0"/>
          <w:marTop w:val="0"/>
          <w:marBottom w:val="0"/>
          <w:divBdr>
            <w:top w:val="none" w:sz="0" w:space="0" w:color="auto"/>
            <w:left w:val="none" w:sz="0" w:space="0" w:color="auto"/>
            <w:bottom w:val="none" w:sz="0" w:space="0" w:color="auto"/>
            <w:right w:val="none" w:sz="0" w:space="0" w:color="auto"/>
          </w:divBdr>
        </w:div>
        <w:div w:id="892161276">
          <w:marLeft w:val="0"/>
          <w:marRight w:val="0"/>
          <w:marTop w:val="0"/>
          <w:marBottom w:val="0"/>
          <w:divBdr>
            <w:top w:val="none" w:sz="0" w:space="0" w:color="auto"/>
            <w:left w:val="none" w:sz="0" w:space="0" w:color="auto"/>
            <w:bottom w:val="none" w:sz="0" w:space="0" w:color="auto"/>
            <w:right w:val="none" w:sz="0" w:space="0" w:color="auto"/>
          </w:divBdr>
        </w:div>
        <w:div w:id="924999763">
          <w:marLeft w:val="0"/>
          <w:marRight w:val="0"/>
          <w:marTop w:val="0"/>
          <w:marBottom w:val="0"/>
          <w:divBdr>
            <w:top w:val="none" w:sz="0" w:space="0" w:color="auto"/>
            <w:left w:val="none" w:sz="0" w:space="0" w:color="auto"/>
            <w:bottom w:val="none" w:sz="0" w:space="0" w:color="auto"/>
            <w:right w:val="none" w:sz="0" w:space="0" w:color="auto"/>
          </w:divBdr>
          <w:divsChild>
            <w:div w:id="1331328493">
              <w:marLeft w:val="-75"/>
              <w:marRight w:val="0"/>
              <w:marTop w:val="30"/>
              <w:marBottom w:val="30"/>
              <w:divBdr>
                <w:top w:val="none" w:sz="0" w:space="0" w:color="auto"/>
                <w:left w:val="none" w:sz="0" w:space="0" w:color="auto"/>
                <w:bottom w:val="none" w:sz="0" w:space="0" w:color="auto"/>
                <w:right w:val="none" w:sz="0" w:space="0" w:color="auto"/>
              </w:divBdr>
              <w:divsChild>
                <w:div w:id="11807032">
                  <w:marLeft w:val="0"/>
                  <w:marRight w:val="0"/>
                  <w:marTop w:val="0"/>
                  <w:marBottom w:val="0"/>
                  <w:divBdr>
                    <w:top w:val="none" w:sz="0" w:space="0" w:color="auto"/>
                    <w:left w:val="none" w:sz="0" w:space="0" w:color="auto"/>
                    <w:bottom w:val="none" w:sz="0" w:space="0" w:color="auto"/>
                    <w:right w:val="none" w:sz="0" w:space="0" w:color="auto"/>
                  </w:divBdr>
                  <w:divsChild>
                    <w:div w:id="848561412">
                      <w:marLeft w:val="0"/>
                      <w:marRight w:val="0"/>
                      <w:marTop w:val="0"/>
                      <w:marBottom w:val="0"/>
                      <w:divBdr>
                        <w:top w:val="none" w:sz="0" w:space="0" w:color="auto"/>
                        <w:left w:val="none" w:sz="0" w:space="0" w:color="auto"/>
                        <w:bottom w:val="none" w:sz="0" w:space="0" w:color="auto"/>
                        <w:right w:val="none" w:sz="0" w:space="0" w:color="auto"/>
                      </w:divBdr>
                    </w:div>
                  </w:divsChild>
                </w:div>
                <w:div w:id="45226522">
                  <w:marLeft w:val="0"/>
                  <w:marRight w:val="0"/>
                  <w:marTop w:val="0"/>
                  <w:marBottom w:val="0"/>
                  <w:divBdr>
                    <w:top w:val="none" w:sz="0" w:space="0" w:color="auto"/>
                    <w:left w:val="none" w:sz="0" w:space="0" w:color="auto"/>
                    <w:bottom w:val="none" w:sz="0" w:space="0" w:color="auto"/>
                    <w:right w:val="none" w:sz="0" w:space="0" w:color="auto"/>
                  </w:divBdr>
                  <w:divsChild>
                    <w:div w:id="1865749202">
                      <w:marLeft w:val="0"/>
                      <w:marRight w:val="0"/>
                      <w:marTop w:val="0"/>
                      <w:marBottom w:val="0"/>
                      <w:divBdr>
                        <w:top w:val="none" w:sz="0" w:space="0" w:color="auto"/>
                        <w:left w:val="none" w:sz="0" w:space="0" w:color="auto"/>
                        <w:bottom w:val="none" w:sz="0" w:space="0" w:color="auto"/>
                        <w:right w:val="none" w:sz="0" w:space="0" w:color="auto"/>
                      </w:divBdr>
                    </w:div>
                  </w:divsChild>
                </w:div>
                <w:div w:id="247927671">
                  <w:marLeft w:val="0"/>
                  <w:marRight w:val="0"/>
                  <w:marTop w:val="0"/>
                  <w:marBottom w:val="0"/>
                  <w:divBdr>
                    <w:top w:val="none" w:sz="0" w:space="0" w:color="auto"/>
                    <w:left w:val="none" w:sz="0" w:space="0" w:color="auto"/>
                    <w:bottom w:val="none" w:sz="0" w:space="0" w:color="auto"/>
                    <w:right w:val="none" w:sz="0" w:space="0" w:color="auto"/>
                  </w:divBdr>
                  <w:divsChild>
                    <w:div w:id="641496323">
                      <w:marLeft w:val="0"/>
                      <w:marRight w:val="0"/>
                      <w:marTop w:val="0"/>
                      <w:marBottom w:val="0"/>
                      <w:divBdr>
                        <w:top w:val="none" w:sz="0" w:space="0" w:color="auto"/>
                        <w:left w:val="none" w:sz="0" w:space="0" w:color="auto"/>
                        <w:bottom w:val="none" w:sz="0" w:space="0" w:color="auto"/>
                        <w:right w:val="none" w:sz="0" w:space="0" w:color="auto"/>
                      </w:divBdr>
                    </w:div>
                  </w:divsChild>
                </w:div>
                <w:div w:id="455608313">
                  <w:marLeft w:val="0"/>
                  <w:marRight w:val="0"/>
                  <w:marTop w:val="0"/>
                  <w:marBottom w:val="0"/>
                  <w:divBdr>
                    <w:top w:val="none" w:sz="0" w:space="0" w:color="auto"/>
                    <w:left w:val="none" w:sz="0" w:space="0" w:color="auto"/>
                    <w:bottom w:val="none" w:sz="0" w:space="0" w:color="auto"/>
                    <w:right w:val="none" w:sz="0" w:space="0" w:color="auto"/>
                  </w:divBdr>
                  <w:divsChild>
                    <w:div w:id="984166421">
                      <w:marLeft w:val="0"/>
                      <w:marRight w:val="0"/>
                      <w:marTop w:val="0"/>
                      <w:marBottom w:val="0"/>
                      <w:divBdr>
                        <w:top w:val="none" w:sz="0" w:space="0" w:color="auto"/>
                        <w:left w:val="none" w:sz="0" w:space="0" w:color="auto"/>
                        <w:bottom w:val="none" w:sz="0" w:space="0" w:color="auto"/>
                        <w:right w:val="none" w:sz="0" w:space="0" w:color="auto"/>
                      </w:divBdr>
                    </w:div>
                  </w:divsChild>
                </w:div>
                <w:div w:id="561061912">
                  <w:marLeft w:val="0"/>
                  <w:marRight w:val="0"/>
                  <w:marTop w:val="0"/>
                  <w:marBottom w:val="0"/>
                  <w:divBdr>
                    <w:top w:val="none" w:sz="0" w:space="0" w:color="auto"/>
                    <w:left w:val="none" w:sz="0" w:space="0" w:color="auto"/>
                    <w:bottom w:val="none" w:sz="0" w:space="0" w:color="auto"/>
                    <w:right w:val="none" w:sz="0" w:space="0" w:color="auto"/>
                  </w:divBdr>
                  <w:divsChild>
                    <w:div w:id="1001079800">
                      <w:marLeft w:val="0"/>
                      <w:marRight w:val="0"/>
                      <w:marTop w:val="0"/>
                      <w:marBottom w:val="0"/>
                      <w:divBdr>
                        <w:top w:val="none" w:sz="0" w:space="0" w:color="auto"/>
                        <w:left w:val="none" w:sz="0" w:space="0" w:color="auto"/>
                        <w:bottom w:val="none" w:sz="0" w:space="0" w:color="auto"/>
                        <w:right w:val="none" w:sz="0" w:space="0" w:color="auto"/>
                      </w:divBdr>
                    </w:div>
                  </w:divsChild>
                </w:div>
                <w:div w:id="609625636">
                  <w:marLeft w:val="0"/>
                  <w:marRight w:val="0"/>
                  <w:marTop w:val="0"/>
                  <w:marBottom w:val="0"/>
                  <w:divBdr>
                    <w:top w:val="none" w:sz="0" w:space="0" w:color="auto"/>
                    <w:left w:val="none" w:sz="0" w:space="0" w:color="auto"/>
                    <w:bottom w:val="none" w:sz="0" w:space="0" w:color="auto"/>
                    <w:right w:val="none" w:sz="0" w:space="0" w:color="auto"/>
                  </w:divBdr>
                  <w:divsChild>
                    <w:div w:id="894436139">
                      <w:marLeft w:val="0"/>
                      <w:marRight w:val="0"/>
                      <w:marTop w:val="0"/>
                      <w:marBottom w:val="0"/>
                      <w:divBdr>
                        <w:top w:val="none" w:sz="0" w:space="0" w:color="auto"/>
                        <w:left w:val="none" w:sz="0" w:space="0" w:color="auto"/>
                        <w:bottom w:val="none" w:sz="0" w:space="0" w:color="auto"/>
                        <w:right w:val="none" w:sz="0" w:space="0" w:color="auto"/>
                      </w:divBdr>
                    </w:div>
                  </w:divsChild>
                </w:div>
                <w:div w:id="679085454">
                  <w:marLeft w:val="0"/>
                  <w:marRight w:val="0"/>
                  <w:marTop w:val="0"/>
                  <w:marBottom w:val="0"/>
                  <w:divBdr>
                    <w:top w:val="none" w:sz="0" w:space="0" w:color="auto"/>
                    <w:left w:val="none" w:sz="0" w:space="0" w:color="auto"/>
                    <w:bottom w:val="none" w:sz="0" w:space="0" w:color="auto"/>
                    <w:right w:val="none" w:sz="0" w:space="0" w:color="auto"/>
                  </w:divBdr>
                  <w:divsChild>
                    <w:div w:id="1210537220">
                      <w:marLeft w:val="0"/>
                      <w:marRight w:val="0"/>
                      <w:marTop w:val="0"/>
                      <w:marBottom w:val="0"/>
                      <w:divBdr>
                        <w:top w:val="none" w:sz="0" w:space="0" w:color="auto"/>
                        <w:left w:val="none" w:sz="0" w:space="0" w:color="auto"/>
                        <w:bottom w:val="none" w:sz="0" w:space="0" w:color="auto"/>
                        <w:right w:val="none" w:sz="0" w:space="0" w:color="auto"/>
                      </w:divBdr>
                    </w:div>
                  </w:divsChild>
                </w:div>
                <w:div w:id="713698809">
                  <w:marLeft w:val="0"/>
                  <w:marRight w:val="0"/>
                  <w:marTop w:val="0"/>
                  <w:marBottom w:val="0"/>
                  <w:divBdr>
                    <w:top w:val="none" w:sz="0" w:space="0" w:color="auto"/>
                    <w:left w:val="none" w:sz="0" w:space="0" w:color="auto"/>
                    <w:bottom w:val="none" w:sz="0" w:space="0" w:color="auto"/>
                    <w:right w:val="none" w:sz="0" w:space="0" w:color="auto"/>
                  </w:divBdr>
                  <w:divsChild>
                    <w:div w:id="1028144253">
                      <w:marLeft w:val="0"/>
                      <w:marRight w:val="0"/>
                      <w:marTop w:val="0"/>
                      <w:marBottom w:val="0"/>
                      <w:divBdr>
                        <w:top w:val="none" w:sz="0" w:space="0" w:color="auto"/>
                        <w:left w:val="none" w:sz="0" w:space="0" w:color="auto"/>
                        <w:bottom w:val="none" w:sz="0" w:space="0" w:color="auto"/>
                        <w:right w:val="none" w:sz="0" w:space="0" w:color="auto"/>
                      </w:divBdr>
                    </w:div>
                  </w:divsChild>
                </w:div>
                <w:div w:id="902987307">
                  <w:marLeft w:val="0"/>
                  <w:marRight w:val="0"/>
                  <w:marTop w:val="0"/>
                  <w:marBottom w:val="0"/>
                  <w:divBdr>
                    <w:top w:val="none" w:sz="0" w:space="0" w:color="auto"/>
                    <w:left w:val="none" w:sz="0" w:space="0" w:color="auto"/>
                    <w:bottom w:val="none" w:sz="0" w:space="0" w:color="auto"/>
                    <w:right w:val="none" w:sz="0" w:space="0" w:color="auto"/>
                  </w:divBdr>
                  <w:divsChild>
                    <w:div w:id="1726643467">
                      <w:marLeft w:val="0"/>
                      <w:marRight w:val="0"/>
                      <w:marTop w:val="0"/>
                      <w:marBottom w:val="0"/>
                      <w:divBdr>
                        <w:top w:val="none" w:sz="0" w:space="0" w:color="auto"/>
                        <w:left w:val="none" w:sz="0" w:space="0" w:color="auto"/>
                        <w:bottom w:val="none" w:sz="0" w:space="0" w:color="auto"/>
                        <w:right w:val="none" w:sz="0" w:space="0" w:color="auto"/>
                      </w:divBdr>
                    </w:div>
                  </w:divsChild>
                </w:div>
                <w:div w:id="1014187107">
                  <w:marLeft w:val="0"/>
                  <w:marRight w:val="0"/>
                  <w:marTop w:val="0"/>
                  <w:marBottom w:val="0"/>
                  <w:divBdr>
                    <w:top w:val="none" w:sz="0" w:space="0" w:color="auto"/>
                    <w:left w:val="none" w:sz="0" w:space="0" w:color="auto"/>
                    <w:bottom w:val="none" w:sz="0" w:space="0" w:color="auto"/>
                    <w:right w:val="none" w:sz="0" w:space="0" w:color="auto"/>
                  </w:divBdr>
                  <w:divsChild>
                    <w:div w:id="1457405441">
                      <w:marLeft w:val="0"/>
                      <w:marRight w:val="0"/>
                      <w:marTop w:val="0"/>
                      <w:marBottom w:val="0"/>
                      <w:divBdr>
                        <w:top w:val="none" w:sz="0" w:space="0" w:color="auto"/>
                        <w:left w:val="none" w:sz="0" w:space="0" w:color="auto"/>
                        <w:bottom w:val="none" w:sz="0" w:space="0" w:color="auto"/>
                        <w:right w:val="none" w:sz="0" w:space="0" w:color="auto"/>
                      </w:divBdr>
                    </w:div>
                  </w:divsChild>
                </w:div>
                <w:div w:id="1128813007">
                  <w:marLeft w:val="0"/>
                  <w:marRight w:val="0"/>
                  <w:marTop w:val="0"/>
                  <w:marBottom w:val="0"/>
                  <w:divBdr>
                    <w:top w:val="none" w:sz="0" w:space="0" w:color="auto"/>
                    <w:left w:val="none" w:sz="0" w:space="0" w:color="auto"/>
                    <w:bottom w:val="none" w:sz="0" w:space="0" w:color="auto"/>
                    <w:right w:val="none" w:sz="0" w:space="0" w:color="auto"/>
                  </w:divBdr>
                  <w:divsChild>
                    <w:div w:id="869027100">
                      <w:marLeft w:val="0"/>
                      <w:marRight w:val="0"/>
                      <w:marTop w:val="0"/>
                      <w:marBottom w:val="0"/>
                      <w:divBdr>
                        <w:top w:val="none" w:sz="0" w:space="0" w:color="auto"/>
                        <w:left w:val="none" w:sz="0" w:space="0" w:color="auto"/>
                        <w:bottom w:val="none" w:sz="0" w:space="0" w:color="auto"/>
                        <w:right w:val="none" w:sz="0" w:space="0" w:color="auto"/>
                      </w:divBdr>
                    </w:div>
                  </w:divsChild>
                </w:div>
                <w:div w:id="1270892037">
                  <w:marLeft w:val="0"/>
                  <w:marRight w:val="0"/>
                  <w:marTop w:val="0"/>
                  <w:marBottom w:val="0"/>
                  <w:divBdr>
                    <w:top w:val="none" w:sz="0" w:space="0" w:color="auto"/>
                    <w:left w:val="none" w:sz="0" w:space="0" w:color="auto"/>
                    <w:bottom w:val="none" w:sz="0" w:space="0" w:color="auto"/>
                    <w:right w:val="none" w:sz="0" w:space="0" w:color="auto"/>
                  </w:divBdr>
                  <w:divsChild>
                    <w:div w:id="844243348">
                      <w:marLeft w:val="0"/>
                      <w:marRight w:val="0"/>
                      <w:marTop w:val="0"/>
                      <w:marBottom w:val="0"/>
                      <w:divBdr>
                        <w:top w:val="none" w:sz="0" w:space="0" w:color="auto"/>
                        <w:left w:val="none" w:sz="0" w:space="0" w:color="auto"/>
                        <w:bottom w:val="none" w:sz="0" w:space="0" w:color="auto"/>
                        <w:right w:val="none" w:sz="0" w:space="0" w:color="auto"/>
                      </w:divBdr>
                    </w:div>
                  </w:divsChild>
                </w:div>
                <w:div w:id="1308393449">
                  <w:marLeft w:val="0"/>
                  <w:marRight w:val="0"/>
                  <w:marTop w:val="0"/>
                  <w:marBottom w:val="0"/>
                  <w:divBdr>
                    <w:top w:val="none" w:sz="0" w:space="0" w:color="auto"/>
                    <w:left w:val="none" w:sz="0" w:space="0" w:color="auto"/>
                    <w:bottom w:val="none" w:sz="0" w:space="0" w:color="auto"/>
                    <w:right w:val="none" w:sz="0" w:space="0" w:color="auto"/>
                  </w:divBdr>
                  <w:divsChild>
                    <w:div w:id="1030952376">
                      <w:marLeft w:val="0"/>
                      <w:marRight w:val="0"/>
                      <w:marTop w:val="0"/>
                      <w:marBottom w:val="0"/>
                      <w:divBdr>
                        <w:top w:val="none" w:sz="0" w:space="0" w:color="auto"/>
                        <w:left w:val="none" w:sz="0" w:space="0" w:color="auto"/>
                        <w:bottom w:val="none" w:sz="0" w:space="0" w:color="auto"/>
                        <w:right w:val="none" w:sz="0" w:space="0" w:color="auto"/>
                      </w:divBdr>
                    </w:div>
                  </w:divsChild>
                </w:div>
                <w:div w:id="1482117711">
                  <w:marLeft w:val="0"/>
                  <w:marRight w:val="0"/>
                  <w:marTop w:val="0"/>
                  <w:marBottom w:val="0"/>
                  <w:divBdr>
                    <w:top w:val="none" w:sz="0" w:space="0" w:color="auto"/>
                    <w:left w:val="none" w:sz="0" w:space="0" w:color="auto"/>
                    <w:bottom w:val="none" w:sz="0" w:space="0" w:color="auto"/>
                    <w:right w:val="none" w:sz="0" w:space="0" w:color="auto"/>
                  </w:divBdr>
                  <w:divsChild>
                    <w:div w:id="1871456311">
                      <w:marLeft w:val="0"/>
                      <w:marRight w:val="0"/>
                      <w:marTop w:val="0"/>
                      <w:marBottom w:val="0"/>
                      <w:divBdr>
                        <w:top w:val="none" w:sz="0" w:space="0" w:color="auto"/>
                        <w:left w:val="none" w:sz="0" w:space="0" w:color="auto"/>
                        <w:bottom w:val="none" w:sz="0" w:space="0" w:color="auto"/>
                        <w:right w:val="none" w:sz="0" w:space="0" w:color="auto"/>
                      </w:divBdr>
                    </w:div>
                  </w:divsChild>
                </w:div>
                <w:div w:id="1495149516">
                  <w:marLeft w:val="0"/>
                  <w:marRight w:val="0"/>
                  <w:marTop w:val="0"/>
                  <w:marBottom w:val="0"/>
                  <w:divBdr>
                    <w:top w:val="none" w:sz="0" w:space="0" w:color="auto"/>
                    <w:left w:val="none" w:sz="0" w:space="0" w:color="auto"/>
                    <w:bottom w:val="none" w:sz="0" w:space="0" w:color="auto"/>
                    <w:right w:val="none" w:sz="0" w:space="0" w:color="auto"/>
                  </w:divBdr>
                  <w:divsChild>
                    <w:div w:id="1349017112">
                      <w:marLeft w:val="0"/>
                      <w:marRight w:val="0"/>
                      <w:marTop w:val="0"/>
                      <w:marBottom w:val="0"/>
                      <w:divBdr>
                        <w:top w:val="none" w:sz="0" w:space="0" w:color="auto"/>
                        <w:left w:val="none" w:sz="0" w:space="0" w:color="auto"/>
                        <w:bottom w:val="none" w:sz="0" w:space="0" w:color="auto"/>
                        <w:right w:val="none" w:sz="0" w:space="0" w:color="auto"/>
                      </w:divBdr>
                    </w:div>
                  </w:divsChild>
                </w:div>
                <w:div w:id="1506361210">
                  <w:marLeft w:val="0"/>
                  <w:marRight w:val="0"/>
                  <w:marTop w:val="0"/>
                  <w:marBottom w:val="0"/>
                  <w:divBdr>
                    <w:top w:val="none" w:sz="0" w:space="0" w:color="auto"/>
                    <w:left w:val="none" w:sz="0" w:space="0" w:color="auto"/>
                    <w:bottom w:val="none" w:sz="0" w:space="0" w:color="auto"/>
                    <w:right w:val="none" w:sz="0" w:space="0" w:color="auto"/>
                  </w:divBdr>
                  <w:divsChild>
                    <w:div w:id="991520277">
                      <w:marLeft w:val="0"/>
                      <w:marRight w:val="0"/>
                      <w:marTop w:val="0"/>
                      <w:marBottom w:val="0"/>
                      <w:divBdr>
                        <w:top w:val="none" w:sz="0" w:space="0" w:color="auto"/>
                        <w:left w:val="none" w:sz="0" w:space="0" w:color="auto"/>
                        <w:bottom w:val="none" w:sz="0" w:space="0" w:color="auto"/>
                        <w:right w:val="none" w:sz="0" w:space="0" w:color="auto"/>
                      </w:divBdr>
                    </w:div>
                  </w:divsChild>
                </w:div>
                <w:div w:id="1552959601">
                  <w:marLeft w:val="0"/>
                  <w:marRight w:val="0"/>
                  <w:marTop w:val="0"/>
                  <w:marBottom w:val="0"/>
                  <w:divBdr>
                    <w:top w:val="none" w:sz="0" w:space="0" w:color="auto"/>
                    <w:left w:val="none" w:sz="0" w:space="0" w:color="auto"/>
                    <w:bottom w:val="none" w:sz="0" w:space="0" w:color="auto"/>
                    <w:right w:val="none" w:sz="0" w:space="0" w:color="auto"/>
                  </w:divBdr>
                  <w:divsChild>
                    <w:div w:id="1439333257">
                      <w:marLeft w:val="0"/>
                      <w:marRight w:val="0"/>
                      <w:marTop w:val="0"/>
                      <w:marBottom w:val="0"/>
                      <w:divBdr>
                        <w:top w:val="none" w:sz="0" w:space="0" w:color="auto"/>
                        <w:left w:val="none" w:sz="0" w:space="0" w:color="auto"/>
                        <w:bottom w:val="none" w:sz="0" w:space="0" w:color="auto"/>
                        <w:right w:val="none" w:sz="0" w:space="0" w:color="auto"/>
                      </w:divBdr>
                    </w:div>
                  </w:divsChild>
                </w:div>
                <w:div w:id="1706519561">
                  <w:marLeft w:val="0"/>
                  <w:marRight w:val="0"/>
                  <w:marTop w:val="0"/>
                  <w:marBottom w:val="0"/>
                  <w:divBdr>
                    <w:top w:val="none" w:sz="0" w:space="0" w:color="auto"/>
                    <w:left w:val="none" w:sz="0" w:space="0" w:color="auto"/>
                    <w:bottom w:val="none" w:sz="0" w:space="0" w:color="auto"/>
                    <w:right w:val="none" w:sz="0" w:space="0" w:color="auto"/>
                  </w:divBdr>
                  <w:divsChild>
                    <w:div w:id="1797722152">
                      <w:marLeft w:val="0"/>
                      <w:marRight w:val="0"/>
                      <w:marTop w:val="0"/>
                      <w:marBottom w:val="0"/>
                      <w:divBdr>
                        <w:top w:val="none" w:sz="0" w:space="0" w:color="auto"/>
                        <w:left w:val="none" w:sz="0" w:space="0" w:color="auto"/>
                        <w:bottom w:val="none" w:sz="0" w:space="0" w:color="auto"/>
                        <w:right w:val="none" w:sz="0" w:space="0" w:color="auto"/>
                      </w:divBdr>
                    </w:div>
                  </w:divsChild>
                </w:div>
                <w:div w:id="1900745812">
                  <w:marLeft w:val="0"/>
                  <w:marRight w:val="0"/>
                  <w:marTop w:val="0"/>
                  <w:marBottom w:val="0"/>
                  <w:divBdr>
                    <w:top w:val="none" w:sz="0" w:space="0" w:color="auto"/>
                    <w:left w:val="none" w:sz="0" w:space="0" w:color="auto"/>
                    <w:bottom w:val="none" w:sz="0" w:space="0" w:color="auto"/>
                    <w:right w:val="none" w:sz="0" w:space="0" w:color="auto"/>
                  </w:divBdr>
                  <w:divsChild>
                    <w:div w:id="23100718">
                      <w:marLeft w:val="0"/>
                      <w:marRight w:val="0"/>
                      <w:marTop w:val="0"/>
                      <w:marBottom w:val="0"/>
                      <w:divBdr>
                        <w:top w:val="none" w:sz="0" w:space="0" w:color="auto"/>
                        <w:left w:val="none" w:sz="0" w:space="0" w:color="auto"/>
                        <w:bottom w:val="none" w:sz="0" w:space="0" w:color="auto"/>
                        <w:right w:val="none" w:sz="0" w:space="0" w:color="auto"/>
                      </w:divBdr>
                    </w:div>
                  </w:divsChild>
                </w:div>
                <w:div w:id="2003124958">
                  <w:marLeft w:val="0"/>
                  <w:marRight w:val="0"/>
                  <w:marTop w:val="0"/>
                  <w:marBottom w:val="0"/>
                  <w:divBdr>
                    <w:top w:val="none" w:sz="0" w:space="0" w:color="auto"/>
                    <w:left w:val="none" w:sz="0" w:space="0" w:color="auto"/>
                    <w:bottom w:val="none" w:sz="0" w:space="0" w:color="auto"/>
                    <w:right w:val="none" w:sz="0" w:space="0" w:color="auto"/>
                  </w:divBdr>
                  <w:divsChild>
                    <w:div w:id="1690370718">
                      <w:marLeft w:val="0"/>
                      <w:marRight w:val="0"/>
                      <w:marTop w:val="0"/>
                      <w:marBottom w:val="0"/>
                      <w:divBdr>
                        <w:top w:val="none" w:sz="0" w:space="0" w:color="auto"/>
                        <w:left w:val="none" w:sz="0" w:space="0" w:color="auto"/>
                        <w:bottom w:val="none" w:sz="0" w:space="0" w:color="auto"/>
                        <w:right w:val="none" w:sz="0" w:space="0" w:color="auto"/>
                      </w:divBdr>
                    </w:div>
                  </w:divsChild>
                </w:div>
                <w:div w:id="2089961044">
                  <w:marLeft w:val="0"/>
                  <w:marRight w:val="0"/>
                  <w:marTop w:val="0"/>
                  <w:marBottom w:val="0"/>
                  <w:divBdr>
                    <w:top w:val="none" w:sz="0" w:space="0" w:color="auto"/>
                    <w:left w:val="none" w:sz="0" w:space="0" w:color="auto"/>
                    <w:bottom w:val="none" w:sz="0" w:space="0" w:color="auto"/>
                    <w:right w:val="none" w:sz="0" w:space="0" w:color="auto"/>
                  </w:divBdr>
                  <w:divsChild>
                    <w:div w:id="12979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6264">
          <w:marLeft w:val="0"/>
          <w:marRight w:val="0"/>
          <w:marTop w:val="0"/>
          <w:marBottom w:val="0"/>
          <w:divBdr>
            <w:top w:val="none" w:sz="0" w:space="0" w:color="auto"/>
            <w:left w:val="none" w:sz="0" w:space="0" w:color="auto"/>
            <w:bottom w:val="none" w:sz="0" w:space="0" w:color="auto"/>
            <w:right w:val="none" w:sz="0" w:space="0" w:color="auto"/>
          </w:divBdr>
        </w:div>
        <w:div w:id="1012877769">
          <w:marLeft w:val="0"/>
          <w:marRight w:val="0"/>
          <w:marTop w:val="0"/>
          <w:marBottom w:val="0"/>
          <w:divBdr>
            <w:top w:val="none" w:sz="0" w:space="0" w:color="auto"/>
            <w:left w:val="none" w:sz="0" w:space="0" w:color="auto"/>
            <w:bottom w:val="none" w:sz="0" w:space="0" w:color="auto"/>
            <w:right w:val="none" w:sz="0" w:space="0" w:color="auto"/>
          </w:divBdr>
        </w:div>
        <w:div w:id="1030374404">
          <w:marLeft w:val="0"/>
          <w:marRight w:val="0"/>
          <w:marTop w:val="0"/>
          <w:marBottom w:val="0"/>
          <w:divBdr>
            <w:top w:val="none" w:sz="0" w:space="0" w:color="auto"/>
            <w:left w:val="none" w:sz="0" w:space="0" w:color="auto"/>
            <w:bottom w:val="none" w:sz="0" w:space="0" w:color="auto"/>
            <w:right w:val="none" w:sz="0" w:space="0" w:color="auto"/>
          </w:divBdr>
          <w:divsChild>
            <w:div w:id="617953823">
              <w:marLeft w:val="-75"/>
              <w:marRight w:val="0"/>
              <w:marTop w:val="30"/>
              <w:marBottom w:val="30"/>
              <w:divBdr>
                <w:top w:val="none" w:sz="0" w:space="0" w:color="auto"/>
                <w:left w:val="none" w:sz="0" w:space="0" w:color="auto"/>
                <w:bottom w:val="none" w:sz="0" w:space="0" w:color="auto"/>
                <w:right w:val="none" w:sz="0" w:space="0" w:color="auto"/>
              </w:divBdr>
              <w:divsChild>
                <w:div w:id="112602988">
                  <w:marLeft w:val="0"/>
                  <w:marRight w:val="0"/>
                  <w:marTop w:val="0"/>
                  <w:marBottom w:val="0"/>
                  <w:divBdr>
                    <w:top w:val="none" w:sz="0" w:space="0" w:color="auto"/>
                    <w:left w:val="none" w:sz="0" w:space="0" w:color="auto"/>
                    <w:bottom w:val="none" w:sz="0" w:space="0" w:color="auto"/>
                    <w:right w:val="none" w:sz="0" w:space="0" w:color="auto"/>
                  </w:divBdr>
                  <w:divsChild>
                    <w:div w:id="537209265">
                      <w:marLeft w:val="0"/>
                      <w:marRight w:val="0"/>
                      <w:marTop w:val="0"/>
                      <w:marBottom w:val="0"/>
                      <w:divBdr>
                        <w:top w:val="none" w:sz="0" w:space="0" w:color="auto"/>
                        <w:left w:val="none" w:sz="0" w:space="0" w:color="auto"/>
                        <w:bottom w:val="none" w:sz="0" w:space="0" w:color="auto"/>
                        <w:right w:val="none" w:sz="0" w:space="0" w:color="auto"/>
                      </w:divBdr>
                    </w:div>
                  </w:divsChild>
                </w:div>
                <w:div w:id="246501871">
                  <w:marLeft w:val="0"/>
                  <w:marRight w:val="0"/>
                  <w:marTop w:val="0"/>
                  <w:marBottom w:val="0"/>
                  <w:divBdr>
                    <w:top w:val="none" w:sz="0" w:space="0" w:color="auto"/>
                    <w:left w:val="none" w:sz="0" w:space="0" w:color="auto"/>
                    <w:bottom w:val="none" w:sz="0" w:space="0" w:color="auto"/>
                    <w:right w:val="none" w:sz="0" w:space="0" w:color="auto"/>
                  </w:divBdr>
                  <w:divsChild>
                    <w:div w:id="1512063498">
                      <w:marLeft w:val="0"/>
                      <w:marRight w:val="0"/>
                      <w:marTop w:val="0"/>
                      <w:marBottom w:val="0"/>
                      <w:divBdr>
                        <w:top w:val="none" w:sz="0" w:space="0" w:color="auto"/>
                        <w:left w:val="none" w:sz="0" w:space="0" w:color="auto"/>
                        <w:bottom w:val="none" w:sz="0" w:space="0" w:color="auto"/>
                        <w:right w:val="none" w:sz="0" w:space="0" w:color="auto"/>
                      </w:divBdr>
                    </w:div>
                  </w:divsChild>
                </w:div>
                <w:div w:id="261765784">
                  <w:marLeft w:val="0"/>
                  <w:marRight w:val="0"/>
                  <w:marTop w:val="0"/>
                  <w:marBottom w:val="0"/>
                  <w:divBdr>
                    <w:top w:val="none" w:sz="0" w:space="0" w:color="auto"/>
                    <w:left w:val="none" w:sz="0" w:space="0" w:color="auto"/>
                    <w:bottom w:val="none" w:sz="0" w:space="0" w:color="auto"/>
                    <w:right w:val="none" w:sz="0" w:space="0" w:color="auto"/>
                  </w:divBdr>
                  <w:divsChild>
                    <w:div w:id="1849715223">
                      <w:marLeft w:val="0"/>
                      <w:marRight w:val="0"/>
                      <w:marTop w:val="0"/>
                      <w:marBottom w:val="0"/>
                      <w:divBdr>
                        <w:top w:val="none" w:sz="0" w:space="0" w:color="auto"/>
                        <w:left w:val="none" w:sz="0" w:space="0" w:color="auto"/>
                        <w:bottom w:val="none" w:sz="0" w:space="0" w:color="auto"/>
                        <w:right w:val="none" w:sz="0" w:space="0" w:color="auto"/>
                      </w:divBdr>
                    </w:div>
                  </w:divsChild>
                </w:div>
                <w:div w:id="332075574">
                  <w:marLeft w:val="0"/>
                  <w:marRight w:val="0"/>
                  <w:marTop w:val="0"/>
                  <w:marBottom w:val="0"/>
                  <w:divBdr>
                    <w:top w:val="none" w:sz="0" w:space="0" w:color="auto"/>
                    <w:left w:val="none" w:sz="0" w:space="0" w:color="auto"/>
                    <w:bottom w:val="none" w:sz="0" w:space="0" w:color="auto"/>
                    <w:right w:val="none" w:sz="0" w:space="0" w:color="auto"/>
                  </w:divBdr>
                  <w:divsChild>
                    <w:div w:id="601375002">
                      <w:marLeft w:val="0"/>
                      <w:marRight w:val="0"/>
                      <w:marTop w:val="0"/>
                      <w:marBottom w:val="0"/>
                      <w:divBdr>
                        <w:top w:val="none" w:sz="0" w:space="0" w:color="auto"/>
                        <w:left w:val="none" w:sz="0" w:space="0" w:color="auto"/>
                        <w:bottom w:val="none" w:sz="0" w:space="0" w:color="auto"/>
                        <w:right w:val="none" w:sz="0" w:space="0" w:color="auto"/>
                      </w:divBdr>
                    </w:div>
                  </w:divsChild>
                </w:div>
                <w:div w:id="359671175">
                  <w:marLeft w:val="0"/>
                  <w:marRight w:val="0"/>
                  <w:marTop w:val="0"/>
                  <w:marBottom w:val="0"/>
                  <w:divBdr>
                    <w:top w:val="none" w:sz="0" w:space="0" w:color="auto"/>
                    <w:left w:val="none" w:sz="0" w:space="0" w:color="auto"/>
                    <w:bottom w:val="none" w:sz="0" w:space="0" w:color="auto"/>
                    <w:right w:val="none" w:sz="0" w:space="0" w:color="auto"/>
                  </w:divBdr>
                  <w:divsChild>
                    <w:div w:id="425882876">
                      <w:marLeft w:val="0"/>
                      <w:marRight w:val="0"/>
                      <w:marTop w:val="0"/>
                      <w:marBottom w:val="0"/>
                      <w:divBdr>
                        <w:top w:val="none" w:sz="0" w:space="0" w:color="auto"/>
                        <w:left w:val="none" w:sz="0" w:space="0" w:color="auto"/>
                        <w:bottom w:val="none" w:sz="0" w:space="0" w:color="auto"/>
                        <w:right w:val="none" w:sz="0" w:space="0" w:color="auto"/>
                      </w:divBdr>
                    </w:div>
                  </w:divsChild>
                </w:div>
                <w:div w:id="437137656">
                  <w:marLeft w:val="0"/>
                  <w:marRight w:val="0"/>
                  <w:marTop w:val="0"/>
                  <w:marBottom w:val="0"/>
                  <w:divBdr>
                    <w:top w:val="none" w:sz="0" w:space="0" w:color="auto"/>
                    <w:left w:val="none" w:sz="0" w:space="0" w:color="auto"/>
                    <w:bottom w:val="none" w:sz="0" w:space="0" w:color="auto"/>
                    <w:right w:val="none" w:sz="0" w:space="0" w:color="auto"/>
                  </w:divBdr>
                  <w:divsChild>
                    <w:div w:id="812872262">
                      <w:marLeft w:val="0"/>
                      <w:marRight w:val="0"/>
                      <w:marTop w:val="0"/>
                      <w:marBottom w:val="0"/>
                      <w:divBdr>
                        <w:top w:val="none" w:sz="0" w:space="0" w:color="auto"/>
                        <w:left w:val="none" w:sz="0" w:space="0" w:color="auto"/>
                        <w:bottom w:val="none" w:sz="0" w:space="0" w:color="auto"/>
                        <w:right w:val="none" w:sz="0" w:space="0" w:color="auto"/>
                      </w:divBdr>
                    </w:div>
                  </w:divsChild>
                </w:div>
                <w:div w:id="540410028">
                  <w:marLeft w:val="0"/>
                  <w:marRight w:val="0"/>
                  <w:marTop w:val="0"/>
                  <w:marBottom w:val="0"/>
                  <w:divBdr>
                    <w:top w:val="none" w:sz="0" w:space="0" w:color="auto"/>
                    <w:left w:val="none" w:sz="0" w:space="0" w:color="auto"/>
                    <w:bottom w:val="none" w:sz="0" w:space="0" w:color="auto"/>
                    <w:right w:val="none" w:sz="0" w:space="0" w:color="auto"/>
                  </w:divBdr>
                  <w:divsChild>
                    <w:div w:id="40324699">
                      <w:marLeft w:val="0"/>
                      <w:marRight w:val="0"/>
                      <w:marTop w:val="0"/>
                      <w:marBottom w:val="0"/>
                      <w:divBdr>
                        <w:top w:val="none" w:sz="0" w:space="0" w:color="auto"/>
                        <w:left w:val="none" w:sz="0" w:space="0" w:color="auto"/>
                        <w:bottom w:val="none" w:sz="0" w:space="0" w:color="auto"/>
                        <w:right w:val="none" w:sz="0" w:space="0" w:color="auto"/>
                      </w:divBdr>
                    </w:div>
                  </w:divsChild>
                </w:div>
                <w:div w:id="609318678">
                  <w:marLeft w:val="0"/>
                  <w:marRight w:val="0"/>
                  <w:marTop w:val="0"/>
                  <w:marBottom w:val="0"/>
                  <w:divBdr>
                    <w:top w:val="none" w:sz="0" w:space="0" w:color="auto"/>
                    <w:left w:val="none" w:sz="0" w:space="0" w:color="auto"/>
                    <w:bottom w:val="none" w:sz="0" w:space="0" w:color="auto"/>
                    <w:right w:val="none" w:sz="0" w:space="0" w:color="auto"/>
                  </w:divBdr>
                  <w:divsChild>
                    <w:div w:id="646250757">
                      <w:marLeft w:val="0"/>
                      <w:marRight w:val="0"/>
                      <w:marTop w:val="0"/>
                      <w:marBottom w:val="0"/>
                      <w:divBdr>
                        <w:top w:val="none" w:sz="0" w:space="0" w:color="auto"/>
                        <w:left w:val="none" w:sz="0" w:space="0" w:color="auto"/>
                        <w:bottom w:val="none" w:sz="0" w:space="0" w:color="auto"/>
                        <w:right w:val="none" w:sz="0" w:space="0" w:color="auto"/>
                      </w:divBdr>
                    </w:div>
                  </w:divsChild>
                </w:div>
                <w:div w:id="657463530">
                  <w:marLeft w:val="0"/>
                  <w:marRight w:val="0"/>
                  <w:marTop w:val="0"/>
                  <w:marBottom w:val="0"/>
                  <w:divBdr>
                    <w:top w:val="none" w:sz="0" w:space="0" w:color="auto"/>
                    <w:left w:val="none" w:sz="0" w:space="0" w:color="auto"/>
                    <w:bottom w:val="none" w:sz="0" w:space="0" w:color="auto"/>
                    <w:right w:val="none" w:sz="0" w:space="0" w:color="auto"/>
                  </w:divBdr>
                  <w:divsChild>
                    <w:div w:id="664941786">
                      <w:marLeft w:val="0"/>
                      <w:marRight w:val="0"/>
                      <w:marTop w:val="0"/>
                      <w:marBottom w:val="0"/>
                      <w:divBdr>
                        <w:top w:val="none" w:sz="0" w:space="0" w:color="auto"/>
                        <w:left w:val="none" w:sz="0" w:space="0" w:color="auto"/>
                        <w:bottom w:val="none" w:sz="0" w:space="0" w:color="auto"/>
                        <w:right w:val="none" w:sz="0" w:space="0" w:color="auto"/>
                      </w:divBdr>
                    </w:div>
                  </w:divsChild>
                </w:div>
                <w:div w:id="807667622">
                  <w:marLeft w:val="0"/>
                  <w:marRight w:val="0"/>
                  <w:marTop w:val="0"/>
                  <w:marBottom w:val="0"/>
                  <w:divBdr>
                    <w:top w:val="none" w:sz="0" w:space="0" w:color="auto"/>
                    <w:left w:val="none" w:sz="0" w:space="0" w:color="auto"/>
                    <w:bottom w:val="none" w:sz="0" w:space="0" w:color="auto"/>
                    <w:right w:val="none" w:sz="0" w:space="0" w:color="auto"/>
                  </w:divBdr>
                  <w:divsChild>
                    <w:div w:id="869227591">
                      <w:marLeft w:val="0"/>
                      <w:marRight w:val="0"/>
                      <w:marTop w:val="0"/>
                      <w:marBottom w:val="0"/>
                      <w:divBdr>
                        <w:top w:val="none" w:sz="0" w:space="0" w:color="auto"/>
                        <w:left w:val="none" w:sz="0" w:space="0" w:color="auto"/>
                        <w:bottom w:val="none" w:sz="0" w:space="0" w:color="auto"/>
                        <w:right w:val="none" w:sz="0" w:space="0" w:color="auto"/>
                      </w:divBdr>
                    </w:div>
                  </w:divsChild>
                </w:div>
                <w:div w:id="815729814">
                  <w:marLeft w:val="0"/>
                  <w:marRight w:val="0"/>
                  <w:marTop w:val="0"/>
                  <w:marBottom w:val="0"/>
                  <w:divBdr>
                    <w:top w:val="none" w:sz="0" w:space="0" w:color="auto"/>
                    <w:left w:val="none" w:sz="0" w:space="0" w:color="auto"/>
                    <w:bottom w:val="none" w:sz="0" w:space="0" w:color="auto"/>
                    <w:right w:val="none" w:sz="0" w:space="0" w:color="auto"/>
                  </w:divBdr>
                  <w:divsChild>
                    <w:div w:id="2023971134">
                      <w:marLeft w:val="0"/>
                      <w:marRight w:val="0"/>
                      <w:marTop w:val="0"/>
                      <w:marBottom w:val="0"/>
                      <w:divBdr>
                        <w:top w:val="none" w:sz="0" w:space="0" w:color="auto"/>
                        <w:left w:val="none" w:sz="0" w:space="0" w:color="auto"/>
                        <w:bottom w:val="none" w:sz="0" w:space="0" w:color="auto"/>
                        <w:right w:val="none" w:sz="0" w:space="0" w:color="auto"/>
                      </w:divBdr>
                    </w:div>
                  </w:divsChild>
                </w:div>
                <w:div w:id="871578485">
                  <w:marLeft w:val="0"/>
                  <w:marRight w:val="0"/>
                  <w:marTop w:val="0"/>
                  <w:marBottom w:val="0"/>
                  <w:divBdr>
                    <w:top w:val="none" w:sz="0" w:space="0" w:color="auto"/>
                    <w:left w:val="none" w:sz="0" w:space="0" w:color="auto"/>
                    <w:bottom w:val="none" w:sz="0" w:space="0" w:color="auto"/>
                    <w:right w:val="none" w:sz="0" w:space="0" w:color="auto"/>
                  </w:divBdr>
                  <w:divsChild>
                    <w:div w:id="822938069">
                      <w:marLeft w:val="0"/>
                      <w:marRight w:val="0"/>
                      <w:marTop w:val="0"/>
                      <w:marBottom w:val="0"/>
                      <w:divBdr>
                        <w:top w:val="none" w:sz="0" w:space="0" w:color="auto"/>
                        <w:left w:val="none" w:sz="0" w:space="0" w:color="auto"/>
                        <w:bottom w:val="none" w:sz="0" w:space="0" w:color="auto"/>
                        <w:right w:val="none" w:sz="0" w:space="0" w:color="auto"/>
                      </w:divBdr>
                    </w:div>
                  </w:divsChild>
                </w:div>
                <w:div w:id="1022321009">
                  <w:marLeft w:val="0"/>
                  <w:marRight w:val="0"/>
                  <w:marTop w:val="0"/>
                  <w:marBottom w:val="0"/>
                  <w:divBdr>
                    <w:top w:val="none" w:sz="0" w:space="0" w:color="auto"/>
                    <w:left w:val="none" w:sz="0" w:space="0" w:color="auto"/>
                    <w:bottom w:val="none" w:sz="0" w:space="0" w:color="auto"/>
                    <w:right w:val="none" w:sz="0" w:space="0" w:color="auto"/>
                  </w:divBdr>
                  <w:divsChild>
                    <w:div w:id="1153372026">
                      <w:marLeft w:val="0"/>
                      <w:marRight w:val="0"/>
                      <w:marTop w:val="0"/>
                      <w:marBottom w:val="0"/>
                      <w:divBdr>
                        <w:top w:val="none" w:sz="0" w:space="0" w:color="auto"/>
                        <w:left w:val="none" w:sz="0" w:space="0" w:color="auto"/>
                        <w:bottom w:val="none" w:sz="0" w:space="0" w:color="auto"/>
                        <w:right w:val="none" w:sz="0" w:space="0" w:color="auto"/>
                      </w:divBdr>
                    </w:div>
                  </w:divsChild>
                </w:div>
                <w:div w:id="1045758988">
                  <w:marLeft w:val="0"/>
                  <w:marRight w:val="0"/>
                  <w:marTop w:val="0"/>
                  <w:marBottom w:val="0"/>
                  <w:divBdr>
                    <w:top w:val="none" w:sz="0" w:space="0" w:color="auto"/>
                    <w:left w:val="none" w:sz="0" w:space="0" w:color="auto"/>
                    <w:bottom w:val="none" w:sz="0" w:space="0" w:color="auto"/>
                    <w:right w:val="none" w:sz="0" w:space="0" w:color="auto"/>
                  </w:divBdr>
                  <w:divsChild>
                    <w:div w:id="838886966">
                      <w:marLeft w:val="0"/>
                      <w:marRight w:val="0"/>
                      <w:marTop w:val="0"/>
                      <w:marBottom w:val="0"/>
                      <w:divBdr>
                        <w:top w:val="none" w:sz="0" w:space="0" w:color="auto"/>
                        <w:left w:val="none" w:sz="0" w:space="0" w:color="auto"/>
                        <w:bottom w:val="none" w:sz="0" w:space="0" w:color="auto"/>
                        <w:right w:val="none" w:sz="0" w:space="0" w:color="auto"/>
                      </w:divBdr>
                    </w:div>
                  </w:divsChild>
                </w:div>
                <w:div w:id="1235624359">
                  <w:marLeft w:val="0"/>
                  <w:marRight w:val="0"/>
                  <w:marTop w:val="0"/>
                  <w:marBottom w:val="0"/>
                  <w:divBdr>
                    <w:top w:val="none" w:sz="0" w:space="0" w:color="auto"/>
                    <w:left w:val="none" w:sz="0" w:space="0" w:color="auto"/>
                    <w:bottom w:val="none" w:sz="0" w:space="0" w:color="auto"/>
                    <w:right w:val="none" w:sz="0" w:space="0" w:color="auto"/>
                  </w:divBdr>
                  <w:divsChild>
                    <w:div w:id="1922565295">
                      <w:marLeft w:val="0"/>
                      <w:marRight w:val="0"/>
                      <w:marTop w:val="0"/>
                      <w:marBottom w:val="0"/>
                      <w:divBdr>
                        <w:top w:val="none" w:sz="0" w:space="0" w:color="auto"/>
                        <w:left w:val="none" w:sz="0" w:space="0" w:color="auto"/>
                        <w:bottom w:val="none" w:sz="0" w:space="0" w:color="auto"/>
                        <w:right w:val="none" w:sz="0" w:space="0" w:color="auto"/>
                      </w:divBdr>
                    </w:div>
                  </w:divsChild>
                </w:div>
                <w:div w:id="1264529755">
                  <w:marLeft w:val="0"/>
                  <w:marRight w:val="0"/>
                  <w:marTop w:val="0"/>
                  <w:marBottom w:val="0"/>
                  <w:divBdr>
                    <w:top w:val="none" w:sz="0" w:space="0" w:color="auto"/>
                    <w:left w:val="none" w:sz="0" w:space="0" w:color="auto"/>
                    <w:bottom w:val="none" w:sz="0" w:space="0" w:color="auto"/>
                    <w:right w:val="none" w:sz="0" w:space="0" w:color="auto"/>
                  </w:divBdr>
                  <w:divsChild>
                    <w:div w:id="13381103">
                      <w:marLeft w:val="0"/>
                      <w:marRight w:val="0"/>
                      <w:marTop w:val="0"/>
                      <w:marBottom w:val="0"/>
                      <w:divBdr>
                        <w:top w:val="none" w:sz="0" w:space="0" w:color="auto"/>
                        <w:left w:val="none" w:sz="0" w:space="0" w:color="auto"/>
                        <w:bottom w:val="none" w:sz="0" w:space="0" w:color="auto"/>
                        <w:right w:val="none" w:sz="0" w:space="0" w:color="auto"/>
                      </w:divBdr>
                    </w:div>
                  </w:divsChild>
                </w:div>
                <w:div w:id="1316572609">
                  <w:marLeft w:val="0"/>
                  <w:marRight w:val="0"/>
                  <w:marTop w:val="0"/>
                  <w:marBottom w:val="0"/>
                  <w:divBdr>
                    <w:top w:val="none" w:sz="0" w:space="0" w:color="auto"/>
                    <w:left w:val="none" w:sz="0" w:space="0" w:color="auto"/>
                    <w:bottom w:val="none" w:sz="0" w:space="0" w:color="auto"/>
                    <w:right w:val="none" w:sz="0" w:space="0" w:color="auto"/>
                  </w:divBdr>
                  <w:divsChild>
                    <w:div w:id="1626767127">
                      <w:marLeft w:val="0"/>
                      <w:marRight w:val="0"/>
                      <w:marTop w:val="0"/>
                      <w:marBottom w:val="0"/>
                      <w:divBdr>
                        <w:top w:val="none" w:sz="0" w:space="0" w:color="auto"/>
                        <w:left w:val="none" w:sz="0" w:space="0" w:color="auto"/>
                        <w:bottom w:val="none" w:sz="0" w:space="0" w:color="auto"/>
                        <w:right w:val="none" w:sz="0" w:space="0" w:color="auto"/>
                      </w:divBdr>
                    </w:div>
                  </w:divsChild>
                </w:div>
                <w:div w:id="1323780399">
                  <w:marLeft w:val="0"/>
                  <w:marRight w:val="0"/>
                  <w:marTop w:val="0"/>
                  <w:marBottom w:val="0"/>
                  <w:divBdr>
                    <w:top w:val="none" w:sz="0" w:space="0" w:color="auto"/>
                    <w:left w:val="none" w:sz="0" w:space="0" w:color="auto"/>
                    <w:bottom w:val="none" w:sz="0" w:space="0" w:color="auto"/>
                    <w:right w:val="none" w:sz="0" w:space="0" w:color="auto"/>
                  </w:divBdr>
                  <w:divsChild>
                    <w:div w:id="1401054207">
                      <w:marLeft w:val="0"/>
                      <w:marRight w:val="0"/>
                      <w:marTop w:val="0"/>
                      <w:marBottom w:val="0"/>
                      <w:divBdr>
                        <w:top w:val="none" w:sz="0" w:space="0" w:color="auto"/>
                        <w:left w:val="none" w:sz="0" w:space="0" w:color="auto"/>
                        <w:bottom w:val="none" w:sz="0" w:space="0" w:color="auto"/>
                        <w:right w:val="none" w:sz="0" w:space="0" w:color="auto"/>
                      </w:divBdr>
                    </w:div>
                  </w:divsChild>
                </w:div>
                <w:div w:id="1351490272">
                  <w:marLeft w:val="0"/>
                  <w:marRight w:val="0"/>
                  <w:marTop w:val="0"/>
                  <w:marBottom w:val="0"/>
                  <w:divBdr>
                    <w:top w:val="none" w:sz="0" w:space="0" w:color="auto"/>
                    <w:left w:val="none" w:sz="0" w:space="0" w:color="auto"/>
                    <w:bottom w:val="none" w:sz="0" w:space="0" w:color="auto"/>
                    <w:right w:val="none" w:sz="0" w:space="0" w:color="auto"/>
                  </w:divBdr>
                  <w:divsChild>
                    <w:div w:id="1216698730">
                      <w:marLeft w:val="0"/>
                      <w:marRight w:val="0"/>
                      <w:marTop w:val="0"/>
                      <w:marBottom w:val="0"/>
                      <w:divBdr>
                        <w:top w:val="none" w:sz="0" w:space="0" w:color="auto"/>
                        <w:left w:val="none" w:sz="0" w:space="0" w:color="auto"/>
                        <w:bottom w:val="none" w:sz="0" w:space="0" w:color="auto"/>
                        <w:right w:val="none" w:sz="0" w:space="0" w:color="auto"/>
                      </w:divBdr>
                    </w:div>
                  </w:divsChild>
                </w:div>
                <w:div w:id="1501502486">
                  <w:marLeft w:val="0"/>
                  <w:marRight w:val="0"/>
                  <w:marTop w:val="0"/>
                  <w:marBottom w:val="0"/>
                  <w:divBdr>
                    <w:top w:val="none" w:sz="0" w:space="0" w:color="auto"/>
                    <w:left w:val="none" w:sz="0" w:space="0" w:color="auto"/>
                    <w:bottom w:val="none" w:sz="0" w:space="0" w:color="auto"/>
                    <w:right w:val="none" w:sz="0" w:space="0" w:color="auto"/>
                  </w:divBdr>
                  <w:divsChild>
                    <w:div w:id="1873107570">
                      <w:marLeft w:val="0"/>
                      <w:marRight w:val="0"/>
                      <w:marTop w:val="0"/>
                      <w:marBottom w:val="0"/>
                      <w:divBdr>
                        <w:top w:val="none" w:sz="0" w:space="0" w:color="auto"/>
                        <w:left w:val="none" w:sz="0" w:space="0" w:color="auto"/>
                        <w:bottom w:val="none" w:sz="0" w:space="0" w:color="auto"/>
                        <w:right w:val="none" w:sz="0" w:space="0" w:color="auto"/>
                      </w:divBdr>
                    </w:div>
                  </w:divsChild>
                </w:div>
                <w:div w:id="1576554092">
                  <w:marLeft w:val="0"/>
                  <w:marRight w:val="0"/>
                  <w:marTop w:val="0"/>
                  <w:marBottom w:val="0"/>
                  <w:divBdr>
                    <w:top w:val="none" w:sz="0" w:space="0" w:color="auto"/>
                    <w:left w:val="none" w:sz="0" w:space="0" w:color="auto"/>
                    <w:bottom w:val="none" w:sz="0" w:space="0" w:color="auto"/>
                    <w:right w:val="none" w:sz="0" w:space="0" w:color="auto"/>
                  </w:divBdr>
                  <w:divsChild>
                    <w:div w:id="1228419895">
                      <w:marLeft w:val="0"/>
                      <w:marRight w:val="0"/>
                      <w:marTop w:val="0"/>
                      <w:marBottom w:val="0"/>
                      <w:divBdr>
                        <w:top w:val="none" w:sz="0" w:space="0" w:color="auto"/>
                        <w:left w:val="none" w:sz="0" w:space="0" w:color="auto"/>
                        <w:bottom w:val="none" w:sz="0" w:space="0" w:color="auto"/>
                        <w:right w:val="none" w:sz="0" w:space="0" w:color="auto"/>
                      </w:divBdr>
                    </w:div>
                  </w:divsChild>
                </w:div>
                <w:div w:id="1719236421">
                  <w:marLeft w:val="0"/>
                  <w:marRight w:val="0"/>
                  <w:marTop w:val="0"/>
                  <w:marBottom w:val="0"/>
                  <w:divBdr>
                    <w:top w:val="none" w:sz="0" w:space="0" w:color="auto"/>
                    <w:left w:val="none" w:sz="0" w:space="0" w:color="auto"/>
                    <w:bottom w:val="none" w:sz="0" w:space="0" w:color="auto"/>
                    <w:right w:val="none" w:sz="0" w:space="0" w:color="auto"/>
                  </w:divBdr>
                  <w:divsChild>
                    <w:div w:id="1979140387">
                      <w:marLeft w:val="0"/>
                      <w:marRight w:val="0"/>
                      <w:marTop w:val="0"/>
                      <w:marBottom w:val="0"/>
                      <w:divBdr>
                        <w:top w:val="none" w:sz="0" w:space="0" w:color="auto"/>
                        <w:left w:val="none" w:sz="0" w:space="0" w:color="auto"/>
                        <w:bottom w:val="none" w:sz="0" w:space="0" w:color="auto"/>
                        <w:right w:val="none" w:sz="0" w:space="0" w:color="auto"/>
                      </w:divBdr>
                    </w:div>
                  </w:divsChild>
                </w:div>
                <w:div w:id="1721396495">
                  <w:marLeft w:val="0"/>
                  <w:marRight w:val="0"/>
                  <w:marTop w:val="0"/>
                  <w:marBottom w:val="0"/>
                  <w:divBdr>
                    <w:top w:val="none" w:sz="0" w:space="0" w:color="auto"/>
                    <w:left w:val="none" w:sz="0" w:space="0" w:color="auto"/>
                    <w:bottom w:val="none" w:sz="0" w:space="0" w:color="auto"/>
                    <w:right w:val="none" w:sz="0" w:space="0" w:color="auto"/>
                  </w:divBdr>
                  <w:divsChild>
                    <w:div w:id="511065325">
                      <w:marLeft w:val="0"/>
                      <w:marRight w:val="0"/>
                      <w:marTop w:val="0"/>
                      <w:marBottom w:val="0"/>
                      <w:divBdr>
                        <w:top w:val="none" w:sz="0" w:space="0" w:color="auto"/>
                        <w:left w:val="none" w:sz="0" w:space="0" w:color="auto"/>
                        <w:bottom w:val="none" w:sz="0" w:space="0" w:color="auto"/>
                        <w:right w:val="none" w:sz="0" w:space="0" w:color="auto"/>
                      </w:divBdr>
                    </w:div>
                  </w:divsChild>
                </w:div>
                <w:div w:id="1764105357">
                  <w:marLeft w:val="0"/>
                  <w:marRight w:val="0"/>
                  <w:marTop w:val="0"/>
                  <w:marBottom w:val="0"/>
                  <w:divBdr>
                    <w:top w:val="none" w:sz="0" w:space="0" w:color="auto"/>
                    <w:left w:val="none" w:sz="0" w:space="0" w:color="auto"/>
                    <w:bottom w:val="none" w:sz="0" w:space="0" w:color="auto"/>
                    <w:right w:val="none" w:sz="0" w:space="0" w:color="auto"/>
                  </w:divBdr>
                  <w:divsChild>
                    <w:div w:id="583225843">
                      <w:marLeft w:val="0"/>
                      <w:marRight w:val="0"/>
                      <w:marTop w:val="0"/>
                      <w:marBottom w:val="0"/>
                      <w:divBdr>
                        <w:top w:val="none" w:sz="0" w:space="0" w:color="auto"/>
                        <w:left w:val="none" w:sz="0" w:space="0" w:color="auto"/>
                        <w:bottom w:val="none" w:sz="0" w:space="0" w:color="auto"/>
                        <w:right w:val="none" w:sz="0" w:space="0" w:color="auto"/>
                      </w:divBdr>
                    </w:div>
                  </w:divsChild>
                </w:div>
                <w:div w:id="1772309790">
                  <w:marLeft w:val="0"/>
                  <w:marRight w:val="0"/>
                  <w:marTop w:val="0"/>
                  <w:marBottom w:val="0"/>
                  <w:divBdr>
                    <w:top w:val="none" w:sz="0" w:space="0" w:color="auto"/>
                    <w:left w:val="none" w:sz="0" w:space="0" w:color="auto"/>
                    <w:bottom w:val="none" w:sz="0" w:space="0" w:color="auto"/>
                    <w:right w:val="none" w:sz="0" w:space="0" w:color="auto"/>
                  </w:divBdr>
                  <w:divsChild>
                    <w:div w:id="1827548840">
                      <w:marLeft w:val="0"/>
                      <w:marRight w:val="0"/>
                      <w:marTop w:val="0"/>
                      <w:marBottom w:val="0"/>
                      <w:divBdr>
                        <w:top w:val="none" w:sz="0" w:space="0" w:color="auto"/>
                        <w:left w:val="none" w:sz="0" w:space="0" w:color="auto"/>
                        <w:bottom w:val="none" w:sz="0" w:space="0" w:color="auto"/>
                        <w:right w:val="none" w:sz="0" w:space="0" w:color="auto"/>
                      </w:divBdr>
                    </w:div>
                  </w:divsChild>
                </w:div>
                <w:div w:id="1840341715">
                  <w:marLeft w:val="0"/>
                  <w:marRight w:val="0"/>
                  <w:marTop w:val="0"/>
                  <w:marBottom w:val="0"/>
                  <w:divBdr>
                    <w:top w:val="none" w:sz="0" w:space="0" w:color="auto"/>
                    <w:left w:val="none" w:sz="0" w:space="0" w:color="auto"/>
                    <w:bottom w:val="none" w:sz="0" w:space="0" w:color="auto"/>
                    <w:right w:val="none" w:sz="0" w:space="0" w:color="auto"/>
                  </w:divBdr>
                  <w:divsChild>
                    <w:div w:id="1397633450">
                      <w:marLeft w:val="0"/>
                      <w:marRight w:val="0"/>
                      <w:marTop w:val="0"/>
                      <w:marBottom w:val="0"/>
                      <w:divBdr>
                        <w:top w:val="none" w:sz="0" w:space="0" w:color="auto"/>
                        <w:left w:val="none" w:sz="0" w:space="0" w:color="auto"/>
                        <w:bottom w:val="none" w:sz="0" w:space="0" w:color="auto"/>
                        <w:right w:val="none" w:sz="0" w:space="0" w:color="auto"/>
                      </w:divBdr>
                    </w:div>
                  </w:divsChild>
                </w:div>
                <w:div w:id="1845783004">
                  <w:marLeft w:val="0"/>
                  <w:marRight w:val="0"/>
                  <w:marTop w:val="0"/>
                  <w:marBottom w:val="0"/>
                  <w:divBdr>
                    <w:top w:val="none" w:sz="0" w:space="0" w:color="auto"/>
                    <w:left w:val="none" w:sz="0" w:space="0" w:color="auto"/>
                    <w:bottom w:val="none" w:sz="0" w:space="0" w:color="auto"/>
                    <w:right w:val="none" w:sz="0" w:space="0" w:color="auto"/>
                  </w:divBdr>
                  <w:divsChild>
                    <w:div w:id="1480883452">
                      <w:marLeft w:val="0"/>
                      <w:marRight w:val="0"/>
                      <w:marTop w:val="0"/>
                      <w:marBottom w:val="0"/>
                      <w:divBdr>
                        <w:top w:val="none" w:sz="0" w:space="0" w:color="auto"/>
                        <w:left w:val="none" w:sz="0" w:space="0" w:color="auto"/>
                        <w:bottom w:val="none" w:sz="0" w:space="0" w:color="auto"/>
                        <w:right w:val="none" w:sz="0" w:space="0" w:color="auto"/>
                      </w:divBdr>
                    </w:div>
                  </w:divsChild>
                </w:div>
                <w:div w:id="1935476683">
                  <w:marLeft w:val="0"/>
                  <w:marRight w:val="0"/>
                  <w:marTop w:val="0"/>
                  <w:marBottom w:val="0"/>
                  <w:divBdr>
                    <w:top w:val="none" w:sz="0" w:space="0" w:color="auto"/>
                    <w:left w:val="none" w:sz="0" w:space="0" w:color="auto"/>
                    <w:bottom w:val="none" w:sz="0" w:space="0" w:color="auto"/>
                    <w:right w:val="none" w:sz="0" w:space="0" w:color="auto"/>
                  </w:divBdr>
                  <w:divsChild>
                    <w:div w:id="244190582">
                      <w:marLeft w:val="0"/>
                      <w:marRight w:val="0"/>
                      <w:marTop w:val="0"/>
                      <w:marBottom w:val="0"/>
                      <w:divBdr>
                        <w:top w:val="none" w:sz="0" w:space="0" w:color="auto"/>
                        <w:left w:val="none" w:sz="0" w:space="0" w:color="auto"/>
                        <w:bottom w:val="none" w:sz="0" w:space="0" w:color="auto"/>
                        <w:right w:val="none" w:sz="0" w:space="0" w:color="auto"/>
                      </w:divBdr>
                    </w:div>
                  </w:divsChild>
                </w:div>
                <w:div w:id="2007244169">
                  <w:marLeft w:val="0"/>
                  <w:marRight w:val="0"/>
                  <w:marTop w:val="0"/>
                  <w:marBottom w:val="0"/>
                  <w:divBdr>
                    <w:top w:val="none" w:sz="0" w:space="0" w:color="auto"/>
                    <w:left w:val="none" w:sz="0" w:space="0" w:color="auto"/>
                    <w:bottom w:val="none" w:sz="0" w:space="0" w:color="auto"/>
                    <w:right w:val="none" w:sz="0" w:space="0" w:color="auto"/>
                  </w:divBdr>
                  <w:divsChild>
                    <w:div w:id="58023519">
                      <w:marLeft w:val="0"/>
                      <w:marRight w:val="0"/>
                      <w:marTop w:val="0"/>
                      <w:marBottom w:val="0"/>
                      <w:divBdr>
                        <w:top w:val="none" w:sz="0" w:space="0" w:color="auto"/>
                        <w:left w:val="none" w:sz="0" w:space="0" w:color="auto"/>
                        <w:bottom w:val="none" w:sz="0" w:space="0" w:color="auto"/>
                        <w:right w:val="none" w:sz="0" w:space="0" w:color="auto"/>
                      </w:divBdr>
                    </w:div>
                  </w:divsChild>
                </w:div>
                <w:div w:id="2063095647">
                  <w:marLeft w:val="0"/>
                  <w:marRight w:val="0"/>
                  <w:marTop w:val="0"/>
                  <w:marBottom w:val="0"/>
                  <w:divBdr>
                    <w:top w:val="none" w:sz="0" w:space="0" w:color="auto"/>
                    <w:left w:val="none" w:sz="0" w:space="0" w:color="auto"/>
                    <w:bottom w:val="none" w:sz="0" w:space="0" w:color="auto"/>
                    <w:right w:val="none" w:sz="0" w:space="0" w:color="auto"/>
                  </w:divBdr>
                  <w:divsChild>
                    <w:div w:id="453601901">
                      <w:marLeft w:val="0"/>
                      <w:marRight w:val="0"/>
                      <w:marTop w:val="0"/>
                      <w:marBottom w:val="0"/>
                      <w:divBdr>
                        <w:top w:val="none" w:sz="0" w:space="0" w:color="auto"/>
                        <w:left w:val="none" w:sz="0" w:space="0" w:color="auto"/>
                        <w:bottom w:val="none" w:sz="0" w:space="0" w:color="auto"/>
                        <w:right w:val="none" w:sz="0" w:space="0" w:color="auto"/>
                      </w:divBdr>
                    </w:div>
                  </w:divsChild>
                </w:div>
                <w:div w:id="2113475902">
                  <w:marLeft w:val="0"/>
                  <w:marRight w:val="0"/>
                  <w:marTop w:val="0"/>
                  <w:marBottom w:val="0"/>
                  <w:divBdr>
                    <w:top w:val="none" w:sz="0" w:space="0" w:color="auto"/>
                    <w:left w:val="none" w:sz="0" w:space="0" w:color="auto"/>
                    <w:bottom w:val="none" w:sz="0" w:space="0" w:color="auto"/>
                    <w:right w:val="none" w:sz="0" w:space="0" w:color="auto"/>
                  </w:divBdr>
                  <w:divsChild>
                    <w:div w:id="128472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75189">
          <w:marLeft w:val="0"/>
          <w:marRight w:val="0"/>
          <w:marTop w:val="0"/>
          <w:marBottom w:val="0"/>
          <w:divBdr>
            <w:top w:val="none" w:sz="0" w:space="0" w:color="auto"/>
            <w:left w:val="none" w:sz="0" w:space="0" w:color="auto"/>
            <w:bottom w:val="none" w:sz="0" w:space="0" w:color="auto"/>
            <w:right w:val="none" w:sz="0" w:space="0" w:color="auto"/>
          </w:divBdr>
        </w:div>
        <w:div w:id="1048601648">
          <w:marLeft w:val="0"/>
          <w:marRight w:val="0"/>
          <w:marTop w:val="0"/>
          <w:marBottom w:val="0"/>
          <w:divBdr>
            <w:top w:val="none" w:sz="0" w:space="0" w:color="auto"/>
            <w:left w:val="none" w:sz="0" w:space="0" w:color="auto"/>
            <w:bottom w:val="none" w:sz="0" w:space="0" w:color="auto"/>
            <w:right w:val="none" w:sz="0" w:space="0" w:color="auto"/>
          </w:divBdr>
        </w:div>
        <w:div w:id="1201626684">
          <w:marLeft w:val="0"/>
          <w:marRight w:val="0"/>
          <w:marTop w:val="0"/>
          <w:marBottom w:val="0"/>
          <w:divBdr>
            <w:top w:val="none" w:sz="0" w:space="0" w:color="auto"/>
            <w:left w:val="none" w:sz="0" w:space="0" w:color="auto"/>
            <w:bottom w:val="none" w:sz="0" w:space="0" w:color="auto"/>
            <w:right w:val="none" w:sz="0" w:space="0" w:color="auto"/>
          </w:divBdr>
        </w:div>
        <w:div w:id="1277709911">
          <w:marLeft w:val="0"/>
          <w:marRight w:val="0"/>
          <w:marTop w:val="0"/>
          <w:marBottom w:val="0"/>
          <w:divBdr>
            <w:top w:val="none" w:sz="0" w:space="0" w:color="auto"/>
            <w:left w:val="none" w:sz="0" w:space="0" w:color="auto"/>
            <w:bottom w:val="none" w:sz="0" w:space="0" w:color="auto"/>
            <w:right w:val="none" w:sz="0" w:space="0" w:color="auto"/>
          </w:divBdr>
        </w:div>
        <w:div w:id="1324117966">
          <w:marLeft w:val="0"/>
          <w:marRight w:val="0"/>
          <w:marTop w:val="0"/>
          <w:marBottom w:val="0"/>
          <w:divBdr>
            <w:top w:val="none" w:sz="0" w:space="0" w:color="auto"/>
            <w:left w:val="none" w:sz="0" w:space="0" w:color="auto"/>
            <w:bottom w:val="none" w:sz="0" w:space="0" w:color="auto"/>
            <w:right w:val="none" w:sz="0" w:space="0" w:color="auto"/>
          </w:divBdr>
        </w:div>
        <w:div w:id="1366522101">
          <w:marLeft w:val="0"/>
          <w:marRight w:val="0"/>
          <w:marTop w:val="0"/>
          <w:marBottom w:val="0"/>
          <w:divBdr>
            <w:top w:val="none" w:sz="0" w:space="0" w:color="auto"/>
            <w:left w:val="none" w:sz="0" w:space="0" w:color="auto"/>
            <w:bottom w:val="none" w:sz="0" w:space="0" w:color="auto"/>
            <w:right w:val="none" w:sz="0" w:space="0" w:color="auto"/>
          </w:divBdr>
        </w:div>
        <w:div w:id="1377654805">
          <w:marLeft w:val="0"/>
          <w:marRight w:val="0"/>
          <w:marTop w:val="0"/>
          <w:marBottom w:val="0"/>
          <w:divBdr>
            <w:top w:val="none" w:sz="0" w:space="0" w:color="auto"/>
            <w:left w:val="none" w:sz="0" w:space="0" w:color="auto"/>
            <w:bottom w:val="none" w:sz="0" w:space="0" w:color="auto"/>
            <w:right w:val="none" w:sz="0" w:space="0" w:color="auto"/>
          </w:divBdr>
        </w:div>
        <w:div w:id="1388727505">
          <w:marLeft w:val="0"/>
          <w:marRight w:val="0"/>
          <w:marTop w:val="0"/>
          <w:marBottom w:val="0"/>
          <w:divBdr>
            <w:top w:val="none" w:sz="0" w:space="0" w:color="auto"/>
            <w:left w:val="none" w:sz="0" w:space="0" w:color="auto"/>
            <w:bottom w:val="none" w:sz="0" w:space="0" w:color="auto"/>
            <w:right w:val="none" w:sz="0" w:space="0" w:color="auto"/>
          </w:divBdr>
        </w:div>
        <w:div w:id="1416324182">
          <w:marLeft w:val="0"/>
          <w:marRight w:val="0"/>
          <w:marTop w:val="0"/>
          <w:marBottom w:val="0"/>
          <w:divBdr>
            <w:top w:val="none" w:sz="0" w:space="0" w:color="auto"/>
            <w:left w:val="none" w:sz="0" w:space="0" w:color="auto"/>
            <w:bottom w:val="none" w:sz="0" w:space="0" w:color="auto"/>
            <w:right w:val="none" w:sz="0" w:space="0" w:color="auto"/>
          </w:divBdr>
        </w:div>
        <w:div w:id="1420524299">
          <w:marLeft w:val="0"/>
          <w:marRight w:val="0"/>
          <w:marTop w:val="0"/>
          <w:marBottom w:val="0"/>
          <w:divBdr>
            <w:top w:val="none" w:sz="0" w:space="0" w:color="auto"/>
            <w:left w:val="none" w:sz="0" w:space="0" w:color="auto"/>
            <w:bottom w:val="none" w:sz="0" w:space="0" w:color="auto"/>
            <w:right w:val="none" w:sz="0" w:space="0" w:color="auto"/>
          </w:divBdr>
        </w:div>
        <w:div w:id="1645961458">
          <w:marLeft w:val="0"/>
          <w:marRight w:val="0"/>
          <w:marTop w:val="0"/>
          <w:marBottom w:val="0"/>
          <w:divBdr>
            <w:top w:val="none" w:sz="0" w:space="0" w:color="auto"/>
            <w:left w:val="none" w:sz="0" w:space="0" w:color="auto"/>
            <w:bottom w:val="none" w:sz="0" w:space="0" w:color="auto"/>
            <w:right w:val="none" w:sz="0" w:space="0" w:color="auto"/>
          </w:divBdr>
        </w:div>
        <w:div w:id="1649822636">
          <w:marLeft w:val="0"/>
          <w:marRight w:val="0"/>
          <w:marTop w:val="0"/>
          <w:marBottom w:val="0"/>
          <w:divBdr>
            <w:top w:val="none" w:sz="0" w:space="0" w:color="auto"/>
            <w:left w:val="none" w:sz="0" w:space="0" w:color="auto"/>
            <w:bottom w:val="none" w:sz="0" w:space="0" w:color="auto"/>
            <w:right w:val="none" w:sz="0" w:space="0" w:color="auto"/>
          </w:divBdr>
          <w:divsChild>
            <w:div w:id="258219099">
              <w:marLeft w:val="0"/>
              <w:marRight w:val="0"/>
              <w:marTop w:val="0"/>
              <w:marBottom w:val="0"/>
              <w:divBdr>
                <w:top w:val="none" w:sz="0" w:space="0" w:color="auto"/>
                <w:left w:val="none" w:sz="0" w:space="0" w:color="auto"/>
                <w:bottom w:val="none" w:sz="0" w:space="0" w:color="auto"/>
                <w:right w:val="none" w:sz="0" w:space="0" w:color="auto"/>
              </w:divBdr>
            </w:div>
            <w:div w:id="259917515">
              <w:marLeft w:val="0"/>
              <w:marRight w:val="0"/>
              <w:marTop w:val="0"/>
              <w:marBottom w:val="0"/>
              <w:divBdr>
                <w:top w:val="none" w:sz="0" w:space="0" w:color="auto"/>
                <w:left w:val="none" w:sz="0" w:space="0" w:color="auto"/>
                <w:bottom w:val="none" w:sz="0" w:space="0" w:color="auto"/>
                <w:right w:val="none" w:sz="0" w:space="0" w:color="auto"/>
              </w:divBdr>
            </w:div>
            <w:div w:id="311443884">
              <w:marLeft w:val="0"/>
              <w:marRight w:val="0"/>
              <w:marTop w:val="0"/>
              <w:marBottom w:val="0"/>
              <w:divBdr>
                <w:top w:val="none" w:sz="0" w:space="0" w:color="auto"/>
                <w:left w:val="none" w:sz="0" w:space="0" w:color="auto"/>
                <w:bottom w:val="none" w:sz="0" w:space="0" w:color="auto"/>
                <w:right w:val="none" w:sz="0" w:space="0" w:color="auto"/>
              </w:divBdr>
            </w:div>
            <w:div w:id="371729396">
              <w:marLeft w:val="0"/>
              <w:marRight w:val="0"/>
              <w:marTop w:val="0"/>
              <w:marBottom w:val="0"/>
              <w:divBdr>
                <w:top w:val="none" w:sz="0" w:space="0" w:color="auto"/>
                <w:left w:val="none" w:sz="0" w:space="0" w:color="auto"/>
                <w:bottom w:val="none" w:sz="0" w:space="0" w:color="auto"/>
                <w:right w:val="none" w:sz="0" w:space="0" w:color="auto"/>
              </w:divBdr>
            </w:div>
            <w:div w:id="485049290">
              <w:marLeft w:val="0"/>
              <w:marRight w:val="0"/>
              <w:marTop w:val="0"/>
              <w:marBottom w:val="0"/>
              <w:divBdr>
                <w:top w:val="none" w:sz="0" w:space="0" w:color="auto"/>
                <w:left w:val="none" w:sz="0" w:space="0" w:color="auto"/>
                <w:bottom w:val="none" w:sz="0" w:space="0" w:color="auto"/>
                <w:right w:val="none" w:sz="0" w:space="0" w:color="auto"/>
              </w:divBdr>
            </w:div>
            <w:div w:id="871377282">
              <w:marLeft w:val="0"/>
              <w:marRight w:val="0"/>
              <w:marTop w:val="0"/>
              <w:marBottom w:val="0"/>
              <w:divBdr>
                <w:top w:val="none" w:sz="0" w:space="0" w:color="auto"/>
                <w:left w:val="none" w:sz="0" w:space="0" w:color="auto"/>
                <w:bottom w:val="none" w:sz="0" w:space="0" w:color="auto"/>
                <w:right w:val="none" w:sz="0" w:space="0" w:color="auto"/>
              </w:divBdr>
            </w:div>
            <w:div w:id="1100219132">
              <w:marLeft w:val="0"/>
              <w:marRight w:val="0"/>
              <w:marTop w:val="0"/>
              <w:marBottom w:val="0"/>
              <w:divBdr>
                <w:top w:val="none" w:sz="0" w:space="0" w:color="auto"/>
                <w:left w:val="none" w:sz="0" w:space="0" w:color="auto"/>
                <w:bottom w:val="none" w:sz="0" w:space="0" w:color="auto"/>
                <w:right w:val="none" w:sz="0" w:space="0" w:color="auto"/>
              </w:divBdr>
            </w:div>
            <w:div w:id="1404639368">
              <w:marLeft w:val="0"/>
              <w:marRight w:val="0"/>
              <w:marTop w:val="0"/>
              <w:marBottom w:val="0"/>
              <w:divBdr>
                <w:top w:val="none" w:sz="0" w:space="0" w:color="auto"/>
                <w:left w:val="none" w:sz="0" w:space="0" w:color="auto"/>
                <w:bottom w:val="none" w:sz="0" w:space="0" w:color="auto"/>
                <w:right w:val="none" w:sz="0" w:space="0" w:color="auto"/>
              </w:divBdr>
            </w:div>
            <w:div w:id="1534926777">
              <w:marLeft w:val="0"/>
              <w:marRight w:val="0"/>
              <w:marTop w:val="0"/>
              <w:marBottom w:val="0"/>
              <w:divBdr>
                <w:top w:val="none" w:sz="0" w:space="0" w:color="auto"/>
                <w:left w:val="none" w:sz="0" w:space="0" w:color="auto"/>
                <w:bottom w:val="none" w:sz="0" w:space="0" w:color="auto"/>
                <w:right w:val="none" w:sz="0" w:space="0" w:color="auto"/>
              </w:divBdr>
            </w:div>
            <w:div w:id="1537041923">
              <w:marLeft w:val="0"/>
              <w:marRight w:val="0"/>
              <w:marTop w:val="0"/>
              <w:marBottom w:val="0"/>
              <w:divBdr>
                <w:top w:val="none" w:sz="0" w:space="0" w:color="auto"/>
                <w:left w:val="none" w:sz="0" w:space="0" w:color="auto"/>
                <w:bottom w:val="none" w:sz="0" w:space="0" w:color="auto"/>
                <w:right w:val="none" w:sz="0" w:space="0" w:color="auto"/>
              </w:divBdr>
            </w:div>
            <w:div w:id="1613170678">
              <w:marLeft w:val="0"/>
              <w:marRight w:val="0"/>
              <w:marTop w:val="0"/>
              <w:marBottom w:val="0"/>
              <w:divBdr>
                <w:top w:val="none" w:sz="0" w:space="0" w:color="auto"/>
                <w:left w:val="none" w:sz="0" w:space="0" w:color="auto"/>
                <w:bottom w:val="none" w:sz="0" w:space="0" w:color="auto"/>
                <w:right w:val="none" w:sz="0" w:space="0" w:color="auto"/>
              </w:divBdr>
            </w:div>
            <w:div w:id="1649360666">
              <w:marLeft w:val="0"/>
              <w:marRight w:val="0"/>
              <w:marTop w:val="0"/>
              <w:marBottom w:val="0"/>
              <w:divBdr>
                <w:top w:val="none" w:sz="0" w:space="0" w:color="auto"/>
                <w:left w:val="none" w:sz="0" w:space="0" w:color="auto"/>
                <w:bottom w:val="none" w:sz="0" w:space="0" w:color="auto"/>
                <w:right w:val="none" w:sz="0" w:space="0" w:color="auto"/>
              </w:divBdr>
            </w:div>
            <w:div w:id="1725180474">
              <w:marLeft w:val="0"/>
              <w:marRight w:val="0"/>
              <w:marTop w:val="0"/>
              <w:marBottom w:val="0"/>
              <w:divBdr>
                <w:top w:val="none" w:sz="0" w:space="0" w:color="auto"/>
                <w:left w:val="none" w:sz="0" w:space="0" w:color="auto"/>
                <w:bottom w:val="none" w:sz="0" w:space="0" w:color="auto"/>
                <w:right w:val="none" w:sz="0" w:space="0" w:color="auto"/>
              </w:divBdr>
            </w:div>
            <w:div w:id="1775514646">
              <w:marLeft w:val="0"/>
              <w:marRight w:val="0"/>
              <w:marTop w:val="0"/>
              <w:marBottom w:val="0"/>
              <w:divBdr>
                <w:top w:val="none" w:sz="0" w:space="0" w:color="auto"/>
                <w:left w:val="none" w:sz="0" w:space="0" w:color="auto"/>
                <w:bottom w:val="none" w:sz="0" w:space="0" w:color="auto"/>
                <w:right w:val="none" w:sz="0" w:space="0" w:color="auto"/>
              </w:divBdr>
            </w:div>
            <w:div w:id="1887376141">
              <w:marLeft w:val="0"/>
              <w:marRight w:val="0"/>
              <w:marTop w:val="0"/>
              <w:marBottom w:val="0"/>
              <w:divBdr>
                <w:top w:val="none" w:sz="0" w:space="0" w:color="auto"/>
                <w:left w:val="none" w:sz="0" w:space="0" w:color="auto"/>
                <w:bottom w:val="none" w:sz="0" w:space="0" w:color="auto"/>
                <w:right w:val="none" w:sz="0" w:space="0" w:color="auto"/>
              </w:divBdr>
            </w:div>
            <w:div w:id="1889952144">
              <w:marLeft w:val="0"/>
              <w:marRight w:val="0"/>
              <w:marTop w:val="0"/>
              <w:marBottom w:val="0"/>
              <w:divBdr>
                <w:top w:val="none" w:sz="0" w:space="0" w:color="auto"/>
                <w:left w:val="none" w:sz="0" w:space="0" w:color="auto"/>
                <w:bottom w:val="none" w:sz="0" w:space="0" w:color="auto"/>
                <w:right w:val="none" w:sz="0" w:space="0" w:color="auto"/>
              </w:divBdr>
            </w:div>
            <w:div w:id="1898857284">
              <w:marLeft w:val="0"/>
              <w:marRight w:val="0"/>
              <w:marTop w:val="0"/>
              <w:marBottom w:val="0"/>
              <w:divBdr>
                <w:top w:val="none" w:sz="0" w:space="0" w:color="auto"/>
                <w:left w:val="none" w:sz="0" w:space="0" w:color="auto"/>
                <w:bottom w:val="none" w:sz="0" w:space="0" w:color="auto"/>
                <w:right w:val="none" w:sz="0" w:space="0" w:color="auto"/>
              </w:divBdr>
            </w:div>
            <w:div w:id="2032487215">
              <w:marLeft w:val="0"/>
              <w:marRight w:val="0"/>
              <w:marTop w:val="0"/>
              <w:marBottom w:val="0"/>
              <w:divBdr>
                <w:top w:val="none" w:sz="0" w:space="0" w:color="auto"/>
                <w:left w:val="none" w:sz="0" w:space="0" w:color="auto"/>
                <w:bottom w:val="none" w:sz="0" w:space="0" w:color="auto"/>
                <w:right w:val="none" w:sz="0" w:space="0" w:color="auto"/>
              </w:divBdr>
            </w:div>
            <w:div w:id="2033728504">
              <w:marLeft w:val="0"/>
              <w:marRight w:val="0"/>
              <w:marTop w:val="0"/>
              <w:marBottom w:val="0"/>
              <w:divBdr>
                <w:top w:val="none" w:sz="0" w:space="0" w:color="auto"/>
                <w:left w:val="none" w:sz="0" w:space="0" w:color="auto"/>
                <w:bottom w:val="none" w:sz="0" w:space="0" w:color="auto"/>
                <w:right w:val="none" w:sz="0" w:space="0" w:color="auto"/>
              </w:divBdr>
            </w:div>
            <w:div w:id="2061175085">
              <w:marLeft w:val="0"/>
              <w:marRight w:val="0"/>
              <w:marTop w:val="0"/>
              <w:marBottom w:val="0"/>
              <w:divBdr>
                <w:top w:val="none" w:sz="0" w:space="0" w:color="auto"/>
                <w:left w:val="none" w:sz="0" w:space="0" w:color="auto"/>
                <w:bottom w:val="none" w:sz="0" w:space="0" w:color="auto"/>
                <w:right w:val="none" w:sz="0" w:space="0" w:color="auto"/>
              </w:divBdr>
            </w:div>
          </w:divsChild>
        </w:div>
        <w:div w:id="1701280661">
          <w:marLeft w:val="0"/>
          <w:marRight w:val="0"/>
          <w:marTop w:val="0"/>
          <w:marBottom w:val="0"/>
          <w:divBdr>
            <w:top w:val="none" w:sz="0" w:space="0" w:color="auto"/>
            <w:left w:val="none" w:sz="0" w:space="0" w:color="auto"/>
            <w:bottom w:val="none" w:sz="0" w:space="0" w:color="auto"/>
            <w:right w:val="none" w:sz="0" w:space="0" w:color="auto"/>
          </w:divBdr>
        </w:div>
        <w:div w:id="1829400760">
          <w:marLeft w:val="0"/>
          <w:marRight w:val="0"/>
          <w:marTop w:val="0"/>
          <w:marBottom w:val="0"/>
          <w:divBdr>
            <w:top w:val="none" w:sz="0" w:space="0" w:color="auto"/>
            <w:left w:val="none" w:sz="0" w:space="0" w:color="auto"/>
            <w:bottom w:val="none" w:sz="0" w:space="0" w:color="auto"/>
            <w:right w:val="none" w:sz="0" w:space="0" w:color="auto"/>
          </w:divBdr>
        </w:div>
        <w:div w:id="1840658186">
          <w:marLeft w:val="0"/>
          <w:marRight w:val="0"/>
          <w:marTop w:val="0"/>
          <w:marBottom w:val="0"/>
          <w:divBdr>
            <w:top w:val="none" w:sz="0" w:space="0" w:color="auto"/>
            <w:left w:val="none" w:sz="0" w:space="0" w:color="auto"/>
            <w:bottom w:val="none" w:sz="0" w:space="0" w:color="auto"/>
            <w:right w:val="none" w:sz="0" w:space="0" w:color="auto"/>
          </w:divBdr>
        </w:div>
        <w:div w:id="1985498970">
          <w:marLeft w:val="0"/>
          <w:marRight w:val="0"/>
          <w:marTop w:val="0"/>
          <w:marBottom w:val="0"/>
          <w:divBdr>
            <w:top w:val="none" w:sz="0" w:space="0" w:color="auto"/>
            <w:left w:val="none" w:sz="0" w:space="0" w:color="auto"/>
            <w:bottom w:val="none" w:sz="0" w:space="0" w:color="auto"/>
            <w:right w:val="none" w:sz="0" w:space="0" w:color="auto"/>
          </w:divBdr>
        </w:div>
        <w:div w:id="2029988748">
          <w:marLeft w:val="0"/>
          <w:marRight w:val="0"/>
          <w:marTop w:val="0"/>
          <w:marBottom w:val="0"/>
          <w:divBdr>
            <w:top w:val="none" w:sz="0" w:space="0" w:color="auto"/>
            <w:left w:val="none" w:sz="0" w:space="0" w:color="auto"/>
            <w:bottom w:val="none" w:sz="0" w:space="0" w:color="auto"/>
            <w:right w:val="none" w:sz="0" w:space="0" w:color="auto"/>
          </w:divBdr>
        </w:div>
      </w:divsChild>
    </w:div>
    <w:div w:id="281806491">
      <w:bodyDiv w:val="1"/>
      <w:marLeft w:val="0"/>
      <w:marRight w:val="0"/>
      <w:marTop w:val="0"/>
      <w:marBottom w:val="0"/>
      <w:divBdr>
        <w:top w:val="none" w:sz="0" w:space="0" w:color="auto"/>
        <w:left w:val="none" w:sz="0" w:space="0" w:color="auto"/>
        <w:bottom w:val="none" w:sz="0" w:space="0" w:color="auto"/>
        <w:right w:val="none" w:sz="0" w:space="0" w:color="auto"/>
      </w:divBdr>
    </w:div>
    <w:div w:id="306205259">
      <w:bodyDiv w:val="1"/>
      <w:marLeft w:val="0"/>
      <w:marRight w:val="0"/>
      <w:marTop w:val="0"/>
      <w:marBottom w:val="0"/>
      <w:divBdr>
        <w:top w:val="none" w:sz="0" w:space="0" w:color="auto"/>
        <w:left w:val="none" w:sz="0" w:space="0" w:color="auto"/>
        <w:bottom w:val="none" w:sz="0" w:space="0" w:color="auto"/>
        <w:right w:val="none" w:sz="0" w:space="0" w:color="auto"/>
      </w:divBdr>
    </w:div>
    <w:div w:id="352850783">
      <w:bodyDiv w:val="1"/>
      <w:marLeft w:val="0"/>
      <w:marRight w:val="0"/>
      <w:marTop w:val="0"/>
      <w:marBottom w:val="0"/>
      <w:divBdr>
        <w:top w:val="none" w:sz="0" w:space="0" w:color="auto"/>
        <w:left w:val="none" w:sz="0" w:space="0" w:color="auto"/>
        <w:bottom w:val="none" w:sz="0" w:space="0" w:color="auto"/>
        <w:right w:val="none" w:sz="0" w:space="0" w:color="auto"/>
      </w:divBdr>
    </w:div>
    <w:div w:id="402024931">
      <w:bodyDiv w:val="1"/>
      <w:marLeft w:val="0"/>
      <w:marRight w:val="0"/>
      <w:marTop w:val="0"/>
      <w:marBottom w:val="0"/>
      <w:divBdr>
        <w:top w:val="none" w:sz="0" w:space="0" w:color="auto"/>
        <w:left w:val="none" w:sz="0" w:space="0" w:color="auto"/>
        <w:bottom w:val="none" w:sz="0" w:space="0" w:color="auto"/>
        <w:right w:val="none" w:sz="0" w:space="0" w:color="auto"/>
      </w:divBdr>
      <w:divsChild>
        <w:div w:id="107747924">
          <w:marLeft w:val="0"/>
          <w:marRight w:val="0"/>
          <w:marTop w:val="0"/>
          <w:marBottom w:val="0"/>
          <w:divBdr>
            <w:top w:val="none" w:sz="0" w:space="0" w:color="auto"/>
            <w:left w:val="none" w:sz="0" w:space="0" w:color="auto"/>
            <w:bottom w:val="none" w:sz="0" w:space="0" w:color="auto"/>
            <w:right w:val="none" w:sz="0" w:space="0" w:color="auto"/>
          </w:divBdr>
        </w:div>
      </w:divsChild>
    </w:div>
    <w:div w:id="406608952">
      <w:bodyDiv w:val="1"/>
      <w:marLeft w:val="0"/>
      <w:marRight w:val="0"/>
      <w:marTop w:val="0"/>
      <w:marBottom w:val="0"/>
      <w:divBdr>
        <w:top w:val="none" w:sz="0" w:space="0" w:color="auto"/>
        <w:left w:val="none" w:sz="0" w:space="0" w:color="auto"/>
        <w:bottom w:val="none" w:sz="0" w:space="0" w:color="auto"/>
        <w:right w:val="none" w:sz="0" w:space="0" w:color="auto"/>
      </w:divBdr>
      <w:divsChild>
        <w:div w:id="2972806">
          <w:marLeft w:val="0"/>
          <w:marRight w:val="0"/>
          <w:marTop w:val="0"/>
          <w:marBottom w:val="0"/>
          <w:divBdr>
            <w:top w:val="none" w:sz="0" w:space="0" w:color="auto"/>
            <w:left w:val="none" w:sz="0" w:space="0" w:color="auto"/>
            <w:bottom w:val="none" w:sz="0" w:space="0" w:color="auto"/>
            <w:right w:val="none" w:sz="0" w:space="0" w:color="auto"/>
          </w:divBdr>
          <w:divsChild>
            <w:div w:id="2142306367">
              <w:marLeft w:val="0"/>
              <w:marRight w:val="0"/>
              <w:marTop w:val="0"/>
              <w:marBottom w:val="0"/>
              <w:divBdr>
                <w:top w:val="none" w:sz="0" w:space="0" w:color="auto"/>
                <w:left w:val="none" w:sz="0" w:space="0" w:color="auto"/>
                <w:bottom w:val="none" w:sz="0" w:space="0" w:color="auto"/>
                <w:right w:val="none" w:sz="0" w:space="0" w:color="auto"/>
              </w:divBdr>
            </w:div>
          </w:divsChild>
        </w:div>
        <w:div w:id="46999778">
          <w:marLeft w:val="0"/>
          <w:marRight w:val="0"/>
          <w:marTop w:val="0"/>
          <w:marBottom w:val="0"/>
          <w:divBdr>
            <w:top w:val="none" w:sz="0" w:space="0" w:color="auto"/>
            <w:left w:val="none" w:sz="0" w:space="0" w:color="auto"/>
            <w:bottom w:val="none" w:sz="0" w:space="0" w:color="auto"/>
            <w:right w:val="none" w:sz="0" w:space="0" w:color="auto"/>
          </w:divBdr>
          <w:divsChild>
            <w:div w:id="1741826798">
              <w:marLeft w:val="0"/>
              <w:marRight w:val="0"/>
              <w:marTop w:val="0"/>
              <w:marBottom w:val="0"/>
              <w:divBdr>
                <w:top w:val="none" w:sz="0" w:space="0" w:color="auto"/>
                <w:left w:val="none" w:sz="0" w:space="0" w:color="auto"/>
                <w:bottom w:val="none" w:sz="0" w:space="0" w:color="auto"/>
                <w:right w:val="none" w:sz="0" w:space="0" w:color="auto"/>
              </w:divBdr>
            </w:div>
          </w:divsChild>
        </w:div>
        <w:div w:id="83452861">
          <w:marLeft w:val="0"/>
          <w:marRight w:val="0"/>
          <w:marTop w:val="0"/>
          <w:marBottom w:val="0"/>
          <w:divBdr>
            <w:top w:val="none" w:sz="0" w:space="0" w:color="auto"/>
            <w:left w:val="none" w:sz="0" w:space="0" w:color="auto"/>
            <w:bottom w:val="none" w:sz="0" w:space="0" w:color="auto"/>
            <w:right w:val="none" w:sz="0" w:space="0" w:color="auto"/>
          </w:divBdr>
          <w:divsChild>
            <w:div w:id="330067228">
              <w:marLeft w:val="0"/>
              <w:marRight w:val="0"/>
              <w:marTop w:val="0"/>
              <w:marBottom w:val="0"/>
              <w:divBdr>
                <w:top w:val="none" w:sz="0" w:space="0" w:color="auto"/>
                <w:left w:val="none" w:sz="0" w:space="0" w:color="auto"/>
                <w:bottom w:val="none" w:sz="0" w:space="0" w:color="auto"/>
                <w:right w:val="none" w:sz="0" w:space="0" w:color="auto"/>
              </w:divBdr>
            </w:div>
          </w:divsChild>
        </w:div>
        <w:div w:id="96558923">
          <w:marLeft w:val="0"/>
          <w:marRight w:val="0"/>
          <w:marTop w:val="0"/>
          <w:marBottom w:val="0"/>
          <w:divBdr>
            <w:top w:val="none" w:sz="0" w:space="0" w:color="auto"/>
            <w:left w:val="none" w:sz="0" w:space="0" w:color="auto"/>
            <w:bottom w:val="none" w:sz="0" w:space="0" w:color="auto"/>
            <w:right w:val="none" w:sz="0" w:space="0" w:color="auto"/>
          </w:divBdr>
          <w:divsChild>
            <w:div w:id="1793669708">
              <w:marLeft w:val="0"/>
              <w:marRight w:val="0"/>
              <w:marTop w:val="0"/>
              <w:marBottom w:val="0"/>
              <w:divBdr>
                <w:top w:val="none" w:sz="0" w:space="0" w:color="auto"/>
                <w:left w:val="none" w:sz="0" w:space="0" w:color="auto"/>
                <w:bottom w:val="none" w:sz="0" w:space="0" w:color="auto"/>
                <w:right w:val="none" w:sz="0" w:space="0" w:color="auto"/>
              </w:divBdr>
            </w:div>
          </w:divsChild>
        </w:div>
        <w:div w:id="105347215">
          <w:marLeft w:val="0"/>
          <w:marRight w:val="0"/>
          <w:marTop w:val="0"/>
          <w:marBottom w:val="0"/>
          <w:divBdr>
            <w:top w:val="none" w:sz="0" w:space="0" w:color="auto"/>
            <w:left w:val="none" w:sz="0" w:space="0" w:color="auto"/>
            <w:bottom w:val="none" w:sz="0" w:space="0" w:color="auto"/>
            <w:right w:val="none" w:sz="0" w:space="0" w:color="auto"/>
          </w:divBdr>
          <w:divsChild>
            <w:div w:id="1617330102">
              <w:marLeft w:val="0"/>
              <w:marRight w:val="0"/>
              <w:marTop w:val="0"/>
              <w:marBottom w:val="0"/>
              <w:divBdr>
                <w:top w:val="none" w:sz="0" w:space="0" w:color="auto"/>
                <w:left w:val="none" w:sz="0" w:space="0" w:color="auto"/>
                <w:bottom w:val="none" w:sz="0" w:space="0" w:color="auto"/>
                <w:right w:val="none" w:sz="0" w:space="0" w:color="auto"/>
              </w:divBdr>
            </w:div>
          </w:divsChild>
        </w:div>
        <w:div w:id="172569436">
          <w:marLeft w:val="0"/>
          <w:marRight w:val="0"/>
          <w:marTop w:val="0"/>
          <w:marBottom w:val="0"/>
          <w:divBdr>
            <w:top w:val="none" w:sz="0" w:space="0" w:color="auto"/>
            <w:left w:val="none" w:sz="0" w:space="0" w:color="auto"/>
            <w:bottom w:val="none" w:sz="0" w:space="0" w:color="auto"/>
            <w:right w:val="none" w:sz="0" w:space="0" w:color="auto"/>
          </w:divBdr>
          <w:divsChild>
            <w:div w:id="280577823">
              <w:marLeft w:val="0"/>
              <w:marRight w:val="0"/>
              <w:marTop w:val="0"/>
              <w:marBottom w:val="0"/>
              <w:divBdr>
                <w:top w:val="none" w:sz="0" w:space="0" w:color="auto"/>
                <w:left w:val="none" w:sz="0" w:space="0" w:color="auto"/>
                <w:bottom w:val="none" w:sz="0" w:space="0" w:color="auto"/>
                <w:right w:val="none" w:sz="0" w:space="0" w:color="auto"/>
              </w:divBdr>
            </w:div>
          </w:divsChild>
        </w:div>
        <w:div w:id="196162413">
          <w:marLeft w:val="0"/>
          <w:marRight w:val="0"/>
          <w:marTop w:val="0"/>
          <w:marBottom w:val="0"/>
          <w:divBdr>
            <w:top w:val="none" w:sz="0" w:space="0" w:color="auto"/>
            <w:left w:val="none" w:sz="0" w:space="0" w:color="auto"/>
            <w:bottom w:val="none" w:sz="0" w:space="0" w:color="auto"/>
            <w:right w:val="none" w:sz="0" w:space="0" w:color="auto"/>
          </w:divBdr>
          <w:divsChild>
            <w:div w:id="1765302189">
              <w:marLeft w:val="0"/>
              <w:marRight w:val="0"/>
              <w:marTop w:val="0"/>
              <w:marBottom w:val="0"/>
              <w:divBdr>
                <w:top w:val="none" w:sz="0" w:space="0" w:color="auto"/>
                <w:left w:val="none" w:sz="0" w:space="0" w:color="auto"/>
                <w:bottom w:val="none" w:sz="0" w:space="0" w:color="auto"/>
                <w:right w:val="none" w:sz="0" w:space="0" w:color="auto"/>
              </w:divBdr>
            </w:div>
          </w:divsChild>
        </w:div>
        <w:div w:id="223882386">
          <w:marLeft w:val="0"/>
          <w:marRight w:val="0"/>
          <w:marTop w:val="0"/>
          <w:marBottom w:val="0"/>
          <w:divBdr>
            <w:top w:val="none" w:sz="0" w:space="0" w:color="auto"/>
            <w:left w:val="none" w:sz="0" w:space="0" w:color="auto"/>
            <w:bottom w:val="none" w:sz="0" w:space="0" w:color="auto"/>
            <w:right w:val="none" w:sz="0" w:space="0" w:color="auto"/>
          </w:divBdr>
          <w:divsChild>
            <w:div w:id="494229283">
              <w:marLeft w:val="0"/>
              <w:marRight w:val="0"/>
              <w:marTop w:val="0"/>
              <w:marBottom w:val="0"/>
              <w:divBdr>
                <w:top w:val="none" w:sz="0" w:space="0" w:color="auto"/>
                <w:left w:val="none" w:sz="0" w:space="0" w:color="auto"/>
                <w:bottom w:val="none" w:sz="0" w:space="0" w:color="auto"/>
                <w:right w:val="none" w:sz="0" w:space="0" w:color="auto"/>
              </w:divBdr>
            </w:div>
          </w:divsChild>
        </w:div>
        <w:div w:id="403793632">
          <w:marLeft w:val="0"/>
          <w:marRight w:val="0"/>
          <w:marTop w:val="0"/>
          <w:marBottom w:val="0"/>
          <w:divBdr>
            <w:top w:val="none" w:sz="0" w:space="0" w:color="auto"/>
            <w:left w:val="none" w:sz="0" w:space="0" w:color="auto"/>
            <w:bottom w:val="none" w:sz="0" w:space="0" w:color="auto"/>
            <w:right w:val="none" w:sz="0" w:space="0" w:color="auto"/>
          </w:divBdr>
          <w:divsChild>
            <w:div w:id="1410614681">
              <w:marLeft w:val="0"/>
              <w:marRight w:val="0"/>
              <w:marTop w:val="0"/>
              <w:marBottom w:val="0"/>
              <w:divBdr>
                <w:top w:val="none" w:sz="0" w:space="0" w:color="auto"/>
                <w:left w:val="none" w:sz="0" w:space="0" w:color="auto"/>
                <w:bottom w:val="none" w:sz="0" w:space="0" w:color="auto"/>
                <w:right w:val="none" w:sz="0" w:space="0" w:color="auto"/>
              </w:divBdr>
            </w:div>
          </w:divsChild>
        </w:div>
        <w:div w:id="431777833">
          <w:marLeft w:val="0"/>
          <w:marRight w:val="0"/>
          <w:marTop w:val="0"/>
          <w:marBottom w:val="0"/>
          <w:divBdr>
            <w:top w:val="none" w:sz="0" w:space="0" w:color="auto"/>
            <w:left w:val="none" w:sz="0" w:space="0" w:color="auto"/>
            <w:bottom w:val="none" w:sz="0" w:space="0" w:color="auto"/>
            <w:right w:val="none" w:sz="0" w:space="0" w:color="auto"/>
          </w:divBdr>
          <w:divsChild>
            <w:div w:id="2051222899">
              <w:marLeft w:val="0"/>
              <w:marRight w:val="0"/>
              <w:marTop w:val="0"/>
              <w:marBottom w:val="0"/>
              <w:divBdr>
                <w:top w:val="none" w:sz="0" w:space="0" w:color="auto"/>
                <w:left w:val="none" w:sz="0" w:space="0" w:color="auto"/>
                <w:bottom w:val="none" w:sz="0" w:space="0" w:color="auto"/>
                <w:right w:val="none" w:sz="0" w:space="0" w:color="auto"/>
              </w:divBdr>
            </w:div>
          </w:divsChild>
        </w:div>
        <w:div w:id="513958767">
          <w:marLeft w:val="0"/>
          <w:marRight w:val="0"/>
          <w:marTop w:val="0"/>
          <w:marBottom w:val="0"/>
          <w:divBdr>
            <w:top w:val="none" w:sz="0" w:space="0" w:color="auto"/>
            <w:left w:val="none" w:sz="0" w:space="0" w:color="auto"/>
            <w:bottom w:val="none" w:sz="0" w:space="0" w:color="auto"/>
            <w:right w:val="none" w:sz="0" w:space="0" w:color="auto"/>
          </w:divBdr>
          <w:divsChild>
            <w:div w:id="826020072">
              <w:marLeft w:val="0"/>
              <w:marRight w:val="0"/>
              <w:marTop w:val="0"/>
              <w:marBottom w:val="0"/>
              <w:divBdr>
                <w:top w:val="none" w:sz="0" w:space="0" w:color="auto"/>
                <w:left w:val="none" w:sz="0" w:space="0" w:color="auto"/>
                <w:bottom w:val="none" w:sz="0" w:space="0" w:color="auto"/>
                <w:right w:val="none" w:sz="0" w:space="0" w:color="auto"/>
              </w:divBdr>
            </w:div>
          </w:divsChild>
        </w:div>
        <w:div w:id="583030723">
          <w:marLeft w:val="0"/>
          <w:marRight w:val="0"/>
          <w:marTop w:val="0"/>
          <w:marBottom w:val="0"/>
          <w:divBdr>
            <w:top w:val="none" w:sz="0" w:space="0" w:color="auto"/>
            <w:left w:val="none" w:sz="0" w:space="0" w:color="auto"/>
            <w:bottom w:val="none" w:sz="0" w:space="0" w:color="auto"/>
            <w:right w:val="none" w:sz="0" w:space="0" w:color="auto"/>
          </w:divBdr>
          <w:divsChild>
            <w:div w:id="1101418799">
              <w:marLeft w:val="0"/>
              <w:marRight w:val="0"/>
              <w:marTop w:val="0"/>
              <w:marBottom w:val="0"/>
              <w:divBdr>
                <w:top w:val="none" w:sz="0" w:space="0" w:color="auto"/>
                <w:left w:val="none" w:sz="0" w:space="0" w:color="auto"/>
                <w:bottom w:val="none" w:sz="0" w:space="0" w:color="auto"/>
                <w:right w:val="none" w:sz="0" w:space="0" w:color="auto"/>
              </w:divBdr>
            </w:div>
          </w:divsChild>
        </w:div>
        <w:div w:id="624846701">
          <w:marLeft w:val="0"/>
          <w:marRight w:val="0"/>
          <w:marTop w:val="0"/>
          <w:marBottom w:val="0"/>
          <w:divBdr>
            <w:top w:val="none" w:sz="0" w:space="0" w:color="auto"/>
            <w:left w:val="none" w:sz="0" w:space="0" w:color="auto"/>
            <w:bottom w:val="none" w:sz="0" w:space="0" w:color="auto"/>
            <w:right w:val="none" w:sz="0" w:space="0" w:color="auto"/>
          </w:divBdr>
          <w:divsChild>
            <w:div w:id="136649237">
              <w:marLeft w:val="0"/>
              <w:marRight w:val="0"/>
              <w:marTop w:val="0"/>
              <w:marBottom w:val="0"/>
              <w:divBdr>
                <w:top w:val="none" w:sz="0" w:space="0" w:color="auto"/>
                <w:left w:val="none" w:sz="0" w:space="0" w:color="auto"/>
                <w:bottom w:val="none" w:sz="0" w:space="0" w:color="auto"/>
                <w:right w:val="none" w:sz="0" w:space="0" w:color="auto"/>
              </w:divBdr>
            </w:div>
          </w:divsChild>
        </w:div>
        <w:div w:id="650450501">
          <w:marLeft w:val="0"/>
          <w:marRight w:val="0"/>
          <w:marTop w:val="0"/>
          <w:marBottom w:val="0"/>
          <w:divBdr>
            <w:top w:val="none" w:sz="0" w:space="0" w:color="auto"/>
            <w:left w:val="none" w:sz="0" w:space="0" w:color="auto"/>
            <w:bottom w:val="none" w:sz="0" w:space="0" w:color="auto"/>
            <w:right w:val="none" w:sz="0" w:space="0" w:color="auto"/>
          </w:divBdr>
          <w:divsChild>
            <w:div w:id="1393887597">
              <w:marLeft w:val="0"/>
              <w:marRight w:val="0"/>
              <w:marTop w:val="0"/>
              <w:marBottom w:val="0"/>
              <w:divBdr>
                <w:top w:val="none" w:sz="0" w:space="0" w:color="auto"/>
                <w:left w:val="none" w:sz="0" w:space="0" w:color="auto"/>
                <w:bottom w:val="none" w:sz="0" w:space="0" w:color="auto"/>
                <w:right w:val="none" w:sz="0" w:space="0" w:color="auto"/>
              </w:divBdr>
            </w:div>
          </w:divsChild>
        </w:div>
        <w:div w:id="702365896">
          <w:marLeft w:val="0"/>
          <w:marRight w:val="0"/>
          <w:marTop w:val="0"/>
          <w:marBottom w:val="0"/>
          <w:divBdr>
            <w:top w:val="none" w:sz="0" w:space="0" w:color="auto"/>
            <w:left w:val="none" w:sz="0" w:space="0" w:color="auto"/>
            <w:bottom w:val="none" w:sz="0" w:space="0" w:color="auto"/>
            <w:right w:val="none" w:sz="0" w:space="0" w:color="auto"/>
          </w:divBdr>
          <w:divsChild>
            <w:div w:id="908270051">
              <w:marLeft w:val="0"/>
              <w:marRight w:val="0"/>
              <w:marTop w:val="0"/>
              <w:marBottom w:val="0"/>
              <w:divBdr>
                <w:top w:val="none" w:sz="0" w:space="0" w:color="auto"/>
                <w:left w:val="none" w:sz="0" w:space="0" w:color="auto"/>
                <w:bottom w:val="none" w:sz="0" w:space="0" w:color="auto"/>
                <w:right w:val="none" w:sz="0" w:space="0" w:color="auto"/>
              </w:divBdr>
            </w:div>
          </w:divsChild>
        </w:div>
        <w:div w:id="762727058">
          <w:marLeft w:val="0"/>
          <w:marRight w:val="0"/>
          <w:marTop w:val="0"/>
          <w:marBottom w:val="0"/>
          <w:divBdr>
            <w:top w:val="none" w:sz="0" w:space="0" w:color="auto"/>
            <w:left w:val="none" w:sz="0" w:space="0" w:color="auto"/>
            <w:bottom w:val="none" w:sz="0" w:space="0" w:color="auto"/>
            <w:right w:val="none" w:sz="0" w:space="0" w:color="auto"/>
          </w:divBdr>
          <w:divsChild>
            <w:div w:id="657346440">
              <w:marLeft w:val="0"/>
              <w:marRight w:val="0"/>
              <w:marTop w:val="0"/>
              <w:marBottom w:val="0"/>
              <w:divBdr>
                <w:top w:val="none" w:sz="0" w:space="0" w:color="auto"/>
                <w:left w:val="none" w:sz="0" w:space="0" w:color="auto"/>
                <w:bottom w:val="none" w:sz="0" w:space="0" w:color="auto"/>
                <w:right w:val="none" w:sz="0" w:space="0" w:color="auto"/>
              </w:divBdr>
            </w:div>
          </w:divsChild>
        </w:div>
        <w:div w:id="796071697">
          <w:marLeft w:val="0"/>
          <w:marRight w:val="0"/>
          <w:marTop w:val="0"/>
          <w:marBottom w:val="0"/>
          <w:divBdr>
            <w:top w:val="none" w:sz="0" w:space="0" w:color="auto"/>
            <w:left w:val="none" w:sz="0" w:space="0" w:color="auto"/>
            <w:bottom w:val="none" w:sz="0" w:space="0" w:color="auto"/>
            <w:right w:val="none" w:sz="0" w:space="0" w:color="auto"/>
          </w:divBdr>
          <w:divsChild>
            <w:div w:id="642078407">
              <w:marLeft w:val="0"/>
              <w:marRight w:val="0"/>
              <w:marTop w:val="0"/>
              <w:marBottom w:val="0"/>
              <w:divBdr>
                <w:top w:val="none" w:sz="0" w:space="0" w:color="auto"/>
                <w:left w:val="none" w:sz="0" w:space="0" w:color="auto"/>
                <w:bottom w:val="none" w:sz="0" w:space="0" w:color="auto"/>
                <w:right w:val="none" w:sz="0" w:space="0" w:color="auto"/>
              </w:divBdr>
            </w:div>
          </w:divsChild>
        </w:div>
        <w:div w:id="825896434">
          <w:marLeft w:val="0"/>
          <w:marRight w:val="0"/>
          <w:marTop w:val="0"/>
          <w:marBottom w:val="0"/>
          <w:divBdr>
            <w:top w:val="none" w:sz="0" w:space="0" w:color="auto"/>
            <w:left w:val="none" w:sz="0" w:space="0" w:color="auto"/>
            <w:bottom w:val="none" w:sz="0" w:space="0" w:color="auto"/>
            <w:right w:val="none" w:sz="0" w:space="0" w:color="auto"/>
          </w:divBdr>
          <w:divsChild>
            <w:div w:id="2090615570">
              <w:marLeft w:val="0"/>
              <w:marRight w:val="0"/>
              <w:marTop w:val="0"/>
              <w:marBottom w:val="0"/>
              <w:divBdr>
                <w:top w:val="none" w:sz="0" w:space="0" w:color="auto"/>
                <w:left w:val="none" w:sz="0" w:space="0" w:color="auto"/>
                <w:bottom w:val="none" w:sz="0" w:space="0" w:color="auto"/>
                <w:right w:val="none" w:sz="0" w:space="0" w:color="auto"/>
              </w:divBdr>
            </w:div>
          </w:divsChild>
        </w:div>
        <w:div w:id="888996223">
          <w:marLeft w:val="0"/>
          <w:marRight w:val="0"/>
          <w:marTop w:val="0"/>
          <w:marBottom w:val="0"/>
          <w:divBdr>
            <w:top w:val="none" w:sz="0" w:space="0" w:color="auto"/>
            <w:left w:val="none" w:sz="0" w:space="0" w:color="auto"/>
            <w:bottom w:val="none" w:sz="0" w:space="0" w:color="auto"/>
            <w:right w:val="none" w:sz="0" w:space="0" w:color="auto"/>
          </w:divBdr>
          <w:divsChild>
            <w:div w:id="1421636841">
              <w:marLeft w:val="0"/>
              <w:marRight w:val="0"/>
              <w:marTop w:val="0"/>
              <w:marBottom w:val="0"/>
              <w:divBdr>
                <w:top w:val="none" w:sz="0" w:space="0" w:color="auto"/>
                <w:left w:val="none" w:sz="0" w:space="0" w:color="auto"/>
                <w:bottom w:val="none" w:sz="0" w:space="0" w:color="auto"/>
                <w:right w:val="none" w:sz="0" w:space="0" w:color="auto"/>
              </w:divBdr>
            </w:div>
          </w:divsChild>
        </w:div>
        <w:div w:id="918758824">
          <w:marLeft w:val="0"/>
          <w:marRight w:val="0"/>
          <w:marTop w:val="0"/>
          <w:marBottom w:val="0"/>
          <w:divBdr>
            <w:top w:val="none" w:sz="0" w:space="0" w:color="auto"/>
            <w:left w:val="none" w:sz="0" w:space="0" w:color="auto"/>
            <w:bottom w:val="none" w:sz="0" w:space="0" w:color="auto"/>
            <w:right w:val="none" w:sz="0" w:space="0" w:color="auto"/>
          </w:divBdr>
          <w:divsChild>
            <w:div w:id="2089424805">
              <w:marLeft w:val="0"/>
              <w:marRight w:val="0"/>
              <w:marTop w:val="0"/>
              <w:marBottom w:val="0"/>
              <w:divBdr>
                <w:top w:val="none" w:sz="0" w:space="0" w:color="auto"/>
                <w:left w:val="none" w:sz="0" w:space="0" w:color="auto"/>
                <w:bottom w:val="none" w:sz="0" w:space="0" w:color="auto"/>
                <w:right w:val="none" w:sz="0" w:space="0" w:color="auto"/>
              </w:divBdr>
            </w:div>
          </w:divsChild>
        </w:div>
        <w:div w:id="1034964347">
          <w:marLeft w:val="0"/>
          <w:marRight w:val="0"/>
          <w:marTop w:val="0"/>
          <w:marBottom w:val="0"/>
          <w:divBdr>
            <w:top w:val="none" w:sz="0" w:space="0" w:color="auto"/>
            <w:left w:val="none" w:sz="0" w:space="0" w:color="auto"/>
            <w:bottom w:val="none" w:sz="0" w:space="0" w:color="auto"/>
            <w:right w:val="none" w:sz="0" w:space="0" w:color="auto"/>
          </w:divBdr>
          <w:divsChild>
            <w:div w:id="1860701630">
              <w:marLeft w:val="0"/>
              <w:marRight w:val="0"/>
              <w:marTop w:val="0"/>
              <w:marBottom w:val="0"/>
              <w:divBdr>
                <w:top w:val="none" w:sz="0" w:space="0" w:color="auto"/>
                <w:left w:val="none" w:sz="0" w:space="0" w:color="auto"/>
                <w:bottom w:val="none" w:sz="0" w:space="0" w:color="auto"/>
                <w:right w:val="none" w:sz="0" w:space="0" w:color="auto"/>
              </w:divBdr>
            </w:div>
          </w:divsChild>
        </w:div>
        <w:div w:id="1048845903">
          <w:marLeft w:val="0"/>
          <w:marRight w:val="0"/>
          <w:marTop w:val="0"/>
          <w:marBottom w:val="0"/>
          <w:divBdr>
            <w:top w:val="none" w:sz="0" w:space="0" w:color="auto"/>
            <w:left w:val="none" w:sz="0" w:space="0" w:color="auto"/>
            <w:bottom w:val="none" w:sz="0" w:space="0" w:color="auto"/>
            <w:right w:val="none" w:sz="0" w:space="0" w:color="auto"/>
          </w:divBdr>
          <w:divsChild>
            <w:div w:id="735396373">
              <w:marLeft w:val="0"/>
              <w:marRight w:val="0"/>
              <w:marTop w:val="0"/>
              <w:marBottom w:val="0"/>
              <w:divBdr>
                <w:top w:val="none" w:sz="0" w:space="0" w:color="auto"/>
                <w:left w:val="none" w:sz="0" w:space="0" w:color="auto"/>
                <w:bottom w:val="none" w:sz="0" w:space="0" w:color="auto"/>
                <w:right w:val="none" w:sz="0" w:space="0" w:color="auto"/>
              </w:divBdr>
            </w:div>
          </w:divsChild>
        </w:div>
        <w:div w:id="1228690876">
          <w:marLeft w:val="0"/>
          <w:marRight w:val="0"/>
          <w:marTop w:val="0"/>
          <w:marBottom w:val="0"/>
          <w:divBdr>
            <w:top w:val="none" w:sz="0" w:space="0" w:color="auto"/>
            <w:left w:val="none" w:sz="0" w:space="0" w:color="auto"/>
            <w:bottom w:val="none" w:sz="0" w:space="0" w:color="auto"/>
            <w:right w:val="none" w:sz="0" w:space="0" w:color="auto"/>
          </w:divBdr>
          <w:divsChild>
            <w:div w:id="1910995128">
              <w:marLeft w:val="0"/>
              <w:marRight w:val="0"/>
              <w:marTop w:val="0"/>
              <w:marBottom w:val="0"/>
              <w:divBdr>
                <w:top w:val="none" w:sz="0" w:space="0" w:color="auto"/>
                <w:left w:val="none" w:sz="0" w:space="0" w:color="auto"/>
                <w:bottom w:val="none" w:sz="0" w:space="0" w:color="auto"/>
                <w:right w:val="none" w:sz="0" w:space="0" w:color="auto"/>
              </w:divBdr>
            </w:div>
          </w:divsChild>
        </w:div>
        <w:div w:id="1237745064">
          <w:marLeft w:val="0"/>
          <w:marRight w:val="0"/>
          <w:marTop w:val="0"/>
          <w:marBottom w:val="0"/>
          <w:divBdr>
            <w:top w:val="none" w:sz="0" w:space="0" w:color="auto"/>
            <w:left w:val="none" w:sz="0" w:space="0" w:color="auto"/>
            <w:bottom w:val="none" w:sz="0" w:space="0" w:color="auto"/>
            <w:right w:val="none" w:sz="0" w:space="0" w:color="auto"/>
          </w:divBdr>
          <w:divsChild>
            <w:div w:id="1415590554">
              <w:marLeft w:val="0"/>
              <w:marRight w:val="0"/>
              <w:marTop w:val="0"/>
              <w:marBottom w:val="0"/>
              <w:divBdr>
                <w:top w:val="none" w:sz="0" w:space="0" w:color="auto"/>
                <w:left w:val="none" w:sz="0" w:space="0" w:color="auto"/>
                <w:bottom w:val="none" w:sz="0" w:space="0" w:color="auto"/>
                <w:right w:val="none" w:sz="0" w:space="0" w:color="auto"/>
              </w:divBdr>
            </w:div>
          </w:divsChild>
        </w:div>
        <w:div w:id="1240871581">
          <w:marLeft w:val="0"/>
          <w:marRight w:val="0"/>
          <w:marTop w:val="0"/>
          <w:marBottom w:val="0"/>
          <w:divBdr>
            <w:top w:val="none" w:sz="0" w:space="0" w:color="auto"/>
            <w:left w:val="none" w:sz="0" w:space="0" w:color="auto"/>
            <w:bottom w:val="none" w:sz="0" w:space="0" w:color="auto"/>
            <w:right w:val="none" w:sz="0" w:space="0" w:color="auto"/>
          </w:divBdr>
          <w:divsChild>
            <w:div w:id="913779407">
              <w:marLeft w:val="0"/>
              <w:marRight w:val="0"/>
              <w:marTop w:val="0"/>
              <w:marBottom w:val="0"/>
              <w:divBdr>
                <w:top w:val="none" w:sz="0" w:space="0" w:color="auto"/>
                <w:left w:val="none" w:sz="0" w:space="0" w:color="auto"/>
                <w:bottom w:val="none" w:sz="0" w:space="0" w:color="auto"/>
                <w:right w:val="none" w:sz="0" w:space="0" w:color="auto"/>
              </w:divBdr>
            </w:div>
          </w:divsChild>
        </w:div>
        <w:div w:id="1320230660">
          <w:marLeft w:val="0"/>
          <w:marRight w:val="0"/>
          <w:marTop w:val="0"/>
          <w:marBottom w:val="0"/>
          <w:divBdr>
            <w:top w:val="none" w:sz="0" w:space="0" w:color="auto"/>
            <w:left w:val="none" w:sz="0" w:space="0" w:color="auto"/>
            <w:bottom w:val="none" w:sz="0" w:space="0" w:color="auto"/>
            <w:right w:val="none" w:sz="0" w:space="0" w:color="auto"/>
          </w:divBdr>
          <w:divsChild>
            <w:div w:id="759912963">
              <w:marLeft w:val="0"/>
              <w:marRight w:val="0"/>
              <w:marTop w:val="0"/>
              <w:marBottom w:val="0"/>
              <w:divBdr>
                <w:top w:val="none" w:sz="0" w:space="0" w:color="auto"/>
                <w:left w:val="none" w:sz="0" w:space="0" w:color="auto"/>
                <w:bottom w:val="none" w:sz="0" w:space="0" w:color="auto"/>
                <w:right w:val="none" w:sz="0" w:space="0" w:color="auto"/>
              </w:divBdr>
            </w:div>
          </w:divsChild>
        </w:div>
        <w:div w:id="1339504081">
          <w:marLeft w:val="0"/>
          <w:marRight w:val="0"/>
          <w:marTop w:val="0"/>
          <w:marBottom w:val="0"/>
          <w:divBdr>
            <w:top w:val="none" w:sz="0" w:space="0" w:color="auto"/>
            <w:left w:val="none" w:sz="0" w:space="0" w:color="auto"/>
            <w:bottom w:val="none" w:sz="0" w:space="0" w:color="auto"/>
            <w:right w:val="none" w:sz="0" w:space="0" w:color="auto"/>
          </w:divBdr>
          <w:divsChild>
            <w:div w:id="1631088226">
              <w:marLeft w:val="0"/>
              <w:marRight w:val="0"/>
              <w:marTop w:val="0"/>
              <w:marBottom w:val="0"/>
              <w:divBdr>
                <w:top w:val="none" w:sz="0" w:space="0" w:color="auto"/>
                <w:left w:val="none" w:sz="0" w:space="0" w:color="auto"/>
                <w:bottom w:val="none" w:sz="0" w:space="0" w:color="auto"/>
                <w:right w:val="none" w:sz="0" w:space="0" w:color="auto"/>
              </w:divBdr>
            </w:div>
          </w:divsChild>
        </w:div>
        <w:div w:id="1343432367">
          <w:marLeft w:val="0"/>
          <w:marRight w:val="0"/>
          <w:marTop w:val="0"/>
          <w:marBottom w:val="0"/>
          <w:divBdr>
            <w:top w:val="none" w:sz="0" w:space="0" w:color="auto"/>
            <w:left w:val="none" w:sz="0" w:space="0" w:color="auto"/>
            <w:bottom w:val="none" w:sz="0" w:space="0" w:color="auto"/>
            <w:right w:val="none" w:sz="0" w:space="0" w:color="auto"/>
          </w:divBdr>
          <w:divsChild>
            <w:div w:id="1174345381">
              <w:marLeft w:val="0"/>
              <w:marRight w:val="0"/>
              <w:marTop w:val="0"/>
              <w:marBottom w:val="0"/>
              <w:divBdr>
                <w:top w:val="none" w:sz="0" w:space="0" w:color="auto"/>
                <w:left w:val="none" w:sz="0" w:space="0" w:color="auto"/>
                <w:bottom w:val="none" w:sz="0" w:space="0" w:color="auto"/>
                <w:right w:val="none" w:sz="0" w:space="0" w:color="auto"/>
              </w:divBdr>
            </w:div>
          </w:divsChild>
        </w:div>
        <w:div w:id="1364280573">
          <w:marLeft w:val="0"/>
          <w:marRight w:val="0"/>
          <w:marTop w:val="0"/>
          <w:marBottom w:val="0"/>
          <w:divBdr>
            <w:top w:val="none" w:sz="0" w:space="0" w:color="auto"/>
            <w:left w:val="none" w:sz="0" w:space="0" w:color="auto"/>
            <w:bottom w:val="none" w:sz="0" w:space="0" w:color="auto"/>
            <w:right w:val="none" w:sz="0" w:space="0" w:color="auto"/>
          </w:divBdr>
          <w:divsChild>
            <w:div w:id="1813405711">
              <w:marLeft w:val="0"/>
              <w:marRight w:val="0"/>
              <w:marTop w:val="0"/>
              <w:marBottom w:val="0"/>
              <w:divBdr>
                <w:top w:val="none" w:sz="0" w:space="0" w:color="auto"/>
                <w:left w:val="none" w:sz="0" w:space="0" w:color="auto"/>
                <w:bottom w:val="none" w:sz="0" w:space="0" w:color="auto"/>
                <w:right w:val="none" w:sz="0" w:space="0" w:color="auto"/>
              </w:divBdr>
            </w:div>
          </w:divsChild>
        </w:div>
        <w:div w:id="1484274171">
          <w:marLeft w:val="0"/>
          <w:marRight w:val="0"/>
          <w:marTop w:val="0"/>
          <w:marBottom w:val="0"/>
          <w:divBdr>
            <w:top w:val="none" w:sz="0" w:space="0" w:color="auto"/>
            <w:left w:val="none" w:sz="0" w:space="0" w:color="auto"/>
            <w:bottom w:val="none" w:sz="0" w:space="0" w:color="auto"/>
            <w:right w:val="none" w:sz="0" w:space="0" w:color="auto"/>
          </w:divBdr>
          <w:divsChild>
            <w:div w:id="1841309361">
              <w:marLeft w:val="0"/>
              <w:marRight w:val="0"/>
              <w:marTop w:val="0"/>
              <w:marBottom w:val="0"/>
              <w:divBdr>
                <w:top w:val="none" w:sz="0" w:space="0" w:color="auto"/>
                <w:left w:val="none" w:sz="0" w:space="0" w:color="auto"/>
                <w:bottom w:val="none" w:sz="0" w:space="0" w:color="auto"/>
                <w:right w:val="none" w:sz="0" w:space="0" w:color="auto"/>
              </w:divBdr>
            </w:div>
          </w:divsChild>
        </w:div>
        <w:div w:id="1565868597">
          <w:marLeft w:val="0"/>
          <w:marRight w:val="0"/>
          <w:marTop w:val="0"/>
          <w:marBottom w:val="0"/>
          <w:divBdr>
            <w:top w:val="none" w:sz="0" w:space="0" w:color="auto"/>
            <w:left w:val="none" w:sz="0" w:space="0" w:color="auto"/>
            <w:bottom w:val="none" w:sz="0" w:space="0" w:color="auto"/>
            <w:right w:val="none" w:sz="0" w:space="0" w:color="auto"/>
          </w:divBdr>
          <w:divsChild>
            <w:div w:id="1618751193">
              <w:marLeft w:val="0"/>
              <w:marRight w:val="0"/>
              <w:marTop w:val="0"/>
              <w:marBottom w:val="0"/>
              <w:divBdr>
                <w:top w:val="none" w:sz="0" w:space="0" w:color="auto"/>
                <w:left w:val="none" w:sz="0" w:space="0" w:color="auto"/>
                <w:bottom w:val="none" w:sz="0" w:space="0" w:color="auto"/>
                <w:right w:val="none" w:sz="0" w:space="0" w:color="auto"/>
              </w:divBdr>
            </w:div>
          </w:divsChild>
        </w:div>
        <w:div w:id="1691957015">
          <w:marLeft w:val="0"/>
          <w:marRight w:val="0"/>
          <w:marTop w:val="0"/>
          <w:marBottom w:val="0"/>
          <w:divBdr>
            <w:top w:val="none" w:sz="0" w:space="0" w:color="auto"/>
            <w:left w:val="none" w:sz="0" w:space="0" w:color="auto"/>
            <w:bottom w:val="none" w:sz="0" w:space="0" w:color="auto"/>
            <w:right w:val="none" w:sz="0" w:space="0" w:color="auto"/>
          </w:divBdr>
          <w:divsChild>
            <w:div w:id="1747803709">
              <w:marLeft w:val="0"/>
              <w:marRight w:val="0"/>
              <w:marTop w:val="0"/>
              <w:marBottom w:val="0"/>
              <w:divBdr>
                <w:top w:val="none" w:sz="0" w:space="0" w:color="auto"/>
                <w:left w:val="none" w:sz="0" w:space="0" w:color="auto"/>
                <w:bottom w:val="none" w:sz="0" w:space="0" w:color="auto"/>
                <w:right w:val="none" w:sz="0" w:space="0" w:color="auto"/>
              </w:divBdr>
            </w:div>
          </w:divsChild>
        </w:div>
        <w:div w:id="1724791250">
          <w:marLeft w:val="0"/>
          <w:marRight w:val="0"/>
          <w:marTop w:val="0"/>
          <w:marBottom w:val="0"/>
          <w:divBdr>
            <w:top w:val="none" w:sz="0" w:space="0" w:color="auto"/>
            <w:left w:val="none" w:sz="0" w:space="0" w:color="auto"/>
            <w:bottom w:val="none" w:sz="0" w:space="0" w:color="auto"/>
            <w:right w:val="none" w:sz="0" w:space="0" w:color="auto"/>
          </w:divBdr>
          <w:divsChild>
            <w:div w:id="738405065">
              <w:marLeft w:val="0"/>
              <w:marRight w:val="0"/>
              <w:marTop w:val="0"/>
              <w:marBottom w:val="0"/>
              <w:divBdr>
                <w:top w:val="none" w:sz="0" w:space="0" w:color="auto"/>
                <w:left w:val="none" w:sz="0" w:space="0" w:color="auto"/>
                <w:bottom w:val="none" w:sz="0" w:space="0" w:color="auto"/>
                <w:right w:val="none" w:sz="0" w:space="0" w:color="auto"/>
              </w:divBdr>
            </w:div>
            <w:div w:id="1734888404">
              <w:marLeft w:val="0"/>
              <w:marRight w:val="0"/>
              <w:marTop w:val="0"/>
              <w:marBottom w:val="0"/>
              <w:divBdr>
                <w:top w:val="none" w:sz="0" w:space="0" w:color="auto"/>
                <w:left w:val="none" w:sz="0" w:space="0" w:color="auto"/>
                <w:bottom w:val="none" w:sz="0" w:space="0" w:color="auto"/>
                <w:right w:val="none" w:sz="0" w:space="0" w:color="auto"/>
              </w:divBdr>
            </w:div>
          </w:divsChild>
        </w:div>
        <w:div w:id="1726096953">
          <w:marLeft w:val="0"/>
          <w:marRight w:val="0"/>
          <w:marTop w:val="0"/>
          <w:marBottom w:val="0"/>
          <w:divBdr>
            <w:top w:val="none" w:sz="0" w:space="0" w:color="auto"/>
            <w:left w:val="none" w:sz="0" w:space="0" w:color="auto"/>
            <w:bottom w:val="none" w:sz="0" w:space="0" w:color="auto"/>
            <w:right w:val="none" w:sz="0" w:space="0" w:color="auto"/>
          </w:divBdr>
          <w:divsChild>
            <w:div w:id="732510201">
              <w:marLeft w:val="0"/>
              <w:marRight w:val="0"/>
              <w:marTop w:val="0"/>
              <w:marBottom w:val="0"/>
              <w:divBdr>
                <w:top w:val="none" w:sz="0" w:space="0" w:color="auto"/>
                <w:left w:val="none" w:sz="0" w:space="0" w:color="auto"/>
                <w:bottom w:val="none" w:sz="0" w:space="0" w:color="auto"/>
                <w:right w:val="none" w:sz="0" w:space="0" w:color="auto"/>
              </w:divBdr>
            </w:div>
          </w:divsChild>
        </w:div>
        <w:div w:id="1775898201">
          <w:marLeft w:val="0"/>
          <w:marRight w:val="0"/>
          <w:marTop w:val="0"/>
          <w:marBottom w:val="0"/>
          <w:divBdr>
            <w:top w:val="none" w:sz="0" w:space="0" w:color="auto"/>
            <w:left w:val="none" w:sz="0" w:space="0" w:color="auto"/>
            <w:bottom w:val="none" w:sz="0" w:space="0" w:color="auto"/>
            <w:right w:val="none" w:sz="0" w:space="0" w:color="auto"/>
          </w:divBdr>
          <w:divsChild>
            <w:div w:id="429282436">
              <w:marLeft w:val="0"/>
              <w:marRight w:val="0"/>
              <w:marTop w:val="0"/>
              <w:marBottom w:val="0"/>
              <w:divBdr>
                <w:top w:val="none" w:sz="0" w:space="0" w:color="auto"/>
                <w:left w:val="none" w:sz="0" w:space="0" w:color="auto"/>
                <w:bottom w:val="none" w:sz="0" w:space="0" w:color="auto"/>
                <w:right w:val="none" w:sz="0" w:space="0" w:color="auto"/>
              </w:divBdr>
            </w:div>
          </w:divsChild>
        </w:div>
        <w:div w:id="1786850907">
          <w:marLeft w:val="0"/>
          <w:marRight w:val="0"/>
          <w:marTop w:val="0"/>
          <w:marBottom w:val="0"/>
          <w:divBdr>
            <w:top w:val="none" w:sz="0" w:space="0" w:color="auto"/>
            <w:left w:val="none" w:sz="0" w:space="0" w:color="auto"/>
            <w:bottom w:val="none" w:sz="0" w:space="0" w:color="auto"/>
            <w:right w:val="none" w:sz="0" w:space="0" w:color="auto"/>
          </w:divBdr>
          <w:divsChild>
            <w:div w:id="864635768">
              <w:marLeft w:val="0"/>
              <w:marRight w:val="0"/>
              <w:marTop w:val="0"/>
              <w:marBottom w:val="0"/>
              <w:divBdr>
                <w:top w:val="none" w:sz="0" w:space="0" w:color="auto"/>
                <w:left w:val="none" w:sz="0" w:space="0" w:color="auto"/>
                <w:bottom w:val="none" w:sz="0" w:space="0" w:color="auto"/>
                <w:right w:val="none" w:sz="0" w:space="0" w:color="auto"/>
              </w:divBdr>
            </w:div>
          </w:divsChild>
        </w:div>
        <w:div w:id="1799183581">
          <w:marLeft w:val="0"/>
          <w:marRight w:val="0"/>
          <w:marTop w:val="0"/>
          <w:marBottom w:val="0"/>
          <w:divBdr>
            <w:top w:val="none" w:sz="0" w:space="0" w:color="auto"/>
            <w:left w:val="none" w:sz="0" w:space="0" w:color="auto"/>
            <w:bottom w:val="none" w:sz="0" w:space="0" w:color="auto"/>
            <w:right w:val="none" w:sz="0" w:space="0" w:color="auto"/>
          </w:divBdr>
          <w:divsChild>
            <w:div w:id="1384330330">
              <w:marLeft w:val="0"/>
              <w:marRight w:val="0"/>
              <w:marTop w:val="0"/>
              <w:marBottom w:val="0"/>
              <w:divBdr>
                <w:top w:val="none" w:sz="0" w:space="0" w:color="auto"/>
                <w:left w:val="none" w:sz="0" w:space="0" w:color="auto"/>
                <w:bottom w:val="none" w:sz="0" w:space="0" w:color="auto"/>
                <w:right w:val="none" w:sz="0" w:space="0" w:color="auto"/>
              </w:divBdr>
            </w:div>
          </w:divsChild>
        </w:div>
        <w:div w:id="1804225884">
          <w:marLeft w:val="0"/>
          <w:marRight w:val="0"/>
          <w:marTop w:val="0"/>
          <w:marBottom w:val="0"/>
          <w:divBdr>
            <w:top w:val="none" w:sz="0" w:space="0" w:color="auto"/>
            <w:left w:val="none" w:sz="0" w:space="0" w:color="auto"/>
            <w:bottom w:val="none" w:sz="0" w:space="0" w:color="auto"/>
            <w:right w:val="none" w:sz="0" w:space="0" w:color="auto"/>
          </w:divBdr>
          <w:divsChild>
            <w:div w:id="1483813994">
              <w:marLeft w:val="0"/>
              <w:marRight w:val="0"/>
              <w:marTop w:val="0"/>
              <w:marBottom w:val="0"/>
              <w:divBdr>
                <w:top w:val="none" w:sz="0" w:space="0" w:color="auto"/>
                <w:left w:val="none" w:sz="0" w:space="0" w:color="auto"/>
                <w:bottom w:val="none" w:sz="0" w:space="0" w:color="auto"/>
                <w:right w:val="none" w:sz="0" w:space="0" w:color="auto"/>
              </w:divBdr>
            </w:div>
          </w:divsChild>
        </w:div>
        <w:div w:id="1805805997">
          <w:marLeft w:val="0"/>
          <w:marRight w:val="0"/>
          <w:marTop w:val="0"/>
          <w:marBottom w:val="0"/>
          <w:divBdr>
            <w:top w:val="none" w:sz="0" w:space="0" w:color="auto"/>
            <w:left w:val="none" w:sz="0" w:space="0" w:color="auto"/>
            <w:bottom w:val="none" w:sz="0" w:space="0" w:color="auto"/>
            <w:right w:val="none" w:sz="0" w:space="0" w:color="auto"/>
          </w:divBdr>
          <w:divsChild>
            <w:div w:id="1636373935">
              <w:marLeft w:val="0"/>
              <w:marRight w:val="0"/>
              <w:marTop w:val="0"/>
              <w:marBottom w:val="0"/>
              <w:divBdr>
                <w:top w:val="none" w:sz="0" w:space="0" w:color="auto"/>
                <w:left w:val="none" w:sz="0" w:space="0" w:color="auto"/>
                <w:bottom w:val="none" w:sz="0" w:space="0" w:color="auto"/>
                <w:right w:val="none" w:sz="0" w:space="0" w:color="auto"/>
              </w:divBdr>
            </w:div>
          </w:divsChild>
        </w:div>
        <w:div w:id="1818298630">
          <w:marLeft w:val="0"/>
          <w:marRight w:val="0"/>
          <w:marTop w:val="0"/>
          <w:marBottom w:val="0"/>
          <w:divBdr>
            <w:top w:val="none" w:sz="0" w:space="0" w:color="auto"/>
            <w:left w:val="none" w:sz="0" w:space="0" w:color="auto"/>
            <w:bottom w:val="none" w:sz="0" w:space="0" w:color="auto"/>
            <w:right w:val="none" w:sz="0" w:space="0" w:color="auto"/>
          </w:divBdr>
          <w:divsChild>
            <w:div w:id="1837644343">
              <w:marLeft w:val="0"/>
              <w:marRight w:val="0"/>
              <w:marTop w:val="0"/>
              <w:marBottom w:val="0"/>
              <w:divBdr>
                <w:top w:val="none" w:sz="0" w:space="0" w:color="auto"/>
                <w:left w:val="none" w:sz="0" w:space="0" w:color="auto"/>
                <w:bottom w:val="none" w:sz="0" w:space="0" w:color="auto"/>
                <w:right w:val="none" w:sz="0" w:space="0" w:color="auto"/>
              </w:divBdr>
            </w:div>
          </w:divsChild>
        </w:div>
        <w:div w:id="1828666678">
          <w:marLeft w:val="0"/>
          <w:marRight w:val="0"/>
          <w:marTop w:val="0"/>
          <w:marBottom w:val="0"/>
          <w:divBdr>
            <w:top w:val="none" w:sz="0" w:space="0" w:color="auto"/>
            <w:left w:val="none" w:sz="0" w:space="0" w:color="auto"/>
            <w:bottom w:val="none" w:sz="0" w:space="0" w:color="auto"/>
            <w:right w:val="none" w:sz="0" w:space="0" w:color="auto"/>
          </w:divBdr>
          <w:divsChild>
            <w:div w:id="2120444498">
              <w:marLeft w:val="0"/>
              <w:marRight w:val="0"/>
              <w:marTop w:val="0"/>
              <w:marBottom w:val="0"/>
              <w:divBdr>
                <w:top w:val="none" w:sz="0" w:space="0" w:color="auto"/>
                <w:left w:val="none" w:sz="0" w:space="0" w:color="auto"/>
                <w:bottom w:val="none" w:sz="0" w:space="0" w:color="auto"/>
                <w:right w:val="none" w:sz="0" w:space="0" w:color="auto"/>
              </w:divBdr>
            </w:div>
          </w:divsChild>
        </w:div>
        <w:div w:id="1832795299">
          <w:marLeft w:val="0"/>
          <w:marRight w:val="0"/>
          <w:marTop w:val="0"/>
          <w:marBottom w:val="0"/>
          <w:divBdr>
            <w:top w:val="none" w:sz="0" w:space="0" w:color="auto"/>
            <w:left w:val="none" w:sz="0" w:space="0" w:color="auto"/>
            <w:bottom w:val="none" w:sz="0" w:space="0" w:color="auto"/>
            <w:right w:val="none" w:sz="0" w:space="0" w:color="auto"/>
          </w:divBdr>
          <w:divsChild>
            <w:div w:id="1473868437">
              <w:marLeft w:val="0"/>
              <w:marRight w:val="0"/>
              <w:marTop w:val="0"/>
              <w:marBottom w:val="0"/>
              <w:divBdr>
                <w:top w:val="none" w:sz="0" w:space="0" w:color="auto"/>
                <w:left w:val="none" w:sz="0" w:space="0" w:color="auto"/>
                <w:bottom w:val="none" w:sz="0" w:space="0" w:color="auto"/>
                <w:right w:val="none" w:sz="0" w:space="0" w:color="auto"/>
              </w:divBdr>
            </w:div>
          </w:divsChild>
        </w:div>
        <w:div w:id="1840194362">
          <w:marLeft w:val="0"/>
          <w:marRight w:val="0"/>
          <w:marTop w:val="0"/>
          <w:marBottom w:val="0"/>
          <w:divBdr>
            <w:top w:val="none" w:sz="0" w:space="0" w:color="auto"/>
            <w:left w:val="none" w:sz="0" w:space="0" w:color="auto"/>
            <w:bottom w:val="none" w:sz="0" w:space="0" w:color="auto"/>
            <w:right w:val="none" w:sz="0" w:space="0" w:color="auto"/>
          </w:divBdr>
          <w:divsChild>
            <w:div w:id="830219109">
              <w:marLeft w:val="0"/>
              <w:marRight w:val="0"/>
              <w:marTop w:val="0"/>
              <w:marBottom w:val="0"/>
              <w:divBdr>
                <w:top w:val="none" w:sz="0" w:space="0" w:color="auto"/>
                <w:left w:val="none" w:sz="0" w:space="0" w:color="auto"/>
                <w:bottom w:val="none" w:sz="0" w:space="0" w:color="auto"/>
                <w:right w:val="none" w:sz="0" w:space="0" w:color="auto"/>
              </w:divBdr>
            </w:div>
          </w:divsChild>
        </w:div>
        <w:div w:id="1841970222">
          <w:marLeft w:val="0"/>
          <w:marRight w:val="0"/>
          <w:marTop w:val="0"/>
          <w:marBottom w:val="0"/>
          <w:divBdr>
            <w:top w:val="none" w:sz="0" w:space="0" w:color="auto"/>
            <w:left w:val="none" w:sz="0" w:space="0" w:color="auto"/>
            <w:bottom w:val="none" w:sz="0" w:space="0" w:color="auto"/>
            <w:right w:val="none" w:sz="0" w:space="0" w:color="auto"/>
          </w:divBdr>
          <w:divsChild>
            <w:div w:id="1902134877">
              <w:marLeft w:val="0"/>
              <w:marRight w:val="0"/>
              <w:marTop w:val="0"/>
              <w:marBottom w:val="0"/>
              <w:divBdr>
                <w:top w:val="none" w:sz="0" w:space="0" w:color="auto"/>
                <w:left w:val="none" w:sz="0" w:space="0" w:color="auto"/>
                <w:bottom w:val="none" w:sz="0" w:space="0" w:color="auto"/>
                <w:right w:val="none" w:sz="0" w:space="0" w:color="auto"/>
              </w:divBdr>
            </w:div>
          </w:divsChild>
        </w:div>
        <w:div w:id="1851215592">
          <w:marLeft w:val="0"/>
          <w:marRight w:val="0"/>
          <w:marTop w:val="0"/>
          <w:marBottom w:val="0"/>
          <w:divBdr>
            <w:top w:val="none" w:sz="0" w:space="0" w:color="auto"/>
            <w:left w:val="none" w:sz="0" w:space="0" w:color="auto"/>
            <w:bottom w:val="none" w:sz="0" w:space="0" w:color="auto"/>
            <w:right w:val="none" w:sz="0" w:space="0" w:color="auto"/>
          </w:divBdr>
          <w:divsChild>
            <w:div w:id="916786203">
              <w:marLeft w:val="0"/>
              <w:marRight w:val="0"/>
              <w:marTop w:val="0"/>
              <w:marBottom w:val="0"/>
              <w:divBdr>
                <w:top w:val="none" w:sz="0" w:space="0" w:color="auto"/>
                <w:left w:val="none" w:sz="0" w:space="0" w:color="auto"/>
                <w:bottom w:val="none" w:sz="0" w:space="0" w:color="auto"/>
                <w:right w:val="none" w:sz="0" w:space="0" w:color="auto"/>
              </w:divBdr>
            </w:div>
          </w:divsChild>
        </w:div>
        <w:div w:id="1897667140">
          <w:marLeft w:val="0"/>
          <w:marRight w:val="0"/>
          <w:marTop w:val="0"/>
          <w:marBottom w:val="0"/>
          <w:divBdr>
            <w:top w:val="none" w:sz="0" w:space="0" w:color="auto"/>
            <w:left w:val="none" w:sz="0" w:space="0" w:color="auto"/>
            <w:bottom w:val="none" w:sz="0" w:space="0" w:color="auto"/>
            <w:right w:val="none" w:sz="0" w:space="0" w:color="auto"/>
          </w:divBdr>
          <w:divsChild>
            <w:div w:id="343672522">
              <w:marLeft w:val="0"/>
              <w:marRight w:val="0"/>
              <w:marTop w:val="0"/>
              <w:marBottom w:val="0"/>
              <w:divBdr>
                <w:top w:val="none" w:sz="0" w:space="0" w:color="auto"/>
                <w:left w:val="none" w:sz="0" w:space="0" w:color="auto"/>
                <w:bottom w:val="none" w:sz="0" w:space="0" w:color="auto"/>
                <w:right w:val="none" w:sz="0" w:space="0" w:color="auto"/>
              </w:divBdr>
            </w:div>
          </w:divsChild>
        </w:div>
        <w:div w:id="1926647882">
          <w:marLeft w:val="0"/>
          <w:marRight w:val="0"/>
          <w:marTop w:val="0"/>
          <w:marBottom w:val="0"/>
          <w:divBdr>
            <w:top w:val="none" w:sz="0" w:space="0" w:color="auto"/>
            <w:left w:val="none" w:sz="0" w:space="0" w:color="auto"/>
            <w:bottom w:val="none" w:sz="0" w:space="0" w:color="auto"/>
            <w:right w:val="none" w:sz="0" w:space="0" w:color="auto"/>
          </w:divBdr>
          <w:divsChild>
            <w:div w:id="290136236">
              <w:marLeft w:val="0"/>
              <w:marRight w:val="0"/>
              <w:marTop w:val="0"/>
              <w:marBottom w:val="0"/>
              <w:divBdr>
                <w:top w:val="none" w:sz="0" w:space="0" w:color="auto"/>
                <w:left w:val="none" w:sz="0" w:space="0" w:color="auto"/>
                <w:bottom w:val="none" w:sz="0" w:space="0" w:color="auto"/>
                <w:right w:val="none" w:sz="0" w:space="0" w:color="auto"/>
              </w:divBdr>
            </w:div>
          </w:divsChild>
        </w:div>
        <w:div w:id="1931042711">
          <w:marLeft w:val="0"/>
          <w:marRight w:val="0"/>
          <w:marTop w:val="0"/>
          <w:marBottom w:val="0"/>
          <w:divBdr>
            <w:top w:val="none" w:sz="0" w:space="0" w:color="auto"/>
            <w:left w:val="none" w:sz="0" w:space="0" w:color="auto"/>
            <w:bottom w:val="none" w:sz="0" w:space="0" w:color="auto"/>
            <w:right w:val="none" w:sz="0" w:space="0" w:color="auto"/>
          </w:divBdr>
          <w:divsChild>
            <w:div w:id="1818886204">
              <w:marLeft w:val="0"/>
              <w:marRight w:val="0"/>
              <w:marTop w:val="0"/>
              <w:marBottom w:val="0"/>
              <w:divBdr>
                <w:top w:val="none" w:sz="0" w:space="0" w:color="auto"/>
                <w:left w:val="none" w:sz="0" w:space="0" w:color="auto"/>
                <w:bottom w:val="none" w:sz="0" w:space="0" w:color="auto"/>
                <w:right w:val="none" w:sz="0" w:space="0" w:color="auto"/>
              </w:divBdr>
            </w:div>
          </w:divsChild>
        </w:div>
        <w:div w:id="1958482333">
          <w:marLeft w:val="0"/>
          <w:marRight w:val="0"/>
          <w:marTop w:val="0"/>
          <w:marBottom w:val="0"/>
          <w:divBdr>
            <w:top w:val="none" w:sz="0" w:space="0" w:color="auto"/>
            <w:left w:val="none" w:sz="0" w:space="0" w:color="auto"/>
            <w:bottom w:val="none" w:sz="0" w:space="0" w:color="auto"/>
            <w:right w:val="none" w:sz="0" w:space="0" w:color="auto"/>
          </w:divBdr>
          <w:divsChild>
            <w:div w:id="530067242">
              <w:marLeft w:val="0"/>
              <w:marRight w:val="0"/>
              <w:marTop w:val="0"/>
              <w:marBottom w:val="0"/>
              <w:divBdr>
                <w:top w:val="none" w:sz="0" w:space="0" w:color="auto"/>
                <w:left w:val="none" w:sz="0" w:space="0" w:color="auto"/>
                <w:bottom w:val="none" w:sz="0" w:space="0" w:color="auto"/>
                <w:right w:val="none" w:sz="0" w:space="0" w:color="auto"/>
              </w:divBdr>
            </w:div>
          </w:divsChild>
        </w:div>
        <w:div w:id="1964191960">
          <w:marLeft w:val="0"/>
          <w:marRight w:val="0"/>
          <w:marTop w:val="0"/>
          <w:marBottom w:val="0"/>
          <w:divBdr>
            <w:top w:val="none" w:sz="0" w:space="0" w:color="auto"/>
            <w:left w:val="none" w:sz="0" w:space="0" w:color="auto"/>
            <w:bottom w:val="none" w:sz="0" w:space="0" w:color="auto"/>
            <w:right w:val="none" w:sz="0" w:space="0" w:color="auto"/>
          </w:divBdr>
          <w:divsChild>
            <w:div w:id="1283539969">
              <w:marLeft w:val="0"/>
              <w:marRight w:val="0"/>
              <w:marTop w:val="0"/>
              <w:marBottom w:val="0"/>
              <w:divBdr>
                <w:top w:val="none" w:sz="0" w:space="0" w:color="auto"/>
                <w:left w:val="none" w:sz="0" w:space="0" w:color="auto"/>
                <w:bottom w:val="none" w:sz="0" w:space="0" w:color="auto"/>
                <w:right w:val="none" w:sz="0" w:space="0" w:color="auto"/>
              </w:divBdr>
            </w:div>
          </w:divsChild>
        </w:div>
        <w:div w:id="2011056073">
          <w:marLeft w:val="0"/>
          <w:marRight w:val="0"/>
          <w:marTop w:val="0"/>
          <w:marBottom w:val="0"/>
          <w:divBdr>
            <w:top w:val="none" w:sz="0" w:space="0" w:color="auto"/>
            <w:left w:val="none" w:sz="0" w:space="0" w:color="auto"/>
            <w:bottom w:val="none" w:sz="0" w:space="0" w:color="auto"/>
            <w:right w:val="none" w:sz="0" w:space="0" w:color="auto"/>
          </w:divBdr>
          <w:divsChild>
            <w:div w:id="1036853330">
              <w:marLeft w:val="0"/>
              <w:marRight w:val="0"/>
              <w:marTop w:val="0"/>
              <w:marBottom w:val="0"/>
              <w:divBdr>
                <w:top w:val="none" w:sz="0" w:space="0" w:color="auto"/>
                <w:left w:val="none" w:sz="0" w:space="0" w:color="auto"/>
                <w:bottom w:val="none" w:sz="0" w:space="0" w:color="auto"/>
                <w:right w:val="none" w:sz="0" w:space="0" w:color="auto"/>
              </w:divBdr>
            </w:div>
          </w:divsChild>
        </w:div>
        <w:div w:id="2046984031">
          <w:marLeft w:val="0"/>
          <w:marRight w:val="0"/>
          <w:marTop w:val="0"/>
          <w:marBottom w:val="0"/>
          <w:divBdr>
            <w:top w:val="none" w:sz="0" w:space="0" w:color="auto"/>
            <w:left w:val="none" w:sz="0" w:space="0" w:color="auto"/>
            <w:bottom w:val="none" w:sz="0" w:space="0" w:color="auto"/>
            <w:right w:val="none" w:sz="0" w:space="0" w:color="auto"/>
          </w:divBdr>
          <w:divsChild>
            <w:div w:id="239410108">
              <w:marLeft w:val="0"/>
              <w:marRight w:val="0"/>
              <w:marTop w:val="0"/>
              <w:marBottom w:val="0"/>
              <w:divBdr>
                <w:top w:val="none" w:sz="0" w:space="0" w:color="auto"/>
                <w:left w:val="none" w:sz="0" w:space="0" w:color="auto"/>
                <w:bottom w:val="none" w:sz="0" w:space="0" w:color="auto"/>
                <w:right w:val="none" w:sz="0" w:space="0" w:color="auto"/>
              </w:divBdr>
            </w:div>
          </w:divsChild>
        </w:div>
        <w:div w:id="2050495399">
          <w:marLeft w:val="0"/>
          <w:marRight w:val="0"/>
          <w:marTop w:val="0"/>
          <w:marBottom w:val="0"/>
          <w:divBdr>
            <w:top w:val="none" w:sz="0" w:space="0" w:color="auto"/>
            <w:left w:val="none" w:sz="0" w:space="0" w:color="auto"/>
            <w:bottom w:val="none" w:sz="0" w:space="0" w:color="auto"/>
            <w:right w:val="none" w:sz="0" w:space="0" w:color="auto"/>
          </w:divBdr>
          <w:divsChild>
            <w:div w:id="112024946">
              <w:marLeft w:val="0"/>
              <w:marRight w:val="0"/>
              <w:marTop w:val="0"/>
              <w:marBottom w:val="0"/>
              <w:divBdr>
                <w:top w:val="none" w:sz="0" w:space="0" w:color="auto"/>
                <w:left w:val="none" w:sz="0" w:space="0" w:color="auto"/>
                <w:bottom w:val="none" w:sz="0" w:space="0" w:color="auto"/>
                <w:right w:val="none" w:sz="0" w:space="0" w:color="auto"/>
              </w:divBdr>
            </w:div>
            <w:div w:id="1010765061">
              <w:marLeft w:val="0"/>
              <w:marRight w:val="0"/>
              <w:marTop w:val="0"/>
              <w:marBottom w:val="0"/>
              <w:divBdr>
                <w:top w:val="none" w:sz="0" w:space="0" w:color="auto"/>
                <w:left w:val="none" w:sz="0" w:space="0" w:color="auto"/>
                <w:bottom w:val="none" w:sz="0" w:space="0" w:color="auto"/>
                <w:right w:val="none" w:sz="0" w:space="0" w:color="auto"/>
              </w:divBdr>
            </w:div>
          </w:divsChild>
        </w:div>
        <w:div w:id="2136021037">
          <w:marLeft w:val="0"/>
          <w:marRight w:val="0"/>
          <w:marTop w:val="0"/>
          <w:marBottom w:val="0"/>
          <w:divBdr>
            <w:top w:val="none" w:sz="0" w:space="0" w:color="auto"/>
            <w:left w:val="none" w:sz="0" w:space="0" w:color="auto"/>
            <w:bottom w:val="none" w:sz="0" w:space="0" w:color="auto"/>
            <w:right w:val="none" w:sz="0" w:space="0" w:color="auto"/>
          </w:divBdr>
          <w:divsChild>
            <w:div w:id="10438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14095">
      <w:bodyDiv w:val="1"/>
      <w:marLeft w:val="0"/>
      <w:marRight w:val="0"/>
      <w:marTop w:val="0"/>
      <w:marBottom w:val="0"/>
      <w:divBdr>
        <w:top w:val="none" w:sz="0" w:space="0" w:color="auto"/>
        <w:left w:val="none" w:sz="0" w:space="0" w:color="auto"/>
        <w:bottom w:val="none" w:sz="0" w:space="0" w:color="auto"/>
        <w:right w:val="none" w:sz="0" w:space="0" w:color="auto"/>
      </w:divBdr>
    </w:div>
    <w:div w:id="422379524">
      <w:bodyDiv w:val="1"/>
      <w:marLeft w:val="0"/>
      <w:marRight w:val="0"/>
      <w:marTop w:val="0"/>
      <w:marBottom w:val="0"/>
      <w:divBdr>
        <w:top w:val="none" w:sz="0" w:space="0" w:color="auto"/>
        <w:left w:val="none" w:sz="0" w:space="0" w:color="auto"/>
        <w:bottom w:val="none" w:sz="0" w:space="0" w:color="auto"/>
        <w:right w:val="none" w:sz="0" w:space="0" w:color="auto"/>
      </w:divBdr>
    </w:div>
    <w:div w:id="437142498">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71606580">
      <w:bodyDiv w:val="1"/>
      <w:marLeft w:val="0"/>
      <w:marRight w:val="0"/>
      <w:marTop w:val="0"/>
      <w:marBottom w:val="0"/>
      <w:divBdr>
        <w:top w:val="none" w:sz="0" w:space="0" w:color="auto"/>
        <w:left w:val="none" w:sz="0" w:space="0" w:color="auto"/>
        <w:bottom w:val="none" w:sz="0" w:space="0" w:color="auto"/>
        <w:right w:val="none" w:sz="0" w:space="0" w:color="auto"/>
      </w:divBdr>
      <w:divsChild>
        <w:div w:id="151680791">
          <w:marLeft w:val="0"/>
          <w:marRight w:val="0"/>
          <w:marTop w:val="0"/>
          <w:marBottom w:val="0"/>
          <w:divBdr>
            <w:top w:val="none" w:sz="0" w:space="0" w:color="auto"/>
            <w:left w:val="none" w:sz="0" w:space="0" w:color="auto"/>
            <w:bottom w:val="none" w:sz="0" w:space="0" w:color="auto"/>
            <w:right w:val="none" w:sz="0" w:space="0" w:color="auto"/>
          </w:divBdr>
        </w:div>
        <w:div w:id="1223054866">
          <w:marLeft w:val="0"/>
          <w:marRight w:val="0"/>
          <w:marTop w:val="0"/>
          <w:marBottom w:val="0"/>
          <w:divBdr>
            <w:top w:val="none" w:sz="0" w:space="0" w:color="auto"/>
            <w:left w:val="none" w:sz="0" w:space="0" w:color="auto"/>
            <w:bottom w:val="none" w:sz="0" w:space="0" w:color="auto"/>
            <w:right w:val="none" w:sz="0" w:space="0" w:color="auto"/>
          </w:divBdr>
        </w:div>
        <w:div w:id="1281448493">
          <w:marLeft w:val="0"/>
          <w:marRight w:val="0"/>
          <w:marTop w:val="0"/>
          <w:marBottom w:val="0"/>
          <w:divBdr>
            <w:top w:val="none" w:sz="0" w:space="0" w:color="auto"/>
            <w:left w:val="none" w:sz="0" w:space="0" w:color="auto"/>
            <w:bottom w:val="none" w:sz="0" w:space="0" w:color="auto"/>
            <w:right w:val="none" w:sz="0" w:space="0" w:color="auto"/>
          </w:divBdr>
          <w:divsChild>
            <w:div w:id="41562434">
              <w:marLeft w:val="0"/>
              <w:marRight w:val="0"/>
              <w:marTop w:val="0"/>
              <w:marBottom w:val="0"/>
              <w:divBdr>
                <w:top w:val="none" w:sz="0" w:space="0" w:color="auto"/>
                <w:left w:val="none" w:sz="0" w:space="0" w:color="auto"/>
                <w:bottom w:val="none" w:sz="0" w:space="0" w:color="auto"/>
                <w:right w:val="none" w:sz="0" w:space="0" w:color="auto"/>
              </w:divBdr>
            </w:div>
            <w:div w:id="48501855">
              <w:marLeft w:val="0"/>
              <w:marRight w:val="0"/>
              <w:marTop w:val="0"/>
              <w:marBottom w:val="0"/>
              <w:divBdr>
                <w:top w:val="none" w:sz="0" w:space="0" w:color="auto"/>
                <w:left w:val="none" w:sz="0" w:space="0" w:color="auto"/>
                <w:bottom w:val="none" w:sz="0" w:space="0" w:color="auto"/>
                <w:right w:val="none" w:sz="0" w:space="0" w:color="auto"/>
              </w:divBdr>
            </w:div>
            <w:div w:id="320348362">
              <w:marLeft w:val="0"/>
              <w:marRight w:val="0"/>
              <w:marTop w:val="0"/>
              <w:marBottom w:val="0"/>
              <w:divBdr>
                <w:top w:val="none" w:sz="0" w:space="0" w:color="auto"/>
                <w:left w:val="none" w:sz="0" w:space="0" w:color="auto"/>
                <w:bottom w:val="none" w:sz="0" w:space="0" w:color="auto"/>
                <w:right w:val="none" w:sz="0" w:space="0" w:color="auto"/>
              </w:divBdr>
            </w:div>
            <w:div w:id="517620588">
              <w:marLeft w:val="0"/>
              <w:marRight w:val="0"/>
              <w:marTop w:val="0"/>
              <w:marBottom w:val="0"/>
              <w:divBdr>
                <w:top w:val="none" w:sz="0" w:space="0" w:color="auto"/>
                <w:left w:val="none" w:sz="0" w:space="0" w:color="auto"/>
                <w:bottom w:val="none" w:sz="0" w:space="0" w:color="auto"/>
                <w:right w:val="none" w:sz="0" w:space="0" w:color="auto"/>
              </w:divBdr>
            </w:div>
            <w:div w:id="524943491">
              <w:marLeft w:val="0"/>
              <w:marRight w:val="0"/>
              <w:marTop w:val="0"/>
              <w:marBottom w:val="0"/>
              <w:divBdr>
                <w:top w:val="none" w:sz="0" w:space="0" w:color="auto"/>
                <w:left w:val="none" w:sz="0" w:space="0" w:color="auto"/>
                <w:bottom w:val="none" w:sz="0" w:space="0" w:color="auto"/>
                <w:right w:val="none" w:sz="0" w:space="0" w:color="auto"/>
              </w:divBdr>
            </w:div>
            <w:div w:id="540358936">
              <w:marLeft w:val="0"/>
              <w:marRight w:val="0"/>
              <w:marTop w:val="0"/>
              <w:marBottom w:val="0"/>
              <w:divBdr>
                <w:top w:val="none" w:sz="0" w:space="0" w:color="auto"/>
                <w:left w:val="none" w:sz="0" w:space="0" w:color="auto"/>
                <w:bottom w:val="none" w:sz="0" w:space="0" w:color="auto"/>
                <w:right w:val="none" w:sz="0" w:space="0" w:color="auto"/>
              </w:divBdr>
            </w:div>
            <w:div w:id="628366185">
              <w:marLeft w:val="0"/>
              <w:marRight w:val="0"/>
              <w:marTop w:val="0"/>
              <w:marBottom w:val="0"/>
              <w:divBdr>
                <w:top w:val="none" w:sz="0" w:space="0" w:color="auto"/>
                <w:left w:val="none" w:sz="0" w:space="0" w:color="auto"/>
                <w:bottom w:val="none" w:sz="0" w:space="0" w:color="auto"/>
                <w:right w:val="none" w:sz="0" w:space="0" w:color="auto"/>
              </w:divBdr>
            </w:div>
            <w:div w:id="635262691">
              <w:marLeft w:val="0"/>
              <w:marRight w:val="0"/>
              <w:marTop w:val="0"/>
              <w:marBottom w:val="0"/>
              <w:divBdr>
                <w:top w:val="none" w:sz="0" w:space="0" w:color="auto"/>
                <w:left w:val="none" w:sz="0" w:space="0" w:color="auto"/>
                <w:bottom w:val="none" w:sz="0" w:space="0" w:color="auto"/>
                <w:right w:val="none" w:sz="0" w:space="0" w:color="auto"/>
              </w:divBdr>
            </w:div>
            <w:div w:id="865798503">
              <w:marLeft w:val="0"/>
              <w:marRight w:val="0"/>
              <w:marTop w:val="0"/>
              <w:marBottom w:val="0"/>
              <w:divBdr>
                <w:top w:val="none" w:sz="0" w:space="0" w:color="auto"/>
                <w:left w:val="none" w:sz="0" w:space="0" w:color="auto"/>
                <w:bottom w:val="none" w:sz="0" w:space="0" w:color="auto"/>
                <w:right w:val="none" w:sz="0" w:space="0" w:color="auto"/>
              </w:divBdr>
            </w:div>
            <w:div w:id="873621306">
              <w:marLeft w:val="0"/>
              <w:marRight w:val="0"/>
              <w:marTop w:val="0"/>
              <w:marBottom w:val="0"/>
              <w:divBdr>
                <w:top w:val="none" w:sz="0" w:space="0" w:color="auto"/>
                <w:left w:val="none" w:sz="0" w:space="0" w:color="auto"/>
                <w:bottom w:val="none" w:sz="0" w:space="0" w:color="auto"/>
                <w:right w:val="none" w:sz="0" w:space="0" w:color="auto"/>
              </w:divBdr>
            </w:div>
            <w:div w:id="1146822533">
              <w:marLeft w:val="0"/>
              <w:marRight w:val="0"/>
              <w:marTop w:val="0"/>
              <w:marBottom w:val="0"/>
              <w:divBdr>
                <w:top w:val="none" w:sz="0" w:space="0" w:color="auto"/>
                <w:left w:val="none" w:sz="0" w:space="0" w:color="auto"/>
                <w:bottom w:val="none" w:sz="0" w:space="0" w:color="auto"/>
                <w:right w:val="none" w:sz="0" w:space="0" w:color="auto"/>
              </w:divBdr>
            </w:div>
            <w:div w:id="1234659683">
              <w:marLeft w:val="0"/>
              <w:marRight w:val="0"/>
              <w:marTop w:val="0"/>
              <w:marBottom w:val="0"/>
              <w:divBdr>
                <w:top w:val="none" w:sz="0" w:space="0" w:color="auto"/>
                <w:left w:val="none" w:sz="0" w:space="0" w:color="auto"/>
                <w:bottom w:val="none" w:sz="0" w:space="0" w:color="auto"/>
                <w:right w:val="none" w:sz="0" w:space="0" w:color="auto"/>
              </w:divBdr>
            </w:div>
            <w:div w:id="1423643635">
              <w:marLeft w:val="0"/>
              <w:marRight w:val="0"/>
              <w:marTop w:val="0"/>
              <w:marBottom w:val="0"/>
              <w:divBdr>
                <w:top w:val="none" w:sz="0" w:space="0" w:color="auto"/>
                <w:left w:val="none" w:sz="0" w:space="0" w:color="auto"/>
                <w:bottom w:val="none" w:sz="0" w:space="0" w:color="auto"/>
                <w:right w:val="none" w:sz="0" w:space="0" w:color="auto"/>
              </w:divBdr>
            </w:div>
            <w:div w:id="1578058430">
              <w:marLeft w:val="0"/>
              <w:marRight w:val="0"/>
              <w:marTop w:val="0"/>
              <w:marBottom w:val="0"/>
              <w:divBdr>
                <w:top w:val="none" w:sz="0" w:space="0" w:color="auto"/>
                <w:left w:val="none" w:sz="0" w:space="0" w:color="auto"/>
                <w:bottom w:val="none" w:sz="0" w:space="0" w:color="auto"/>
                <w:right w:val="none" w:sz="0" w:space="0" w:color="auto"/>
              </w:divBdr>
            </w:div>
            <w:div w:id="1629045808">
              <w:marLeft w:val="0"/>
              <w:marRight w:val="0"/>
              <w:marTop w:val="0"/>
              <w:marBottom w:val="0"/>
              <w:divBdr>
                <w:top w:val="none" w:sz="0" w:space="0" w:color="auto"/>
                <w:left w:val="none" w:sz="0" w:space="0" w:color="auto"/>
                <w:bottom w:val="none" w:sz="0" w:space="0" w:color="auto"/>
                <w:right w:val="none" w:sz="0" w:space="0" w:color="auto"/>
              </w:divBdr>
            </w:div>
            <w:div w:id="1723862847">
              <w:marLeft w:val="0"/>
              <w:marRight w:val="0"/>
              <w:marTop w:val="0"/>
              <w:marBottom w:val="0"/>
              <w:divBdr>
                <w:top w:val="none" w:sz="0" w:space="0" w:color="auto"/>
                <w:left w:val="none" w:sz="0" w:space="0" w:color="auto"/>
                <w:bottom w:val="none" w:sz="0" w:space="0" w:color="auto"/>
                <w:right w:val="none" w:sz="0" w:space="0" w:color="auto"/>
              </w:divBdr>
            </w:div>
            <w:div w:id="1898784570">
              <w:marLeft w:val="0"/>
              <w:marRight w:val="0"/>
              <w:marTop w:val="0"/>
              <w:marBottom w:val="0"/>
              <w:divBdr>
                <w:top w:val="none" w:sz="0" w:space="0" w:color="auto"/>
                <w:left w:val="none" w:sz="0" w:space="0" w:color="auto"/>
                <w:bottom w:val="none" w:sz="0" w:space="0" w:color="auto"/>
                <w:right w:val="none" w:sz="0" w:space="0" w:color="auto"/>
              </w:divBdr>
            </w:div>
            <w:div w:id="1904486545">
              <w:marLeft w:val="0"/>
              <w:marRight w:val="0"/>
              <w:marTop w:val="0"/>
              <w:marBottom w:val="0"/>
              <w:divBdr>
                <w:top w:val="none" w:sz="0" w:space="0" w:color="auto"/>
                <w:left w:val="none" w:sz="0" w:space="0" w:color="auto"/>
                <w:bottom w:val="none" w:sz="0" w:space="0" w:color="auto"/>
                <w:right w:val="none" w:sz="0" w:space="0" w:color="auto"/>
              </w:divBdr>
            </w:div>
            <w:div w:id="1920478694">
              <w:marLeft w:val="0"/>
              <w:marRight w:val="0"/>
              <w:marTop w:val="0"/>
              <w:marBottom w:val="0"/>
              <w:divBdr>
                <w:top w:val="none" w:sz="0" w:space="0" w:color="auto"/>
                <w:left w:val="none" w:sz="0" w:space="0" w:color="auto"/>
                <w:bottom w:val="none" w:sz="0" w:space="0" w:color="auto"/>
                <w:right w:val="none" w:sz="0" w:space="0" w:color="auto"/>
              </w:divBdr>
            </w:div>
          </w:divsChild>
        </w:div>
        <w:div w:id="1492256046">
          <w:marLeft w:val="0"/>
          <w:marRight w:val="0"/>
          <w:marTop w:val="0"/>
          <w:marBottom w:val="0"/>
          <w:divBdr>
            <w:top w:val="none" w:sz="0" w:space="0" w:color="auto"/>
            <w:left w:val="none" w:sz="0" w:space="0" w:color="auto"/>
            <w:bottom w:val="none" w:sz="0" w:space="0" w:color="auto"/>
            <w:right w:val="none" w:sz="0" w:space="0" w:color="auto"/>
          </w:divBdr>
        </w:div>
        <w:div w:id="1669016863">
          <w:marLeft w:val="0"/>
          <w:marRight w:val="0"/>
          <w:marTop w:val="0"/>
          <w:marBottom w:val="0"/>
          <w:divBdr>
            <w:top w:val="none" w:sz="0" w:space="0" w:color="auto"/>
            <w:left w:val="none" w:sz="0" w:space="0" w:color="auto"/>
            <w:bottom w:val="none" w:sz="0" w:space="0" w:color="auto"/>
            <w:right w:val="none" w:sz="0" w:space="0" w:color="auto"/>
          </w:divBdr>
          <w:divsChild>
            <w:div w:id="40131293">
              <w:marLeft w:val="0"/>
              <w:marRight w:val="0"/>
              <w:marTop w:val="0"/>
              <w:marBottom w:val="0"/>
              <w:divBdr>
                <w:top w:val="none" w:sz="0" w:space="0" w:color="auto"/>
                <w:left w:val="none" w:sz="0" w:space="0" w:color="auto"/>
                <w:bottom w:val="none" w:sz="0" w:space="0" w:color="auto"/>
                <w:right w:val="none" w:sz="0" w:space="0" w:color="auto"/>
              </w:divBdr>
            </w:div>
            <w:div w:id="44062829">
              <w:marLeft w:val="0"/>
              <w:marRight w:val="0"/>
              <w:marTop w:val="0"/>
              <w:marBottom w:val="0"/>
              <w:divBdr>
                <w:top w:val="none" w:sz="0" w:space="0" w:color="auto"/>
                <w:left w:val="none" w:sz="0" w:space="0" w:color="auto"/>
                <w:bottom w:val="none" w:sz="0" w:space="0" w:color="auto"/>
                <w:right w:val="none" w:sz="0" w:space="0" w:color="auto"/>
              </w:divBdr>
            </w:div>
            <w:div w:id="58212820">
              <w:marLeft w:val="0"/>
              <w:marRight w:val="0"/>
              <w:marTop w:val="0"/>
              <w:marBottom w:val="0"/>
              <w:divBdr>
                <w:top w:val="none" w:sz="0" w:space="0" w:color="auto"/>
                <w:left w:val="none" w:sz="0" w:space="0" w:color="auto"/>
                <w:bottom w:val="none" w:sz="0" w:space="0" w:color="auto"/>
                <w:right w:val="none" w:sz="0" w:space="0" w:color="auto"/>
              </w:divBdr>
            </w:div>
            <w:div w:id="116340899">
              <w:marLeft w:val="0"/>
              <w:marRight w:val="0"/>
              <w:marTop w:val="0"/>
              <w:marBottom w:val="0"/>
              <w:divBdr>
                <w:top w:val="none" w:sz="0" w:space="0" w:color="auto"/>
                <w:left w:val="none" w:sz="0" w:space="0" w:color="auto"/>
                <w:bottom w:val="none" w:sz="0" w:space="0" w:color="auto"/>
                <w:right w:val="none" w:sz="0" w:space="0" w:color="auto"/>
              </w:divBdr>
            </w:div>
            <w:div w:id="173690248">
              <w:marLeft w:val="0"/>
              <w:marRight w:val="0"/>
              <w:marTop w:val="0"/>
              <w:marBottom w:val="0"/>
              <w:divBdr>
                <w:top w:val="none" w:sz="0" w:space="0" w:color="auto"/>
                <w:left w:val="none" w:sz="0" w:space="0" w:color="auto"/>
                <w:bottom w:val="none" w:sz="0" w:space="0" w:color="auto"/>
                <w:right w:val="none" w:sz="0" w:space="0" w:color="auto"/>
              </w:divBdr>
            </w:div>
            <w:div w:id="270891918">
              <w:marLeft w:val="0"/>
              <w:marRight w:val="0"/>
              <w:marTop w:val="0"/>
              <w:marBottom w:val="0"/>
              <w:divBdr>
                <w:top w:val="none" w:sz="0" w:space="0" w:color="auto"/>
                <w:left w:val="none" w:sz="0" w:space="0" w:color="auto"/>
                <w:bottom w:val="none" w:sz="0" w:space="0" w:color="auto"/>
                <w:right w:val="none" w:sz="0" w:space="0" w:color="auto"/>
              </w:divBdr>
            </w:div>
            <w:div w:id="308097624">
              <w:marLeft w:val="0"/>
              <w:marRight w:val="0"/>
              <w:marTop w:val="0"/>
              <w:marBottom w:val="0"/>
              <w:divBdr>
                <w:top w:val="none" w:sz="0" w:space="0" w:color="auto"/>
                <w:left w:val="none" w:sz="0" w:space="0" w:color="auto"/>
                <w:bottom w:val="none" w:sz="0" w:space="0" w:color="auto"/>
                <w:right w:val="none" w:sz="0" w:space="0" w:color="auto"/>
              </w:divBdr>
            </w:div>
            <w:div w:id="413355481">
              <w:marLeft w:val="0"/>
              <w:marRight w:val="0"/>
              <w:marTop w:val="0"/>
              <w:marBottom w:val="0"/>
              <w:divBdr>
                <w:top w:val="none" w:sz="0" w:space="0" w:color="auto"/>
                <w:left w:val="none" w:sz="0" w:space="0" w:color="auto"/>
                <w:bottom w:val="none" w:sz="0" w:space="0" w:color="auto"/>
                <w:right w:val="none" w:sz="0" w:space="0" w:color="auto"/>
              </w:divBdr>
            </w:div>
            <w:div w:id="614874199">
              <w:marLeft w:val="0"/>
              <w:marRight w:val="0"/>
              <w:marTop w:val="0"/>
              <w:marBottom w:val="0"/>
              <w:divBdr>
                <w:top w:val="none" w:sz="0" w:space="0" w:color="auto"/>
                <w:left w:val="none" w:sz="0" w:space="0" w:color="auto"/>
                <w:bottom w:val="none" w:sz="0" w:space="0" w:color="auto"/>
                <w:right w:val="none" w:sz="0" w:space="0" w:color="auto"/>
              </w:divBdr>
            </w:div>
            <w:div w:id="741877840">
              <w:marLeft w:val="0"/>
              <w:marRight w:val="0"/>
              <w:marTop w:val="0"/>
              <w:marBottom w:val="0"/>
              <w:divBdr>
                <w:top w:val="none" w:sz="0" w:space="0" w:color="auto"/>
                <w:left w:val="none" w:sz="0" w:space="0" w:color="auto"/>
                <w:bottom w:val="none" w:sz="0" w:space="0" w:color="auto"/>
                <w:right w:val="none" w:sz="0" w:space="0" w:color="auto"/>
              </w:divBdr>
            </w:div>
            <w:div w:id="1265381409">
              <w:marLeft w:val="0"/>
              <w:marRight w:val="0"/>
              <w:marTop w:val="0"/>
              <w:marBottom w:val="0"/>
              <w:divBdr>
                <w:top w:val="none" w:sz="0" w:space="0" w:color="auto"/>
                <w:left w:val="none" w:sz="0" w:space="0" w:color="auto"/>
                <w:bottom w:val="none" w:sz="0" w:space="0" w:color="auto"/>
                <w:right w:val="none" w:sz="0" w:space="0" w:color="auto"/>
              </w:divBdr>
            </w:div>
            <w:div w:id="1341083440">
              <w:marLeft w:val="0"/>
              <w:marRight w:val="0"/>
              <w:marTop w:val="0"/>
              <w:marBottom w:val="0"/>
              <w:divBdr>
                <w:top w:val="none" w:sz="0" w:space="0" w:color="auto"/>
                <w:left w:val="none" w:sz="0" w:space="0" w:color="auto"/>
                <w:bottom w:val="none" w:sz="0" w:space="0" w:color="auto"/>
                <w:right w:val="none" w:sz="0" w:space="0" w:color="auto"/>
              </w:divBdr>
            </w:div>
            <w:div w:id="1350910592">
              <w:marLeft w:val="0"/>
              <w:marRight w:val="0"/>
              <w:marTop w:val="0"/>
              <w:marBottom w:val="0"/>
              <w:divBdr>
                <w:top w:val="none" w:sz="0" w:space="0" w:color="auto"/>
                <w:left w:val="none" w:sz="0" w:space="0" w:color="auto"/>
                <w:bottom w:val="none" w:sz="0" w:space="0" w:color="auto"/>
                <w:right w:val="none" w:sz="0" w:space="0" w:color="auto"/>
              </w:divBdr>
            </w:div>
            <w:div w:id="1522738172">
              <w:marLeft w:val="0"/>
              <w:marRight w:val="0"/>
              <w:marTop w:val="0"/>
              <w:marBottom w:val="0"/>
              <w:divBdr>
                <w:top w:val="none" w:sz="0" w:space="0" w:color="auto"/>
                <w:left w:val="none" w:sz="0" w:space="0" w:color="auto"/>
                <w:bottom w:val="none" w:sz="0" w:space="0" w:color="auto"/>
                <w:right w:val="none" w:sz="0" w:space="0" w:color="auto"/>
              </w:divBdr>
            </w:div>
            <w:div w:id="1653825425">
              <w:marLeft w:val="0"/>
              <w:marRight w:val="0"/>
              <w:marTop w:val="0"/>
              <w:marBottom w:val="0"/>
              <w:divBdr>
                <w:top w:val="none" w:sz="0" w:space="0" w:color="auto"/>
                <w:left w:val="none" w:sz="0" w:space="0" w:color="auto"/>
                <w:bottom w:val="none" w:sz="0" w:space="0" w:color="auto"/>
                <w:right w:val="none" w:sz="0" w:space="0" w:color="auto"/>
              </w:divBdr>
            </w:div>
            <w:div w:id="1782645409">
              <w:marLeft w:val="0"/>
              <w:marRight w:val="0"/>
              <w:marTop w:val="0"/>
              <w:marBottom w:val="0"/>
              <w:divBdr>
                <w:top w:val="none" w:sz="0" w:space="0" w:color="auto"/>
                <w:left w:val="none" w:sz="0" w:space="0" w:color="auto"/>
                <w:bottom w:val="none" w:sz="0" w:space="0" w:color="auto"/>
                <w:right w:val="none" w:sz="0" w:space="0" w:color="auto"/>
              </w:divBdr>
            </w:div>
            <w:div w:id="1962958314">
              <w:marLeft w:val="0"/>
              <w:marRight w:val="0"/>
              <w:marTop w:val="0"/>
              <w:marBottom w:val="0"/>
              <w:divBdr>
                <w:top w:val="none" w:sz="0" w:space="0" w:color="auto"/>
                <w:left w:val="none" w:sz="0" w:space="0" w:color="auto"/>
                <w:bottom w:val="none" w:sz="0" w:space="0" w:color="auto"/>
                <w:right w:val="none" w:sz="0" w:space="0" w:color="auto"/>
              </w:divBdr>
            </w:div>
            <w:div w:id="2075465513">
              <w:marLeft w:val="0"/>
              <w:marRight w:val="0"/>
              <w:marTop w:val="0"/>
              <w:marBottom w:val="0"/>
              <w:divBdr>
                <w:top w:val="none" w:sz="0" w:space="0" w:color="auto"/>
                <w:left w:val="none" w:sz="0" w:space="0" w:color="auto"/>
                <w:bottom w:val="none" w:sz="0" w:space="0" w:color="auto"/>
                <w:right w:val="none" w:sz="0" w:space="0" w:color="auto"/>
              </w:divBdr>
            </w:div>
            <w:div w:id="2083260124">
              <w:marLeft w:val="0"/>
              <w:marRight w:val="0"/>
              <w:marTop w:val="0"/>
              <w:marBottom w:val="0"/>
              <w:divBdr>
                <w:top w:val="none" w:sz="0" w:space="0" w:color="auto"/>
                <w:left w:val="none" w:sz="0" w:space="0" w:color="auto"/>
                <w:bottom w:val="none" w:sz="0" w:space="0" w:color="auto"/>
                <w:right w:val="none" w:sz="0" w:space="0" w:color="auto"/>
              </w:divBdr>
            </w:div>
            <w:div w:id="214168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54552">
      <w:bodyDiv w:val="1"/>
      <w:marLeft w:val="0"/>
      <w:marRight w:val="0"/>
      <w:marTop w:val="0"/>
      <w:marBottom w:val="0"/>
      <w:divBdr>
        <w:top w:val="none" w:sz="0" w:space="0" w:color="auto"/>
        <w:left w:val="none" w:sz="0" w:space="0" w:color="auto"/>
        <w:bottom w:val="none" w:sz="0" w:space="0" w:color="auto"/>
        <w:right w:val="none" w:sz="0" w:space="0" w:color="auto"/>
      </w:divBdr>
    </w:div>
    <w:div w:id="509178062">
      <w:bodyDiv w:val="1"/>
      <w:marLeft w:val="0"/>
      <w:marRight w:val="0"/>
      <w:marTop w:val="0"/>
      <w:marBottom w:val="0"/>
      <w:divBdr>
        <w:top w:val="none" w:sz="0" w:space="0" w:color="auto"/>
        <w:left w:val="none" w:sz="0" w:space="0" w:color="auto"/>
        <w:bottom w:val="none" w:sz="0" w:space="0" w:color="auto"/>
        <w:right w:val="none" w:sz="0" w:space="0" w:color="auto"/>
      </w:divBdr>
      <w:divsChild>
        <w:div w:id="21591978">
          <w:marLeft w:val="0"/>
          <w:marRight w:val="0"/>
          <w:marTop w:val="0"/>
          <w:marBottom w:val="0"/>
          <w:divBdr>
            <w:top w:val="none" w:sz="0" w:space="0" w:color="auto"/>
            <w:left w:val="none" w:sz="0" w:space="0" w:color="auto"/>
            <w:bottom w:val="none" w:sz="0" w:space="0" w:color="auto"/>
            <w:right w:val="none" w:sz="0" w:space="0" w:color="auto"/>
          </w:divBdr>
        </w:div>
        <w:div w:id="41559067">
          <w:marLeft w:val="0"/>
          <w:marRight w:val="0"/>
          <w:marTop w:val="0"/>
          <w:marBottom w:val="0"/>
          <w:divBdr>
            <w:top w:val="none" w:sz="0" w:space="0" w:color="auto"/>
            <w:left w:val="none" w:sz="0" w:space="0" w:color="auto"/>
            <w:bottom w:val="none" w:sz="0" w:space="0" w:color="auto"/>
            <w:right w:val="none" w:sz="0" w:space="0" w:color="auto"/>
          </w:divBdr>
        </w:div>
        <w:div w:id="122963153">
          <w:marLeft w:val="0"/>
          <w:marRight w:val="0"/>
          <w:marTop w:val="0"/>
          <w:marBottom w:val="0"/>
          <w:divBdr>
            <w:top w:val="none" w:sz="0" w:space="0" w:color="auto"/>
            <w:left w:val="none" w:sz="0" w:space="0" w:color="auto"/>
            <w:bottom w:val="none" w:sz="0" w:space="0" w:color="auto"/>
            <w:right w:val="none" w:sz="0" w:space="0" w:color="auto"/>
          </w:divBdr>
        </w:div>
        <w:div w:id="156267424">
          <w:marLeft w:val="0"/>
          <w:marRight w:val="0"/>
          <w:marTop w:val="0"/>
          <w:marBottom w:val="0"/>
          <w:divBdr>
            <w:top w:val="none" w:sz="0" w:space="0" w:color="auto"/>
            <w:left w:val="none" w:sz="0" w:space="0" w:color="auto"/>
            <w:bottom w:val="none" w:sz="0" w:space="0" w:color="auto"/>
            <w:right w:val="none" w:sz="0" w:space="0" w:color="auto"/>
          </w:divBdr>
        </w:div>
        <w:div w:id="179272293">
          <w:marLeft w:val="0"/>
          <w:marRight w:val="0"/>
          <w:marTop w:val="0"/>
          <w:marBottom w:val="0"/>
          <w:divBdr>
            <w:top w:val="none" w:sz="0" w:space="0" w:color="auto"/>
            <w:left w:val="none" w:sz="0" w:space="0" w:color="auto"/>
            <w:bottom w:val="none" w:sz="0" w:space="0" w:color="auto"/>
            <w:right w:val="none" w:sz="0" w:space="0" w:color="auto"/>
          </w:divBdr>
        </w:div>
        <w:div w:id="188686675">
          <w:marLeft w:val="0"/>
          <w:marRight w:val="0"/>
          <w:marTop w:val="0"/>
          <w:marBottom w:val="0"/>
          <w:divBdr>
            <w:top w:val="none" w:sz="0" w:space="0" w:color="auto"/>
            <w:left w:val="none" w:sz="0" w:space="0" w:color="auto"/>
            <w:bottom w:val="none" w:sz="0" w:space="0" w:color="auto"/>
            <w:right w:val="none" w:sz="0" w:space="0" w:color="auto"/>
          </w:divBdr>
        </w:div>
        <w:div w:id="230623317">
          <w:marLeft w:val="0"/>
          <w:marRight w:val="0"/>
          <w:marTop w:val="0"/>
          <w:marBottom w:val="0"/>
          <w:divBdr>
            <w:top w:val="none" w:sz="0" w:space="0" w:color="auto"/>
            <w:left w:val="none" w:sz="0" w:space="0" w:color="auto"/>
            <w:bottom w:val="none" w:sz="0" w:space="0" w:color="auto"/>
            <w:right w:val="none" w:sz="0" w:space="0" w:color="auto"/>
          </w:divBdr>
        </w:div>
        <w:div w:id="239799560">
          <w:marLeft w:val="0"/>
          <w:marRight w:val="0"/>
          <w:marTop w:val="0"/>
          <w:marBottom w:val="0"/>
          <w:divBdr>
            <w:top w:val="none" w:sz="0" w:space="0" w:color="auto"/>
            <w:left w:val="none" w:sz="0" w:space="0" w:color="auto"/>
            <w:bottom w:val="none" w:sz="0" w:space="0" w:color="auto"/>
            <w:right w:val="none" w:sz="0" w:space="0" w:color="auto"/>
          </w:divBdr>
        </w:div>
        <w:div w:id="301926724">
          <w:marLeft w:val="0"/>
          <w:marRight w:val="0"/>
          <w:marTop w:val="0"/>
          <w:marBottom w:val="0"/>
          <w:divBdr>
            <w:top w:val="none" w:sz="0" w:space="0" w:color="auto"/>
            <w:left w:val="none" w:sz="0" w:space="0" w:color="auto"/>
            <w:bottom w:val="none" w:sz="0" w:space="0" w:color="auto"/>
            <w:right w:val="none" w:sz="0" w:space="0" w:color="auto"/>
          </w:divBdr>
        </w:div>
        <w:div w:id="312027541">
          <w:marLeft w:val="0"/>
          <w:marRight w:val="0"/>
          <w:marTop w:val="0"/>
          <w:marBottom w:val="0"/>
          <w:divBdr>
            <w:top w:val="none" w:sz="0" w:space="0" w:color="auto"/>
            <w:left w:val="none" w:sz="0" w:space="0" w:color="auto"/>
            <w:bottom w:val="none" w:sz="0" w:space="0" w:color="auto"/>
            <w:right w:val="none" w:sz="0" w:space="0" w:color="auto"/>
          </w:divBdr>
        </w:div>
        <w:div w:id="326172980">
          <w:marLeft w:val="0"/>
          <w:marRight w:val="0"/>
          <w:marTop w:val="0"/>
          <w:marBottom w:val="0"/>
          <w:divBdr>
            <w:top w:val="none" w:sz="0" w:space="0" w:color="auto"/>
            <w:left w:val="none" w:sz="0" w:space="0" w:color="auto"/>
            <w:bottom w:val="none" w:sz="0" w:space="0" w:color="auto"/>
            <w:right w:val="none" w:sz="0" w:space="0" w:color="auto"/>
          </w:divBdr>
        </w:div>
        <w:div w:id="386614556">
          <w:marLeft w:val="0"/>
          <w:marRight w:val="0"/>
          <w:marTop w:val="0"/>
          <w:marBottom w:val="0"/>
          <w:divBdr>
            <w:top w:val="none" w:sz="0" w:space="0" w:color="auto"/>
            <w:left w:val="none" w:sz="0" w:space="0" w:color="auto"/>
            <w:bottom w:val="none" w:sz="0" w:space="0" w:color="auto"/>
            <w:right w:val="none" w:sz="0" w:space="0" w:color="auto"/>
          </w:divBdr>
        </w:div>
        <w:div w:id="411435869">
          <w:marLeft w:val="0"/>
          <w:marRight w:val="0"/>
          <w:marTop w:val="0"/>
          <w:marBottom w:val="0"/>
          <w:divBdr>
            <w:top w:val="none" w:sz="0" w:space="0" w:color="auto"/>
            <w:left w:val="none" w:sz="0" w:space="0" w:color="auto"/>
            <w:bottom w:val="none" w:sz="0" w:space="0" w:color="auto"/>
            <w:right w:val="none" w:sz="0" w:space="0" w:color="auto"/>
          </w:divBdr>
        </w:div>
        <w:div w:id="415371366">
          <w:marLeft w:val="0"/>
          <w:marRight w:val="0"/>
          <w:marTop w:val="0"/>
          <w:marBottom w:val="0"/>
          <w:divBdr>
            <w:top w:val="none" w:sz="0" w:space="0" w:color="auto"/>
            <w:left w:val="none" w:sz="0" w:space="0" w:color="auto"/>
            <w:bottom w:val="none" w:sz="0" w:space="0" w:color="auto"/>
            <w:right w:val="none" w:sz="0" w:space="0" w:color="auto"/>
          </w:divBdr>
        </w:div>
        <w:div w:id="417026051">
          <w:marLeft w:val="0"/>
          <w:marRight w:val="0"/>
          <w:marTop w:val="0"/>
          <w:marBottom w:val="0"/>
          <w:divBdr>
            <w:top w:val="none" w:sz="0" w:space="0" w:color="auto"/>
            <w:left w:val="none" w:sz="0" w:space="0" w:color="auto"/>
            <w:bottom w:val="none" w:sz="0" w:space="0" w:color="auto"/>
            <w:right w:val="none" w:sz="0" w:space="0" w:color="auto"/>
          </w:divBdr>
        </w:div>
        <w:div w:id="419564658">
          <w:marLeft w:val="0"/>
          <w:marRight w:val="0"/>
          <w:marTop w:val="0"/>
          <w:marBottom w:val="0"/>
          <w:divBdr>
            <w:top w:val="none" w:sz="0" w:space="0" w:color="auto"/>
            <w:left w:val="none" w:sz="0" w:space="0" w:color="auto"/>
            <w:bottom w:val="none" w:sz="0" w:space="0" w:color="auto"/>
            <w:right w:val="none" w:sz="0" w:space="0" w:color="auto"/>
          </w:divBdr>
        </w:div>
        <w:div w:id="493228883">
          <w:marLeft w:val="0"/>
          <w:marRight w:val="0"/>
          <w:marTop w:val="0"/>
          <w:marBottom w:val="0"/>
          <w:divBdr>
            <w:top w:val="none" w:sz="0" w:space="0" w:color="auto"/>
            <w:left w:val="none" w:sz="0" w:space="0" w:color="auto"/>
            <w:bottom w:val="none" w:sz="0" w:space="0" w:color="auto"/>
            <w:right w:val="none" w:sz="0" w:space="0" w:color="auto"/>
          </w:divBdr>
        </w:div>
        <w:div w:id="496388820">
          <w:marLeft w:val="0"/>
          <w:marRight w:val="0"/>
          <w:marTop w:val="0"/>
          <w:marBottom w:val="0"/>
          <w:divBdr>
            <w:top w:val="none" w:sz="0" w:space="0" w:color="auto"/>
            <w:left w:val="none" w:sz="0" w:space="0" w:color="auto"/>
            <w:bottom w:val="none" w:sz="0" w:space="0" w:color="auto"/>
            <w:right w:val="none" w:sz="0" w:space="0" w:color="auto"/>
          </w:divBdr>
        </w:div>
        <w:div w:id="545675721">
          <w:marLeft w:val="0"/>
          <w:marRight w:val="0"/>
          <w:marTop w:val="0"/>
          <w:marBottom w:val="0"/>
          <w:divBdr>
            <w:top w:val="none" w:sz="0" w:space="0" w:color="auto"/>
            <w:left w:val="none" w:sz="0" w:space="0" w:color="auto"/>
            <w:bottom w:val="none" w:sz="0" w:space="0" w:color="auto"/>
            <w:right w:val="none" w:sz="0" w:space="0" w:color="auto"/>
          </w:divBdr>
        </w:div>
        <w:div w:id="577136660">
          <w:marLeft w:val="0"/>
          <w:marRight w:val="0"/>
          <w:marTop w:val="0"/>
          <w:marBottom w:val="0"/>
          <w:divBdr>
            <w:top w:val="none" w:sz="0" w:space="0" w:color="auto"/>
            <w:left w:val="none" w:sz="0" w:space="0" w:color="auto"/>
            <w:bottom w:val="none" w:sz="0" w:space="0" w:color="auto"/>
            <w:right w:val="none" w:sz="0" w:space="0" w:color="auto"/>
          </w:divBdr>
        </w:div>
        <w:div w:id="690301954">
          <w:marLeft w:val="0"/>
          <w:marRight w:val="0"/>
          <w:marTop w:val="0"/>
          <w:marBottom w:val="0"/>
          <w:divBdr>
            <w:top w:val="none" w:sz="0" w:space="0" w:color="auto"/>
            <w:left w:val="none" w:sz="0" w:space="0" w:color="auto"/>
            <w:bottom w:val="none" w:sz="0" w:space="0" w:color="auto"/>
            <w:right w:val="none" w:sz="0" w:space="0" w:color="auto"/>
          </w:divBdr>
          <w:divsChild>
            <w:div w:id="501162428">
              <w:marLeft w:val="0"/>
              <w:marRight w:val="0"/>
              <w:marTop w:val="0"/>
              <w:marBottom w:val="0"/>
              <w:divBdr>
                <w:top w:val="none" w:sz="0" w:space="0" w:color="auto"/>
                <w:left w:val="none" w:sz="0" w:space="0" w:color="auto"/>
                <w:bottom w:val="none" w:sz="0" w:space="0" w:color="auto"/>
                <w:right w:val="none" w:sz="0" w:space="0" w:color="auto"/>
              </w:divBdr>
            </w:div>
            <w:div w:id="569274680">
              <w:marLeft w:val="0"/>
              <w:marRight w:val="0"/>
              <w:marTop w:val="0"/>
              <w:marBottom w:val="0"/>
              <w:divBdr>
                <w:top w:val="none" w:sz="0" w:space="0" w:color="auto"/>
                <w:left w:val="none" w:sz="0" w:space="0" w:color="auto"/>
                <w:bottom w:val="none" w:sz="0" w:space="0" w:color="auto"/>
                <w:right w:val="none" w:sz="0" w:space="0" w:color="auto"/>
              </w:divBdr>
            </w:div>
            <w:div w:id="646476886">
              <w:marLeft w:val="0"/>
              <w:marRight w:val="0"/>
              <w:marTop w:val="0"/>
              <w:marBottom w:val="0"/>
              <w:divBdr>
                <w:top w:val="none" w:sz="0" w:space="0" w:color="auto"/>
                <w:left w:val="none" w:sz="0" w:space="0" w:color="auto"/>
                <w:bottom w:val="none" w:sz="0" w:space="0" w:color="auto"/>
                <w:right w:val="none" w:sz="0" w:space="0" w:color="auto"/>
              </w:divBdr>
            </w:div>
            <w:div w:id="807406146">
              <w:marLeft w:val="0"/>
              <w:marRight w:val="0"/>
              <w:marTop w:val="0"/>
              <w:marBottom w:val="0"/>
              <w:divBdr>
                <w:top w:val="none" w:sz="0" w:space="0" w:color="auto"/>
                <w:left w:val="none" w:sz="0" w:space="0" w:color="auto"/>
                <w:bottom w:val="none" w:sz="0" w:space="0" w:color="auto"/>
                <w:right w:val="none" w:sz="0" w:space="0" w:color="auto"/>
              </w:divBdr>
            </w:div>
            <w:div w:id="826239682">
              <w:marLeft w:val="0"/>
              <w:marRight w:val="0"/>
              <w:marTop w:val="0"/>
              <w:marBottom w:val="0"/>
              <w:divBdr>
                <w:top w:val="none" w:sz="0" w:space="0" w:color="auto"/>
                <w:left w:val="none" w:sz="0" w:space="0" w:color="auto"/>
                <w:bottom w:val="none" w:sz="0" w:space="0" w:color="auto"/>
                <w:right w:val="none" w:sz="0" w:space="0" w:color="auto"/>
              </w:divBdr>
            </w:div>
            <w:div w:id="888301740">
              <w:marLeft w:val="0"/>
              <w:marRight w:val="0"/>
              <w:marTop w:val="0"/>
              <w:marBottom w:val="0"/>
              <w:divBdr>
                <w:top w:val="none" w:sz="0" w:space="0" w:color="auto"/>
                <w:left w:val="none" w:sz="0" w:space="0" w:color="auto"/>
                <w:bottom w:val="none" w:sz="0" w:space="0" w:color="auto"/>
                <w:right w:val="none" w:sz="0" w:space="0" w:color="auto"/>
              </w:divBdr>
            </w:div>
            <w:div w:id="1117944995">
              <w:marLeft w:val="0"/>
              <w:marRight w:val="0"/>
              <w:marTop w:val="0"/>
              <w:marBottom w:val="0"/>
              <w:divBdr>
                <w:top w:val="none" w:sz="0" w:space="0" w:color="auto"/>
                <w:left w:val="none" w:sz="0" w:space="0" w:color="auto"/>
                <w:bottom w:val="none" w:sz="0" w:space="0" w:color="auto"/>
                <w:right w:val="none" w:sz="0" w:space="0" w:color="auto"/>
              </w:divBdr>
            </w:div>
            <w:div w:id="1199243352">
              <w:marLeft w:val="0"/>
              <w:marRight w:val="0"/>
              <w:marTop w:val="0"/>
              <w:marBottom w:val="0"/>
              <w:divBdr>
                <w:top w:val="none" w:sz="0" w:space="0" w:color="auto"/>
                <w:left w:val="none" w:sz="0" w:space="0" w:color="auto"/>
                <w:bottom w:val="none" w:sz="0" w:space="0" w:color="auto"/>
                <w:right w:val="none" w:sz="0" w:space="0" w:color="auto"/>
              </w:divBdr>
            </w:div>
            <w:div w:id="1240794939">
              <w:marLeft w:val="0"/>
              <w:marRight w:val="0"/>
              <w:marTop w:val="0"/>
              <w:marBottom w:val="0"/>
              <w:divBdr>
                <w:top w:val="none" w:sz="0" w:space="0" w:color="auto"/>
                <w:left w:val="none" w:sz="0" w:space="0" w:color="auto"/>
                <w:bottom w:val="none" w:sz="0" w:space="0" w:color="auto"/>
                <w:right w:val="none" w:sz="0" w:space="0" w:color="auto"/>
              </w:divBdr>
            </w:div>
            <w:div w:id="1314217306">
              <w:marLeft w:val="0"/>
              <w:marRight w:val="0"/>
              <w:marTop w:val="0"/>
              <w:marBottom w:val="0"/>
              <w:divBdr>
                <w:top w:val="none" w:sz="0" w:space="0" w:color="auto"/>
                <w:left w:val="none" w:sz="0" w:space="0" w:color="auto"/>
                <w:bottom w:val="none" w:sz="0" w:space="0" w:color="auto"/>
                <w:right w:val="none" w:sz="0" w:space="0" w:color="auto"/>
              </w:divBdr>
            </w:div>
            <w:div w:id="1354458444">
              <w:marLeft w:val="0"/>
              <w:marRight w:val="0"/>
              <w:marTop w:val="0"/>
              <w:marBottom w:val="0"/>
              <w:divBdr>
                <w:top w:val="none" w:sz="0" w:space="0" w:color="auto"/>
                <w:left w:val="none" w:sz="0" w:space="0" w:color="auto"/>
                <w:bottom w:val="none" w:sz="0" w:space="0" w:color="auto"/>
                <w:right w:val="none" w:sz="0" w:space="0" w:color="auto"/>
              </w:divBdr>
            </w:div>
            <w:div w:id="1491557484">
              <w:marLeft w:val="0"/>
              <w:marRight w:val="0"/>
              <w:marTop w:val="0"/>
              <w:marBottom w:val="0"/>
              <w:divBdr>
                <w:top w:val="none" w:sz="0" w:space="0" w:color="auto"/>
                <w:left w:val="none" w:sz="0" w:space="0" w:color="auto"/>
                <w:bottom w:val="none" w:sz="0" w:space="0" w:color="auto"/>
                <w:right w:val="none" w:sz="0" w:space="0" w:color="auto"/>
              </w:divBdr>
            </w:div>
            <w:div w:id="1562131048">
              <w:marLeft w:val="0"/>
              <w:marRight w:val="0"/>
              <w:marTop w:val="0"/>
              <w:marBottom w:val="0"/>
              <w:divBdr>
                <w:top w:val="none" w:sz="0" w:space="0" w:color="auto"/>
                <w:left w:val="none" w:sz="0" w:space="0" w:color="auto"/>
                <w:bottom w:val="none" w:sz="0" w:space="0" w:color="auto"/>
                <w:right w:val="none" w:sz="0" w:space="0" w:color="auto"/>
              </w:divBdr>
            </w:div>
            <w:div w:id="1756435321">
              <w:marLeft w:val="0"/>
              <w:marRight w:val="0"/>
              <w:marTop w:val="0"/>
              <w:marBottom w:val="0"/>
              <w:divBdr>
                <w:top w:val="none" w:sz="0" w:space="0" w:color="auto"/>
                <w:left w:val="none" w:sz="0" w:space="0" w:color="auto"/>
                <w:bottom w:val="none" w:sz="0" w:space="0" w:color="auto"/>
                <w:right w:val="none" w:sz="0" w:space="0" w:color="auto"/>
              </w:divBdr>
            </w:div>
          </w:divsChild>
        </w:div>
        <w:div w:id="709574700">
          <w:marLeft w:val="0"/>
          <w:marRight w:val="0"/>
          <w:marTop w:val="0"/>
          <w:marBottom w:val="0"/>
          <w:divBdr>
            <w:top w:val="none" w:sz="0" w:space="0" w:color="auto"/>
            <w:left w:val="none" w:sz="0" w:space="0" w:color="auto"/>
            <w:bottom w:val="none" w:sz="0" w:space="0" w:color="auto"/>
            <w:right w:val="none" w:sz="0" w:space="0" w:color="auto"/>
          </w:divBdr>
        </w:div>
        <w:div w:id="710299874">
          <w:marLeft w:val="0"/>
          <w:marRight w:val="0"/>
          <w:marTop w:val="0"/>
          <w:marBottom w:val="0"/>
          <w:divBdr>
            <w:top w:val="none" w:sz="0" w:space="0" w:color="auto"/>
            <w:left w:val="none" w:sz="0" w:space="0" w:color="auto"/>
            <w:bottom w:val="none" w:sz="0" w:space="0" w:color="auto"/>
            <w:right w:val="none" w:sz="0" w:space="0" w:color="auto"/>
          </w:divBdr>
        </w:div>
        <w:div w:id="782112462">
          <w:marLeft w:val="0"/>
          <w:marRight w:val="0"/>
          <w:marTop w:val="0"/>
          <w:marBottom w:val="0"/>
          <w:divBdr>
            <w:top w:val="none" w:sz="0" w:space="0" w:color="auto"/>
            <w:left w:val="none" w:sz="0" w:space="0" w:color="auto"/>
            <w:bottom w:val="none" w:sz="0" w:space="0" w:color="auto"/>
            <w:right w:val="none" w:sz="0" w:space="0" w:color="auto"/>
          </w:divBdr>
          <w:divsChild>
            <w:div w:id="1246685">
              <w:marLeft w:val="0"/>
              <w:marRight w:val="0"/>
              <w:marTop w:val="0"/>
              <w:marBottom w:val="0"/>
              <w:divBdr>
                <w:top w:val="none" w:sz="0" w:space="0" w:color="auto"/>
                <w:left w:val="none" w:sz="0" w:space="0" w:color="auto"/>
                <w:bottom w:val="none" w:sz="0" w:space="0" w:color="auto"/>
                <w:right w:val="none" w:sz="0" w:space="0" w:color="auto"/>
              </w:divBdr>
            </w:div>
            <w:div w:id="12608131">
              <w:marLeft w:val="0"/>
              <w:marRight w:val="0"/>
              <w:marTop w:val="0"/>
              <w:marBottom w:val="0"/>
              <w:divBdr>
                <w:top w:val="none" w:sz="0" w:space="0" w:color="auto"/>
                <w:left w:val="none" w:sz="0" w:space="0" w:color="auto"/>
                <w:bottom w:val="none" w:sz="0" w:space="0" w:color="auto"/>
                <w:right w:val="none" w:sz="0" w:space="0" w:color="auto"/>
              </w:divBdr>
            </w:div>
            <w:div w:id="44499673">
              <w:marLeft w:val="0"/>
              <w:marRight w:val="0"/>
              <w:marTop w:val="0"/>
              <w:marBottom w:val="0"/>
              <w:divBdr>
                <w:top w:val="none" w:sz="0" w:space="0" w:color="auto"/>
                <w:left w:val="none" w:sz="0" w:space="0" w:color="auto"/>
                <w:bottom w:val="none" w:sz="0" w:space="0" w:color="auto"/>
                <w:right w:val="none" w:sz="0" w:space="0" w:color="auto"/>
              </w:divBdr>
            </w:div>
            <w:div w:id="249504782">
              <w:marLeft w:val="0"/>
              <w:marRight w:val="0"/>
              <w:marTop w:val="0"/>
              <w:marBottom w:val="0"/>
              <w:divBdr>
                <w:top w:val="none" w:sz="0" w:space="0" w:color="auto"/>
                <w:left w:val="none" w:sz="0" w:space="0" w:color="auto"/>
                <w:bottom w:val="none" w:sz="0" w:space="0" w:color="auto"/>
                <w:right w:val="none" w:sz="0" w:space="0" w:color="auto"/>
              </w:divBdr>
            </w:div>
            <w:div w:id="550579547">
              <w:marLeft w:val="0"/>
              <w:marRight w:val="0"/>
              <w:marTop w:val="0"/>
              <w:marBottom w:val="0"/>
              <w:divBdr>
                <w:top w:val="none" w:sz="0" w:space="0" w:color="auto"/>
                <w:left w:val="none" w:sz="0" w:space="0" w:color="auto"/>
                <w:bottom w:val="none" w:sz="0" w:space="0" w:color="auto"/>
                <w:right w:val="none" w:sz="0" w:space="0" w:color="auto"/>
              </w:divBdr>
            </w:div>
            <w:div w:id="700589389">
              <w:marLeft w:val="0"/>
              <w:marRight w:val="0"/>
              <w:marTop w:val="0"/>
              <w:marBottom w:val="0"/>
              <w:divBdr>
                <w:top w:val="none" w:sz="0" w:space="0" w:color="auto"/>
                <w:left w:val="none" w:sz="0" w:space="0" w:color="auto"/>
                <w:bottom w:val="none" w:sz="0" w:space="0" w:color="auto"/>
                <w:right w:val="none" w:sz="0" w:space="0" w:color="auto"/>
              </w:divBdr>
            </w:div>
            <w:div w:id="1151946073">
              <w:marLeft w:val="0"/>
              <w:marRight w:val="0"/>
              <w:marTop w:val="0"/>
              <w:marBottom w:val="0"/>
              <w:divBdr>
                <w:top w:val="none" w:sz="0" w:space="0" w:color="auto"/>
                <w:left w:val="none" w:sz="0" w:space="0" w:color="auto"/>
                <w:bottom w:val="none" w:sz="0" w:space="0" w:color="auto"/>
                <w:right w:val="none" w:sz="0" w:space="0" w:color="auto"/>
              </w:divBdr>
            </w:div>
            <w:div w:id="1211767148">
              <w:marLeft w:val="0"/>
              <w:marRight w:val="0"/>
              <w:marTop w:val="0"/>
              <w:marBottom w:val="0"/>
              <w:divBdr>
                <w:top w:val="none" w:sz="0" w:space="0" w:color="auto"/>
                <w:left w:val="none" w:sz="0" w:space="0" w:color="auto"/>
                <w:bottom w:val="none" w:sz="0" w:space="0" w:color="auto"/>
                <w:right w:val="none" w:sz="0" w:space="0" w:color="auto"/>
              </w:divBdr>
            </w:div>
            <w:div w:id="1230337959">
              <w:marLeft w:val="0"/>
              <w:marRight w:val="0"/>
              <w:marTop w:val="0"/>
              <w:marBottom w:val="0"/>
              <w:divBdr>
                <w:top w:val="none" w:sz="0" w:space="0" w:color="auto"/>
                <w:left w:val="none" w:sz="0" w:space="0" w:color="auto"/>
                <w:bottom w:val="none" w:sz="0" w:space="0" w:color="auto"/>
                <w:right w:val="none" w:sz="0" w:space="0" w:color="auto"/>
              </w:divBdr>
            </w:div>
            <w:div w:id="1348753272">
              <w:marLeft w:val="0"/>
              <w:marRight w:val="0"/>
              <w:marTop w:val="0"/>
              <w:marBottom w:val="0"/>
              <w:divBdr>
                <w:top w:val="none" w:sz="0" w:space="0" w:color="auto"/>
                <w:left w:val="none" w:sz="0" w:space="0" w:color="auto"/>
                <w:bottom w:val="none" w:sz="0" w:space="0" w:color="auto"/>
                <w:right w:val="none" w:sz="0" w:space="0" w:color="auto"/>
              </w:divBdr>
            </w:div>
            <w:div w:id="1633830751">
              <w:marLeft w:val="0"/>
              <w:marRight w:val="0"/>
              <w:marTop w:val="0"/>
              <w:marBottom w:val="0"/>
              <w:divBdr>
                <w:top w:val="none" w:sz="0" w:space="0" w:color="auto"/>
                <w:left w:val="none" w:sz="0" w:space="0" w:color="auto"/>
                <w:bottom w:val="none" w:sz="0" w:space="0" w:color="auto"/>
                <w:right w:val="none" w:sz="0" w:space="0" w:color="auto"/>
              </w:divBdr>
            </w:div>
            <w:div w:id="1657875347">
              <w:marLeft w:val="0"/>
              <w:marRight w:val="0"/>
              <w:marTop w:val="0"/>
              <w:marBottom w:val="0"/>
              <w:divBdr>
                <w:top w:val="none" w:sz="0" w:space="0" w:color="auto"/>
                <w:left w:val="none" w:sz="0" w:space="0" w:color="auto"/>
                <w:bottom w:val="none" w:sz="0" w:space="0" w:color="auto"/>
                <w:right w:val="none" w:sz="0" w:space="0" w:color="auto"/>
              </w:divBdr>
            </w:div>
            <w:div w:id="1751389486">
              <w:marLeft w:val="0"/>
              <w:marRight w:val="0"/>
              <w:marTop w:val="0"/>
              <w:marBottom w:val="0"/>
              <w:divBdr>
                <w:top w:val="none" w:sz="0" w:space="0" w:color="auto"/>
                <w:left w:val="none" w:sz="0" w:space="0" w:color="auto"/>
                <w:bottom w:val="none" w:sz="0" w:space="0" w:color="auto"/>
                <w:right w:val="none" w:sz="0" w:space="0" w:color="auto"/>
              </w:divBdr>
            </w:div>
            <w:div w:id="2003661214">
              <w:marLeft w:val="0"/>
              <w:marRight w:val="0"/>
              <w:marTop w:val="0"/>
              <w:marBottom w:val="0"/>
              <w:divBdr>
                <w:top w:val="none" w:sz="0" w:space="0" w:color="auto"/>
                <w:left w:val="none" w:sz="0" w:space="0" w:color="auto"/>
                <w:bottom w:val="none" w:sz="0" w:space="0" w:color="auto"/>
                <w:right w:val="none" w:sz="0" w:space="0" w:color="auto"/>
              </w:divBdr>
            </w:div>
            <w:div w:id="2064910564">
              <w:marLeft w:val="0"/>
              <w:marRight w:val="0"/>
              <w:marTop w:val="0"/>
              <w:marBottom w:val="0"/>
              <w:divBdr>
                <w:top w:val="none" w:sz="0" w:space="0" w:color="auto"/>
                <w:left w:val="none" w:sz="0" w:space="0" w:color="auto"/>
                <w:bottom w:val="none" w:sz="0" w:space="0" w:color="auto"/>
                <w:right w:val="none" w:sz="0" w:space="0" w:color="auto"/>
              </w:divBdr>
            </w:div>
            <w:div w:id="2084642255">
              <w:marLeft w:val="0"/>
              <w:marRight w:val="0"/>
              <w:marTop w:val="0"/>
              <w:marBottom w:val="0"/>
              <w:divBdr>
                <w:top w:val="none" w:sz="0" w:space="0" w:color="auto"/>
                <w:left w:val="none" w:sz="0" w:space="0" w:color="auto"/>
                <w:bottom w:val="none" w:sz="0" w:space="0" w:color="auto"/>
                <w:right w:val="none" w:sz="0" w:space="0" w:color="auto"/>
              </w:divBdr>
            </w:div>
          </w:divsChild>
        </w:div>
        <w:div w:id="789978111">
          <w:marLeft w:val="0"/>
          <w:marRight w:val="0"/>
          <w:marTop w:val="0"/>
          <w:marBottom w:val="0"/>
          <w:divBdr>
            <w:top w:val="none" w:sz="0" w:space="0" w:color="auto"/>
            <w:left w:val="none" w:sz="0" w:space="0" w:color="auto"/>
            <w:bottom w:val="none" w:sz="0" w:space="0" w:color="auto"/>
            <w:right w:val="none" w:sz="0" w:space="0" w:color="auto"/>
          </w:divBdr>
        </w:div>
        <w:div w:id="857429270">
          <w:marLeft w:val="0"/>
          <w:marRight w:val="0"/>
          <w:marTop w:val="0"/>
          <w:marBottom w:val="0"/>
          <w:divBdr>
            <w:top w:val="none" w:sz="0" w:space="0" w:color="auto"/>
            <w:left w:val="none" w:sz="0" w:space="0" w:color="auto"/>
            <w:bottom w:val="none" w:sz="0" w:space="0" w:color="auto"/>
            <w:right w:val="none" w:sz="0" w:space="0" w:color="auto"/>
          </w:divBdr>
        </w:div>
        <w:div w:id="897403297">
          <w:marLeft w:val="0"/>
          <w:marRight w:val="0"/>
          <w:marTop w:val="0"/>
          <w:marBottom w:val="0"/>
          <w:divBdr>
            <w:top w:val="none" w:sz="0" w:space="0" w:color="auto"/>
            <w:left w:val="none" w:sz="0" w:space="0" w:color="auto"/>
            <w:bottom w:val="none" w:sz="0" w:space="0" w:color="auto"/>
            <w:right w:val="none" w:sz="0" w:space="0" w:color="auto"/>
          </w:divBdr>
        </w:div>
        <w:div w:id="933707261">
          <w:marLeft w:val="0"/>
          <w:marRight w:val="0"/>
          <w:marTop w:val="0"/>
          <w:marBottom w:val="0"/>
          <w:divBdr>
            <w:top w:val="none" w:sz="0" w:space="0" w:color="auto"/>
            <w:left w:val="none" w:sz="0" w:space="0" w:color="auto"/>
            <w:bottom w:val="none" w:sz="0" w:space="0" w:color="auto"/>
            <w:right w:val="none" w:sz="0" w:space="0" w:color="auto"/>
          </w:divBdr>
        </w:div>
        <w:div w:id="959529751">
          <w:marLeft w:val="0"/>
          <w:marRight w:val="0"/>
          <w:marTop w:val="0"/>
          <w:marBottom w:val="0"/>
          <w:divBdr>
            <w:top w:val="none" w:sz="0" w:space="0" w:color="auto"/>
            <w:left w:val="none" w:sz="0" w:space="0" w:color="auto"/>
            <w:bottom w:val="none" w:sz="0" w:space="0" w:color="auto"/>
            <w:right w:val="none" w:sz="0" w:space="0" w:color="auto"/>
          </w:divBdr>
        </w:div>
        <w:div w:id="977151661">
          <w:marLeft w:val="0"/>
          <w:marRight w:val="0"/>
          <w:marTop w:val="0"/>
          <w:marBottom w:val="0"/>
          <w:divBdr>
            <w:top w:val="none" w:sz="0" w:space="0" w:color="auto"/>
            <w:left w:val="none" w:sz="0" w:space="0" w:color="auto"/>
            <w:bottom w:val="none" w:sz="0" w:space="0" w:color="auto"/>
            <w:right w:val="none" w:sz="0" w:space="0" w:color="auto"/>
          </w:divBdr>
        </w:div>
        <w:div w:id="1033924406">
          <w:marLeft w:val="0"/>
          <w:marRight w:val="0"/>
          <w:marTop w:val="0"/>
          <w:marBottom w:val="0"/>
          <w:divBdr>
            <w:top w:val="none" w:sz="0" w:space="0" w:color="auto"/>
            <w:left w:val="none" w:sz="0" w:space="0" w:color="auto"/>
            <w:bottom w:val="none" w:sz="0" w:space="0" w:color="auto"/>
            <w:right w:val="none" w:sz="0" w:space="0" w:color="auto"/>
          </w:divBdr>
        </w:div>
        <w:div w:id="1094010314">
          <w:marLeft w:val="0"/>
          <w:marRight w:val="0"/>
          <w:marTop w:val="0"/>
          <w:marBottom w:val="0"/>
          <w:divBdr>
            <w:top w:val="none" w:sz="0" w:space="0" w:color="auto"/>
            <w:left w:val="none" w:sz="0" w:space="0" w:color="auto"/>
            <w:bottom w:val="none" w:sz="0" w:space="0" w:color="auto"/>
            <w:right w:val="none" w:sz="0" w:space="0" w:color="auto"/>
          </w:divBdr>
        </w:div>
        <w:div w:id="1104378819">
          <w:marLeft w:val="0"/>
          <w:marRight w:val="0"/>
          <w:marTop w:val="0"/>
          <w:marBottom w:val="0"/>
          <w:divBdr>
            <w:top w:val="none" w:sz="0" w:space="0" w:color="auto"/>
            <w:left w:val="none" w:sz="0" w:space="0" w:color="auto"/>
            <w:bottom w:val="none" w:sz="0" w:space="0" w:color="auto"/>
            <w:right w:val="none" w:sz="0" w:space="0" w:color="auto"/>
          </w:divBdr>
        </w:div>
        <w:div w:id="1147623157">
          <w:marLeft w:val="0"/>
          <w:marRight w:val="0"/>
          <w:marTop w:val="0"/>
          <w:marBottom w:val="0"/>
          <w:divBdr>
            <w:top w:val="none" w:sz="0" w:space="0" w:color="auto"/>
            <w:left w:val="none" w:sz="0" w:space="0" w:color="auto"/>
            <w:bottom w:val="none" w:sz="0" w:space="0" w:color="auto"/>
            <w:right w:val="none" w:sz="0" w:space="0" w:color="auto"/>
          </w:divBdr>
          <w:divsChild>
            <w:div w:id="115804736">
              <w:marLeft w:val="-75"/>
              <w:marRight w:val="0"/>
              <w:marTop w:val="30"/>
              <w:marBottom w:val="30"/>
              <w:divBdr>
                <w:top w:val="none" w:sz="0" w:space="0" w:color="auto"/>
                <w:left w:val="none" w:sz="0" w:space="0" w:color="auto"/>
                <w:bottom w:val="none" w:sz="0" w:space="0" w:color="auto"/>
                <w:right w:val="none" w:sz="0" w:space="0" w:color="auto"/>
              </w:divBdr>
              <w:divsChild>
                <w:div w:id="217595793">
                  <w:marLeft w:val="0"/>
                  <w:marRight w:val="0"/>
                  <w:marTop w:val="0"/>
                  <w:marBottom w:val="0"/>
                  <w:divBdr>
                    <w:top w:val="none" w:sz="0" w:space="0" w:color="auto"/>
                    <w:left w:val="none" w:sz="0" w:space="0" w:color="auto"/>
                    <w:bottom w:val="none" w:sz="0" w:space="0" w:color="auto"/>
                    <w:right w:val="none" w:sz="0" w:space="0" w:color="auto"/>
                  </w:divBdr>
                  <w:divsChild>
                    <w:div w:id="337074549">
                      <w:marLeft w:val="0"/>
                      <w:marRight w:val="0"/>
                      <w:marTop w:val="0"/>
                      <w:marBottom w:val="0"/>
                      <w:divBdr>
                        <w:top w:val="none" w:sz="0" w:space="0" w:color="auto"/>
                        <w:left w:val="none" w:sz="0" w:space="0" w:color="auto"/>
                        <w:bottom w:val="none" w:sz="0" w:space="0" w:color="auto"/>
                        <w:right w:val="none" w:sz="0" w:space="0" w:color="auto"/>
                      </w:divBdr>
                    </w:div>
                  </w:divsChild>
                </w:div>
                <w:div w:id="347680610">
                  <w:marLeft w:val="0"/>
                  <w:marRight w:val="0"/>
                  <w:marTop w:val="0"/>
                  <w:marBottom w:val="0"/>
                  <w:divBdr>
                    <w:top w:val="none" w:sz="0" w:space="0" w:color="auto"/>
                    <w:left w:val="none" w:sz="0" w:space="0" w:color="auto"/>
                    <w:bottom w:val="none" w:sz="0" w:space="0" w:color="auto"/>
                    <w:right w:val="none" w:sz="0" w:space="0" w:color="auto"/>
                  </w:divBdr>
                  <w:divsChild>
                    <w:div w:id="1054541415">
                      <w:marLeft w:val="0"/>
                      <w:marRight w:val="0"/>
                      <w:marTop w:val="0"/>
                      <w:marBottom w:val="0"/>
                      <w:divBdr>
                        <w:top w:val="none" w:sz="0" w:space="0" w:color="auto"/>
                        <w:left w:val="none" w:sz="0" w:space="0" w:color="auto"/>
                        <w:bottom w:val="none" w:sz="0" w:space="0" w:color="auto"/>
                        <w:right w:val="none" w:sz="0" w:space="0" w:color="auto"/>
                      </w:divBdr>
                    </w:div>
                  </w:divsChild>
                </w:div>
                <w:div w:id="863056628">
                  <w:marLeft w:val="0"/>
                  <w:marRight w:val="0"/>
                  <w:marTop w:val="0"/>
                  <w:marBottom w:val="0"/>
                  <w:divBdr>
                    <w:top w:val="none" w:sz="0" w:space="0" w:color="auto"/>
                    <w:left w:val="none" w:sz="0" w:space="0" w:color="auto"/>
                    <w:bottom w:val="none" w:sz="0" w:space="0" w:color="auto"/>
                    <w:right w:val="none" w:sz="0" w:space="0" w:color="auto"/>
                  </w:divBdr>
                  <w:divsChild>
                    <w:div w:id="64031252">
                      <w:marLeft w:val="0"/>
                      <w:marRight w:val="0"/>
                      <w:marTop w:val="0"/>
                      <w:marBottom w:val="0"/>
                      <w:divBdr>
                        <w:top w:val="none" w:sz="0" w:space="0" w:color="auto"/>
                        <w:left w:val="none" w:sz="0" w:space="0" w:color="auto"/>
                        <w:bottom w:val="none" w:sz="0" w:space="0" w:color="auto"/>
                        <w:right w:val="none" w:sz="0" w:space="0" w:color="auto"/>
                      </w:divBdr>
                    </w:div>
                  </w:divsChild>
                </w:div>
                <w:div w:id="1002976740">
                  <w:marLeft w:val="0"/>
                  <w:marRight w:val="0"/>
                  <w:marTop w:val="0"/>
                  <w:marBottom w:val="0"/>
                  <w:divBdr>
                    <w:top w:val="none" w:sz="0" w:space="0" w:color="auto"/>
                    <w:left w:val="none" w:sz="0" w:space="0" w:color="auto"/>
                    <w:bottom w:val="none" w:sz="0" w:space="0" w:color="auto"/>
                    <w:right w:val="none" w:sz="0" w:space="0" w:color="auto"/>
                  </w:divBdr>
                  <w:divsChild>
                    <w:div w:id="856240106">
                      <w:marLeft w:val="0"/>
                      <w:marRight w:val="0"/>
                      <w:marTop w:val="0"/>
                      <w:marBottom w:val="0"/>
                      <w:divBdr>
                        <w:top w:val="none" w:sz="0" w:space="0" w:color="auto"/>
                        <w:left w:val="none" w:sz="0" w:space="0" w:color="auto"/>
                        <w:bottom w:val="none" w:sz="0" w:space="0" w:color="auto"/>
                        <w:right w:val="none" w:sz="0" w:space="0" w:color="auto"/>
                      </w:divBdr>
                    </w:div>
                  </w:divsChild>
                </w:div>
                <w:div w:id="1100561338">
                  <w:marLeft w:val="0"/>
                  <w:marRight w:val="0"/>
                  <w:marTop w:val="0"/>
                  <w:marBottom w:val="0"/>
                  <w:divBdr>
                    <w:top w:val="none" w:sz="0" w:space="0" w:color="auto"/>
                    <w:left w:val="none" w:sz="0" w:space="0" w:color="auto"/>
                    <w:bottom w:val="none" w:sz="0" w:space="0" w:color="auto"/>
                    <w:right w:val="none" w:sz="0" w:space="0" w:color="auto"/>
                  </w:divBdr>
                  <w:divsChild>
                    <w:div w:id="1222015099">
                      <w:marLeft w:val="0"/>
                      <w:marRight w:val="0"/>
                      <w:marTop w:val="0"/>
                      <w:marBottom w:val="0"/>
                      <w:divBdr>
                        <w:top w:val="none" w:sz="0" w:space="0" w:color="auto"/>
                        <w:left w:val="none" w:sz="0" w:space="0" w:color="auto"/>
                        <w:bottom w:val="none" w:sz="0" w:space="0" w:color="auto"/>
                        <w:right w:val="none" w:sz="0" w:space="0" w:color="auto"/>
                      </w:divBdr>
                    </w:div>
                  </w:divsChild>
                </w:div>
                <w:div w:id="1278872065">
                  <w:marLeft w:val="0"/>
                  <w:marRight w:val="0"/>
                  <w:marTop w:val="0"/>
                  <w:marBottom w:val="0"/>
                  <w:divBdr>
                    <w:top w:val="none" w:sz="0" w:space="0" w:color="auto"/>
                    <w:left w:val="none" w:sz="0" w:space="0" w:color="auto"/>
                    <w:bottom w:val="none" w:sz="0" w:space="0" w:color="auto"/>
                    <w:right w:val="none" w:sz="0" w:space="0" w:color="auto"/>
                  </w:divBdr>
                  <w:divsChild>
                    <w:div w:id="1907766091">
                      <w:marLeft w:val="0"/>
                      <w:marRight w:val="0"/>
                      <w:marTop w:val="0"/>
                      <w:marBottom w:val="0"/>
                      <w:divBdr>
                        <w:top w:val="none" w:sz="0" w:space="0" w:color="auto"/>
                        <w:left w:val="none" w:sz="0" w:space="0" w:color="auto"/>
                        <w:bottom w:val="none" w:sz="0" w:space="0" w:color="auto"/>
                        <w:right w:val="none" w:sz="0" w:space="0" w:color="auto"/>
                      </w:divBdr>
                    </w:div>
                  </w:divsChild>
                </w:div>
                <w:div w:id="1326930098">
                  <w:marLeft w:val="0"/>
                  <w:marRight w:val="0"/>
                  <w:marTop w:val="0"/>
                  <w:marBottom w:val="0"/>
                  <w:divBdr>
                    <w:top w:val="none" w:sz="0" w:space="0" w:color="auto"/>
                    <w:left w:val="none" w:sz="0" w:space="0" w:color="auto"/>
                    <w:bottom w:val="none" w:sz="0" w:space="0" w:color="auto"/>
                    <w:right w:val="none" w:sz="0" w:space="0" w:color="auto"/>
                  </w:divBdr>
                  <w:divsChild>
                    <w:div w:id="753866382">
                      <w:marLeft w:val="0"/>
                      <w:marRight w:val="0"/>
                      <w:marTop w:val="0"/>
                      <w:marBottom w:val="0"/>
                      <w:divBdr>
                        <w:top w:val="none" w:sz="0" w:space="0" w:color="auto"/>
                        <w:left w:val="none" w:sz="0" w:space="0" w:color="auto"/>
                        <w:bottom w:val="none" w:sz="0" w:space="0" w:color="auto"/>
                        <w:right w:val="none" w:sz="0" w:space="0" w:color="auto"/>
                      </w:divBdr>
                    </w:div>
                  </w:divsChild>
                </w:div>
                <w:div w:id="1541741311">
                  <w:marLeft w:val="0"/>
                  <w:marRight w:val="0"/>
                  <w:marTop w:val="0"/>
                  <w:marBottom w:val="0"/>
                  <w:divBdr>
                    <w:top w:val="none" w:sz="0" w:space="0" w:color="auto"/>
                    <w:left w:val="none" w:sz="0" w:space="0" w:color="auto"/>
                    <w:bottom w:val="none" w:sz="0" w:space="0" w:color="auto"/>
                    <w:right w:val="none" w:sz="0" w:space="0" w:color="auto"/>
                  </w:divBdr>
                  <w:divsChild>
                    <w:div w:id="1601915728">
                      <w:marLeft w:val="0"/>
                      <w:marRight w:val="0"/>
                      <w:marTop w:val="0"/>
                      <w:marBottom w:val="0"/>
                      <w:divBdr>
                        <w:top w:val="none" w:sz="0" w:space="0" w:color="auto"/>
                        <w:left w:val="none" w:sz="0" w:space="0" w:color="auto"/>
                        <w:bottom w:val="none" w:sz="0" w:space="0" w:color="auto"/>
                        <w:right w:val="none" w:sz="0" w:space="0" w:color="auto"/>
                      </w:divBdr>
                    </w:div>
                  </w:divsChild>
                </w:div>
                <w:div w:id="1614166196">
                  <w:marLeft w:val="0"/>
                  <w:marRight w:val="0"/>
                  <w:marTop w:val="0"/>
                  <w:marBottom w:val="0"/>
                  <w:divBdr>
                    <w:top w:val="none" w:sz="0" w:space="0" w:color="auto"/>
                    <w:left w:val="none" w:sz="0" w:space="0" w:color="auto"/>
                    <w:bottom w:val="none" w:sz="0" w:space="0" w:color="auto"/>
                    <w:right w:val="none" w:sz="0" w:space="0" w:color="auto"/>
                  </w:divBdr>
                  <w:divsChild>
                    <w:div w:id="1148857336">
                      <w:marLeft w:val="0"/>
                      <w:marRight w:val="0"/>
                      <w:marTop w:val="0"/>
                      <w:marBottom w:val="0"/>
                      <w:divBdr>
                        <w:top w:val="none" w:sz="0" w:space="0" w:color="auto"/>
                        <w:left w:val="none" w:sz="0" w:space="0" w:color="auto"/>
                        <w:bottom w:val="none" w:sz="0" w:space="0" w:color="auto"/>
                        <w:right w:val="none" w:sz="0" w:space="0" w:color="auto"/>
                      </w:divBdr>
                    </w:div>
                  </w:divsChild>
                </w:div>
                <w:div w:id="1679389019">
                  <w:marLeft w:val="0"/>
                  <w:marRight w:val="0"/>
                  <w:marTop w:val="0"/>
                  <w:marBottom w:val="0"/>
                  <w:divBdr>
                    <w:top w:val="none" w:sz="0" w:space="0" w:color="auto"/>
                    <w:left w:val="none" w:sz="0" w:space="0" w:color="auto"/>
                    <w:bottom w:val="none" w:sz="0" w:space="0" w:color="auto"/>
                    <w:right w:val="none" w:sz="0" w:space="0" w:color="auto"/>
                  </w:divBdr>
                  <w:divsChild>
                    <w:div w:id="1432314326">
                      <w:marLeft w:val="0"/>
                      <w:marRight w:val="0"/>
                      <w:marTop w:val="0"/>
                      <w:marBottom w:val="0"/>
                      <w:divBdr>
                        <w:top w:val="none" w:sz="0" w:space="0" w:color="auto"/>
                        <w:left w:val="none" w:sz="0" w:space="0" w:color="auto"/>
                        <w:bottom w:val="none" w:sz="0" w:space="0" w:color="auto"/>
                        <w:right w:val="none" w:sz="0" w:space="0" w:color="auto"/>
                      </w:divBdr>
                    </w:div>
                  </w:divsChild>
                </w:div>
                <w:div w:id="1682047635">
                  <w:marLeft w:val="0"/>
                  <w:marRight w:val="0"/>
                  <w:marTop w:val="0"/>
                  <w:marBottom w:val="0"/>
                  <w:divBdr>
                    <w:top w:val="none" w:sz="0" w:space="0" w:color="auto"/>
                    <w:left w:val="none" w:sz="0" w:space="0" w:color="auto"/>
                    <w:bottom w:val="none" w:sz="0" w:space="0" w:color="auto"/>
                    <w:right w:val="none" w:sz="0" w:space="0" w:color="auto"/>
                  </w:divBdr>
                  <w:divsChild>
                    <w:div w:id="1430002285">
                      <w:marLeft w:val="0"/>
                      <w:marRight w:val="0"/>
                      <w:marTop w:val="0"/>
                      <w:marBottom w:val="0"/>
                      <w:divBdr>
                        <w:top w:val="none" w:sz="0" w:space="0" w:color="auto"/>
                        <w:left w:val="none" w:sz="0" w:space="0" w:color="auto"/>
                        <w:bottom w:val="none" w:sz="0" w:space="0" w:color="auto"/>
                        <w:right w:val="none" w:sz="0" w:space="0" w:color="auto"/>
                      </w:divBdr>
                    </w:div>
                  </w:divsChild>
                </w:div>
                <w:div w:id="1731685726">
                  <w:marLeft w:val="0"/>
                  <w:marRight w:val="0"/>
                  <w:marTop w:val="0"/>
                  <w:marBottom w:val="0"/>
                  <w:divBdr>
                    <w:top w:val="none" w:sz="0" w:space="0" w:color="auto"/>
                    <w:left w:val="none" w:sz="0" w:space="0" w:color="auto"/>
                    <w:bottom w:val="none" w:sz="0" w:space="0" w:color="auto"/>
                    <w:right w:val="none" w:sz="0" w:space="0" w:color="auto"/>
                  </w:divBdr>
                  <w:divsChild>
                    <w:div w:id="1559055038">
                      <w:marLeft w:val="0"/>
                      <w:marRight w:val="0"/>
                      <w:marTop w:val="0"/>
                      <w:marBottom w:val="0"/>
                      <w:divBdr>
                        <w:top w:val="none" w:sz="0" w:space="0" w:color="auto"/>
                        <w:left w:val="none" w:sz="0" w:space="0" w:color="auto"/>
                        <w:bottom w:val="none" w:sz="0" w:space="0" w:color="auto"/>
                        <w:right w:val="none" w:sz="0" w:space="0" w:color="auto"/>
                      </w:divBdr>
                    </w:div>
                  </w:divsChild>
                </w:div>
                <w:div w:id="1803301721">
                  <w:marLeft w:val="0"/>
                  <w:marRight w:val="0"/>
                  <w:marTop w:val="0"/>
                  <w:marBottom w:val="0"/>
                  <w:divBdr>
                    <w:top w:val="none" w:sz="0" w:space="0" w:color="auto"/>
                    <w:left w:val="none" w:sz="0" w:space="0" w:color="auto"/>
                    <w:bottom w:val="none" w:sz="0" w:space="0" w:color="auto"/>
                    <w:right w:val="none" w:sz="0" w:space="0" w:color="auto"/>
                  </w:divBdr>
                  <w:divsChild>
                    <w:div w:id="1513640021">
                      <w:marLeft w:val="0"/>
                      <w:marRight w:val="0"/>
                      <w:marTop w:val="0"/>
                      <w:marBottom w:val="0"/>
                      <w:divBdr>
                        <w:top w:val="none" w:sz="0" w:space="0" w:color="auto"/>
                        <w:left w:val="none" w:sz="0" w:space="0" w:color="auto"/>
                        <w:bottom w:val="none" w:sz="0" w:space="0" w:color="auto"/>
                        <w:right w:val="none" w:sz="0" w:space="0" w:color="auto"/>
                      </w:divBdr>
                    </w:div>
                  </w:divsChild>
                </w:div>
                <w:div w:id="1866823633">
                  <w:marLeft w:val="0"/>
                  <w:marRight w:val="0"/>
                  <w:marTop w:val="0"/>
                  <w:marBottom w:val="0"/>
                  <w:divBdr>
                    <w:top w:val="none" w:sz="0" w:space="0" w:color="auto"/>
                    <w:left w:val="none" w:sz="0" w:space="0" w:color="auto"/>
                    <w:bottom w:val="none" w:sz="0" w:space="0" w:color="auto"/>
                    <w:right w:val="none" w:sz="0" w:space="0" w:color="auto"/>
                  </w:divBdr>
                  <w:divsChild>
                    <w:div w:id="1483934977">
                      <w:marLeft w:val="0"/>
                      <w:marRight w:val="0"/>
                      <w:marTop w:val="0"/>
                      <w:marBottom w:val="0"/>
                      <w:divBdr>
                        <w:top w:val="none" w:sz="0" w:space="0" w:color="auto"/>
                        <w:left w:val="none" w:sz="0" w:space="0" w:color="auto"/>
                        <w:bottom w:val="none" w:sz="0" w:space="0" w:color="auto"/>
                        <w:right w:val="none" w:sz="0" w:space="0" w:color="auto"/>
                      </w:divBdr>
                    </w:div>
                  </w:divsChild>
                </w:div>
                <w:div w:id="1989091774">
                  <w:marLeft w:val="0"/>
                  <w:marRight w:val="0"/>
                  <w:marTop w:val="0"/>
                  <w:marBottom w:val="0"/>
                  <w:divBdr>
                    <w:top w:val="none" w:sz="0" w:space="0" w:color="auto"/>
                    <w:left w:val="none" w:sz="0" w:space="0" w:color="auto"/>
                    <w:bottom w:val="none" w:sz="0" w:space="0" w:color="auto"/>
                    <w:right w:val="none" w:sz="0" w:space="0" w:color="auto"/>
                  </w:divBdr>
                  <w:divsChild>
                    <w:div w:id="12862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5442">
          <w:marLeft w:val="0"/>
          <w:marRight w:val="0"/>
          <w:marTop w:val="0"/>
          <w:marBottom w:val="0"/>
          <w:divBdr>
            <w:top w:val="none" w:sz="0" w:space="0" w:color="auto"/>
            <w:left w:val="none" w:sz="0" w:space="0" w:color="auto"/>
            <w:bottom w:val="none" w:sz="0" w:space="0" w:color="auto"/>
            <w:right w:val="none" w:sz="0" w:space="0" w:color="auto"/>
          </w:divBdr>
        </w:div>
        <w:div w:id="1152142010">
          <w:marLeft w:val="0"/>
          <w:marRight w:val="0"/>
          <w:marTop w:val="0"/>
          <w:marBottom w:val="0"/>
          <w:divBdr>
            <w:top w:val="none" w:sz="0" w:space="0" w:color="auto"/>
            <w:left w:val="none" w:sz="0" w:space="0" w:color="auto"/>
            <w:bottom w:val="none" w:sz="0" w:space="0" w:color="auto"/>
            <w:right w:val="none" w:sz="0" w:space="0" w:color="auto"/>
          </w:divBdr>
        </w:div>
        <w:div w:id="1161577494">
          <w:marLeft w:val="0"/>
          <w:marRight w:val="0"/>
          <w:marTop w:val="0"/>
          <w:marBottom w:val="0"/>
          <w:divBdr>
            <w:top w:val="none" w:sz="0" w:space="0" w:color="auto"/>
            <w:left w:val="none" w:sz="0" w:space="0" w:color="auto"/>
            <w:bottom w:val="none" w:sz="0" w:space="0" w:color="auto"/>
            <w:right w:val="none" w:sz="0" w:space="0" w:color="auto"/>
          </w:divBdr>
        </w:div>
        <w:div w:id="1211959371">
          <w:marLeft w:val="0"/>
          <w:marRight w:val="0"/>
          <w:marTop w:val="0"/>
          <w:marBottom w:val="0"/>
          <w:divBdr>
            <w:top w:val="none" w:sz="0" w:space="0" w:color="auto"/>
            <w:left w:val="none" w:sz="0" w:space="0" w:color="auto"/>
            <w:bottom w:val="none" w:sz="0" w:space="0" w:color="auto"/>
            <w:right w:val="none" w:sz="0" w:space="0" w:color="auto"/>
          </w:divBdr>
        </w:div>
        <w:div w:id="1219780467">
          <w:marLeft w:val="0"/>
          <w:marRight w:val="0"/>
          <w:marTop w:val="0"/>
          <w:marBottom w:val="0"/>
          <w:divBdr>
            <w:top w:val="none" w:sz="0" w:space="0" w:color="auto"/>
            <w:left w:val="none" w:sz="0" w:space="0" w:color="auto"/>
            <w:bottom w:val="none" w:sz="0" w:space="0" w:color="auto"/>
            <w:right w:val="none" w:sz="0" w:space="0" w:color="auto"/>
          </w:divBdr>
        </w:div>
        <w:div w:id="1296302266">
          <w:marLeft w:val="0"/>
          <w:marRight w:val="0"/>
          <w:marTop w:val="0"/>
          <w:marBottom w:val="0"/>
          <w:divBdr>
            <w:top w:val="none" w:sz="0" w:space="0" w:color="auto"/>
            <w:left w:val="none" w:sz="0" w:space="0" w:color="auto"/>
            <w:bottom w:val="none" w:sz="0" w:space="0" w:color="auto"/>
            <w:right w:val="none" w:sz="0" w:space="0" w:color="auto"/>
          </w:divBdr>
        </w:div>
        <w:div w:id="1300181953">
          <w:marLeft w:val="0"/>
          <w:marRight w:val="0"/>
          <w:marTop w:val="0"/>
          <w:marBottom w:val="0"/>
          <w:divBdr>
            <w:top w:val="none" w:sz="0" w:space="0" w:color="auto"/>
            <w:left w:val="none" w:sz="0" w:space="0" w:color="auto"/>
            <w:bottom w:val="none" w:sz="0" w:space="0" w:color="auto"/>
            <w:right w:val="none" w:sz="0" w:space="0" w:color="auto"/>
          </w:divBdr>
          <w:divsChild>
            <w:div w:id="51278077">
              <w:marLeft w:val="0"/>
              <w:marRight w:val="0"/>
              <w:marTop w:val="0"/>
              <w:marBottom w:val="0"/>
              <w:divBdr>
                <w:top w:val="none" w:sz="0" w:space="0" w:color="auto"/>
                <w:left w:val="none" w:sz="0" w:space="0" w:color="auto"/>
                <w:bottom w:val="none" w:sz="0" w:space="0" w:color="auto"/>
                <w:right w:val="none" w:sz="0" w:space="0" w:color="auto"/>
              </w:divBdr>
            </w:div>
            <w:div w:id="315375101">
              <w:marLeft w:val="0"/>
              <w:marRight w:val="0"/>
              <w:marTop w:val="0"/>
              <w:marBottom w:val="0"/>
              <w:divBdr>
                <w:top w:val="none" w:sz="0" w:space="0" w:color="auto"/>
                <w:left w:val="none" w:sz="0" w:space="0" w:color="auto"/>
                <w:bottom w:val="none" w:sz="0" w:space="0" w:color="auto"/>
                <w:right w:val="none" w:sz="0" w:space="0" w:color="auto"/>
              </w:divBdr>
            </w:div>
            <w:div w:id="438182454">
              <w:marLeft w:val="0"/>
              <w:marRight w:val="0"/>
              <w:marTop w:val="0"/>
              <w:marBottom w:val="0"/>
              <w:divBdr>
                <w:top w:val="none" w:sz="0" w:space="0" w:color="auto"/>
                <w:left w:val="none" w:sz="0" w:space="0" w:color="auto"/>
                <w:bottom w:val="none" w:sz="0" w:space="0" w:color="auto"/>
                <w:right w:val="none" w:sz="0" w:space="0" w:color="auto"/>
              </w:divBdr>
            </w:div>
            <w:div w:id="464199338">
              <w:marLeft w:val="0"/>
              <w:marRight w:val="0"/>
              <w:marTop w:val="0"/>
              <w:marBottom w:val="0"/>
              <w:divBdr>
                <w:top w:val="none" w:sz="0" w:space="0" w:color="auto"/>
                <w:left w:val="none" w:sz="0" w:space="0" w:color="auto"/>
                <w:bottom w:val="none" w:sz="0" w:space="0" w:color="auto"/>
                <w:right w:val="none" w:sz="0" w:space="0" w:color="auto"/>
              </w:divBdr>
            </w:div>
            <w:div w:id="695156052">
              <w:marLeft w:val="0"/>
              <w:marRight w:val="0"/>
              <w:marTop w:val="0"/>
              <w:marBottom w:val="0"/>
              <w:divBdr>
                <w:top w:val="none" w:sz="0" w:space="0" w:color="auto"/>
                <w:left w:val="none" w:sz="0" w:space="0" w:color="auto"/>
                <w:bottom w:val="none" w:sz="0" w:space="0" w:color="auto"/>
                <w:right w:val="none" w:sz="0" w:space="0" w:color="auto"/>
              </w:divBdr>
            </w:div>
            <w:div w:id="809326887">
              <w:marLeft w:val="0"/>
              <w:marRight w:val="0"/>
              <w:marTop w:val="0"/>
              <w:marBottom w:val="0"/>
              <w:divBdr>
                <w:top w:val="none" w:sz="0" w:space="0" w:color="auto"/>
                <w:left w:val="none" w:sz="0" w:space="0" w:color="auto"/>
                <w:bottom w:val="none" w:sz="0" w:space="0" w:color="auto"/>
                <w:right w:val="none" w:sz="0" w:space="0" w:color="auto"/>
              </w:divBdr>
            </w:div>
            <w:div w:id="815226484">
              <w:marLeft w:val="0"/>
              <w:marRight w:val="0"/>
              <w:marTop w:val="0"/>
              <w:marBottom w:val="0"/>
              <w:divBdr>
                <w:top w:val="none" w:sz="0" w:space="0" w:color="auto"/>
                <w:left w:val="none" w:sz="0" w:space="0" w:color="auto"/>
                <w:bottom w:val="none" w:sz="0" w:space="0" w:color="auto"/>
                <w:right w:val="none" w:sz="0" w:space="0" w:color="auto"/>
              </w:divBdr>
            </w:div>
            <w:div w:id="968703211">
              <w:marLeft w:val="0"/>
              <w:marRight w:val="0"/>
              <w:marTop w:val="0"/>
              <w:marBottom w:val="0"/>
              <w:divBdr>
                <w:top w:val="none" w:sz="0" w:space="0" w:color="auto"/>
                <w:left w:val="none" w:sz="0" w:space="0" w:color="auto"/>
                <w:bottom w:val="none" w:sz="0" w:space="0" w:color="auto"/>
                <w:right w:val="none" w:sz="0" w:space="0" w:color="auto"/>
              </w:divBdr>
            </w:div>
            <w:div w:id="1162509083">
              <w:marLeft w:val="0"/>
              <w:marRight w:val="0"/>
              <w:marTop w:val="0"/>
              <w:marBottom w:val="0"/>
              <w:divBdr>
                <w:top w:val="none" w:sz="0" w:space="0" w:color="auto"/>
                <w:left w:val="none" w:sz="0" w:space="0" w:color="auto"/>
                <w:bottom w:val="none" w:sz="0" w:space="0" w:color="auto"/>
                <w:right w:val="none" w:sz="0" w:space="0" w:color="auto"/>
              </w:divBdr>
            </w:div>
            <w:div w:id="1284312332">
              <w:marLeft w:val="0"/>
              <w:marRight w:val="0"/>
              <w:marTop w:val="0"/>
              <w:marBottom w:val="0"/>
              <w:divBdr>
                <w:top w:val="none" w:sz="0" w:space="0" w:color="auto"/>
                <w:left w:val="none" w:sz="0" w:space="0" w:color="auto"/>
                <w:bottom w:val="none" w:sz="0" w:space="0" w:color="auto"/>
                <w:right w:val="none" w:sz="0" w:space="0" w:color="auto"/>
              </w:divBdr>
            </w:div>
            <w:div w:id="1328096890">
              <w:marLeft w:val="0"/>
              <w:marRight w:val="0"/>
              <w:marTop w:val="0"/>
              <w:marBottom w:val="0"/>
              <w:divBdr>
                <w:top w:val="none" w:sz="0" w:space="0" w:color="auto"/>
                <w:left w:val="none" w:sz="0" w:space="0" w:color="auto"/>
                <w:bottom w:val="none" w:sz="0" w:space="0" w:color="auto"/>
                <w:right w:val="none" w:sz="0" w:space="0" w:color="auto"/>
              </w:divBdr>
            </w:div>
            <w:div w:id="1487895729">
              <w:marLeft w:val="0"/>
              <w:marRight w:val="0"/>
              <w:marTop w:val="0"/>
              <w:marBottom w:val="0"/>
              <w:divBdr>
                <w:top w:val="none" w:sz="0" w:space="0" w:color="auto"/>
                <w:left w:val="none" w:sz="0" w:space="0" w:color="auto"/>
                <w:bottom w:val="none" w:sz="0" w:space="0" w:color="auto"/>
                <w:right w:val="none" w:sz="0" w:space="0" w:color="auto"/>
              </w:divBdr>
            </w:div>
            <w:div w:id="1597060195">
              <w:marLeft w:val="0"/>
              <w:marRight w:val="0"/>
              <w:marTop w:val="0"/>
              <w:marBottom w:val="0"/>
              <w:divBdr>
                <w:top w:val="none" w:sz="0" w:space="0" w:color="auto"/>
                <w:left w:val="none" w:sz="0" w:space="0" w:color="auto"/>
                <w:bottom w:val="none" w:sz="0" w:space="0" w:color="auto"/>
                <w:right w:val="none" w:sz="0" w:space="0" w:color="auto"/>
              </w:divBdr>
            </w:div>
            <w:div w:id="1600992333">
              <w:marLeft w:val="0"/>
              <w:marRight w:val="0"/>
              <w:marTop w:val="0"/>
              <w:marBottom w:val="0"/>
              <w:divBdr>
                <w:top w:val="none" w:sz="0" w:space="0" w:color="auto"/>
                <w:left w:val="none" w:sz="0" w:space="0" w:color="auto"/>
                <w:bottom w:val="none" w:sz="0" w:space="0" w:color="auto"/>
                <w:right w:val="none" w:sz="0" w:space="0" w:color="auto"/>
              </w:divBdr>
            </w:div>
            <w:div w:id="1644265346">
              <w:marLeft w:val="0"/>
              <w:marRight w:val="0"/>
              <w:marTop w:val="0"/>
              <w:marBottom w:val="0"/>
              <w:divBdr>
                <w:top w:val="none" w:sz="0" w:space="0" w:color="auto"/>
                <w:left w:val="none" w:sz="0" w:space="0" w:color="auto"/>
                <w:bottom w:val="none" w:sz="0" w:space="0" w:color="auto"/>
                <w:right w:val="none" w:sz="0" w:space="0" w:color="auto"/>
              </w:divBdr>
            </w:div>
            <w:div w:id="1705016197">
              <w:marLeft w:val="0"/>
              <w:marRight w:val="0"/>
              <w:marTop w:val="0"/>
              <w:marBottom w:val="0"/>
              <w:divBdr>
                <w:top w:val="none" w:sz="0" w:space="0" w:color="auto"/>
                <w:left w:val="none" w:sz="0" w:space="0" w:color="auto"/>
                <w:bottom w:val="none" w:sz="0" w:space="0" w:color="auto"/>
                <w:right w:val="none" w:sz="0" w:space="0" w:color="auto"/>
              </w:divBdr>
            </w:div>
            <w:div w:id="1830360569">
              <w:marLeft w:val="0"/>
              <w:marRight w:val="0"/>
              <w:marTop w:val="0"/>
              <w:marBottom w:val="0"/>
              <w:divBdr>
                <w:top w:val="none" w:sz="0" w:space="0" w:color="auto"/>
                <w:left w:val="none" w:sz="0" w:space="0" w:color="auto"/>
                <w:bottom w:val="none" w:sz="0" w:space="0" w:color="auto"/>
                <w:right w:val="none" w:sz="0" w:space="0" w:color="auto"/>
              </w:divBdr>
            </w:div>
            <w:div w:id="1854414586">
              <w:marLeft w:val="0"/>
              <w:marRight w:val="0"/>
              <w:marTop w:val="0"/>
              <w:marBottom w:val="0"/>
              <w:divBdr>
                <w:top w:val="none" w:sz="0" w:space="0" w:color="auto"/>
                <w:left w:val="none" w:sz="0" w:space="0" w:color="auto"/>
                <w:bottom w:val="none" w:sz="0" w:space="0" w:color="auto"/>
                <w:right w:val="none" w:sz="0" w:space="0" w:color="auto"/>
              </w:divBdr>
            </w:div>
            <w:div w:id="2010282988">
              <w:marLeft w:val="0"/>
              <w:marRight w:val="0"/>
              <w:marTop w:val="0"/>
              <w:marBottom w:val="0"/>
              <w:divBdr>
                <w:top w:val="none" w:sz="0" w:space="0" w:color="auto"/>
                <w:left w:val="none" w:sz="0" w:space="0" w:color="auto"/>
                <w:bottom w:val="none" w:sz="0" w:space="0" w:color="auto"/>
                <w:right w:val="none" w:sz="0" w:space="0" w:color="auto"/>
              </w:divBdr>
            </w:div>
          </w:divsChild>
        </w:div>
        <w:div w:id="1306006902">
          <w:marLeft w:val="0"/>
          <w:marRight w:val="0"/>
          <w:marTop w:val="0"/>
          <w:marBottom w:val="0"/>
          <w:divBdr>
            <w:top w:val="none" w:sz="0" w:space="0" w:color="auto"/>
            <w:left w:val="none" w:sz="0" w:space="0" w:color="auto"/>
            <w:bottom w:val="none" w:sz="0" w:space="0" w:color="auto"/>
            <w:right w:val="none" w:sz="0" w:space="0" w:color="auto"/>
          </w:divBdr>
        </w:div>
        <w:div w:id="1309476972">
          <w:marLeft w:val="0"/>
          <w:marRight w:val="0"/>
          <w:marTop w:val="0"/>
          <w:marBottom w:val="0"/>
          <w:divBdr>
            <w:top w:val="none" w:sz="0" w:space="0" w:color="auto"/>
            <w:left w:val="none" w:sz="0" w:space="0" w:color="auto"/>
            <w:bottom w:val="none" w:sz="0" w:space="0" w:color="auto"/>
            <w:right w:val="none" w:sz="0" w:space="0" w:color="auto"/>
          </w:divBdr>
        </w:div>
        <w:div w:id="1347363929">
          <w:marLeft w:val="0"/>
          <w:marRight w:val="0"/>
          <w:marTop w:val="0"/>
          <w:marBottom w:val="0"/>
          <w:divBdr>
            <w:top w:val="none" w:sz="0" w:space="0" w:color="auto"/>
            <w:left w:val="none" w:sz="0" w:space="0" w:color="auto"/>
            <w:bottom w:val="none" w:sz="0" w:space="0" w:color="auto"/>
            <w:right w:val="none" w:sz="0" w:space="0" w:color="auto"/>
          </w:divBdr>
        </w:div>
        <w:div w:id="1387686257">
          <w:marLeft w:val="0"/>
          <w:marRight w:val="0"/>
          <w:marTop w:val="0"/>
          <w:marBottom w:val="0"/>
          <w:divBdr>
            <w:top w:val="none" w:sz="0" w:space="0" w:color="auto"/>
            <w:left w:val="none" w:sz="0" w:space="0" w:color="auto"/>
            <w:bottom w:val="none" w:sz="0" w:space="0" w:color="auto"/>
            <w:right w:val="none" w:sz="0" w:space="0" w:color="auto"/>
          </w:divBdr>
        </w:div>
        <w:div w:id="1417898067">
          <w:marLeft w:val="0"/>
          <w:marRight w:val="0"/>
          <w:marTop w:val="0"/>
          <w:marBottom w:val="0"/>
          <w:divBdr>
            <w:top w:val="none" w:sz="0" w:space="0" w:color="auto"/>
            <w:left w:val="none" w:sz="0" w:space="0" w:color="auto"/>
            <w:bottom w:val="none" w:sz="0" w:space="0" w:color="auto"/>
            <w:right w:val="none" w:sz="0" w:space="0" w:color="auto"/>
          </w:divBdr>
          <w:divsChild>
            <w:div w:id="1986398184">
              <w:marLeft w:val="-75"/>
              <w:marRight w:val="0"/>
              <w:marTop w:val="30"/>
              <w:marBottom w:val="30"/>
              <w:divBdr>
                <w:top w:val="none" w:sz="0" w:space="0" w:color="auto"/>
                <w:left w:val="none" w:sz="0" w:space="0" w:color="auto"/>
                <w:bottom w:val="none" w:sz="0" w:space="0" w:color="auto"/>
                <w:right w:val="none" w:sz="0" w:space="0" w:color="auto"/>
              </w:divBdr>
              <w:divsChild>
                <w:div w:id="199899892">
                  <w:marLeft w:val="0"/>
                  <w:marRight w:val="0"/>
                  <w:marTop w:val="0"/>
                  <w:marBottom w:val="0"/>
                  <w:divBdr>
                    <w:top w:val="none" w:sz="0" w:space="0" w:color="auto"/>
                    <w:left w:val="none" w:sz="0" w:space="0" w:color="auto"/>
                    <w:bottom w:val="none" w:sz="0" w:space="0" w:color="auto"/>
                    <w:right w:val="none" w:sz="0" w:space="0" w:color="auto"/>
                  </w:divBdr>
                  <w:divsChild>
                    <w:div w:id="2110931809">
                      <w:marLeft w:val="0"/>
                      <w:marRight w:val="0"/>
                      <w:marTop w:val="0"/>
                      <w:marBottom w:val="0"/>
                      <w:divBdr>
                        <w:top w:val="none" w:sz="0" w:space="0" w:color="auto"/>
                        <w:left w:val="none" w:sz="0" w:space="0" w:color="auto"/>
                        <w:bottom w:val="none" w:sz="0" w:space="0" w:color="auto"/>
                        <w:right w:val="none" w:sz="0" w:space="0" w:color="auto"/>
                      </w:divBdr>
                    </w:div>
                  </w:divsChild>
                </w:div>
                <w:div w:id="280502945">
                  <w:marLeft w:val="0"/>
                  <w:marRight w:val="0"/>
                  <w:marTop w:val="0"/>
                  <w:marBottom w:val="0"/>
                  <w:divBdr>
                    <w:top w:val="none" w:sz="0" w:space="0" w:color="auto"/>
                    <w:left w:val="none" w:sz="0" w:space="0" w:color="auto"/>
                    <w:bottom w:val="none" w:sz="0" w:space="0" w:color="auto"/>
                    <w:right w:val="none" w:sz="0" w:space="0" w:color="auto"/>
                  </w:divBdr>
                  <w:divsChild>
                    <w:div w:id="290480612">
                      <w:marLeft w:val="0"/>
                      <w:marRight w:val="0"/>
                      <w:marTop w:val="0"/>
                      <w:marBottom w:val="0"/>
                      <w:divBdr>
                        <w:top w:val="none" w:sz="0" w:space="0" w:color="auto"/>
                        <w:left w:val="none" w:sz="0" w:space="0" w:color="auto"/>
                        <w:bottom w:val="none" w:sz="0" w:space="0" w:color="auto"/>
                        <w:right w:val="none" w:sz="0" w:space="0" w:color="auto"/>
                      </w:divBdr>
                    </w:div>
                  </w:divsChild>
                </w:div>
                <w:div w:id="372313868">
                  <w:marLeft w:val="0"/>
                  <w:marRight w:val="0"/>
                  <w:marTop w:val="0"/>
                  <w:marBottom w:val="0"/>
                  <w:divBdr>
                    <w:top w:val="none" w:sz="0" w:space="0" w:color="auto"/>
                    <w:left w:val="none" w:sz="0" w:space="0" w:color="auto"/>
                    <w:bottom w:val="none" w:sz="0" w:space="0" w:color="auto"/>
                    <w:right w:val="none" w:sz="0" w:space="0" w:color="auto"/>
                  </w:divBdr>
                  <w:divsChild>
                    <w:div w:id="527840380">
                      <w:marLeft w:val="0"/>
                      <w:marRight w:val="0"/>
                      <w:marTop w:val="0"/>
                      <w:marBottom w:val="0"/>
                      <w:divBdr>
                        <w:top w:val="none" w:sz="0" w:space="0" w:color="auto"/>
                        <w:left w:val="none" w:sz="0" w:space="0" w:color="auto"/>
                        <w:bottom w:val="none" w:sz="0" w:space="0" w:color="auto"/>
                        <w:right w:val="none" w:sz="0" w:space="0" w:color="auto"/>
                      </w:divBdr>
                    </w:div>
                  </w:divsChild>
                </w:div>
                <w:div w:id="396562130">
                  <w:marLeft w:val="0"/>
                  <w:marRight w:val="0"/>
                  <w:marTop w:val="0"/>
                  <w:marBottom w:val="0"/>
                  <w:divBdr>
                    <w:top w:val="none" w:sz="0" w:space="0" w:color="auto"/>
                    <w:left w:val="none" w:sz="0" w:space="0" w:color="auto"/>
                    <w:bottom w:val="none" w:sz="0" w:space="0" w:color="auto"/>
                    <w:right w:val="none" w:sz="0" w:space="0" w:color="auto"/>
                  </w:divBdr>
                  <w:divsChild>
                    <w:div w:id="1554586276">
                      <w:marLeft w:val="0"/>
                      <w:marRight w:val="0"/>
                      <w:marTop w:val="0"/>
                      <w:marBottom w:val="0"/>
                      <w:divBdr>
                        <w:top w:val="none" w:sz="0" w:space="0" w:color="auto"/>
                        <w:left w:val="none" w:sz="0" w:space="0" w:color="auto"/>
                        <w:bottom w:val="none" w:sz="0" w:space="0" w:color="auto"/>
                        <w:right w:val="none" w:sz="0" w:space="0" w:color="auto"/>
                      </w:divBdr>
                    </w:div>
                  </w:divsChild>
                </w:div>
                <w:div w:id="516387022">
                  <w:marLeft w:val="0"/>
                  <w:marRight w:val="0"/>
                  <w:marTop w:val="0"/>
                  <w:marBottom w:val="0"/>
                  <w:divBdr>
                    <w:top w:val="none" w:sz="0" w:space="0" w:color="auto"/>
                    <w:left w:val="none" w:sz="0" w:space="0" w:color="auto"/>
                    <w:bottom w:val="none" w:sz="0" w:space="0" w:color="auto"/>
                    <w:right w:val="none" w:sz="0" w:space="0" w:color="auto"/>
                  </w:divBdr>
                  <w:divsChild>
                    <w:div w:id="1478719474">
                      <w:marLeft w:val="0"/>
                      <w:marRight w:val="0"/>
                      <w:marTop w:val="0"/>
                      <w:marBottom w:val="0"/>
                      <w:divBdr>
                        <w:top w:val="none" w:sz="0" w:space="0" w:color="auto"/>
                        <w:left w:val="none" w:sz="0" w:space="0" w:color="auto"/>
                        <w:bottom w:val="none" w:sz="0" w:space="0" w:color="auto"/>
                        <w:right w:val="none" w:sz="0" w:space="0" w:color="auto"/>
                      </w:divBdr>
                    </w:div>
                  </w:divsChild>
                </w:div>
                <w:div w:id="592012373">
                  <w:marLeft w:val="0"/>
                  <w:marRight w:val="0"/>
                  <w:marTop w:val="0"/>
                  <w:marBottom w:val="0"/>
                  <w:divBdr>
                    <w:top w:val="none" w:sz="0" w:space="0" w:color="auto"/>
                    <w:left w:val="none" w:sz="0" w:space="0" w:color="auto"/>
                    <w:bottom w:val="none" w:sz="0" w:space="0" w:color="auto"/>
                    <w:right w:val="none" w:sz="0" w:space="0" w:color="auto"/>
                  </w:divBdr>
                  <w:divsChild>
                    <w:div w:id="951087643">
                      <w:marLeft w:val="0"/>
                      <w:marRight w:val="0"/>
                      <w:marTop w:val="0"/>
                      <w:marBottom w:val="0"/>
                      <w:divBdr>
                        <w:top w:val="none" w:sz="0" w:space="0" w:color="auto"/>
                        <w:left w:val="none" w:sz="0" w:space="0" w:color="auto"/>
                        <w:bottom w:val="none" w:sz="0" w:space="0" w:color="auto"/>
                        <w:right w:val="none" w:sz="0" w:space="0" w:color="auto"/>
                      </w:divBdr>
                    </w:div>
                  </w:divsChild>
                </w:div>
                <w:div w:id="974063725">
                  <w:marLeft w:val="0"/>
                  <w:marRight w:val="0"/>
                  <w:marTop w:val="0"/>
                  <w:marBottom w:val="0"/>
                  <w:divBdr>
                    <w:top w:val="none" w:sz="0" w:space="0" w:color="auto"/>
                    <w:left w:val="none" w:sz="0" w:space="0" w:color="auto"/>
                    <w:bottom w:val="none" w:sz="0" w:space="0" w:color="auto"/>
                    <w:right w:val="none" w:sz="0" w:space="0" w:color="auto"/>
                  </w:divBdr>
                  <w:divsChild>
                    <w:div w:id="784809593">
                      <w:marLeft w:val="0"/>
                      <w:marRight w:val="0"/>
                      <w:marTop w:val="0"/>
                      <w:marBottom w:val="0"/>
                      <w:divBdr>
                        <w:top w:val="none" w:sz="0" w:space="0" w:color="auto"/>
                        <w:left w:val="none" w:sz="0" w:space="0" w:color="auto"/>
                        <w:bottom w:val="none" w:sz="0" w:space="0" w:color="auto"/>
                        <w:right w:val="none" w:sz="0" w:space="0" w:color="auto"/>
                      </w:divBdr>
                    </w:div>
                  </w:divsChild>
                </w:div>
                <w:div w:id="1073285044">
                  <w:marLeft w:val="0"/>
                  <w:marRight w:val="0"/>
                  <w:marTop w:val="0"/>
                  <w:marBottom w:val="0"/>
                  <w:divBdr>
                    <w:top w:val="none" w:sz="0" w:space="0" w:color="auto"/>
                    <w:left w:val="none" w:sz="0" w:space="0" w:color="auto"/>
                    <w:bottom w:val="none" w:sz="0" w:space="0" w:color="auto"/>
                    <w:right w:val="none" w:sz="0" w:space="0" w:color="auto"/>
                  </w:divBdr>
                  <w:divsChild>
                    <w:div w:id="1717779225">
                      <w:marLeft w:val="0"/>
                      <w:marRight w:val="0"/>
                      <w:marTop w:val="0"/>
                      <w:marBottom w:val="0"/>
                      <w:divBdr>
                        <w:top w:val="none" w:sz="0" w:space="0" w:color="auto"/>
                        <w:left w:val="none" w:sz="0" w:space="0" w:color="auto"/>
                        <w:bottom w:val="none" w:sz="0" w:space="0" w:color="auto"/>
                        <w:right w:val="none" w:sz="0" w:space="0" w:color="auto"/>
                      </w:divBdr>
                    </w:div>
                  </w:divsChild>
                </w:div>
                <w:div w:id="1149128465">
                  <w:marLeft w:val="0"/>
                  <w:marRight w:val="0"/>
                  <w:marTop w:val="0"/>
                  <w:marBottom w:val="0"/>
                  <w:divBdr>
                    <w:top w:val="none" w:sz="0" w:space="0" w:color="auto"/>
                    <w:left w:val="none" w:sz="0" w:space="0" w:color="auto"/>
                    <w:bottom w:val="none" w:sz="0" w:space="0" w:color="auto"/>
                    <w:right w:val="none" w:sz="0" w:space="0" w:color="auto"/>
                  </w:divBdr>
                  <w:divsChild>
                    <w:div w:id="1905223">
                      <w:marLeft w:val="0"/>
                      <w:marRight w:val="0"/>
                      <w:marTop w:val="0"/>
                      <w:marBottom w:val="0"/>
                      <w:divBdr>
                        <w:top w:val="none" w:sz="0" w:space="0" w:color="auto"/>
                        <w:left w:val="none" w:sz="0" w:space="0" w:color="auto"/>
                        <w:bottom w:val="none" w:sz="0" w:space="0" w:color="auto"/>
                        <w:right w:val="none" w:sz="0" w:space="0" w:color="auto"/>
                      </w:divBdr>
                    </w:div>
                  </w:divsChild>
                </w:div>
                <w:div w:id="1276017479">
                  <w:marLeft w:val="0"/>
                  <w:marRight w:val="0"/>
                  <w:marTop w:val="0"/>
                  <w:marBottom w:val="0"/>
                  <w:divBdr>
                    <w:top w:val="none" w:sz="0" w:space="0" w:color="auto"/>
                    <w:left w:val="none" w:sz="0" w:space="0" w:color="auto"/>
                    <w:bottom w:val="none" w:sz="0" w:space="0" w:color="auto"/>
                    <w:right w:val="none" w:sz="0" w:space="0" w:color="auto"/>
                  </w:divBdr>
                  <w:divsChild>
                    <w:div w:id="1918902343">
                      <w:marLeft w:val="0"/>
                      <w:marRight w:val="0"/>
                      <w:marTop w:val="0"/>
                      <w:marBottom w:val="0"/>
                      <w:divBdr>
                        <w:top w:val="none" w:sz="0" w:space="0" w:color="auto"/>
                        <w:left w:val="none" w:sz="0" w:space="0" w:color="auto"/>
                        <w:bottom w:val="none" w:sz="0" w:space="0" w:color="auto"/>
                        <w:right w:val="none" w:sz="0" w:space="0" w:color="auto"/>
                      </w:divBdr>
                    </w:div>
                  </w:divsChild>
                </w:div>
                <w:div w:id="1286425265">
                  <w:marLeft w:val="0"/>
                  <w:marRight w:val="0"/>
                  <w:marTop w:val="0"/>
                  <w:marBottom w:val="0"/>
                  <w:divBdr>
                    <w:top w:val="none" w:sz="0" w:space="0" w:color="auto"/>
                    <w:left w:val="none" w:sz="0" w:space="0" w:color="auto"/>
                    <w:bottom w:val="none" w:sz="0" w:space="0" w:color="auto"/>
                    <w:right w:val="none" w:sz="0" w:space="0" w:color="auto"/>
                  </w:divBdr>
                  <w:divsChild>
                    <w:div w:id="1831481296">
                      <w:marLeft w:val="0"/>
                      <w:marRight w:val="0"/>
                      <w:marTop w:val="0"/>
                      <w:marBottom w:val="0"/>
                      <w:divBdr>
                        <w:top w:val="none" w:sz="0" w:space="0" w:color="auto"/>
                        <w:left w:val="none" w:sz="0" w:space="0" w:color="auto"/>
                        <w:bottom w:val="none" w:sz="0" w:space="0" w:color="auto"/>
                        <w:right w:val="none" w:sz="0" w:space="0" w:color="auto"/>
                      </w:divBdr>
                    </w:div>
                  </w:divsChild>
                </w:div>
                <w:div w:id="1288242670">
                  <w:marLeft w:val="0"/>
                  <w:marRight w:val="0"/>
                  <w:marTop w:val="0"/>
                  <w:marBottom w:val="0"/>
                  <w:divBdr>
                    <w:top w:val="none" w:sz="0" w:space="0" w:color="auto"/>
                    <w:left w:val="none" w:sz="0" w:space="0" w:color="auto"/>
                    <w:bottom w:val="none" w:sz="0" w:space="0" w:color="auto"/>
                    <w:right w:val="none" w:sz="0" w:space="0" w:color="auto"/>
                  </w:divBdr>
                  <w:divsChild>
                    <w:div w:id="1074666667">
                      <w:marLeft w:val="0"/>
                      <w:marRight w:val="0"/>
                      <w:marTop w:val="0"/>
                      <w:marBottom w:val="0"/>
                      <w:divBdr>
                        <w:top w:val="none" w:sz="0" w:space="0" w:color="auto"/>
                        <w:left w:val="none" w:sz="0" w:space="0" w:color="auto"/>
                        <w:bottom w:val="none" w:sz="0" w:space="0" w:color="auto"/>
                        <w:right w:val="none" w:sz="0" w:space="0" w:color="auto"/>
                      </w:divBdr>
                    </w:div>
                  </w:divsChild>
                </w:div>
                <w:div w:id="1888447275">
                  <w:marLeft w:val="0"/>
                  <w:marRight w:val="0"/>
                  <w:marTop w:val="0"/>
                  <w:marBottom w:val="0"/>
                  <w:divBdr>
                    <w:top w:val="none" w:sz="0" w:space="0" w:color="auto"/>
                    <w:left w:val="none" w:sz="0" w:space="0" w:color="auto"/>
                    <w:bottom w:val="none" w:sz="0" w:space="0" w:color="auto"/>
                    <w:right w:val="none" w:sz="0" w:space="0" w:color="auto"/>
                  </w:divBdr>
                  <w:divsChild>
                    <w:div w:id="1176457291">
                      <w:marLeft w:val="0"/>
                      <w:marRight w:val="0"/>
                      <w:marTop w:val="0"/>
                      <w:marBottom w:val="0"/>
                      <w:divBdr>
                        <w:top w:val="none" w:sz="0" w:space="0" w:color="auto"/>
                        <w:left w:val="none" w:sz="0" w:space="0" w:color="auto"/>
                        <w:bottom w:val="none" w:sz="0" w:space="0" w:color="auto"/>
                        <w:right w:val="none" w:sz="0" w:space="0" w:color="auto"/>
                      </w:divBdr>
                    </w:div>
                  </w:divsChild>
                </w:div>
                <w:div w:id="2050832077">
                  <w:marLeft w:val="0"/>
                  <w:marRight w:val="0"/>
                  <w:marTop w:val="0"/>
                  <w:marBottom w:val="0"/>
                  <w:divBdr>
                    <w:top w:val="none" w:sz="0" w:space="0" w:color="auto"/>
                    <w:left w:val="none" w:sz="0" w:space="0" w:color="auto"/>
                    <w:bottom w:val="none" w:sz="0" w:space="0" w:color="auto"/>
                    <w:right w:val="none" w:sz="0" w:space="0" w:color="auto"/>
                  </w:divBdr>
                  <w:divsChild>
                    <w:div w:id="1806846310">
                      <w:marLeft w:val="0"/>
                      <w:marRight w:val="0"/>
                      <w:marTop w:val="0"/>
                      <w:marBottom w:val="0"/>
                      <w:divBdr>
                        <w:top w:val="none" w:sz="0" w:space="0" w:color="auto"/>
                        <w:left w:val="none" w:sz="0" w:space="0" w:color="auto"/>
                        <w:bottom w:val="none" w:sz="0" w:space="0" w:color="auto"/>
                        <w:right w:val="none" w:sz="0" w:space="0" w:color="auto"/>
                      </w:divBdr>
                    </w:div>
                  </w:divsChild>
                </w:div>
                <w:div w:id="2051420213">
                  <w:marLeft w:val="0"/>
                  <w:marRight w:val="0"/>
                  <w:marTop w:val="0"/>
                  <w:marBottom w:val="0"/>
                  <w:divBdr>
                    <w:top w:val="none" w:sz="0" w:space="0" w:color="auto"/>
                    <w:left w:val="none" w:sz="0" w:space="0" w:color="auto"/>
                    <w:bottom w:val="none" w:sz="0" w:space="0" w:color="auto"/>
                    <w:right w:val="none" w:sz="0" w:space="0" w:color="auto"/>
                  </w:divBdr>
                  <w:divsChild>
                    <w:div w:id="1430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82648">
          <w:marLeft w:val="0"/>
          <w:marRight w:val="0"/>
          <w:marTop w:val="0"/>
          <w:marBottom w:val="0"/>
          <w:divBdr>
            <w:top w:val="none" w:sz="0" w:space="0" w:color="auto"/>
            <w:left w:val="none" w:sz="0" w:space="0" w:color="auto"/>
            <w:bottom w:val="none" w:sz="0" w:space="0" w:color="auto"/>
            <w:right w:val="none" w:sz="0" w:space="0" w:color="auto"/>
          </w:divBdr>
        </w:div>
        <w:div w:id="1432237809">
          <w:marLeft w:val="0"/>
          <w:marRight w:val="0"/>
          <w:marTop w:val="0"/>
          <w:marBottom w:val="0"/>
          <w:divBdr>
            <w:top w:val="none" w:sz="0" w:space="0" w:color="auto"/>
            <w:left w:val="none" w:sz="0" w:space="0" w:color="auto"/>
            <w:bottom w:val="none" w:sz="0" w:space="0" w:color="auto"/>
            <w:right w:val="none" w:sz="0" w:space="0" w:color="auto"/>
          </w:divBdr>
        </w:div>
        <w:div w:id="1444423174">
          <w:marLeft w:val="0"/>
          <w:marRight w:val="0"/>
          <w:marTop w:val="0"/>
          <w:marBottom w:val="0"/>
          <w:divBdr>
            <w:top w:val="none" w:sz="0" w:space="0" w:color="auto"/>
            <w:left w:val="none" w:sz="0" w:space="0" w:color="auto"/>
            <w:bottom w:val="none" w:sz="0" w:space="0" w:color="auto"/>
            <w:right w:val="none" w:sz="0" w:space="0" w:color="auto"/>
          </w:divBdr>
        </w:div>
        <w:div w:id="1544518031">
          <w:marLeft w:val="0"/>
          <w:marRight w:val="0"/>
          <w:marTop w:val="0"/>
          <w:marBottom w:val="0"/>
          <w:divBdr>
            <w:top w:val="none" w:sz="0" w:space="0" w:color="auto"/>
            <w:left w:val="none" w:sz="0" w:space="0" w:color="auto"/>
            <w:bottom w:val="none" w:sz="0" w:space="0" w:color="auto"/>
            <w:right w:val="none" w:sz="0" w:space="0" w:color="auto"/>
          </w:divBdr>
        </w:div>
        <w:div w:id="1546595811">
          <w:marLeft w:val="0"/>
          <w:marRight w:val="0"/>
          <w:marTop w:val="0"/>
          <w:marBottom w:val="0"/>
          <w:divBdr>
            <w:top w:val="none" w:sz="0" w:space="0" w:color="auto"/>
            <w:left w:val="none" w:sz="0" w:space="0" w:color="auto"/>
            <w:bottom w:val="none" w:sz="0" w:space="0" w:color="auto"/>
            <w:right w:val="none" w:sz="0" w:space="0" w:color="auto"/>
          </w:divBdr>
        </w:div>
        <w:div w:id="1622027527">
          <w:marLeft w:val="0"/>
          <w:marRight w:val="0"/>
          <w:marTop w:val="0"/>
          <w:marBottom w:val="0"/>
          <w:divBdr>
            <w:top w:val="none" w:sz="0" w:space="0" w:color="auto"/>
            <w:left w:val="none" w:sz="0" w:space="0" w:color="auto"/>
            <w:bottom w:val="none" w:sz="0" w:space="0" w:color="auto"/>
            <w:right w:val="none" w:sz="0" w:space="0" w:color="auto"/>
          </w:divBdr>
        </w:div>
        <w:div w:id="1627853641">
          <w:marLeft w:val="0"/>
          <w:marRight w:val="0"/>
          <w:marTop w:val="0"/>
          <w:marBottom w:val="0"/>
          <w:divBdr>
            <w:top w:val="none" w:sz="0" w:space="0" w:color="auto"/>
            <w:left w:val="none" w:sz="0" w:space="0" w:color="auto"/>
            <w:bottom w:val="none" w:sz="0" w:space="0" w:color="auto"/>
            <w:right w:val="none" w:sz="0" w:space="0" w:color="auto"/>
          </w:divBdr>
        </w:div>
        <w:div w:id="1645163057">
          <w:marLeft w:val="0"/>
          <w:marRight w:val="0"/>
          <w:marTop w:val="0"/>
          <w:marBottom w:val="0"/>
          <w:divBdr>
            <w:top w:val="none" w:sz="0" w:space="0" w:color="auto"/>
            <w:left w:val="none" w:sz="0" w:space="0" w:color="auto"/>
            <w:bottom w:val="none" w:sz="0" w:space="0" w:color="auto"/>
            <w:right w:val="none" w:sz="0" w:space="0" w:color="auto"/>
          </w:divBdr>
        </w:div>
        <w:div w:id="1654412069">
          <w:marLeft w:val="0"/>
          <w:marRight w:val="0"/>
          <w:marTop w:val="0"/>
          <w:marBottom w:val="0"/>
          <w:divBdr>
            <w:top w:val="none" w:sz="0" w:space="0" w:color="auto"/>
            <w:left w:val="none" w:sz="0" w:space="0" w:color="auto"/>
            <w:bottom w:val="none" w:sz="0" w:space="0" w:color="auto"/>
            <w:right w:val="none" w:sz="0" w:space="0" w:color="auto"/>
          </w:divBdr>
        </w:div>
        <w:div w:id="1730641451">
          <w:marLeft w:val="0"/>
          <w:marRight w:val="0"/>
          <w:marTop w:val="0"/>
          <w:marBottom w:val="0"/>
          <w:divBdr>
            <w:top w:val="none" w:sz="0" w:space="0" w:color="auto"/>
            <w:left w:val="none" w:sz="0" w:space="0" w:color="auto"/>
            <w:bottom w:val="none" w:sz="0" w:space="0" w:color="auto"/>
            <w:right w:val="none" w:sz="0" w:space="0" w:color="auto"/>
          </w:divBdr>
        </w:div>
        <w:div w:id="1750694237">
          <w:marLeft w:val="0"/>
          <w:marRight w:val="0"/>
          <w:marTop w:val="0"/>
          <w:marBottom w:val="0"/>
          <w:divBdr>
            <w:top w:val="none" w:sz="0" w:space="0" w:color="auto"/>
            <w:left w:val="none" w:sz="0" w:space="0" w:color="auto"/>
            <w:bottom w:val="none" w:sz="0" w:space="0" w:color="auto"/>
            <w:right w:val="none" w:sz="0" w:space="0" w:color="auto"/>
          </w:divBdr>
        </w:div>
        <w:div w:id="1777166238">
          <w:marLeft w:val="0"/>
          <w:marRight w:val="0"/>
          <w:marTop w:val="0"/>
          <w:marBottom w:val="0"/>
          <w:divBdr>
            <w:top w:val="none" w:sz="0" w:space="0" w:color="auto"/>
            <w:left w:val="none" w:sz="0" w:space="0" w:color="auto"/>
            <w:bottom w:val="none" w:sz="0" w:space="0" w:color="auto"/>
            <w:right w:val="none" w:sz="0" w:space="0" w:color="auto"/>
          </w:divBdr>
          <w:divsChild>
            <w:div w:id="28191620">
              <w:marLeft w:val="0"/>
              <w:marRight w:val="0"/>
              <w:marTop w:val="0"/>
              <w:marBottom w:val="0"/>
              <w:divBdr>
                <w:top w:val="none" w:sz="0" w:space="0" w:color="auto"/>
                <w:left w:val="none" w:sz="0" w:space="0" w:color="auto"/>
                <w:bottom w:val="none" w:sz="0" w:space="0" w:color="auto"/>
                <w:right w:val="none" w:sz="0" w:space="0" w:color="auto"/>
              </w:divBdr>
            </w:div>
            <w:div w:id="183447828">
              <w:marLeft w:val="0"/>
              <w:marRight w:val="0"/>
              <w:marTop w:val="0"/>
              <w:marBottom w:val="0"/>
              <w:divBdr>
                <w:top w:val="none" w:sz="0" w:space="0" w:color="auto"/>
                <w:left w:val="none" w:sz="0" w:space="0" w:color="auto"/>
                <w:bottom w:val="none" w:sz="0" w:space="0" w:color="auto"/>
                <w:right w:val="none" w:sz="0" w:space="0" w:color="auto"/>
              </w:divBdr>
            </w:div>
            <w:div w:id="301429205">
              <w:marLeft w:val="0"/>
              <w:marRight w:val="0"/>
              <w:marTop w:val="0"/>
              <w:marBottom w:val="0"/>
              <w:divBdr>
                <w:top w:val="none" w:sz="0" w:space="0" w:color="auto"/>
                <w:left w:val="none" w:sz="0" w:space="0" w:color="auto"/>
                <w:bottom w:val="none" w:sz="0" w:space="0" w:color="auto"/>
                <w:right w:val="none" w:sz="0" w:space="0" w:color="auto"/>
              </w:divBdr>
            </w:div>
            <w:div w:id="360017467">
              <w:marLeft w:val="0"/>
              <w:marRight w:val="0"/>
              <w:marTop w:val="0"/>
              <w:marBottom w:val="0"/>
              <w:divBdr>
                <w:top w:val="none" w:sz="0" w:space="0" w:color="auto"/>
                <w:left w:val="none" w:sz="0" w:space="0" w:color="auto"/>
                <w:bottom w:val="none" w:sz="0" w:space="0" w:color="auto"/>
                <w:right w:val="none" w:sz="0" w:space="0" w:color="auto"/>
              </w:divBdr>
            </w:div>
            <w:div w:id="374696088">
              <w:marLeft w:val="0"/>
              <w:marRight w:val="0"/>
              <w:marTop w:val="0"/>
              <w:marBottom w:val="0"/>
              <w:divBdr>
                <w:top w:val="none" w:sz="0" w:space="0" w:color="auto"/>
                <w:left w:val="none" w:sz="0" w:space="0" w:color="auto"/>
                <w:bottom w:val="none" w:sz="0" w:space="0" w:color="auto"/>
                <w:right w:val="none" w:sz="0" w:space="0" w:color="auto"/>
              </w:divBdr>
            </w:div>
            <w:div w:id="387729403">
              <w:marLeft w:val="0"/>
              <w:marRight w:val="0"/>
              <w:marTop w:val="0"/>
              <w:marBottom w:val="0"/>
              <w:divBdr>
                <w:top w:val="none" w:sz="0" w:space="0" w:color="auto"/>
                <w:left w:val="none" w:sz="0" w:space="0" w:color="auto"/>
                <w:bottom w:val="none" w:sz="0" w:space="0" w:color="auto"/>
                <w:right w:val="none" w:sz="0" w:space="0" w:color="auto"/>
              </w:divBdr>
            </w:div>
            <w:div w:id="555090545">
              <w:marLeft w:val="0"/>
              <w:marRight w:val="0"/>
              <w:marTop w:val="0"/>
              <w:marBottom w:val="0"/>
              <w:divBdr>
                <w:top w:val="none" w:sz="0" w:space="0" w:color="auto"/>
                <w:left w:val="none" w:sz="0" w:space="0" w:color="auto"/>
                <w:bottom w:val="none" w:sz="0" w:space="0" w:color="auto"/>
                <w:right w:val="none" w:sz="0" w:space="0" w:color="auto"/>
              </w:divBdr>
            </w:div>
            <w:div w:id="608051783">
              <w:marLeft w:val="0"/>
              <w:marRight w:val="0"/>
              <w:marTop w:val="0"/>
              <w:marBottom w:val="0"/>
              <w:divBdr>
                <w:top w:val="none" w:sz="0" w:space="0" w:color="auto"/>
                <w:left w:val="none" w:sz="0" w:space="0" w:color="auto"/>
                <w:bottom w:val="none" w:sz="0" w:space="0" w:color="auto"/>
                <w:right w:val="none" w:sz="0" w:space="0" w:color="auto"/>
              </w:divBdr>
            </w:div>
            <w:div w:id="784081099">
              <w:marLeft w:val="0"/>
              <w:marRight w:val="0"/>
              <w:marTop w:val="0"/>
              <w:marBottom w:val="0"/>
              <w:divBdr>
                <w:top w:val="none" w:sz="0" w:space="0" w:color="auto"/>
                <w:left w:val="none" w:sz="0" w:space="0" w:color="auto"/>
                <w:bottom w:val="none" w:sz="0" w:space="0" w:color="auto"/>
                <w:right w:val="none" w:sz="0" w:space="0" w:color="auto"/>
              </w:divBdr>
            </w:div>
            <w:div w:id="808208090">
              <w:marLeft w:val="0"/>
              <w:marRight w:val="0"/>
              <w:marTop w:val="0"/>
              <w:marBottom w:val="0"/>
              <w:divBdr>
                <w:top w:val="none" w:sz="0" w:space="0" w:color="auto"/>
                <w:left w:val="none" w:sz="0" w:space="0" w:color="auto"/>
                <w:bottom w:val="none" w:sz="0" w:space="0" w:color="auto"/>
                <w:right w:val="none" w:sz="0" w:space="0" w:color="auto"/>
              </w:divBdr>
            </w:div>
            <w:div w:id="868765385">
              <w:marLeft w:val="0"/>
              <w:marRight w:val="0"/>
              <w:marTop w:val="0"/>
              <w:marBottom w:val="0"/>
              <w:divBdr>
                <w:top w:val="none" w:sz="0" w:space="0" w:color="auto"/>
                <w:left w:val="none" w:sz="0" w:space="0" w:color="auto"/>
                <w:bottom w:val="none" w:sz="0" w:space="0" w:color="auto"/>
                <w:right w:val="none" w:sz="0" w:space="0" w:color="auto"/>
              </w:divBdr>
            </w:div>
            <w:div w:id="871696605">
              <w:marLeft w:val="0"/>
              <w:marRight w:val="0"/>
              <w:marTop w:val="0"/>
              <w:marBottom w:val="0"/>
              <w:divBdr>
                <w:top w:val="none" w:sz="0" w:space="0" w:color="auto"/>
                <w:left w:val="none" w:sz="0" w:space="0" w:color="auto"/>
                <w:bottom w:val="none" w:sz="0" w:space="0" w:color="auto"/>
                <w:right w:val="none" w:sz="0" w:space="0" w:color="auto"/>
              </w:divBdr>
            </w:div>
            <w:div w:id="1084377567">
              <w:marLeft w:val="0"/>
              <w:marRight w:val="0"/>
              <w:marTop w:val="0"/>
              <w:marBottom w:val="0"/>
              <w:divBdr>
                <w:top w:val="none" w:sz="0" w:space="0" w:color="auto"/>
                <w:left w:val="none" w:sz="0" w:space="0" w:color="auto"/>
                <w:bottom w:val="none" w:sz="0" w:space="0" w:color="auto"/>
                <w:right w:val="none" w:sz="0" w:space="0" w:color="auto"/>
              </w:divBdr>
            </w:div>
            <w:div w:id="1142116190">
              <w:marLeft w:val="0"/>
              <w:marRight w:val="0"/>
              <w:marTop w:val="0"/>
              <w:marBottom w:val="0"/>
              <w:divBdr>
                <w:top w:val="none" w:sz="0" w:space="0" w:color="auto"/>
                <w:left w:val="none" w:sz="0" w:space="0" w:color="auto"/>
                <w:bottom w:val="none" w:sz="0" w:space="0" w:color="auto"/>
                <w:right w:val="none" w:sz="0" w:space="0" w:color="auto"/>
              </w:divBdr>
            </w:div>
            <w:div w:id="1584143944">
              <w:marLeft w:val="0"/>
              <w:marRight w:val="0"/>
              <w:marTop w:val="0"/>
              <w:marBottom w:val="0"/>
              <w:divBdr>
                <w:top w:val="none" w:sz="0" w:space="0" w:color="auto"/>
                <w:left w:val="none" w:sz="0" w:space="0" w:color="auto"/>
                <w:bottom w:val="none" w:sz="0" w:space="0" w:color="auto"/>
                <w:right w:val="none" w:sz="0" w:space="0" w:color="auto"/>
              </w:divBdr>
            </w:div>
            <w:div w:id="1708526674">
              <w:marLeft w:val="0"/>
              <w:marRight w:val="0"/>
              <w:marTop w:val="0"/>
              <w:marBottom w:val="0"/>
              <w:divBdr>
                <w:top w:val="none" w:sz="0" w:space="0" w:color="auto"/>
                <w:left w:val="none" w:sz="0" w:space="0" w:color="auto"/>
                <w:bottom w:val="none" w:sz="0" w:space="0" w:color="auto"/>
                <w:right w:val="none" w:sz="0" w:space="0" w:color="auto"/>
              </w:divBdr>
            </w:div>
            <w:div w:id="1970545138">
              <w:marLeft w:val="0"/>
              <w:marRight w:val="0"/>
              <w:marTop w:val="0"/>
              <w:marBottom w:val="0"/>
              <w:divBdr>
                <w:top w:val="none" w:sz="0" w:space="0" w:color="auto"/>
                <w:left w:val="none" w:sz="0" w:space="0" w:color="auto"/>
                <w:bottom w:val="none" w:sz="0" w:space="0" w:color="auto"/>
                <w:right w:val="none" w:sz="0" w:space="0" w:color="auto"/>
              </w:divBdr>
            </w:div>
            <w:div w:id="2020082624">
              <w:marLeft w:val="0"/>
              <w:marRight w:val="0"/>
              <w:marTop w:val="0"/>
              <w:marBottom w:val="0"/>
              <w:divBdr>
                <w:top w:val="none" w:sz="0" w:space="0" w:color="auto"/>
                <w:left w:val="none" w:sz="0" w:space="0" w:color="auto"/>
                <w:bottom w:val="none" w:sz="0" w:space="0" w:color="auto"/>
                <w:right w:val="none" w:sz="0" w:space="0" w:color="auto"/>
              </w:divBdr>
            </w:div>
            <w:div w:id="2118982913">
              <w:marLeft w:val="0"/>
              <w:marRight w:val="0"/>
              <w:marTop w:val="0"/>
              <w:marBottom w:val="0"/>
              <w:divBdr>
                <w:top w:val="none" w:sz="0" w:space="0" w:color="auto"/>
                <w:left w:val="none" w:sz="0" w:space="0" w:color="auto"/>
                <w:bottom w:val="none" w:sz="0" w:space="0" w:color="auto"/>
                <w:right w:val="none" w:sz="0" w:space="0" w:color="auto"/>
              </w:divBdr>
            </w:div>
            <w:div w:id="2144692083">
              <w:marLeft w:val="0"/>
              <w:marRight w:val="0"/>
              <w:marTop w:val="0"/>
              <w:marBottom w:val="0"/>
              <w:divBdr>
                <w:top w:val="none" w:sz="0" w:space="0" w:color="auto"/>
                <w:left w:val="none" w:sz="0" w:space="0" w:color="auto"/>
                <w:bottom w:val="none" w:sz="0" w:space="0" w:color="auto"/>
                <w:right w:val="none" w:sz="0" w:space="0" w:color="auto"/>
              </w:divBdr>
            </w:div>
          </w:divsChild>
        </w:div>
        <w:div w:id="1801462543">
          <w:marLeft w:val="0"/>
          <w:marRight w:val="0"/>
          <w:marTop w:val="0"/>
          <w:marBottom w:val="0"/>
          <w:divBdr>
            <w:top w:val="none" w:sz="0" w:space="0" w:color="auto"/>
            <w:left w:val="none" w:sz="0" w:space="0" w:color="auto"/>
            <w:bottom w:val="none" w:sz="0" w:space="0" w:color="auto"/>
            <w:right w:val="none" w:sz="0" w:space="0" w:color="auto"/>
          </w:divBdr>
        </w:div>
        <w:div w:id="1849636589">
          <w:marLeft w:val="0"/>
          <w:marRight w:val="0"/>
          <w:marTop w:val="0"/>
          <w:marBottom w:val="0"/>
          <w:divBdr>
            <w:top w:val="none" w:sz="0" w:space="0" w:color="auto"/>
            <w:left w:val="none" w:sz="0" w:space="0" w:color="auto"/>
            <w:bottom w:val="none" w:sz="0" w:space="0" w:color="auto"/>
            <w:right w:val="none" w:sz="0" w:space="0" w:color="auto"/>
          </w:divBdr>
        </w:div>
        <w:div w:id="1890411200">
          <w:marLeft w:val="0"/>
          <w:marRight w:val="0"/>
          <w:marTop w:val="0"/>
          <w:marBottom w:val="0"/>
          <w:divBdr>
            <w:top w:val="none" w:sz="0" w:space="0" w:color="auto"/>
            <w:left w:val="none" w:sz="0" w:space="0" w:color="auto"/>
            <w:bottom w:val="none" w:sz="0" w:space="0" w:color="auto"/>
            <w:right w:val="none" w:sz="0" w:space="0" w:color="auto"/>
          </w:divBdr>
        </w:div>
        <w:div w:id="1896501278">
          <w:marLeft w:val="0"/>
          <w:marRight w:val="0"/>
          <w:marTop w:val="0"/>
          <w:marBottom w:val="0"/>
          <w:divBdr>
            <w:top w:val="none" w:sz="0" w:space="0" w:color="auto"/>
            <w:left w:val="none" w:sz="0" w:space="0" w:color="auto"/>
            <w:bottom w:val="none" w:sz="0" w:space="0" w:color="auto"/>
            <w:right w:val="none" w:sz="0" w:space="0" w:color="auto"/>
          </w:divBdr>
        </w:div>
        <w:div w:id="1898741719">
          <w:marLeft w:val="0"/>
          <w:marRight w:val="0"/>
          <w:marTop w:val="0"/>
          <w:marBottom w:val="0"/>
          <w:divBdr>
            <w:top w:val="none" w:sz="0" w:space="0" w:color="auto"/>
            <w:left w:val="none" w:sz="0" w:space="0" w:color="auto"/>
            <w:bottom w:val="none" w:sz="0" w:space="0" w:color="auto"/>
            <w:right w:val="none" w:sz="0" w:space="0" w:color="auto"/>
          </w:divBdr>
        </w:div>
        <w:div w:id="1909804712">
          <w:marLeft w:val="0"/>
          <w:marRight w:val="0"/>
          <w:marTop w:val="0"/>
          <w:marBottom w:val="0"/>
          <w:divBdr>
            <w:top w:val="none" w:sz="0" w:space="0" w:color="auto"/>
            <w:left w:val="none" w:sz="0" w:space="0" w:color="auto"/>
            <w:bottom w:val="none" w:sz="0" w:space="0" w:color="auto"/>
            <w:right w:val="none" w:sz="0" w:space="0" w:color="auto"/>
          </w:divBdr>
          <w:divsChild>
            <w:div w:id="1139298209">
              <w:marLeft w:val="-75"/>
              <w:marRight w:val="0"/>
              <w:marTop w:val="30"/>
              <w:marBottom w:val="30"/>
              <w:divBdr>
                <w:top w:val="none" w:sz="0" w:space="0" w:color="auto"/>
                <w:left w:val="none" w:sz="0" w:space="0" w:color="auto"/>
                <w:bottom w:val="none" w:sz="0" w:space="0" w:color="auto"/>
                <w:right w:val="none" w:sz="0" w:space="0" w:color="auto"/>
              </w:divBdr>
              <w:divsChild>
                <w:div w:id="42565574">
                  <w:marLeft w:val="0"/>
                  <w:marRight w:val="0"/>
                  <w:marTop w:val="0"/>
                  <w:marBottom w:val="0"/>
                  <w:divBdr>
                    <w:top w:val="none" w:sz="0" w:space="0" w:color="auto"/>
                    <w:left w:val="none" w:sz="0" w:space="0" w:color="auto"/>
                    <w:bottom w:val="none" w:sz="0" w:space="0" w:color="auto"/>
                    <w:right w:val="none" w:sz="0" w:space="0" w:color="auto"/>
                  </w:divBdr>
                  <w:divsChild>
                    <w:div w:id="442531729">
                      <w:marLeft w:val="0"/>
                      <w:marRight w:val="0"/>
                      <w:marTop w:val="0"/>
                      <w:marBottom w:val="0"/>
                      <w:divBdr>
                        <w:top w:val="none" w:sz="0" w:space="0" w:color="auto"/>
                        <w:left w:val="none" w:sz="0" w:space="0" w:color="auto"/>
                        <w:bottom w:val="none" w:sz="0" w:space="0" w:color="auto"/>
                        <w:right w:val="none" w:sz="0" w:space="0" w:color="auto"/>
                      </w:divBdr>
                    </w:div>
                  </w:divsChild>
                </w:div>
                <w:div w:id="70081017">
                  <w:marLeft w:val="0"/>
                  <w:marRight w:val="0"/>
                  <w:marTop w:val="0"/>
                  <w:marBottom w:val="0"/>
                  <w:divBdr>
                    <w:top w:val="none" w:sz="0" w:space="0" w:color="auto"/>
                    <w:left w:val="none" w:sz="0" w:space="0" w:color="auto"/>
                    <w:bottom w:val="none" w:sz="0" w:space="0" w:color="auto"/>
                    <w:right w:val="none" w:sz="0" w:space="0" w:color="auto"/>
                  </w:divBdr>
                  <w:divsChild>
                    <w:div w:id="155920080">
                      <w:marLeft w:val="0"/>
                      <w:marRight w:val="0"/>
                      <w:marTop w:val="0"/>
                      <w:marBottom w:val="0"/>
                      <w:divBdr>
                        <w:top w:val="none" w:sz="0" w:space="0" w:color="auto"/>
                        <w:left w:val="none" w:sz="0" w:space="0" w:color="auto"/>
                        <w:bottom w:val="none" w:sz="0" w:space="0" w:color="auto"/>
                        <w:right w:val="none" w:sz="0" w:space="0" w:color="auto"/>
                      </w:divBdr>
                    </w:div>
                  </w:divsChild>
                </w:div>
                <w:div w:id="105005958">
                  <w:marLeft w:val="0"/>
                  <w:marRight w:val="0"/>
                  <w:marTop w:val="0"/>
                  <w:marBottom w:val="0"/>
                  <w:divBdr>
                    <w:top w:val="none" w:sz="0" w:space="0" w:color="auto"/>
                    <w:left w:val="none" w:sz="0" w:space="0" w:color="auto"/>
                    <w:bottom w:val="none" w:sz="0" w:space="0" w:color="auto"/>
                    <w:right w:val="none" w:sz="0" w:space="0" w:color="auto"/>
                  </w:divBdr>
                  <w:divsChild>
                    <w:div w:id="547765619">
                      <w:marLeft w:val="0"/>
                      <w:marRight w:val="0"/>
                      <w:marTop w:val="0"/>
                      <w:marBottom w:val="0"/>
                      <w:divBdr>
                        <w:top w:val="none" w:sz="0" w:space="0" w:color="auto"/>
                        <w:left w:val="none" w:sz="0" w:space="0" w:color="auto"/>
                        <w:bottom w:val="none" w:sz="0" w:space="0" w:color="auto"/>
                        <w:right w:val="none" w:sz="0" w:space="0" w:color="auto"/>
                      </w:divBdr>
                    </w:div>
                  </w:divsChild>
                </w:div>
                <w:div w:id="151797099">
                  <w:marLeft w:val="0"/>
                  <w:marRight w:val="0"/>
                  <w:marTop w:val="0"/>
                  <w:marBottom w:val="0"/>
                  <w:divBdr>
                    <w:top w:val="none" w:sz="0" w:space="0" w:color="auto"/>
                    <w:left w:val="none" w:sz="0" w:space="0" w:color="auto"/>
                    <w:bottom w:val="none" w:sz="0" w:space="0" w:color="auto"/>
                    <w:right w:val="none" w:sz="0" w:space="0" w:color="auto"/>
                  </w:divBdr>
                  <w:divsChild>
                    <w:div w:id="1076443287">
                      <w:marLeft w:val="0"/>
                      <w:marRight w:val="0"/>
                      <w:marTop w:val="0"/>
                      <w:marBottom w:val="0"/>
                      <w:divBdr>
                        <w:top w:val="none" w:sz="0" w:space="0" w:color="auto"/>
                        <w:left w:val="none" w:sz="0" w:space="0" w:color="auto"/>
                        <w:bottom w:val="none" w:sz="0" w:space="0" w:color="auto"/>
                        <w:right w:val="none" w:sz="0" w:space="0" w:color="auto"/>
                      </w:divBdr>
                    </w:div>
                  </w:divsChild>
                </w:div>
                <w:div w:id="197862833">
                  <w:marLeft w:val="0"/>
                  <w:marRight w:val="0"/>
                  <w:marTop w:val="0"/>
                  <w:marBottom w:val="0"/>
                  <w:divBdr>
                    <w:top w:val="none" w:sz="0" w:space="0" w:color="auto"/>
                    <w:left w:val="none" w:sz="0" w:space="0" w:color="auto"/>
                    <w:bottom w:val="none" w:sz="0" w:space="0" w:color="auto"/>
                    <w:right w:val="none" w:sz="0" w:space="0" w:color="auto"/>
                  </w:divBdr>
                  <w:divsChild>
                    <w:div w:id="1087455514">
                      <w:marLeft w:val="0"/>
                      <w:marRight w:val="0"/>
                      <w:marTop w:val="0"/>
                      <w:marBottom w:val="0"/>
                      <w:divBdr>
                        <w:top w:val="none" w:sz="0" w:space="0" w:color="auto"/>
                        <w:left w:val="none" w:sz="0" w:space="0" w:color="auto"/>
                        <w:bottom w:val="none" w:sz="0" w:space="0" w:color="auto"/>
                        <w:right w:val="none" w:sz="0" w:space="0" w:color="auto"/>
                      </w:divBdr>
                    </w:div>
                  </w:divsChild>
                </w:div>
                <w:div w:id="239096127">
                  <w:marLeft w:val="0"/>
                  <w:marRight w:val="0"/>
                  <w:marTop w:val="0"/>
                  <w:marBottom w:val="0"/>
                  <w:divBdr>
                    <w:top w:val="none" w:sz="0" w:space="0" w:color="auto"/>
                    <w:left w:val="none" w:sz="0" w:space="0" w:color="auto"/>
                    <w:bottom w:val="none" w:sz="0" w:space="0" w:color="auto"/>
                    <w:right w:val="none" w:sz="0" w:space="0" w:color="auto"/>
                  </w:divBdr>
                  <w:divsChild>
                    <w:div w:id="1185510332">
                      <w:marLeft w:val="0"/>
                      <w:marRight w:val="0"/>
                      <w:marTop w:val="0"/>
                      <w:marBottom w:val="0"/>
                      <w:divBdr>
                        <w:top w:val="none" w:sz="0" w:space="0" w:color="auto"/>
                        <w:left w:val="none" w:sz="0" w:space="0" w:color="auto"/>
                        <w:bottom w:val="none" w:sz="0" w:space="0" w:color="auto"/>
                        <w:right w:val="none" w:sz="0" w:space="0" w:color="auto"/>
                      </w:divBdr>
                    </w:div>
                  </w:divsChild>
                </w:div>
                <w:div w:id="269556551">
                  <w:marLeft w:val="0"/>
                  <w:marRight w:val="0"/>
                  <w:marTop w:val="0"/>
                  <w:marBottom w:val="0"/>
                  <w:divBdr>
                    <w:top w:val="none" w:sz="0" w:space="0" w:color="auto"/>
                    <w:left w:val="none" w:sz="0" w:space="0" w:color="auto"/>
                    <w:bottom w:val="none" w:sz="0" w:space="0" w:color="auto"/>
                    <w:right w:val="none" w:sz="0" w:space="0" w:color="auto"/>
                  </w:divBdr>
                  <w:divsChild>
                    <w:div w:id="185603721">
                      <w:marLeft w:val="0"/>
                      <w:marRight w:val="0"/>
                      <w:marTop w:val="0"/>
                      <w:marBottom w:val="0"/>
                      <w:divBdr>
                        <w:top w:val="none" w:sz="0" w:space="0" w:color="auto"/>
                        <w:left w:val="none" w:sz="0" w:space="0" w:color="auto"/>
                        <w:bottom w:val="none" w:sz="0" w:space="0" w:color="auto"/>
                        <w:right w:val="none" w:sz="0" w:space="0" w:color="auto"/>
                      </w:divBdr>
                    </w:div>
                  </w:divsChild>
                </w:div>
                <w:div w:id="321784183">
                  <w:marLeft w:val="0"/>
                  <w:marRight w:val="0"/>
                  <w:marTop w:val="0"/>
                  <w:marBottom w:val="0"/>
                  <w:divBdr>
                    <w:top w:val="none" w:sz="0" w:space="0" w:color="auto"/>
                    <w:left w:val="none" w:sz="0" w:space="0" w:color="auto"/>
                    <w:bottom w:val="none" w:sz="0" w:space="0" w:color="auto"/>
                    <w:right w:val="none" w:sz="0" w:space="0" w:color="auto"/>
                  </w:divBdr>
                  <w:divsChild>
                    <w:div w:id="13315262">
                      <w:marLeft w:val="0"/>
                      <w:marRight w:val="0"/>
                      <w:marTop w:val="0"/>
                      <w:marBottom w:val="0"/>
                      <w:divBdr>
                        <w:top w:val="none" w:sz="0" w:space="0" w:color="auto"/>
                        <w:left w:val="none" w:sz="0" w:space="0" w:color="auto"/>
                        <w:bottom w:val="none" w:sz="0" w:space="0" w:color="auto"/>
                        <w:right w:val="none" w:sz="0" w:space="0" w:color="auto"/>
                      </w:divBdr>
                    </w:div>
                  </w:divsChild>
                </w:div>
                <w:div w:id="390078970">
                  <w:marLeft w:val="0"/>
                  <w:marRight w:val="0"/>
                  <w:marTop w:val="0"/>
                  <w:marBottom w:val="0"/>
                  <w:divBdr>
                    <w:top w:val="none" w:sz="0" w:space="0" w:color="auto"/>
                    <w:left w:val="none" w:sz="0" w:space="0" w:color="auto"/>
                    <w:bottom w:val="none" w:sz="0" w:space="0" w:color="auto"/>
                    <w:right w:val="none" w:sz="0" w:space="0" w:color="auto"/>
                  </w:divBdr>
                  <w:divsChild>
                    <w:div w:id="1410423361">
                      <w:marLeft w:val="0"/>
                      <w:marRight w:val="0"/>
                      <w:marTop w:val="0"/>
                      <w:marBottom w:val="0"/>
                      <w:divBdr>
                        <w:top w:val="none" w:sz="0" w:space="0" w:color="auto"/>
                        <w:left w:val="none" w:sz="0" w:space="0" w:color="auto"/>
                        <w:bottom w:val="none" w:sz="0" w:space="0" w:color="auto"/>
                        <w:right w:val="none" w:sz="0" w:space="0" w:color="auto"/>
                      </w:divBdr>
                    </w:div>
                  </w:divsChild>
                </w:div>
                <w:div w:id="402800931">
                  <w:marLeft w:val="0"/>
                  <w:marRight w:val="0"/>
                  <w:marTop w:val="0"/>
                  <w:marBottom w:val="0"/>
                  <w:divBdr>
                    <w:top w:val="none" w:sz="0" w:space="0" w:color="auto"/>
                    <w:left w:val="none" w:sz="0" w:space="0" w:color="auto"/>
                    <w:bottom w:val="none" w:sz="0" w:space="0" w:color="auto"/>
                    <w:right w:val="none" w:sz="0" w:space="0" w:color="auto"/>
                  </w:divBdr>
                  <w:divsChild>
                    <w:div w:id="240070800">
                      <w:marLeft w:val="0"/>
                      <w:marRight w:val="0"/>
                      <w:marTop w:val="0"/>
                      <w:marBottom w:val="0"/>
                      <w:divBdr>
                        <w:top w:val="none" w:sz="0" w:space="0" w:color="auto"/>
                        <w:left w:val="none" w:sz="0" w:space="0" w:color="auto"/>
                        <w:bottom w:val="none" w:sz="0" w:space="0" w:color="auto"/>
                        <w:right w:val="none" w:sz="0" w:space="0" w:color="auto"/>
                      </w:divBdr>
                    </w:div>
                  </w:divsChild>
                </w:div>
                <w:div w:id="443040303">
                  <w:marLeft w:val="0"/>
                  <w:marRight w:val="0"/>
                  <w:marTop w:val="0"/>
                  <w:marBottom w:val="0"/>
                  <w:divBdr>
                    <w:top w:val="none" w:sz="0" w:space="0" w:color="auto"/>
                    <w:left w:val="none" w:sz="0" w:space="0" w:color="auto"/>
                    <w:bottom w:val="none" w:sz="0" w:space="0" w:color="auto"/>
                    <w:right w:val="none" w:sz="0" w:space="0" w:color="auto"/>
                  </w:divBdr>
                  <w:divsChild>
                    <w:div w:id="532428638">
                      <w:marLeft w:val="0"/>
                      <w:marRight w:val="0"/>
                      <w:marTop w:val="0"/>
                      <w:marBottom w:val="0"/>
                      <w:divBdr>
                        <w:top w:val="none" w:sz="0" w:space="0" w:color="auto"/>
                        <w:left w:val="none" w:sz="0" w:space="0" w:color="auto"/>
                        <w:bottom w:val="none" w:sz="0" w:space="0" w:color="auto"/>
                        <w:right w:val="none" w:sz="0" w:space="0" w:color="auto"/>
                      </w:divBdr>
                    </w:div>
                  </w:divsChild>
                </w:div>
                <w:div w:id="482619210">
                  <w:marLeft w:val="0"/>
                  <w:marRight w:val="0"/>
                  <w:marTop w:val="0"/>
                  <w:marBottom w:val="0"/>
                  <w:divBdr>
                    <w:top w:val="none" w:sz="0" w:space="0" w:color="auto"/>
                    <w:left w:val="none" w:sz="0" w:space="0" w:color="auto"/>
                    <w:bottom w:val="none" w:sz="0" w:space="0" w:color="auto"/>
                    <w:right w:val="none" w:sz="0" w:space="0" w:color="auto"/>
                  </w:divBdr>
                  <w:divsChild>
                    <w:div w:id="104883505">
                      <w:marLeft w:val="0"/>
                      <w:marRight w:val="0"/>
                      <w:marTop w:val="0"/>
                      <w:marBottom w:val="0"/>
                      <w:divBdr>
                        <w:top w:val="none" w:sz="0" w:space="0" w:color="auto"/>
                        <w:left w:val="none" w:sz="0" w:space="0" w:color="auto"/>
                        <w:bottom w:val="none" w:sz="0" w:space="0" w:color="auto"/>
                        <w:right w:val="none" w:sz="0" w:space="0" w:color="auto"/>
                      </w:divBdr>
                    </w:div>
                  </w:divsChild>
                </w:div>
                <w:div w:id="631643612">
                  <w:marLeft w:val="0"/>
                  <w:marRight w:val="0"/>
                  <w:marTop w:val="0"/>
                  <w:marBottom w:val="0"/>
                  <w:divBdr>
                    <w:top w:val="none" w:sz="0" w:space="0" w:color="auto"/>
                    <w:left w:val="none" w:sz="0" w:space="0" w:color="auto"/>
                    <w:bottom w:val="none" w:sz="0" w:space="0" w:color="auto"/>
                    <w:right w:val="none" w:sz="0" w:space="0" w:color="auto"/>
                  </w:divBdr>
                  <w:divsChild>
                    <w:div w:id="326636036">
                      <w:marLeft w:val="0"/>
                      <w:marRight w:val="0"/>
                      <w:marTop w:val="0"/>
                      <w:marBottom w:val="0"/>
                      <w:divBdr>
                        <w:top w:val="none" w:sz="0" w:space="0" w:color="auto"/>
                        <w:left w:val="none" w:sz="0" w:space="0" w:color="auto"/>
                        <w:bottom w:val="none" w:sz="0" w:space="0" w:color="auto"/>
                        <w:right w:val="none" w:sz="0" w:space="0" w:color="auto"/>
                      </w:divBdr>
                    </w:div>
                  </w:divsChild>
                </w:div>
                <w:div w:id="656149799">
                  <w:marLeft w:val="0"/>
                  <w:marRight w:val="0"/>
                  <w:marTop w:val="0"/>
                  <w:marBottom w:val="0"/>
                  <w:divBdr>
                    <w:top w:val="none" w:sz="0" w:space="0" w:color="auto"/>
                    <w:left w:val="none" w:sz="0" w:space="0" w:color="auto"/>
                    <w:bottom w:val="none" w:sz="0" w:space="0" w:color="auto"/>
                    <w:right w:val="none" w:sz="0" w:space="0" w:color="auto"/>
                  </w:divBdr>
                  <w:divsChild>
                    <w:div w:id="446779232">
                      <w:marLeft w:val="0"/>
                      <w:marRight w:val="0"/>
                      <w:marTop w:val="0"/>
                      <w:marBottom w:val="0"/>
                      <w:divBdr>
                        <w:top w:val="none" w:sz="0" w:space="0" w:color="auto"/>
                        <w:left w:val="none" w:sz="0" w:space="0" w:color="auto"/>
                        <w:bottom w:val="none" w:sz="0" w:space="0" w:color="auto"/>
                        <w:right w:val="none" w:sz="0" w:space="0" w:color="auto"/>
                      </w:divBdr>
                    </w:div>
                  </w:divsChild>
                </w:div>
                <w:div w:id="730613032">
                  <w:marLeft w:val="0"/>
                  <w:marRight w:val="0"/>
                  <w:marTop w:val="0"/>
                  <w:marBottom w:val="0"/>
                  <w:divBdr>
                    <w:top w:val="none" w:sz="0" w:space="0" w:color="auto"/>
                    <w:left w:val="none" w:sz="0" w:space="0" w:color="auto"/>
                    <w:bottom w:val="none" w:sz="0" w:space="0" w:color="auto"/>
                    <w:right w:val="none" w:sz="0" w:space="0" w:color="auto"/>
                  </w:divBdr>
                  <w:divsChild>
                    <w:div w:id="1863352103">
                      <w:marLeft w:val="0"/>
                      <w:marRight w:val="0"/>
                      <w:marTop w:val="0"/>
                      <w:marBottom w:val="0"/>
                      <w:divBdr>
                        <w:top w:val="none" w:sz="0" w:space="0" w:color="auto"/>
                        <w:left w:val="none" w:sz="0" w:space="0" w:color="auto"/>
                        <w:bottom w:val="none" w:sz="0" w:space="0" w:color="auto"/>
                        <w:right w:val="none" w:sz="0" w:space="0" w:color="auto"/>
                      </w:divBdr>
                    </w:div>
                  </w:divsChild>
                </w:div>
                <w:div w:id="777261535">
                  <w:marLeft w:val="0"/>
                  <w:marRight w:val="0"/>
                  <w:marTop w:val="0"/>
                  <w:marBottom w:val="0"/>
                  <w:divBdr>
                    <w:top w:val="none" w:sz="0" w:space="0" w:color="auto"/>
                    <w:left w:val="none" w:sz="0" w:space="0" w:color="auto"/>
                    <w:bottom w:val="none" w:sz="0" w:space="0" w:color="auto"/>
                    <w:right w:val="none" w:sz="0" w:space="0" w:color="auto"/>
                  </w:divBdr>
                  <w:divsChild>
                    <w:div w:id="155807249">
                      <w:marLeft w:val="0"/>
                      <w:marRight w:val="0"/>
                      <w:marTop w:val="0"/>
                      <w:marBottom w:val="0"/>
                      <w:divBdr>
                        <w:top w:val="none" w:sz="0" w:space="0" w:color="auto"/>
                        <w:left w:val="none" w:sz="0" w:space="0" w:color="auto"/>
                        <w:bottom w:val="none" w:sz="0" w:space="0" w:color="auto"/>
                        <w:right w:val="none" w:sz="0" w:space="0" w:color="auto"/>
                      </w:divBdr>
                    </w:div>
                  </w:divsChild>
                </w:div>
                <w:div w:id="821310450">
                  <w:marLeft w:val="0"/>
                  <w:marRight w:val="0"/>
                  <w:marTop w:val="0"/>
                  <w:marBottom w:val="0"/>
                  <w:divBdr>
                    <w:top w:val="none" w:sz="0" w:space="0" w:color="auto"/>
                    <w:left w:val="none" w:sz="0" w:space="0" w:color="auto"/>
                    <w:bottom w:val="none" w:sz="0" w:space="0" w:color="auto"/>
                    <w:right w:val="none" w:sz="0" w:space="0" w:color="auto"/>
                  </w:divBdr>
                  <w:divsChild>
                    <w:div w:id="2019847440">
                      <w:marLeft w:val="0"/>
                      <w:marRight w:val="0"/>
                      <w:marTop w:val="0"/>
                      <w:marBottom w:val="0"/>
                      <w:divBdr>
                        <w:top w:val="none" w:sz="0" w:space="0" w:color="auto"/>
                        <w:left w:val="none" w:sz="0" w:space="0" w:color="auto"/>
                        <w:bottom w:val="none" w:sz="0" w:space="0" w:color="auto"/>
                        <w:right w:val="none" w:sz="0" w:space="0" w:color="auto"/>
                      </w:divBdr>
                    </w:div>
                  </w:divsChild>
                </w:div>
                <w:div w:id="839544401">
                  <w:marLeft w:val="0"/>
                  <w:marRight w:val="0"/>
                  <w:marTop w:val="0"/>
                  <w:marBottom w:val="0"/>
                  <w:divBdr>
                    <w:top w:val="none" w:sz="0" w:space="0" w:color="auto"/>
                    <w:left w:val="none" w:sz="0" w:space="0" w:color="auto"/>
                    <w:bottom w:val="none" w:sz="0" w:space="0" w:color="auto"/>
                    <w:right w:val="none" w:sz="0" w:space="0" w:color="auto"/>
                  </w:divBdr>
                  <w:divsChild>
                    <w:div w:id="1025712585">
                      <w:marLeft w:val="0"/>
                      <w:marRight w:val="0"/>
                      <w:marTop w:val="0"/>
                      <w:marBottom w:val="0"/>
                      <w:divBdr>
                        <w:top w:val="none" w:sz="0" w:space="0" w:color="auto"/>
                        <w:left w:val="none" w:sz="0" w:space="0" w:color="auto"/>
                        <w:bottom w:val="none" w:sz="0" w:space="0" w:color="auto"/>
                        <w:right w:val="none" w:sz="0" w:space="0" w:color="auto"/>
                      </w:divBdr>
                    </w:div>
                  </w:divsChild>
                </w:div>
                <w:div w:id="946624911">
                  <w:marLeft w:val="0"/>
                  <w:marRight w:val="0"/>
                  <w:marTop w:val="0"/>
                  <w:marBottom w:val="0"/>
                  <w:divBdr>
                    <w:top w:val="none" w:sz="0" w:space="0" w:color="auto"/>
                    <w:left w:val="none" w:sz="0" w:space="0" w:color="auto"/>
                    <w:bottom w:val="none" w:sz="0" w:space="0" w:color="auto"/>
                    <w:right w:val="none" w:sz="0" w:space="0" w:color="auto"/>
                  </w:divBdr>
                  <w:divsChild>
                    <w:div w:id="587234938">
                      <w:marLeft w:val="0"/>
                      <w:marRight w:val="0"/>
                      <w:marTop w:val="0"/>
                      <w:marBottom w:val="0"/>
                      <w:divBdr>
                        <w:top w:val="none" w:sz="0" w:space="0" w:color="auto"/>
                        <w:left w:val="none" w:sz="0" w:space="0" w:color="auto"/>
                        <w:bottom w:val="none" w:sz="0" w:space="0" w:color="auto"/>
                        <w:right w:val="none" w:sz="0" w:space="0" w:color="auto"/>
                      </w:divBdr>
                    </w:div>
                  </w:divsChild>
                </w:div>
                <w:div w:id="961690333">
                  <w:marLeft w:val="0"/>
                  <w:marRight w:val="0"/>
                  <w:marTop w:val="0"/>
                  <w:marBottom w:val="0"/>
                  <w:divBdr>
                    <w:top w:val="none" w:sz="0" w:space="0" w:color="auto"/>
                    <w:left w:val="none" w:sz="0" w:space="0" w:color="auto"/>
                    <w:bottom w:val="none" w:sz="0" w:space="0" w:color="auto"/>
                    <w:right w:val="none" w:sz="0" w:space="0" w:color="auto"/>
                  </w:divBdr>
                  <w:divsChild>
                    <w:div w:id="184368400">
                      <w:marLeft w:val="0"/>
                      <w:marRight w:val="0"/>
                      <w:marTop w:val="0"/>
                      <w:marBottom w:val="0"/>
                      <w:divBdr>
                        <w:top w:val="none" w:sz="0" w:space="0" w:color="auto"/>
                        <w:left w:val="none" w:sz="0" w:space="0" w:color="auto"/>
                        <w:bottom w:val="none" w:sz="0" w:space="0" w:color="auto"/>
                        <w:right w:val="none" w:sz="0" w:space="0" w:color="auto"/>
                      </w:divBdr>
                    </w:div>
                  </w:divsChild>
                </w:div>
                <w:div w:id="1018000155">
                  <w:marLeft w:val="0"/>
                  <w:marRight w:val="0"/>
                  <w:marTop w:val="0"/>
                  <w:marBottom w:val="0"/>
                  <w:divBdr>
                    <w:top w:val="none" w:sz="0" w:space="0" w:color="auto"/>
                    <w:left w:val="none" w:sz="0" w:space="0" w:color="auto"/>
                    <w:bottom w:val="none" w:sz="0" w:space="0" w:color="auto"/>
                    <w:right w:val="none" w:sz="0" w:space="0" w:color="auto"/>
                  </w:divBdr>
                  <w:divsChild>
                    <w:div w:id="1122960809">
                      <w:marLeft w:val="0"/>
                      <w:marRight w:val="0"/>
                      <w:marTop w:val="0"/>
                      <w:marBottom w:val="0"/>
                      <w:divBdr>
                        <w:top w:val="none" w:sz="0" w:space="0" w:color="auto"/>
                        <w:left w:val="none" w:sz="0" w:space="0" w:color="auto"/>
                        <w:bottom w:val="none" w:sz="0" w:space="0" w:color="auto"/>
                        <w:right w:val="none" w:sz="0" w:space="0" w:color="auto"/>
                      </w:divBdr>
                    </w:div>
                  </w:divsChild>
                </w:div>
                <w:div w:id="1025670423">
                  <w:marLeft w:val="0"/>
                  <w:marRight w:val="0"/>
                  <w:marTop w:val="0"/>
                  <w:marBottom w:val="0"/>
                  <w:divBdr>
                    <w:top w:val="none" w:sz="0" w:space="0" w:color="auto"/>
                    <w:left w:val="none" w:sz="0" w:space="0" w:color="auto"/>
                    <w:bottom w:val="none" w:sz="0" w:space="0" w:color="auto"/>
                    <w:right w:val="none" w:sz="0" w:space="0" w:color="auto"/>
                  </w:divBdr>
                  <w:divsChild>
                    <w:div w:id="690837011">
                      <w:marLeft w:val="0"/>
                      <w:marRight w:val="0"/>
                      <w:marTop w:val="0"/>
                      <w:marBottom w:val="0"/>
                      <w:divBdr>
                        <w:top w:val="none" w:sz="0" w:space="0" w:color="auto"/>
                        <w:left w:val="none" w:sz="0" w:space="0" w:color="auto"/>
                        <w:bottom w:val="none" w:sz="0" w:space="0" w:color="auto"/>
                        <w:right w:val="none" w:sz="0" w:space="0" w:color="auto"/>
                      </w:divBdr>
                    </w:div>
                  </w:divsChild>
                </w:div>
                <w:div w:id="1204368755">
                  <w:marLeft w:val="0"/>
                  <w:marRight w:val="0"/>
                  <w:marTop w:val="0"/>
                  <w:marBottom w:val="0"/>
                  <w:divBdr>
                    <w:top w:val="none" w:sz="0" w:space="0" w:color="auto"/>
                    <w:left w:val="none" w:sz="0" w:space="0" w:color="auto"/>
                    <w:bottom w:val="none" w:sz="0" w:space="0" w:color="auto"/>
                    <w:right w:val="none" w:sz="0" w:space="0" w:color="auto"/>
                  </w:divBdr>
                  <w:divsChild>
                    <w:div w:id="1180199869">
                      <w:marLeft w:val="0"/>
                      <w:marRight w:val="0"/>
                      <w:marTop w:val="0"/>
                      <w:marBottom w:val="0"/>
                      <w:divBdr>
                        <w:top w:val="none" w:sz="0" w:space="0" w:color="auto"/>
                        <w:left w:val="none" w:sz="0" w:space="0" w:color="auto"/>
                        <w:bottom w:val="none" w:sz="0" w:space="0" w:color="auto"/>
                        <w:right w:val="none" w:sz="0" w:space="0" w:color="auto"/>
                      </w:divBdr>
                    </w:div>
                  </w:divsChild>
                </w:div>
                <w:div w:id="1211770904">
                  <w:marLeft w:val="0"/>
                  <w:marRight w:val="0"/>
                  <w:marTop w:val="0"/>
                  <w:marBottom w:val="0"/>
                  <w:divBdr>
                    <w:top w:val="none" w:sz="0" w:space="0" w:color="auto"/>
                    <w:left w:val="none" w:sz="0" w:space="0" w:color="auto"/>
                    <w:bottom w:val="none" w:sz="0" w:space="0" w:color="auto"/>
                    <w:right w:val="none" w:sz="0" w:space="0" w:color="auto"/>
                  </w:divBdr>
                  <w:divsChild>
                    <w:div w:id="123424075">
                      <w:marLeft w:val="0"/>
                      <w:marRight w:val="0"/>
                      <w:marTop w:val="0"/>
                      <w:marBottom w:val="0"/>
                      <w:divBdr>
                        <w:top w:val="none" w:sz="0" w:space="0" w:color="auto"/>
                        <w:left w:val="none" w:sz="0" w:space="0" w:color="auto"/>
                        <w:bottom w:val="none" w:sz="0" w:space="0" w:color="auto"/>
                        <w:right w:val="none" w:sz="0" w:space="0" w:color="auto"/>
                      </w:divBdr>
                    </w:div>
                  </w:divsChild>
                </w:div>
                <w:div w:id="1256279268">
                  <w:marLeft w:val="0"/>
                  <w:marRight w:val="0"/>
                  <w:marTop w:val="0"/>
                  <w:marBottom w:val="0"/>
                  <w:divBdr>
                    <w:top w:val="none" w:sz="0" w:space="0" w:color="auto"/>
                    <w:left w:val="none" w:sz="0" w:space="0" w:color="auto"/>
                    <w:bottom w:val="none" w:sz="0" w:space="0" w:color="auto"/>
                    <w:right w:val="none" w:sz="0" w:space="0" w:color="auto"/>
                  </w:divBdr>
                  <w:divsChild>
                    <w:div w:id="327097731">
                      <w:marLeft w:val="0"/>
                      <w:marRight w:val="0"/>
                      <w:marTop w:val="0"/>
                      <w:marBottom w:val="0"/>
                      <w:divBdr>
                        <w:top w:val="none" w:sz="0" w:space="0" w:color="auto"/>
                        <w:left w:val="none" w:sz="0" w:space="0" w:color="auto"/>
                        <w:bottom w:val="none" w:sz="0" w:space="0" w:color="auto"/>
                        <w:right w:val="none" w:sz="0" w:space="0" w:color="auto"/>
                      </w:divBdr>
                    </w:div>
                  </w:divsChild>
                </w:div>
                <w:div w:id="1276716596">
                  <w:marLeft w:val="0"/>
                  <w:marRight w:val="0"/>
                  <w:marTop w:val="0"/>
                  <w:marBottom w:val="0"/>
                  <w:divBdr>
                    <w:top w:val="none" w:sz="0" w:space="0" w:color="auto"/>
                    <w:left w:val="none" w:sz="0" w:space="0" w:color="auto"/>
                    <w:bottom w:val="none" w:sz="0" w:space="0" w:color="auto"/>
                    <w:right w:val="none" w:sz="0" w:space="0" w:color="auto"/>
                  </w:divBdr>
                  <w:divsChild>
                    <w:div w:id="519901227">
                      <w:marLeft w:val="0"/>
                      <w:marRight w:val="0"/>
                      <w:marTop w:val="0"/>
                      <w:marBottom w:val="0"/>
                      <w:divBdr>
                        <w:top w:val="none" w:sz="0" w:space="0" w:color="auto"/>
                        <w:left w:val="none" w:sz="0" w:space="0" w:color="auto"/>
                        <w:bottom w:val="none" w:sz="0" w:space="0" w:color="auto"/>
                        <w:right w:val="none" w:sz="0" w:space="0" w:color="auto"/>
                      </w:divBdr>
                    </w:div>
                  </w:divsChild>
                </w:div>
                <w:div w:id="1340809889">
                  <w:marLeft w:val="0"/>
                  <w:marRight w:val="0"/>
                  <w:marTop w:val="0"/>
                  <w:marBottom w:val="0"/>
                  <w:divBdr>
                    <w:top w:val="none" w:sz="0" w:space="0" w:color="auto"/>
                    <w:left w:val="none" w:sz="0" w:space="0" w:color="auto"/>
                    <w:bottom w:val="none" w:sz="0" w:space="0" w:color="auto"/>
                    <w:right w:val="none" w:sz="0" w:space="0" w:color="auto"/>
                  </w:divBdr>
                  <w:divsChild>
                    <w:div w:id="1884562857">
                      <w:marLeft w:val="0"/>
                      <w:marRight w:val="0"/>
                      <w:marTop w:val="0"/>
                      <w:marBottom w:val="0"/>
                      <w:divBdr>
                        <w:top w:val="none" w:sz="0" w:space="0" w:color="auto"/>
                        <w:left w:val="none" w:sz="0" w:space="0" w:color="auto"/>
                        <w:bottom w:val="none" w:sz="0" w:space="0" w:color="auto"/>
                        <w:right w:val="none" w:sz="0" w:space="0" w:color="auto"/>
                      </w:divBdr>
                    </w:div>
                  </w:divsChild>
                </w:div>
                <w:div w:id="1412005757">
                  <w:marLeft w:val="0"/>
                  <w:marRight w:val="0"/>
                  <w:marTop w:val="0"/>
                  <w:marBottom w:val="0"/>
                  <w:divBdr>
                    <w:top w:val="none" w:sz="0" w:space="0" w:color="auto"/>
                    <w:left w:val="none" w:sz="0" w:space="0" w:color="auto"/>
                    <w:bottom w:val="none" w:sz="0" w:space="0" w:color="auto"/>
                    <w:right w:val="none" w:sz="0" w:space="0" w:color="auto"/>
                  </w:divBdr>
                  <w:divsChild>
                    <w:div w:id="1837963665">
                      <w:marLeft w:val="0"/>
                      <w:marRight w:val="0"/>
                      <w:marTop w:val="0"/>
                      <w:marBottom w:val="0"/>
                      <w:divBdr>
                        <w:top w:val="none" w:sz="0" w:space="0" w:color="auto"/>
                        <w:left w:val="none" w:sz="0" w:space="0" w:color="auto"/>
                        <w:bottom w:val="none" w:sz="0" w:space="0" w:color="auto"/>
                        <w:right w:val="none" w:sz="0" w:space="0" w:color="auto"/>
                      </w:divBdr>
                    </w:div>
                  </w:divsChild>
                </w:div>
                <w:div w:id="1462923837">
                  <w:marLeft w:val="0"/>
                  <w:marRight w:val="0"/>
                  <w:marTop w:val="0"/>
                  <w:marBottom w:val="0"/>
                  <w:divBdr>
                    <w:top w:val="none" w:sz="0" w:space="0" w:color="auto"/>
                    <w:left w:val="none" w:sz="0" w:space="0" w:color="auto"/>
                    <w:bottom w:val="none" w:sz="0" w:space="0" w:color="auto"/>
                    <w:right w:val="none" w:sz="0" w:space="0" w:color="auto"/>
                  </w:divBdr>
                  <w:divsChild>
                    <w:div w:id="1214466736">
                      <w:marLeft w:val="0"/>
                      <w:marRight w:val="0"/>
                      <w:marTop w:val="0"/>
                      <w:marBottom w:val="0"/>
                      <w:divBdr>
                        <w:top w:val="none" w:sz="0" w:space="0" w:color="auto"/>
                        <w:left w:val="none" w:sz="0" w:space="0" w:color="auto"/>
                        <w:bottom w:val="none" w:sz="0" w:space="0" w:color="auto"/>
                        <w:right w:val="none" w:sz="0" w:space="0" w:color="auto"/>
                      </w:divBdr>
                    </w:div>
                  </w:divsChild>
                </w:div>
                <w:div w:id="1556506670">
                  <w:marLeft w:val="0"/>
                  <w:marRight w:val="0"/>
                  <w:marTop w:val="0"/>
                  <w:marBottom w:val="0"/>
                  <w:divBdr>
                    <w:top w:val="none" w:sz="0" w:space="0" w:color="auto"/>
                    <w:left w:val="none" w:sz="0" w:space="0" w:color="auto"/>
                    <w:bottom w:val="none" w:sz="0" w:space="0" w:color="auto"/>
                    <w:right w:val="none" w:sz="0" w:space="0" w:color="auto"/>
                  </w:divBdr>
                  <w:divsChild>
                    <w:div w:id="2043439647">
                      <w:marLeft w:val="0"/>
                      <w:marRight w:val="0"/>
                      <w:marTop w:val="0"/>
                      <w:marBottom w:val="0"/>
                      <w:divBdr>
                        <w:top w:val="none" w:sz="0" w:space="0" w:color="auto"/>
                        <w:left w:val="none" w:sz="0" w:space="0" w:color="auto"/>
                        <w:bottom w:val="none" w:sz="0" w:space="0" w:color="auto"/>
                        <w:right w:val="none" w:sz="0" w:space="0" w:color="auto"/>
                      </w:divBdr>
                    </w:div>
                  </w:divsChild>
                </w:div>
                <w:div w:id="1592471307">
                  <w:marLeft w:val="0"/>
                  <w:marRight w:val="0"/>
                  <w:marTop w:val="0"/>
                  <w:marBottom w:val="0"/>
                  <w:divBdr>
                    <w:top w:val="none" w:sz="0" w:space="0" w:color="auto"/>
                    <w:left w:val="none" w:sz="0" w:space="0" w:color="auto"/>
                    <w:bottom w:val="none" w:sz="0" w:space="0" w:color="auto"/>
                    <w:right w:val="none" w:sz="0" w:space="0" w:color="auto"/>
                  </w:divBdr>
                  <w:divsChild>
                    <w:div w:id="1655064447">
                      <w:marLeft w:val="0"/>
                      <w:marRight w:val="0"/>
                      <w:marTop w:val="0"/>
                      <w:marBottom w:val="0"/>
                      <w:divBdr>
                        <w:top w:val="none" w:sz="0" w:space="0" w:color="auto"/>
                        <w:left w:val="none" w:sz="0" w:space="0" w:color="auto"/>
                        <w:bottom w:val="none" w:sz="0" w:space="0" w:color="auto"/>
                        <w:right w:val="none" w:sz="0" w:space="0" w:color="auto"/>
                      </w:divBdr>
                    </w:div>
                  </w:divsChild>
                </w:div>
                <w:div w:id="1616061780">
                  <w:marLeft w:val="0"/>
                  <w:marRight w:val="0"/>
                  <w:marTop w:val="0"/>
                  <w:marBottom w:val="0"/>
                  <w:divBdr>
                    <w:top w:val="none" w:sz="0" w:space="0" w:color="auto"/>
                    <w:left w:val="none" w:sz="0" w:space="0" w:color="auto"/>
                    <w:bottom w:val="none" w:sz="0" w:space="0" w:color="auto"/>
                    <w:right w:val="none" w:sz="0" w:space="0" w:color="auto"/>
                  </w:divBdr>
                  <w:divsChild>
                    <w:div w:id="984549472">
                      <w:marLeft w:val="0"/>
                      <w:marRight w:val="0"/>
                      <w:marTop w:val="0"/>
                      <w:marBottom w:val="0"/>
                      <w:divBdr>
                        <w:top w:val="none" w:sz="0" w:space="0" w:color="auto"/>
                        <w:left w:val="none" w:sz="0" w:space="0" w:color="auto"/>
                        <w:bottom w:val="none" w:sz="0" w:space="0" w:color="auto"/>
                        <w:right w:val="none" w:sz="0" w:space="0" w:color="auto"/>
                      </w:divBdr>
                    </w:div>
                  </w:divsChild>
                </w:div>
                <w:div w:id="1621256753">
                  <w:marLeft w:val="0"/>
                  <w:marRight w:val="0"/>
                  <w:marTop w:val="0"/>
                  <w:marBottom w:val="0"/>
                  <w:divBdr>
                    <w:top w:val="none" w:sz="0" w:space="0" w:color="auto"/>
                    <w:left w:val="none" w:sz="0" w:space="0" w:color="auto"/>
                    <w:bottom w:val="none" w:sz="0" w:space="0" w:color="auto"/>
                    <w:right w:val="none" w:sz="0" w:space="0" w:color="auto"/>
                  </w:divBdr>
                  <w:divsChild>
                    <w:div w:id="1253516293">
                      <w:marLeft w:val="0"/>
                      <w:marRight w:val="0"/>
                      <w:marTop w:val="0"/>
                      <w:marBottom w:val="0"/>
                      <w:divBdr>
                        <w:top w:val="none" w:sz="0" w:space="0" w:color="auto"/>
                        <w:left w:val="none" w:sz="0" w:space="0" w:color="auto"/>
                        <w:bottom w:val="none" w:sz="0" w:space="0" w:color="auto"/>
                        <w:right w:val="none" w:sz="0" w:space="0" w:color="auto"/>
                      </w:divBdr>
                    </w:div>
                  </w:divsChild>
                </w:div>
                <w:div w:id="1689678322">
                  <w:marLeft w:val="0"/>
                  <w:marRight w:val="0"/>
                  <w:marTop w:val="0"/>
                  <w:marBottom w:val="0"/>
                  <w:divBdr>
                    <w:top w:val="none" w:sz="0" w:space="0" w:color="auto"/>
                    <w:left w:val="none" w:sz="0" w:space="0" w:color="auto"/>
                    <w:bottom w:val="none" w:sz="0" w:space="0" w:color="auto"/>
                    <w:right w:val="none" w:sz="0" w:space="0" w:color="auto"/>
                  </w:divBdr>
                  <w:divsChild>
                    <w:div w:id="462384532">
                      <w:marLeft w:val="0"/>
                      <w:marRight w:val="0"/>
                      <w:marTop w:val="0"/>
                      <w:marBottom w:val="0"/>
                      <w:divBdr>
                        <w:top w:val="none" w:sz="0" w:space="0" w:color="auto"/>
                        <w:left w:val="none" w:sz="0" w:space="0" w:color="auto"/>
                        <w:bottom w:val="none" w:sz="0" w:space="0" w:color="auto"/>
                        <w:right w:val="none" w:sz="0" w:space="0" w:color="auto"/>
                      </w:divBdr>
                    </w:div>
                  </w:divsChild>
                </w:div>
                <w:div w:id="1743601986">
                  <w:marLeft w:val="0"/>
                  <w:marRight w:val="0"/>
                  <w:marTop w:val="0"/>
                  <w:marBottom w:val="0"/>
                  <w:divBdr>
                    <w:top w:val="none" w:sz="0" w:space="0" w:color="auto"/>
                    <w:left w:val="none" w:sz="0" w:space="0" w:color="auto"/>
                    <w:bottom w:val="none" w:sz="0" w:space="0" w:color="auto"/>
                    <w:right w:val="none" w:sz="0" w:space="0" w:color="auto"/>
                  </w:divBdr>
                  <w:divsChild>
                    <w:div w:id="133700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46602">
          <w:marLeft w:val="0"/>
          <w:marRight w:val="0"/>
          <w:marTop w:val="0"/>
          <w:marBottom w:val="0"/>
          <w:divBdr>
            <w:top w:val="none" w:sz="0" w:space="0" w:color="auto"/>
            <w:left w:val="none" w:sz="0" w:space="0" w:color="auto"/>
            <w:bottom w:val="none" w:sz="0" w:space="0" w:color="auto"/>
            <w:right w:val="none" w:sz="0" w:space="0" w:color="auto"/>
          </w:divBdr>
        </w:div>
        <w:div w:id="1970430090">
          <w:marLeft w:val="0"/>
          <w:marRight w:val="0"/>
          <w:marTop w:val="0"/>
          <w:marBottom w:val="0"/>
          <w:divBdr>
            <w:top w:val="none" w:sz="0" w:space="0" w:color="auto"/>
            <w:left w:val="none" w:sz="0" w:space="0" w:color="auto"/>
            <w:bottom w:val="none" w:sz="0" w:space="0" w:color="auto"/>
            <w:right w:val="none" w:sz="0" w:space="0" w:color="auto"/>
          </w:divBdr>
        </w:div>
        <w:div w:id="1999458596">
          <w:marLeft w:val="0"/>
          <w:marRight w:val="0"/>
          <w:marTop w:val="0"/>
          <w:marBottom w:val="0"/>
          <w:divBdr>
            <w:top w:val="none" w:sz="0" w:space="0" w:color="auto"/>
            <w:left w:val="none" w:sz="0" w:space="0" w:color="auto"/>
            <w:bottom w:val="none" w:sz="0" w:space="0" w:color="auto"/>
            <w:right w:val="none" w:sz="0" w:space="0" w:color="auto"/>
          </w:divBdr>
        </w:div>
        <w:div w:id="2018995940">
          <w:marLeft w:val="0"/>
          <w:marRight w:val="0"/>
          <w:marTop w:val="0"/>
          <w:marBottom w:val="0"/>
          <w:divBdr>
            <w:top w:val="none" w:sz="0" w:space="0" w:color="auto"/>
            <w:left w:val="none" w:sz="0" w:space="0" w:color="auto"/>
            <w:bottom w:val="none" w:sz="0" w:space="0" w:color="auto"/>
            <w:right w:val="none" w:sz="0" w:space="0" w:color="auto"/>
          </w:divBdr>
          <w:divsChild>
            <w:div w:id="1390692507">
              <w:marLeft w:val="-75"/>
              <w:marRight w:val="0"/>
              <w:marTop w:val="30"/>
              <w:marBottom w:val="30"/>
              <w:divBdr>
                <w:top w:val="none" w:sz="0" w:space="0" w:color="auto"/>
                <w:left w:val="none" w:sz="0" w:space="0" w:color="auto"/>
                <w:bottom w:val="none" w:sz="0" w:space="0" w:color="auto"/>
                <w:right w:val="none" w:sz="0" w:space="0" w:color="auto"/>
              </w:divBdr>
              <w:divsChild>
                <w:div w:id="27607699">
                  <w:marLeft w:val="0"/>
                  <w:marRight w:val="0"/>
                  <w:marTop w:val="0"/>
                  <w:marBottom w:val="0"/>
                  <w:divBdr>
                    <w:top w:val="none" w:sz="0" w:space="0" w:color="auto"/>
                    <w:left w:val="none" w:sz="0" w:space="0" w:color="auto"/>
                    <w:bottom w:val="none" w:sz="0" w:space="0" w:color="auto"/>
                    <w:right w:val="none" w:sz="0" w:space="0" w:color="auto"/>
                  </w:divBdr>
                  <w:divsChild>
                    <w:div w:id="2017806474">
                      <w:marLeft w:val="0"/>
                      <w:marRight w:val="0"/>
                      <w:marTop w:val="0"/>
                      <w:marBottom w:val="0"/>
                      <w:divBdr>
                        <w:top w:val="none" w:sz="0" w:space="0" w:color="auto"/>
                        <w:left w:val="none" w:sz="0" w:space="0" w:color="auto"/>
                        <w:bottom w:val="none" w:sz="0" w:space="0" w:color="auto"/>
                        <w:right w:val="none" w:sz="0" w:space="0" w:color="auto"/>
                      </w:divBdr>
                    </w:div>
                  </w:divsChild>
                </w:div>
                <w:div w:id="207642602">
                  <w:marLeft w:val="0"/>
                  <w:marRight w:val="0"/>
                  <w:marTop w:val="0"/>
                  <w:marBottom w:val="0"/>
                  <w:divBdr>
                    <w:top w:val="none" w:sz="0" w:space="0" w:color="auto"/>
                    <w:left w:val="none" w:sz="0" w:space="0" w:color="auto"/>
                    <w:bottom w:val="none" w:sz="0" w:space="0" w:color="auto"/>
                    <w:right w:val="none" w:sz="0" w:space="0" w:color="auto"/>
                  </w:divBdr>
                  <w:divsChild>
                    <w:div w:id="694617796">
                      <w:marLeft w:val="0"/>
                      <w:marRight w:val="0"/>
                      <w:marTop w:val="0"/>
                      <w:marBottom w:val="0"/>
                      <w:divBdr>
                        <w:top w:val="none" w:sz="0" w:space="0" w:color="auto"/>
                        <w:left w:val="none" w:sz="0" w:space="0" w:color="auto"/>
                        <w:bottom w:val="none" w:sz="0" w:space="0" w:color="auto"/>
                        <w:right w:val="none" w:sz="0" w:space="0" w:color="auto"/>
                      </w:divBdr>
                    </w:div>
                  </w:divsChild>
                </w:div>
                <w:div w:id="371883199">
                  <w:marLeft w:val="0"/>
                  <w:marRight w:val="0"/>
                  <w:marTop w:val="0"/>
                  <w:marBottom w:val="0"/>
                  <w:divBdr>
                    <w:top w:val="none" w:sz="0" w:space="0" w:color="auto"/>
                    <w:left w:val="none" w:sz="0" w:space="0" w:color="auto"/>
                    <w:bottom w:val="none" w:sz="0" w:space="0" w:color="auto"/>
                    <w:right w:val="none" w:sz="0" w:space="0" w:color="auto"/>
                  </w:divBdr>
                  <w:divsChild>
                    <w:div w:id="1338267041">
                      <w:marLeft w:val="0"/>
                      <w:marRight w:val="0"/>
                      <w:marTop w:val="0"/>
                      <w:marBottom w:val="0"/>
                      <w:divBdr>
                        <w:top w:val="none" w:sz="0" w:space="0" w:color="auto"/>
                        <w:left w:val="none" w:sz="0" w:space="0" w:color="auto"/>
                        <w:bottom w:val="none" w:sz="0" w:space="0" w:color="auto"/>
                        <w:right w:val="none" w:sz="0" w:space="0" w:color="auto"/>
                      </w:divBdr>
                    </w:div>
                  </w:divsChild>
                </w:div>
                <w:div w:id="744761873">
                  <w:marLeft w:val="0"/>
                  <w:marRight w:val="0"/>
                  <w:marTop w:val="0"/>
                  <w:marBottom w:val="0"/>
                  <w:divBdr>
                    <w:top w:val="none" w:sz="0" w:space="0" w:color="auto"/>
                    <w:left w:val="none" w:sz="0" w:space="0" w:color="auto"/>
                    <w:bottom w:val="none" w:sz="0" w:space="0" w:color="auto"/>
                    <w:right w:val="none" w:sz="0" w:space="0" w:color="auto"/>
                  </w:divBdr>
                  <w:divsChild>
                    <w:div w:id="1693989973">
                      <w:marLeft w:val="0"/>
                      <w:marRight w:val="0"/>
                      <w:marTop w:val="0"/>
                      <w:marBottom w:val="0"/>
                      <w:divBdr>
                        <w:top w:val="none" w:sz="0" w:space="0" w:color="auto"/>
                        <w:left w:val="none" w:sz="0" w:space="0" w:color="auto"/>
                        <w:bottom w:val="none" w:sz="0" w:space="0" w:color="auto"/>
                        <w:right w:val="none" w:sz="0" w:space="0" w:color="auto"/>
                      </w:divBdr>
                    </w:div>
                  </w:divsChild>
                </w:div>
                <w:div w:id="756486746">
                  <w:marLeft w:val="0"/>
                  <w:marRight w:val="0"/>
                  <w:marTop w:val="0"/>
                  <w:marBottom w:val="0"/>
                  <w:divBdr>
                    <w:top w:val="none" w:sz="0" w:space="0" w:color="auto"/>
                    <w:left w:val="none" w:sz="0" w:space="0" w:color="auto"/>
                    <w:bottom w:val="none" w:sz="0" w:space="0" w:color="auto"/>
                    <w:right w:val="none" w:sz="0" w:space="0" w:color="auto"/>
                  </w:divBdr>
                  <w:divsChild>
                    <w:div w:id="1238204226">
                      <w:marLeft w:val="0"/>
                      <w:marRight w:val="0"/>
                      <w:marTop w:val="0"/>
                      <w:marBottom w:val="0"/>
                      <w:divBdr>
                        <w:top w:val="none" w:sz="0" w:space="0" w:color="auto"/>
                        <w:left w:val="none" w:sz="0" w:space="0" w:color="auto"/>
                        <w:bottom w:val="none" w:sz="0" w:space="0" w:color="auto"/>
                        <w:right w:val="none" w:sz="0" w:space="0" w:color="auto"/>
                      </w:divBdr>
                    </w:div>
                  </w:divsChild>
                </w:div>
                <w:div w:id="826214152">
                  <w:marLeft w:val="0"/>
                  <w:marRight w:val="0"/>
                  <w:marTop w:val="0"/>
                  <w:marBottom w:val="0"/>
                  <w:divBdr>
                    <w:top w:val="none" w:sz="0" w:space="0" w:color="auto"/>
                    <w:left w:val="none" w:sz="0" w:space="0" w:color="auto"/>
                    <w:bottom w:val="none" w:sz="0" w:space="0" w:color="auto"/>
                    <w:right w:val="none" w:sz="0" w:space="0" w:color="auto"/>
                  </w:divBdr>
                  <w:divsChild>
                    <w:div w:id="1292594632">
                      <w:marLeft w:val="0"/>
                      <w:marRight w:val="0"/>
                      <w:marTop w:val="0"/>
                      <w:marBottom w:val="0"/>
                      <w:divBdr>
                        <w:top w:val="none" w:sz="0" w:space="0" w:color="auto"/>
                        <w:left w:val="none" w:sz="0" w:space="0" w:color="auto"/>
                        <w:bottom w:val="none" w:sz="0" w:space="0" w:color="auto"/>
                        <w:right w:val="none" w:sz="0" w:space="0" w:color="auto"/>
                      </w:divBdr>
                    </w:div>
                  </w:divsChild>
                </w:div>
                <w:div w:id="960384888">
                  <w:marLeft w:val="0"/>
                  <w:marRight w:val="0"/>
                  <w:marTop w:val="0"/>
                  <w:marBottom w:val="0"/>
                  <w:divBdr>
                    <w:top w:val="none" w:sz="0" w:space="0" w:color="auto"/>
                    <w:left w:val="none" w:sz="0" w:space="0" w:color="auto"/>
                    <w:bottom w:val="none" w:sz="0" w:space="0" w:color="auto"/>
                    <w:right w:val="none" w:sz="0" w:space="0" w:color="auto"/>
                  </w:divBdr>
                  <w:divsChild>
                    <w:div w:id="1449161948">
                      <w:marLeft w:val="0"/>
                      <w:marRight w:val="0"/>
                      <w:marTop w:val="0"/>
                      <w:marBottom w:val="0"/>
                      <w:divBdr>
                        <w:top w:val="none" w:sz="0" w:space="0" w:color="auto"/>
                        <w:left w:val="none" w:sz="0" w:space="0" w:color="auto"/>
                        <w:bottom w:val="none" w:sz="0" w:space="0" w:color="auto"/>
                        <w:right w:val="none" w:sz="0" w:space="0" w:color="auto"/>
                      </w:divBdr>
                    </w:div>
                  </w:divsChild>
                </w:div>
                <w:div w:id="1150635996">
                  <w:marLeft w:val="0"/>
                  <w:marRight w:val="0"/>
                  <w:marTop w:val="0"/>
                  <w:marBottom w:val="0"/>
                  <w:divBdr>
                    <w:top w:val="none" w:sz="0" w:space="0" w:color="auto"/>
                    <w:left w:val="none" w:sz="0" w:space="0" w:color="auto"/>
                    <w:bottom w:val="none" w:sz="0" w:space="0" w:color="auto"/>
                    <w:right w:val="none" w:sz="0" w:space="0" w:color="auto"/>
                  </w:divBdr>
                  <w:divsChild>
                    <w:div w:id="425033075">
                      <w:marLeft w:val="0"/>
                      <w:marRight w:val="0"/>
                      <w:marTop w:val="0"/>
                      <w:marBottom w:val="0"/>
                      <w:divBdr>
                        <w:top w:val="none" w:sz="0" w:space="0" w:color="auto"/>
                        <w:left w:val="none" w:sz="0" w:space="0" w:color="auto"/>
                        <w:bottom w:val="none" w:sz="0" w:space="0" w:color="auto"/>
                        <w:right w:val="none" w:sz="0" w:space="0" w:color="auto"/>
                      </w:divBdr>
                    </w:div>
                  </w:divsChild>
                </w:div>
                <w:div w:id="1263534513">
                  <w:marLeft w:val="0"/>
                  <w:marRight w:val="0"/>
                  <w:marTop w:val="0"/>
                  <w:marBottom w:val="0"/>
                  <w:divBdr>
                    <w:top w:val="none" w:sz="0" w:space="0" w:color="auto"/>
                    <w:left w:val="none" w:sz="0" w:space="0" w:color="auto"/>
                    <w:bottom w:val="none" w:sz="0" w:space="0" w:color="auto"/>
                    <w:right w:val="none" w:sz="0" w:space="0" w:color="auto"/>
                  </w:divBdr>
                  <w:divsChild>
                    <w:div w:id="198246829">
                      <w:marLeft w:val="0"/>
                      <w:marRight w:val="0"/>
                      <w:marTop w:val="0"/>
                      <w:marBottom w:val="0"/>
                      <w:divBdr>
                        <w:top w:val="none" w:sz="0" w:space="0" w:color="auto"/>
                        <w:left w:val="none" w:sz="0" w:space="0" w:color="auto"/>
                        <w:bottom w:val="none" w:sz="0" w:space="0" w:color="auto"/>
                        <w:right w:val="none" w:sz="0" w:space="0" w:color="auto"/>
                      </w:divBdr>
                    </w:div>
                  </w:divsChild>
                </w:div>
                <w:div w:id="1571767538">
                  <w:marLeft w:val="0"/>
                  <w:marRight w:val="0"/>
                  <w:marTop w:val="0"/>
                  <w:marBottom w:val="0"/>
                  <w:divBdr>
                    <w:top w:val="none" w:sz="0" w:space="0" w:color="auto"/>
                    <w:left w:val="none" w:sz="0" w:space="0" w:color="auto"/>
                    <w:bottom w:val="none" w:sz="0" w:space="0" w:color="auto"/>
                    <w:right w:val="none" w:sz="0" w:space="0" w:color="auto"/>
                  </w:divBdr>
                  <w:divsChild>
                    <w:div w:id="1431662088">
                      <w:marLeft w:val="0"/>
                      <w:marRight w:val="0"/>
                      <w:marTop w:val="0"/>
                      <w:marBottom w:val="0"/>
                      <w:divBdr>
                        <w:top w:val="none" w:sz="0" w:space="0" w:color="auto"/>
                        <w:left w:val="none" w:sz="0" w:space="0" w:color="auto"/>
                        <w:bottom w:val="none" w:sz="0" w:space="0" w:color="auto"/>
                        <w:right w:val="none" w:sz="0" w:space="0" w:color="auto"/>
                      </w:divBdr>
                    </w:div>
                  </w:divsChild>
                </w:div>
                <w:div w:id="1654066764">
                  <w:marLeft w:val="0"/>
                  <w:marRight w:val="0"/>
                  <w:marTop w:val="0"/>
                  <w:marBottom w:val="0"/>
                  <w:divBdr>
                    <w:top w:val="none" w:sz="0" w:space="0" w:color="auto"/>
                    <w:left w:val="none" w:sz="0" w:space="0" w:color="auto"/>
                    <w:bottom w:val="none" w:sz="0" w:space="0" w:color="auto"/>
                    <w:right w:val="none" w:sz="0" w:space="0" w:color="auto"/>
                  </w:divBdr>
                  <w:divsChild>
                    <w:div w:id="491874314">
                      <w:marLeft w:val="0"/>
                      <w:marRight w:val="0"/>
                      <w:marTop w:val="0"/>
                      <w:marBottom w:val="0"/>
                      <w:divBdr>
                        <w:top w:val="none" w:sz="0" w:space="0" w:color="auto"/>
                        <w:left w:val="none" w:sz="0" w:space="0" w:color="auto"/>
                        <w:bottom w:val="none" w:sz="0" w:space="0" w:color="auto"/>
                        <w:right w:val="none" w:sz="0" w:space="0" w:color="auto"/>
                      </w:divBdr>
                    </w:div>
                  </w:divsChild>
                </w:div>
                <w:div w:id="1943562981">
                  <w:marLeft w:val="0"/>
                  <w:marRight w:val="0"/>
                  <w:marTop w:val="0"/>
                  <w:marBottom w:val="0"/>
                  <w:divBdr>
                    <w:top w:val="none" w:sz="0" w:space="0" w:color="auto"/>
                    <w:left w:val="none" w:sz="0" w:space="0" w:color="auto"/>
                    <w:bottom w:val="none" w:sz="0" w:space="0" w:color="auto"/>
                    <w:right w:val="none" w:sz="0" w:space="0" w:color="auto"/>
                  </w:divBdr>
                  <w:divsChild>
                    <w:div w:id="975718098">
                      <w:marLeft w:val="0"/>
                      <w:marRight w:val="0"/>
                      <w:marTop w:val="0"/>
                      <w:marBottom w:val="0"/>
                      <w:divBdr>
                        <w:top w:val="none" w:sz="0" w:space="0" w:color="auto"/>
                        <w:left w:val="none" w:sz="0" w:space="0" w:color="auto"/>
                        <w:bottom w:val="none" w:sz="0" w:space="0" w:color="auto"/>
                        <w:right w:val="none" w:sz="0" w:space="0" w:color="auto"/>
                      </w:divBdr>
                    </w:div>
                  </w:divsChild>
                </w:div>
                <w:div w:id="1948655767">
                  <w:marLeft w:val="0"/>
                  <w:marRight w:val="0"/>
                  <w:marTop w:val="0"/>
                  <w:marBottom w:val="0"/>
                  <w:divBdr>
                    <w:top w:val="none" w:sz="0" w:space="0" w:color="auto"/>
                    <w:left w:val="none" w:sz="0" w:space="0" w:color="auto"/>
                    <w:bottom w:val="none" w:sz="0" w:space="0" w:color="auto"/>
                    <w:right w:val="none" w:sz="0" w:space="0" w:color="auto"/>
                  </w:divBdr>
                  <w:divsChild>
                    <w:div w:id="803692317">
                      <w:marLeft w:val="0"/>
                      <w:marRight w:val="0"/>
                      <w:marTop w:val="0"/>
                      <w:marBottom w:val="0"/>
                      <w:divBdr>
                        <w:top w:val="none" w:sz="0" w:space="0" w:color="auto"/>
                        <w:left w:val="none" w:sz="0" w:space="0" w:color="auto"/>
                        <w:bottom w:val="none" w:sz="0" w:space="0" w:color="auto"/>
                        <w:right w:val="none" w:sz="0" w:space="0" w:color="auto"/>
                      </w:divBdr>
                    </w:div>
                  </w:divsChild>
                </w:div>
                <w:div w:id="2079203061">
                  <w:marLeft w:val="0"/>
                  <w:marRight w:val="0"/>
                  <w:marTop w:val="0"/>
                  <w:marBottom w:val="0"/>
                  <w:divBdr>
                    <w:top w:val="none" w:sz="0" w:space="0" w:color="auto"/>
                    <w:left w:val="none" w:sz="0" w:space="0" w:color="auto"/>
                    <w:bottom w:val="none" w:sz="0" w:space="0" w:color="auto"/>
                    <w:right w:val="none" w:sz="0" w:space="0" w:color="auto"/>
                  </w:divBdr>
                  <w:divsChild>
                    <w:div w:id="265968196">
                      <w:marLeft w:val="0"/>
                      <w:marRight w:val="0"/>
                      <w:marTop w:val="0"/>
                      <w:marBottom w:val="0"/>
                      <w:divBdr>
                        <w:top w:val="none" w:sz="0" w:space="0" w:color="auto"/>
                        <w:left w:val="none" w:sz="0" w:space="0" w:color="auto"/>
                        <w:bottom w:val="none" w:sz="0" w:space="0" w:color="auto"/>
                        <w:right w:val="none" w:sz="0" w:space="0" w:color="auto"/>
                      </w:divBdr>
                    </w:div>
                  </w:divsChild>
                </w:div>
                <w:div w:id="2112970197">
                  <w:marLeft w:val="0"/>
                  <w:marRight w:val="0"/>
                  <w:marTop w:val="0"/>
                  <w:marBottom w:val="0"/>
                  <w:divBdr>
                    <w:top w:val="none" w:sz="0" w:space="0" w:color="auto"/>
                    <w:left w:val="none" w:sz="0" w:space="0" w:color="auto"/>
                    <w:bottom w:val="none" w:sz="0" w:space="0" w:color="auto"/>
                    <w:right w:val="none" w:sz="0" w:space="0" w:color="auto"/>
                  </w:divBdr>
                  <w:divsChild>
                    <w:div w:id="17820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01822">
          <w:marLeft w:val="0"/>
          <w:marRight w:val="0"/>
          <w:marTop w:val="0"/>
          <w:marBottom w:val="0"/>
          <w:divBdr>
            <w:top w:val="none" w:sz="0" w:space="0" w:color="auto"/>
            <w:left w:val="none" w:sz="0" w:space="0" w:color="auto"/>
            <w:bottom w:val="none" w:sz="0" w:space="0" w:color="auto"/>
            <w:right w:val="none" w:sz="0" w:space="0" w:color="auto"/>
          </w:divBdr>
        </w:div>
        <w:div w:id="2070569821">
          <w:marLeft w:val="0"/>
          <w:marRight w:val="0"/>
          <w:marTop w:val="0"/>
          <w:marBottom w:val="0"/>
          <w:divBdr>
            <w:top w:val="none" w:sz="0" w:space="0" w:color="auto"/>
            <w:left w:val="none" w:sz="0" w:space="0" w:color="auto"/>
            <w:bottom w:val="none" w:sz="0" w:space="0" w:color="auto"/>
            <w:right w:val="none" w:sz="0" w:space="0" w:color="auto"/>
          </w:divBdr>
        </w:div>
        <w:div w:id="2088067405">
          <w:marLeft w:val="0"/>
          <w:marRight w:val="0"/>
          <w:marTop w:val="0"/>
          <w:marBottom w:val="0"/>
          <w:divBdr>
            <w:top w:val="none" w:sz="0" w:space="0" w:color="auto"/>
            <w:left w:val="none" w:sz="0" w:space="0" w:color="auto"/>
            <w:bottom w:val="none" w:sz="0" w:space="0" w:color="auto"/>
            <w:right w:val="none" w:sz="0" w:space="0" w:color="auto"/>
          </w:divBdr>
        </w:div>
        <w:div w:id="2123259443">
          <w:marLeft w:val="0"/>
          <w:marRight w:val="0"/>
          <w:marTop w:val="0"/>
          <w:marBottom w:val="0"/>
          <w:divBdr>
            <w:top w:val="none" w:sz="0" w:space="0" w:color="auto"/>
            <w:left w:val="none" w:sz="0" w:space="0" w:color="auto"/>
            <w:bottom w:val="none" w:sz="0" w:space="0" w:color="auto"/>
            <w:right w:val="none" w:sz="0" w:space="0" w:color="auto"/>
          </w:divBdr>
        </w:div>
      </w:divsChild>
    </w:div>
    <w:div w:id="546647892">
      <w:bodyDiv w:val="1"/>
      <w:marLeft w:val="0"/>
      <w:marRight w:val="0"/>
      <w:marTop w:val="0"/>
      <w:marBottom w:val="0"/>
      <w:divBdr>
        <w:top w:val="none" w:sz="0" w:space="0" w:color="auto"/>
        <w:left w:val="none" w:sz="0" w:space="0" w:color="auto"/>
        <w:bottom w:val="none" w:sz="0" w:space="0" w:color="auto"/>
        <w:right w:val="none" w:sz="0" w:space="0" w:color="auto"/>
      </w:divBdr>
      <w:divsChild>
        <w:div w:id="123278701">
          <w:marLeft w:val="0"/>
          <w:marRight w:val="0"/>
          <w:marTop w:val="0"/>
          <w:marBottom w:val="0"/>
          <w:divBdr>
            <w:top w:val="none" w:sz="0" w:space="0" w:color="auto"/>
            <w:left w:val="none" w:sz="0" w:space="0" w:color="auto"/>
            <w:bottom w:val="none" w:sz="0" w:space="0" w:color="auto"/>
            <w:right w:val="none" w:sz="0" w:space="0" w:color="auto"/>
          </w:divBdr>
          <w:divsChild>
            <w:div w:id="584727339">
              <w:marLeft w:val="0"/>
              <w:marRight w:val="0"/>
              <w:marTop w:val="0"/>
              <w:marBottom w:val="0"/>
              <w:divBdr>
                <w:top w:val="none" w:sz="0" w:space="0" w:color="auto"/>
                <w:left w:val="none" w:sz="0" w:space="0" w:color="auto"/>
                <w:bottom w:val="none" w:sz="0" w:space="0" w:color="auto"/>
                <w:right w:val="none" w:sz="0" w:space="0" w:color="auto"/>
              </w:divBdr>
            </w:div>
          </w:divsChild>
        </w:div>
        <w:div w:id="223296246">
          <w:marLeft w:val="0"/>
          <w:marRight w:val="0"/>
          <w:marTop w:val="0"/>
          <w:marBottom w:val="0"/>
          <w:divBdr>
            <w:top w:val="none" w:sz="0" w:space="0" w:color="auto"/>
            <w:left w:val="none" w:sz="0" w:space="0" w:color="auto"/>
            <w:bottom w:val="none" w:sz="0" w:space="0" w:color="auto"/>
            <w:right w:val="none" w:sz="0" w:space="0" w:color="auto"/>
          </w:divBdr>
          <w:divsChild>
            <w:div w:id="149565740">
              <w:marLeft w:val="0"/>
              <w:marRight w:val="0"/>
              <w:marTop w:val="0"/>
              <w:marBottom w:val="0"/>
              <w:divBdr>
                <w:top w:val="none" w:sz="0" w:space="0" w:color="auto"/>
                <w:left w:val="none" w:sz="0" w:space="0" w:color="auto"/>
                <w:bottom w:val="none" w:sz="0" w:space="0" w:color="auto"/>
                <w:right w:val="none" w:sz="0" w:space="0" w:color="auto"/>
              </w:divBdr>
            </w:div>
          </w:divsChild>
        </w:div>
        <w:div w:id="249580136">
          <w:marLeft w:val="0"/>
          <w:marRight w:val="0"/>
          <w:marTop w:val="0"/>
          <w:marBottom w:val="0"/>
          <w:divBdr>
            <w:top w:val="none" w:sz="0" w:space="0" w:color="auto"/>
            <w:left w:val="none" w:sz="0" w:space="0" w:color="auto"/>
            <w:bottom w:val="none" w:sz="0" w:space="0" w:color="auto"/>
            <w:right w:val="none" w:sz="0" w:space="0" w:color="auto"/>
          </w:divBdr>
          <w:divsChild>
            <w:div w:id="1769275789">
              <w:marLeft w:val="0"/>
              <w:marRight w:val="0"/>
              <w:marTop w:val="0"/>
              <w:marBottom w:val="0"/>
              <w:divBdr>
                <w:top w:val="none" w:sz="0" w:space="0" w:color="auto"/>
                <w:left w:val="none" w:sz="0" w:space="0" w:color="auto"/>
                <w:bottom w:val="none" w:sz="0" w:space="0" w:color="auto"/>
                <w:right w:val="none" w:sz="0" w:space="0" w:color="auto"/>
              </w:divBdr>
            </w:div>
          </w:divsChild>
        </w:div>
        <w:div w:id="261691390">
          <w:marLeft w:val="0"/>
          <w:marRight w:val="0"/>
          <w:marTop w:val="0"/>
          <w:marBottom w:val="0"/>
          <w:divBdr>
            <w:top w:val="none" w:sz="0" w:space="0" w:color="auto"/>
            <w:left w:val="none" w:sz="0" w:space="0" w:color="auto"/>
            <w:bottom w:val="none" w:sz="0" w:space="0" w:color="auto"/>
            <w:right w:val="none" w:sz="0" w:space="0" w:color="auto"/>
          </w:divBdr>
          <w:divsChild>
            <w:div w:id="1436293092">
              <w:marLeft w:val="0"/>
              <w:marRight w:val="0"/>
              <w:marTop w:val="0"/>
              <w:marBottom w:val="0"/>
              <w:divBdr>
                <w:top w:val="none" w:sz="0" w:space="0" w:color="auto"/>
                <w:left w:val="none" w:sz="0" w:space="0" w:color="auto"/>
                <w:bottom w:val="none" w:sz="0" w:space="0" w:color="auto"/>
                <w:right w:val="none" w:sz="0" w:space="0" w:color="auto"/>
              </w:divBdr>
            </w:div>
          </w:divsChild>
        </w:div>
        <w:div w:id="274168696">
          <w:marLeft w:val="0"/>
          <w:marRight w:val="0"/>
          <w:marTop w:val="0"/>
          <w:marBottom w:val="0"/>
          <w:divBdr>
            <w:top w:val="none" w:sz="0" w:space="0" w:color="auto"/>
            <w:left w:val="none" w:sz="0" w:space="0" w:color="auto"/>
            <w:bottom w:val="none" w:sz="0" w:space="0" w:color="auto"/>
            <w:right w:val="none" w:sz="0" w:space="0" w:color="auto"/>
          </w:divBdr>
          <w:divsChild>
            <w:div w:id="2018456356">
              <w:marLeft w:val="0"/>
              <w:marRight w:val="0"/>
              <w:marTop w:val="0"/>
              <w:marBottom w:val="0"/>
              <w:divBdr>
                <w:top w:val="none" w:sz="0" w:space="0" w:color="auto"/>
                <w:left w:val="none" w:sz="0" w:space="0" w:color="auto"/>
                <w:bottom w:val="none" w:sz="0" w:space="0" w:color="auto"/>
                <w:right w:val="none" w:sz="0" w:space="0" w:color="auto"/>
              </w:divBdr>
            </w:div>
          </w:divsChild>
        </w:div>
        <w:div w:id="334304351">
          <w:marLeft w:val="0"/>
          <w:marRight w:val="0"/>
          <w:marTop w:val="0"/>
          <w:marBottom w:val="0"/>
          <w:divBdr>
            <w:top w:val="none" w:sz="0" w:space="0" w:color="auto"/>
            <w:left w:val="none" w:sz="0" w:space="0" w:color="auto"/>
            <w:bottom w:val="none" w:sz="0" w:space="0" w:color="auto"/>
            <w:right w:val="none" w:sz="0" w:space="0" w:color="auto"/>
          </w:divBdr>
          <w:divsChild>
            <w:div w:id="63138844">
              <w:marLeft w:val="0"/>
              <w:marRight w:val="0"/>
              <w:marTop w:val="0"/>
              <w:marBottom w:val="0"/>
              <w:divBdr>
                <w:top w:val="none" w:sz="0" w:space="0" w:color="auto"/>
                <w:left w:val="none" w:sz="0" w:space="0" w:color="auto"/>
                <w:bottom w:val="none" w:sz="0" w:space="0" w:color="auto"/>
                <w:right w:val="none" w:sz="0" w:space="0" w:color="auto"/>
              </w:divBdr>
            </w:div>
          </w:divsChild>
        </w:div>
        <w:div w:id="380248866">
          <w:marLeft w:val="0"/>
          <w:marRight w:val="0"/>
          <w:marTop w:val="0"/>
          <w:marBottom w:val="0"/>
          <w:divBdr>
            <w:top w:val="none" w:sz="0" w:space="0" w:color="auto"/>
            <w:left w:val="none" w:sz="0" w:space="0" w:color="auto"/>
            <w:bottom w:val="none" w:sz="0" w:space="0" w:color="auto"/>
            <w:right w:val="none" w:sz="0" w:space="0" w:color="auto"/>
          </w:divBdr>
          <w:divsChild>
            <w:div w:id="2102480755">
              <w:marLeft w:val="0"/>
              <w:marRight w:val="0"/>
              <w:marTop w:val="0"/>
              <w:marBottom w:val="0"/>
              <w:divBdr>
                <w:top w:val="none" w:sz="0" w:space="0" w:color="auto"/>
                <w:left w:val="none" w:sz="0" w:space="0" w:color="auto"/>
                <w:bottom w:val="none" w:sz="0" w:space="0" w:color="auto"/>
                <w:right w:val="none" w:sz="0" w:space="0" w:color="auto"/>
              </w:divBdr>
            </w:div>
          </w:divsChild>
        </w:div>
        <w:div w:id="389578241">
          <w:marLeft w:val="0"/>
          <w:marRight w:val="0"/>
          <w:marTop w:val="0"/>
          <w:marBottom w:val="0"/>
          <w:divBdr>
            <w:top w:val="none" w:sz="0" w:space="0" w:color="auto"/>
            <w:left w:val="none" w:sz="0" w:space="0" w:color="auto"/>
            <w:bottom w:val="none" w:sz="0" w:space="0" w:color="auto"/>
            <w:right w:val="none" w:sz="0" w:space="0" w:color="auto"/>
          </w:divBdr>
          <w:divsChild>
            <w:div w:id="1096054473">
              <w:marLeft w:val="0"/>
              <w:marRight w:val="0"/>
              <w:marTop w:val="0"/>
              <w:marBottom w:val="0"/>
              <w:divBdr>
                <w:top w:val="none" w:sz="0" w:space="0" w:color="auto"/>
                <w:left w:val="none" w:sz="0" w:space="0" w:color="auto"/>
                <w:bottom w:val="none" w:sz="0" w:space="0" w:color="auto"/>
                <w:right w:val="none" w:sz="0" w:space="0" w:color="auto"/>
              </w:divBdr>
            </w:div>
          </w:divsChild>
        </w:div>
        <w:div w:id="478308725">
          <w:marLeft w:val="0"/>
          <w:marRight w:val="0"/>
          <w:marTop w:val="0"/>
          <w:marBottom w:val="0"/>
          <w:divBdr>
            <w:top w:val="none" w:sz="0" w:space="0" w:color="auto"/>
            <w:left w:val="none" w:sz="0" w:space="0" w:color="auto"/>
            <w:bottom w:val="none" w:sz="0" w:space="0" w:color="auto"/>
            <w:right w:val="none" w:sz="0" w:space="0" w:color="auto"/>
          </w:divBdr>
          <w:divsChild>
            <w:div w:id="126318494">
              <w:marLeft w:val="0"/>
              <w:marRight w:val="0"/>
              <w:marTop w:val="0"/>
              <w:marBottom w:val="0"/>
              <w:divBdr>
                <w:top w:val="none" w:sz="0" w:space="0" w:color="auto"/>
                <w:left w:val="none" w:sz="0" w:space="0" w:color="auto"/>
                <w:bottom w:val="none" w:sz="0" w:space="0" w:color="auto"/>
                <w:right w:val="none" w:sz="0" w:space="0" w:color="auto"/>
              </w:divBdr>
            </w:div>
          </w:divsChild>
        </w:div>
        <w:div w:id="656766753">
          <w:marLeft w:val="0"/>
          <w:marRight w:val="0"/>
          <w:marTop w:val="0"/>
          <w:marBottom w:val="0"/>
          <w:divBdr>
            <w:top w:val="none" w:sz="0" w:space="0" w:color="auto"/>
            <w:left w:val="none" w:sz="0" w:space="0" w:color="auto"/>
            <w:bottom w:val="none" w:sz="0" w:space="0" w:color="auto"/>
            <w:right w:val="none" w:sz="0" w:space="0" w:color="auto"/>
          </w:divBdr>
          <w:divsChild>
            <w:div w:id="538903640">
              <w:marLeft w:val="0"/>
              <w:marRight w:val="0"/>
              <w:marTop w:val="0"/>
              <w:marBottom w:val="0"/>
              <w:divBdr>
                <w:top w:val="none" w:sz="0" w:space="0" w:color="auto"/>
                <w:left w:val="none" w:sz="0" w:space="0" w:color="auto"/>
                <w:bottom w:val="none" w:sz="0" w:space="0" w:color="auto"/>
                <w:right w:val="none" w:sz="0" w:space="0" w:color="auto"/>
              </w:divBdr>
            </w:div>
            <w:div w:id="932978751">
              <w:marLeft w:val="0"/>
              <w:marRight w:val="0"/>
              <w:marTop w:val="0"/>
              <w:marBottom w:val="0"/>
              <w:divBdr>
                <w:top w:val="none" w:sz="0" w:space="0" w:color="auto"/>
                <w:left w:val="none" w:sz="0" w:space="0" w:color="auto"/>
                <w:bottom w:val="none" w:sz="0" w:space="0" w:color="auto"/>
                <w:right w:val="none" w:sz="0" w:space="0" w:color="auto"/>
              </w:divBdr>
            </w:div>
          </w:divsChild>
        </w:div>
        <w:div w:id="665520212">
          <w:marLeft w:val="0"/>
          <w:marRight w:val="0"/>
          <w:marTop w:val="0"/>
          <w:marBottom w:val="0"/>
          <w:divBdr>
            <w:top w:val="none" w:sz="0" w:space="0" w:color="auto"/>
            <w:left w:val="none" w:sz="0" w:space="0" w:color="auto"/>
            <w:bottom w:val="none" w:sz="0" w:space="0" w:color="auto"/>
            <w:right w:val="none" w:sz="0" w:space="0" w:color="auto"/>
          </w:divBdr>
          <w:divsChild>
            <w:div w:id="1753620313">
              <w:marLeft w:val="0"/>
              <w:marRight w:val="0"/>
              <w:marTop w:val="0"/>
              <w:marBottom w:val="0"/>
              <w:divBdr>
                <w:top w:val="none" w:sz="0" w:space="0" w:color="auto"/>
                <w:left w:val="none" w:sz="0" w:space="0" w:color="auto"/>
                <w:bottom w:val="none" w:sz="0" w:space="0" w:color="auto"/>
                <w:right w:val="none" w:sz="0" w:space="0" w:color="auto"/>
              </w:divBdr>
            </w:div>
          </w:divsChild>
        </w:div>
        <w:div w:id="802582804">
          <w:marLeft w:val="0"/>
          <w:marRight w:val="0"/>
          <w:marTop w:val="0"/>
          <w:marBottom w:val="0"/>
          <w:divBdr>
            <w:top w:val="none" w:sz="0" w:space="0" w:color="auto"/>
            <w:left w:val="none" w:sz="0" w:space="0" w:color="auto"/>
            <w:bottom w:val="none" w:sz="0" w:space="0" w:color="auto"/>
            <w:right w:val="none" w:sz="0" w:space="0" w:color="auto"/>
          </w:divBdr>
          <w:divsChild>
            <w:div w:id="2040624628">
              <w:marLeft w:val="0"/>
              <w:marRight w:val="0"/>
              <w:marTop w:val="0"/>
              <w:marBottom w:val="0"/>
              <w:divBdr>
                <w:top w:val="none" w:sz="0" w:space="0" w:color="auto"/>
                <w:left w:val="none" w:sz="0" w:space="0" w:color="auto"/>
                <w:bottom w:val="none" w:sz="0" w:space="0" w:color="auto"/>
                <w:right w:val="none" w:sz="0" w:space="0" w:color="auto"/>
              </w:divBdr>
            </w:div>
          </w:divsChild>
        </w:div>
        <w:div w:id="1002705054">
          <w:marLeft w:val="0"/>
          <w:marRight w:val="0"/>
          <w:marTop w:val="0"/>
          <w:marBottom w:val="0"/>
          <w:divBdr>
            <w:top w:val="none" w:sz="0" w:space="0" w:color="auto"/>
            <w:left w:val="none" w:sz="0" w:space="0" w:color="auto"/>
            <w:bottom w:val="none" w:sz="0" w:space="0" w:color="auto"/>
            <w:right w:val="none" w:sz="0" w:space="0" w:color="auto"/>
          </w:divBdr>
          <w:divsChild>
            <w:div w:id="382415043">
              <w:marLeft w:val="0"/>
              <w:marRight w:val="0"/>
              <w:marTop w:val="0"/>
              <w:marBottom w:val="0"/>
              <w:divBdr>
                <w:top w:val="none" w:sz="0" w:space="0" w:color="auto"/>
                <w:left w:val="none" w:sz="0" w:space="0" w:color="auto"/>
                <w:bottom w:val="none" w:sz="0" w:space="0" w:color="auto"/>
                <w:right w:val="none" w:sz="0" w:space="0" w:color="auto"/>
              </w:divBdr>
            </w:div>
          </w:divsChild>
        </w:div>
        <w:div w:id="1284119794">
          <w:marLeft w:val="0"/>
          <w:marRight w:val="0"/>
          <w:marTop w:val="0"/>
          <w:marBottom w:val="0"/>
          <w:divBdr>
            <w:top w:val="none" w:sz="0" w:space="0" w:color="auto"/>
            <w:left w:val="none" w:sz="0" w:space="0" w:color="auto"/>
            <w:bottom w:val="none" w:sz="0" w:space="0" w:color="auto"/>
            <w:right w:val="none" w:sz="0" w:space="0" w:color="auto"/>
          </w:divBdr>
          <w:divsChild>
            <w:div w:id="1950971614">
              <w:marLeft w:val="0"/>
              <w:marRight w:val="0"/>
              <w:marTop w:val="0"/>
              <w:marBottom w:val="0"/>
              <w:divBdr>
                <w:top w:val="none" w:sz="0" w:space="0" w:color="auto"/>
                <w:left w:val="none" w:sz="0" w:space="0" w:color="auto"/>
                <w:bottom w:val="none" w:sz="0" w:space="0" w:color="auto"/>
                <w:right w:val="none" w:sz="0" w:space="0" w:color="auto"/>
              </w:divBdr>
            </w:div>
          </w:divsChild>
        </w:div>
        <w:div w:id="1390691392">
          <w:marLeft w:val="0"/>
          <w:marRight w:val="0"/>
          <w:marTop w:val="0"/>
          <w:marBottom w:val="0"/>
          <w:divBdr>
            <w:top w:val="none" w:sz="0" w:space="0" w:color="auto"/>
            <w:left w:val="none" w:sz="0" w:space="0" w:color="auto"/>
            <w:bottom w:val="none" w:sz="0" w:space="0" w:color="auto"/>
            <w:right w:val="none" w:sz="0" w:space="0" w:color="auto"/>
          </w:divBdr>
          <w:divsChild>
            <w:div w:id="692192702">
              <w:marLeft w:val="0"/>
              <w:marRight w:val="0"/>
              <w:marTop w:val="0"/>
              <w:marBottom w:val="0"/>
              <w:divBdr>
                <w:top w:val="none" w:sz="0" w:space="0" w:color="auto"/>
                <w:left w:val="none" w:sz="0" w:space="0" w:color="auto"/>
                <w:bottom w:val="none" w:sz="0" w:space="0" w:color="auto"/>
                <w:right w:val="none" w:sz="0" w:space="0" w:color="auto"/>
              </w:divBdr>
            </w:div>
            <w:div w:id="1339189693">
              <w:marLeft w:val="0"/>
              <w:marRight w:val="0"/>
              <w:marTop w:val="0"/>
              <w:marBottom w:val="0"/>
              <w:divBdr>
                <w:top w:val="none" w:sz="0" w:space="0" w:color="auto"/>
                <w:left w:val="none" w:sz="0" w:space="0" w:color="auto"/>
                <w:bottom w:val="none" w:sz="0" w:space="0" w:color="auto"/>
                <w:right w:val="none" w:sz="0" w:space="0" w:color="auto"/>
              </w:divBdr>
            </w:div>
          </w:divsChild>
        </w:div>
        <w:div w:id="1575820683">
          <w:marLeft w:val="0"/>
          <w:marRight w:val="0"/>
          <w:marTop w:val="0"/>
          <w:marBottom w:val="0"/>
          <w:divBdr>
            <w:top w:val="none" w:sz="0" w:space="0" w:color="auto"/>
            <w:left w:val="none" w:sz="0" w:space="0" w:color="auto"/>
            <w:bottom w:val="none" w:sz="0" w:space="0" w:color="auto"/>
            <w:right w:val="none" w:sz="0" w:space="0" w:color="auto"/>
          </w:divBdr>
          <w:divsChild>
            <w:div w:id="2134056858">
              <w:marLeft w:val="0"/>
              <w:marRight w:val="0"/>
              <w:marTop w:val="0"/>
              <w:marBottom w:val="0"/>
              <w:divBdr>
                <w:top w:val="none" w:sz="0" w:space="0" w:color="auto"/>
                <w:left w:val="none" w:sz="0" w:space="0" w:color="auto"/>
                <w:bottom w:val="none" w:sz="0" w:space="0" w:color="auto"/>
                <w:right w:val="none" w:sz="0" w:space="0" w:color="auto"/>
              </w:divBdr>
            </w:div>
          </w:divsChild>
        </w:div>
        <w:div w:id="1818454480">
          <w:marLeft w:val="0"/>
          <w:marRight w:val="0"/>
          <w:marTop w:val="0"/>
          <w:marBottom w:val="0"/>
          <w:divBdr>
            <w:top w:val="none" w:sz="0" w:space="0" w:color="auto"/>
            <w:left w:val="none" w:sz="0" w:space="0" w:color="auto"/>
            <w:bottom w:val="none" w:sz="0" w:space="0" w:color="auto"/>
            <w:right w:val="none" w:sz="0" w:space="0" w:color="auto"/>
          </w:divBdr>
          <w:divsChild>
            <w:div w:id="464196826">
              <w:marLeft w:val="0"/>
              <w:marRight w:val="0"/>
              <w:marTop w:val="0"/>
              <w:marBottom w:val="0"/>
              <w:divBdr>
                <w:top w:val="none" w:sz="0" w:space="0" w:color="auto"/>
                <w:left w:val="none" w:sz="0" w:space="0" w:color="auto"/>
                <w:bottom w:val="none" w:sz="0" w:space="0" w:color="auto"/>
                <w:right w:val="none" w:sz="0" w:space="0" w:color="auto"/>
              </w:divBdr>
            </w:div>
          </w:divsChild>
        </w:div>
        <w:div w:id="1852328619">
          <w:marLeft w:val="0"/>
          <w:marRight w:val="0"/>
          <w:marTop w:val="0"/>
          <w:marBottom w:val="0"/>
          <w:divBdr>
            <w:top w:val="none" w:sz="0" w:space="0" w:color="auto"/>
            <w:left w:val="none" w:sz="0" w:space="0" w:color="auto"/>
            <w:bottom w:val="none" w:sz="0" w:space="0" w:color="auto"/>
            <w:right w:val="none" w:sz="0" w:space="0" w:color="auto"/>
          </w:divBdr>
          <w:divsChild>
            <w:div w:id="1941641931">
              <w:marLeft w:val="0"/>
              <w:marRight w:val="0"/>
              <w:marTop w:val="0"/>
              <w:marBottom w:val="0"/>
              <w:divBdr>
                <w:top w:val="none" w:sz="0" w:space="0" w:color="auto"/>
                <w:left w:val="none" w:sz="0" w:space="0" w:color="auto"/>
                <w:bottom w:val="none" w:sz="0" w:space="0" w:color="auto"/>
                <w:right w:val="none" w:sz="0" w:space="0" w:color="auto"/>
              </w:divBdr>
            </w:div>
          </w:divsChild>
        </w:div>
        <w:div w:id="1970085648">
          <w:marLeft w:val="0"/>
          <w:marRight w:val="0"/>
          <w:marTop w:val="0"/>
          <w:marBottom w:val="0"/>
          <w:divBdr>
            <w:top w:val="none" w:sz="0" w:space="0" w:color="auto"/>
            <w:left w:val="none" w:sz="0" w:space="0" w:color="auto"/>
            <w:bottom w:val="none" w:sz="0" w:space="0" w:color="auto"/>
            <w:right w:val="none" w:sz="0" w:space="0" w:color="auto"/>
          </w:divBdr>
          <w:divsChild>
            <w:div w:id="420807483">
              <w:marLeft w:val="0"/>
              <w:marRight w:val="0"/>
              <w:marTop w:val="0"/>
              <w:marBottom w:val="0"/>
              <w:divBdr>
                <w:top w:val="none" w:sz="0" w:space="0" w:color="auto"/>
                <w:left w:val="none" w:sz="0" w:space="0" w:color="auto"/>
                <w:bottom w:val="none" w:sz="0" w:space="0" w:color="auto"/>
                <w:right w:val="none" w:sz="0" w:space="0" w:color="auto"/>
              </w:divBdr>
            </w:div>
            <w:div w:id="1254583317">
              <w:marLeft w:val="0"/>
              <w:marRight w:val="0"/>
              <w:marTop w:val="0"/>
              <w:marBottom w:val="0"/>
              <w:divBdr>
                <w:top w:val="none" w:sz="0" w:space="0" w:color="auto"/>
                <w:left w:val="none" w:sz="0" w:space="0" w:color="auto"/>
                <w:bottom w:val="none" w:sz="0" w:space="0" w:color="auto"/>
                <w:right w:val="none" w:sz="0" w:space="0" w:color="auto"/>
              </w:divBdr>
            </w:div>
          </w:divsChild>
        </w:div>
        <w:div w:id="2081898359">
          <w:marLeft w:val="0"/>
          <w:marRight w:val="0"/>
          <w:marTop w:val="0"/>
          <w:marBottom w:val="0"/>
          <w:divBdr>
            <w:top w:val="none" w:sz="0" w:space="0" w:color="auto"/>
            <w:left w:val="none" w:sz="0" w:space="0" w:color="auto"/>
            <w:bottom w:val="none" w:sz="0" w:space="0" w:color="auto"/>
            <w:right w:val="none" w:sz="0" w:space="0" w:color="auto"/>
          </w:divBdr>
          <w:divsChild>
            <w:div w:id="540167814">
              <w:marLeft w:val="0"/>
              <w:marRight w:val="0"/>
              <w:marTop w:val="0"/>
              <w:marBottom w:val="0"/>
              <w:divBdr>
                <w:top w:val="none" w:sz="0" w:space="0" w:color="auto"/>
                <w:left w:val="none" w:sz="0" w:space="0" w:color="auto"/>
                <w:bottom w:val="none" w:sz="0" w:space="0" w:color="auto"/>
                <w:right w:val="none" w:sz="0" w:space="0" w:color="auto"/>
              </w:divBdr>
            </w:div>
          </w:divsChild>
        </w:div>
        <w:div w:id="2105422140">
          <w:marLeft w:val="0"/>
          <w:marRight w:val="0"/>
          <w:marTop w:val="0"/>
          <w:marBottom w:val="0"/>
          <w:divBdr>
            <w:top w:val="none" w:sz="0" w:space="0" w:color="auto"/>
            <w:left w:val="none" w:sz="0" w:space="0" w:color="auto"/>
            <w:bottom w:val="none" w:sz="0" w:space="0" w:color="auto"/>
            <w:right w:val="none" w:sz="0" w:space="0" w:color="auto"/>
          </w:divBdr>
          <w:divsChild>
            <w:div w:id="400560462">
              <w:marLeft w:val="0"/>
              <w:marRight w:val="0"/>
              <w:marTop w:val="0"/>
              <w:marBottom w:val="0"/>
              <w:divBdr>
                <w:top w:val="none" w:sz="0" w:space="0" w:color="auto"/>
                <w:left w:val="none" w:sz="0" w:space="0" w:color="auto"/>
                <w:bottom w:val="none" w:sz="0" w:space="0" w:color="auto"/>
                <w:right w:val="none" w:sz="0" w:space="0" w:color="auto"/>
              </w:divBdr>
            </w:div>
            <w:div w:id="19671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2567">
      <w:bodyDiv w:val="1"/>
      <w:marLeft w:val="0"/>
      <w:marRight w:val="0"/>
      <w:marTop w:val="0"/>
      <w:marBottom w:val="0"/>
      <w:divBdr>
        <w:top w:val="none" w:sz="0" w:space="0" w:color="auto"/>
        <w:left w:val="none" w:sz="0" w:space="0" w:color="auto"/>
        <w:bottom w:val="none" w:sz="0" w:space="0" w:color="auto"/>
        <w:right w:val="none" w:sz="0" w:space="0" w:color="auto"/>
      </w:divBdr>
    </w:div>
    <w:div w:id="718893291">
      <w:bodyDiv w:val="1"/>
      <w:marLeft w:val="0"/>
      <w:marRight w:val="0"/>
      <w:marTop w:val="0"/>
      <w:marBottom w:val="0"/>
      <w:divBdr>
        <w:top w:val="none" w:sz="0" w:space="0" w:color="auto"/>
        <w:left w:val="none" w:sz="0" w:space="0" w:color="auto"/>
        <w:bottom w:val="none" w:sz="0" w:space="0" w:color="auto"/>
        <w:right w:val="none" w:sz="0" w:space="0" w:color="auto"/>
      </w:divBdr>
    </w:div>
    <w:div w:id="739331663">
      <w:bodyDiv w:val="1"/>
      <w:marLeft w:val="0"/>
      <w:marRight w:val="0"/>
      <w:marTop w:val="0"/>
      <w:marBottom w:val="0"/>
      <w:divBdr>
        <w:top w:val="none" w:sz="0" w:space="0" w:color="auto"/>
        <w:left w:val="none" w:sz="0" w:space="0" w:color="auto"/>
        <w:bottom w:val="none" w:sz="0" w:space="0" w:color="auto"/>
        <w:right w:val="none" w:sz="0" w:space="0" w:color="auto"/>
      </w:divBdr>
    </w:div>
    <w:div w:id="740910929">
      <w:bodyDiv w:val="1"/>
      <w:marLeft w:val="0"/>
      <w:marRight w:val="0"/>
      <w:marTop w:val="0"/>
      <w:marBottom w:val="0"/>
      <w:divBdr>
        <w:top w:val="none" w:sz="0" w:space="0" w:color="auto"/>
        <w:left w:val="none" w:sz="0" w:space="0" w:color="auto"/>
        <w:bottom w:val="none" w:sz="0" w:space="0" w:color="auto"/>
        <w:right w:val="none" w:sz="0" w:space="0" w:color="auto"/>
      </w:divBdr>
    </w:div>
    <w:div w:id="756291245">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31995002">
      <w:bodyDiv w:val="1"/>
      <w:marLeft w:val="0"/>
      <w:marRight w:val="0"/>
      <w:marTop w:val="0"/>
      <w:marBottom w:val="0"/>
      <w:divBdr>
        <w:top w:val="none" w:sz="0" w:space="0" w:color="auto"/>
        <w:left w:val="none" w:sz="0" w:space="0" w:color="auto"/>
        <w:bottom w:val="none" w:sz="0" w:space="0" w:color="auto"/>
        <w:right w:val="none" w:sz="0" w:space="0" w:color="auto"/>
      </w:divBdr>
    </w:div>
    <w:div w:id="848174705">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51790283">
      <w:bodyDiv w:val="1"/>
      <w:marLeft w:val="0"/>
      <w:marRight w:val="0"/>
      <w:marTop w:val="0"/>
      <w:marBottom w:val="0"/>
      <w:divBdr>
        <w:top w:val="none" w:sz="0" w:space="0" w:color="auto"/>
        <w:left w:val="none" w:sz="0" w:space="0" w:color="auto"/>
        <w:bottom w:val="none" w:sz="0" w:space="0" w:color="auto"/>
        <w:right w:val="none" w:sz="0" w:space="0" w:color="auto"/>
      </w:divBdr>
    </w:div>
    <w:div w:id="966085917">
      <w:bodyDiv w:val="1"/>
      <w:marLeft w:val="0"/>
      <w:marRight w:val="0"/>
      <w:marTop w:val="0"/>
      <w:marBottom w:val="0"/>
      <w:divBdr>
        <w:top w:val="none" w:sz="0" w:space="0" w:color="auto"/>
        <w:left w:val="none" w:sz="0" w:space="0" w:color="auto"/>
        <w:bottom w:val="none" w:sz="0" w:space="0" w:color="auto"/>
        <w:right w:val="none" w:sz="0" w:space="0" w:color="auto"/>
      </w:divBdr>
      <w:divsChild>
        <w:div w:id="1052272465">
          <w:marLeft w:val="0"/>
          <w:marRight w:val="0"/>
          <w:marTop w:val="0"/>
          <w:marBottom w:val="0"/>
          <w:divBdr>
            <w:top w:val="none" w:sz="0" w:space="0" w:color="auto"/>
            <w:left w:val="none" w:sz="0" w:space="0" w:color="auto"/>
            <w:bottom w:val="none" w:sz="0" w:space="0" w:color="auto"/>
            <w:right w:val="none" w:sz="0" w:space="0" w:color="auto"/>
          </w:divBdr>
        </w:div>
        <w:div w:id="2131361820">
          <w:marLeft w:val="0"/>
          <w:marRight w:val="0"/>
          <w:marTop w:val="0"/>
          <w:marBottom w:val="0"/>
          <w:divBdr>
            <w:top w:val="none" w:sz="0" w:space="0" w:color="auto"/>
            <w:left w:val="none" w:sz="0" w:space="0" w:color="auto"/>
            <w:bottom w:val="none" w:sz="0" w:space="0" w:color="auto"/>
            <w:right w:val="none" w:sz="0" w:space="0" w:color="auto"/>
          </w:divBdr>
        </w:div>
      </w:divsChild>
    </w:div>
    <w:div w:id="1042486095">
      <w:bodyDiv w:val="1"/>
      <w:marLeft w:val="0"/>
      <w:marRight w:val="0"/>
      <w:marTop w:val="0"/>
      <w:marBottom w:val="0"/>
      <w:divBdr>
        <w:top w:val="none" w:sz="0" w:space="0" w:color="auto"/>
        <w:left w:val="none" w:sz="0" w:space="0" w:color="auto"/>
        <w:bottom w:val="none" w:sz="0" w:space="0" w:color="auto"/>
        <w:right w:val="none" w:sz="0" w:space="0" w:color="auto"/>
      </w:divBdr>
      <w:divsChild>
        <w:div w:id="72091320">
          <w:marLeft w:val="0"/>
          <w:marRight w:val="0"/>
          <w:marTop w:val="0"/>
          <w:marBottom w:val="0"/>
          <w:divBdr>
            <w:top w:val="none" w:sz="0" w:space="0" w:color="auto"/>
            <w:left w:val="none" w:sz="0" w:space="0" w:color="auto"/>
            <w:bottom w:val="none" w:sz="0" w:space="0" w:color="auto"/>
            <w:right w:val="none" w:sz="0" w:space="0" w:color="auto"/>
          </w:divBdr>
        </w:div>
        <w:div w:id="81920830">
          <w:marLeft w:val="0"/>
          <w:marRight w:val="0"/>
          <w:marTop w:val="0"/>
          <w:marBottom w:val="0"/>
          <w:divBdr>
            <w:top w:val="none" w:sz="0" w:space="0" w:color="auto"/>
            <w:left w:val="none" w:sz="0" w:space="0" w:color="auto"/>
            <w:bottom w:val="none" w:sz="0" w:space="0" w:color="auto"/>
            <w:right w:val="none" w:sz="0" w:space="0" w:color="auto"/>
          </w:divBdr>
        </w:div>
        <w:div w:id="160702339">
          <w:marLeft w:val="0"/>
          <w:marRight w:val="0"/>
          <w:marTop w:val="0"/>
          <w:marBottom w:val="0"/>
          <w:divBdr>
            <w:top w:val="none" w:sz="0" w:space="0" w:color="auto"/>
            <w:left w:val="none" w:sz="0" w:space="0" w:color="auto"/>
            <w:bottom w:val="none" w:sz="0" w:space="0" w:color="auto"/>
            <w:right w:val="none" w:sz="0" w:space="0" w:color="auto"/>
          </w:divBdr>
          <w:divsChild>
            <w:div w:id="293873474">
              <w:marLeft w:val="0"/>
              <w:marRight w:val="0"/>
              <w:marTop w:val="0"/>
              <w:marBottom w:val="0"/>
              <w:divBdr>
                <w:top w:val="none" w:sz="0" w:space="0" w:color="auto"/>
                <w:left w:val="none" w:sz="0" w:space="0" w:color="auto"/>
                <w:bottom w:val="none" w:sz="0" w:space="0" w:color="auto"/>
                <w:right w:val="none" w:sz="0" w:space="0" w:color="auto"/>
              </w:divBdr>
            </w:div>
            <w:div w:id="294219129">
              <w:marLeft w:val="0"/>
              <w:marRight w:val="0"/>
              <w:marTop w:val="0"/>
              <w:marBottom w:val="0"/>
              <w:divBdr>
                <w:top w:val="none" w:sz="0" w:space="0" w:color="auto"/>
                <w:left w:val="none" w:sz="0" w:space="0" w:color="auto"/>
                <w:bottom w:val="none" w:sz="0" w:space="0" w:color="auto"/>
                <w:right w:val="none" w:sz="0" w:space="0" w:color="auto"/>
              </w:divBdr>
            </w:div>
            <w:div w:id="349457046">
              <w:marLeft w:val="0"/>
              <w:marRight w:val="0"/>
              <w:marTop w:val="0"/>
              <w:marBottom w:val="0"/>
              <w:divBdr>
                <w:top w:val="none" w:sz="0" w:space="0" w:color="auto"/>
                <w:left w:val="none" w:sz="0" w:space="0" w:color="auto"/>
                <w:bottom w:val="none" w:sz="0" w:space="0" w:color="auto"/>
                <w:right w:val="none" w:sz="0" w:space="0" w:color="auto"/>
              </w:divBdr>
            </w:div>
            <w:div w:id="429350849">
              <w:marLeft w:val="0"/>
              <w:marRight w:val="0"/>
              <w:marTop w:val="0"/>
              <w:marBottom w:val="0"/>
              <w:divBdr>
                <w:top w:val="none" w:sz="0" w:space="0" w:color="auto"/>
                <w:left w:val="none" w:sz="0" w:space="0" w:color="auto"/>
                <w:bottom w:val="none" w:sz="0" w:space="0" w:color="auto"/>
                <w:right w:val="none" w:sz="0" w:space="0" w:color="auto"/>
              </w:divBdr>
            </w:div>
            <w:div w:id="561794039">
              <w:marLeft w:val="0"/>
              <w:marRight w:val="0"/>
              <w:marTop w:val="0"/>
              <w:marBottom w:val="0"/>
              <w:divBdr>
                <w:top w:val="none" w:sz="0" w:space="0" w:color="auto"/>
                <w:left w:val="none" w:sz="0" w:space="0" w:color="auto"/>
                <w:bottom w:val="none" w:sz="0" w:space="0" w:color="auto"/>
                <w:right w:val="none" w:sz="0" w:space="0" w:color="auto"/>
              </w:divBdr>
            </w:div>
            <w:div w:id="815998421">
              <w:marLeft w:val="0"/>
              <w:marRight w:val="0"/>
              <w:marTop w:val="0"/>
              <w:marBottom w:val="0"/>
              <w:divBdr>
                <w:top w:val="none" w:sz="0" w:space="0" w:color="auto"/>
                <w:left w:val="none" w:sz="0" w:space="0" w:color="auto"/>
                <w:bottom w:val="none" w:sz="0" w:space="0" w:color="auto"/>
                <w:right w:val="none" w:sz="0" w:space="0" w:color="auto"/>
              </w:divBdr>
            </w:div>
            <w:div w:id="827525546">
              <w:marLeft w:val="0"/>
              <w:marRight w:val="0"/>
              <w:marTop w:val="0"/>
              <w:marBottom w:val="0"/>
              <w:divBdr>
                <w:top w:val="none" w:sz="0" w:space="0" w:color="auto"/>
                <w:left w:val="none" w:sz="0" w:space="0" w:color="auto"/>
                <w:bottom w:val="none" w:sz="0" w:space="0" w:color="auto"/>
                <w:right w:val="none" w:sz="0" w:space="0" w:color="auto"/>
              </w:divBdr>
            </w:div>
            <w:div w:id="840967779">
              <w:marLeft w:val="0"/>
              <w:marRight w:val="0"/>
              <w:marTop w:val="0"/>
              <w:marBottom w:val="0"/>
              <w:divBdr>
                <w:top w:val="none" w:sz="0" w:space="0" w:color="auto"/>
                <w:left w:val="none" w:sz="0" w:space="0" w:color="auto"/>
                <w:bottom w:val="none" w:sz="0" w:space="0" w:color="auto"/>
                <w:right w:val="none" w:sz="0" w:space="0" w:color="auto"/>
              </w:divBdr>
            </w:div>
            <w:div w:id="856818638">
              <w:marLeft w:val="0"/>
              <w:marRight w:val="0"/>
              <w:marTop w:val="0"/>
              <w:marBottom w:val="0"/>
              <w:divBdr>
                <w:top w:val="none" w:sz="0" w:space="0" w:color="auto"/>
                <w:left w:val="none" w:sz="0" w:space="0" w:color="auto"/>
                <w:bottom w:val="none" w:sz="0" w:space="0" w:color="auto"/>
                <w:right w:val="none" w:sz="0" w:space="0" w:color="auto"/>
              </w:divBdr>
            </w:div>
            <w:div w:id="903832334">
              <w:marLeft w:val="0"/>
              <w:marRight w:val="0"/>
              <w:marTop w:val="0"/>
              <w:marBottom w:val="0"/>
              <w:divBdr>
                <w:top w:val="none" w:sz="0" w:space="0" w:color="auto"/>
                <w:left w:val="none" w:sz="0" w:space="0" w:color="auto"/>
                <w:bottom w:val="none" w:sz="0" w:space="0" w:color="auto"/>
                <w:right w:val="none" w:sz="0" w:space="0" w:color="auto"/>
              </w:divBdr>
            </w:div>
            <w:div w:id="961881605">
              <w:marLeft w:val="0"/>
              <w:marRight w:val="0"/>
              <w:marTop w:val="0"/>
              <w:marBottom w:val="0"/>
              <w:divBdr>
                <w:top w:val="none" w:sz="0" w:space="0" w:color="auto"/>
                <w:left w:val="none" w:sz="0" w:space="0" w:color="auto"/>
                <w:bottom w:val="none" w:sz="0" w:space="0" w:color="auto"/>
                <w:right w:val="none" w:sz="0" w:space="0" w:color="auto"/>
              </w:divBdr>
            </w:div>
            <w:div w:id="1070809060">
              <w:marLeft w:val="0"/>
              <w:marRight w:val="0"/>
              <w:marTop w:val="0"/>
              <w:marBottom w:val="0"/>
              <w:divBdr>
                <w:top w:val="none" w:sz="0" w:space="0" w:color="auto"/>
                <w:left w:val="none" w:sz="0" w:space="0" w:color="auto"/>
                <w:bottom w:val="none" w:sz="0" w:space="0" w:color="auto"/>
                <w:right w:val="none" w:sz="0" w:space="0" w:color="auto"/>
              </w:divBdr>
            </w:div>
            <w:div w:id="1189442608">
              <w:marLeft w:val="0"/>
              <w:marRight w:val="0"/>
              <w:marTop w:val="0"/>
              <w:marBottom w:val="0"/>
              <w:divBdr>
                <w:top w:val="none" w:sz="0" w:space="0" w:color="auto"/>
                <w:left w:val="none" w:sz="0" w:space="0" w:color="auto"/>
                <w:bottom w:val="none" w:sz="0" w:space="0" w:color="auto"/>
                <w:right w:val="none" w:sz="0" w:space="0" w:color="auto"/>
              </w:divBdr>
            </w:div>
            <w:div w:id="1411123100">
              <w:marLeft w:val="0"/>
              <w:marRight w:val="0"/>
              <w:marTop w:val="0"/>
              <w:marBottom w:val="0"/>
              <w:divBdr>
                <w:top w:val="none" w:sz="0" w:space="0" w:color="auto"/>
                <w:left w:val="none" w:sz="0" w:space="0" w:color="auto"/>
                <w:bottom w:val="none" w:sz="0" w:space="0" w:color="auto"/>
                <w:right w:val="none" w:sz="0" w:space="0" w:color="auto"/>
              </w:divBdr>
            </w:div>
            <w:div w:id="1415127726">
              <w:marLeft w:val="0"/>
              <w:marRight w:val="0"/>
              <w:marTop w:val="0"/>
              <w:marBottom w:val="0"/>
              <w:divBdr>
                <w:top w:val="none" w:sz="0" w:space="0" w:color="auto"/>
                <w:left w:val="none" w:sz="0" w:space="0" w:color="auto"/>
                <w:bottom w:val="none" w:sz="0" w:space="0" w:color="auto"/>
                <w:right w:val="none" w:sz="0" w:space="0" w:color="auto"/>
              </w:divBdr>
            </w:div>
            <w:div w:id="1755592508">
              <w:marLeft w:val="0"/>
              <w:marRight w:val="0"/>
              <w:marTop w:val="0"/>
              <w:marBottom w:val="0"/>
              <w:divBdr>
                <w:top w:val="none" w:sz="0" w:space="0" w:color="auto"/>
                <w:left w:val="none" w:sz="0" w:space="0" w:color="auto"/>
                <w:bottom w:val="none" w:sz="0" w:space="0" w:color="auto"/>
                <w:right w:val="none" w:sz="0" w:space="0" w:color="auto"/>
              </w:divBdr>
            </w:div>
            <w:div w:id="1782414473">
              <w:marLeft w:val="0"/>
              <w:marRight w:val="0"/>
              <w:marTop w:val="0"/>
              <w:marBottom w:val="0"/>
              <w:divBdr>
                <w:top w:val="none" w:sz="0" w:space="0" w:color="auto"/>
                <w:left w:val="none" w:sz="0" w:space="0" w:color="auto"/>
                <w:bottom w:val="none" w:sz="0" w:space="0" w:color="auto"/>
                <w:right w:val="none" w:sz="0" w:space="0" w:color="auto"/>
              </w:divBdr>
            </w:div>
            <w:div w:id="1857841617">
              <w:marLeft w:val="0"/>
              <w:marRight w:val="0"/>
              <w:marTop w:val="0"/>
              <w:marBottom w:val="0"/>
              <w:divBdr>
                <w:top w:val="none" w:sz="0" w:space="0" w:color="auto"/>
                <w:left w:val="none" w:sz="0" w:space="0" w:color="auto"/>
                <w:bottom w:val="none" w:sz="0" w:space="0" w:color="auto"/>
                <w:right w:val="none" w:sz="0" w:space="0" w:color="auto"/>
              </w:divBdr>
            </w:div>
            <w:div w:id="1974825649">
              <w:marLeft w:val="0"/>
              <w:marRight w:val="0"/>
              <w:marTop w:val="0"/>
              <w:marBottom w:val="0"/>
              <w:divBdr>
                <w:top w:val="none" w:sz="0" w:space="0" w:color="auto"/>
                <w:left w:val="none" w:sz="0" w:space="0" w:color="auto"/>
                <w:bottom w:val="none" w:sz="0" w:space="0" w:color="auto"/>
                <w:right w:val="none" w:sz="0" w:space="0" w:color="auto"/>
              </w:divBdr>
            </w:div>
          </w:divsChild>
        </w:div>
        <w:div w:id="225847742">
          <w:marLeft w:val="0"/>
          <w:marRight w:val="0"/>
          <w:marTop w:val="0"/>
          <w:marBottom w:val="0"/>
          <w:divBdr>
            <w:top w:val="none" w:sz="0" w:space="0" w:color="auto"/>
            <w:left w:val="none" w:sz="0" w:space="0" w:color="auto"/>
            <w:bottom w:val="none" w:sz="0" w:space="0" w:color="auto"/>
            <w:right w:val="none" w:sz="0" w:space="0" w:color="auto"/>
          </w:divBdr>
        </w:div>
        <w:div w:id="230045642">
          <w:marLeft w:val="0"/>
          <w:marRight w:val="0"/>
          <w:marTop w:val="0"/>
          <w:marBottom w:val="0"/>
          <w:divBdr>
            <w:top w:val="none" w:sz="0" w:space="0" w:color="auto"/>
            <w:left w:val="none" w:sz="0" w:space="0" w:color="auto"/>
            <w:bottom w:val="none" w:sz="0" w:space="0" w:color="auto"/>
            <w:right w:val="none" w:sz="0" w:space="0" w:color="auto"/>
          </w:divBdr>
        </w:div>
        <w:div w:id="232815813">
          <w:marLeft w:val="0"/>
          <w:marRight w:val="0"/>
          <w:marTop w:val="0"/>
          <w:marBottom w:val="0"/>
          <w:divBdr>
            <w:top w:val="none" w:sz="0" w:space="0" w:color="auto"/>
            <w:left w:val="none" w:sz="0" w:space="0" w:color="auto"/>
            <w:bottom w:val="none" w:sz="0" w:space="0" w:color="auto"/>
            <w:right w:val="none" w:sz="0" w:space="0" w:color="auto"/>
          </w:divBdr>
        </w:div>
        <w:div w:id="251282199">
          <w:marLeft w:val="0"/>
          <w:marRight w:val="0"/>
          <w:marTop w:val="0"/>
          <w:marBottom w:val="0"/>
          <w:divBdr>
            <w:top w:val="none" w:sz="0" w:space="0" w:color="auto"/>
            <w:left w:val="none" w:sz="0" w:space="0" w:color="auto"/>
            <w:bottom w:val="none" w:sz="0" w:space="0" w:color="auto"/>
            <w:right w:val="none" w:sz="0" w:space="0" w:color="auto"/>
          </w:divBdr>
        </w:div>
        <w:div w:id="253515777">
          <w:marLeft w:val="0"/>
          <w:marRight w:val="0"/>
          <w:marTop w:val="0"/>
          <w:marBottom w:val="0"/>
          <w:divBdr>
            <w:top w:val="none" w:sz="0" w:space="0" w:color="auto"/>
            <w:left w:val="none" w:sz="0" w:space="0" w:color="auto"/>
            <w:bottom w:val="none" w:sz="0" w:space="0" w:color="auto"/>
            <w:right w:val="none" w:sz="0" w:space="0" w:color="auto"/>
          </w:divBdr>
        </w:div>
        <w:div w:id="264121970">
          <w:marLeft w:val="0"/>
          <w:marRight w:val="0"/>
          <w:marTop w:val="0"/>
          <w:marBottom w:val="0"/>
          <w:divBdr>
            <w:top w:val="none" w:sz="0" w:space="0" w:color="auto"/>
            <w:left w:val="none" w:sz="0" w:space="0" w:color="auto"/>
            <w:bottom w:val="none" w:sz="0" w:space="0" w:color="auto"/>
            <w:right w:val="none" w:sz="0" w:space="0" w:color="auto"/>
          </w:divBdr>
        </w:div>
        <w:div w:id="265041332">
          <w:marLeft w:val="0"/>
          <w:marRight w:val="0"/>
          <w:marTop w:val="0"/>
          <w:marBottom w:val="0"/>
          <w:divBdr>
            <w:top w:val="none" w:sz="0" w:space="0" w:color="auto"/>
            <w:left w:val="none" w:sz="0" w:space="0" w:color="auto"/>
            <w:bottom w:val="none" w:sz="0" w:space="0" w:color="auto"/>
            <w:right w:val="none" w:sz="0" w:space="0" w:color="auto"/>
          </w:divBdr>
        </w:div>
        <w:div w:id="366830553">
          <w:marLeft w:val="0"/>
          <w:marRight w:val="0"/>
          <w:marTop w:val="0"/>
          <w:marBottom w:val="0"/>
          <w:divBdr>
            <w:top w:val="none" w:sz="0" w:space="0" w:color="auto"/>
            <w:left w:val="none" w:sz="0" w:space="0" w:color="auto"/>
            <w:bottom w:val="none" w:sz="0" w:space="0" w:color="auto"/>
            <w:right w:val="none" w:sz="0" w:space="0" w:color="auto"/>
          </w:divBdr>
        </w:div>
        <w:div w:id="452480598">
          <w:marLeft w:val="0"/>
          <w:marRight w:val="0"/>
          <w:marTop w:val="0"/>
          <w:marBottom w:val="0"/>
          <w:divBdr>
            <w:top w:val="none" w:sz="0" w:space="0" w:color="auto"/>
            <w:left w:val="none" w:sz="0" w:space="0" w:color="auto"/>
            <w:bottom w:val="none" w:sz="0" w:space="0" w:color="auto"/>
            <w:right w:val="none" w:sz="0" w:space="0" w:color="auto"/>
          </w:divBdr>
        </w:div>
        <w:div w:id="478227435">
          <w:marLeft w:val="0"/>
          <w:marRight w:val="0"/>
          <w:marTop w:val="0"/>
          <w:marBottom w:val="0"/>
          <w:divBdr>
            <w:top w:val="none" w:sz="0" w:space="0" w:color="auto"/>
            <w:left w:val="none" w:sz="0" w:space="0" w:color="auto"/>
            <w:bottom w:val="none" w:sz="0" w:space="0" w:color="auto"/>
            <w:right w:val="none" w:sz="0" w:space="0" w:color="auto"/>
          </w:divBdr>
          <w:divsChild>
            <w:div w:id="1521821179">
              <w:marLeft w:val="-75"/>
              <w:marRight w:val="0"/>
              <w:marTop w:val="30"/>
              <w:marBottom w:val="30"/>
              <w:divBdr>
                <w:top w:val="none" w:sz="0" w:space="0" w:color="auto"/>
                <w:left w:val="none" w:sz="0" w:space="0" w:color="auto"/>
                <w:bottom w:val="none" w:sz="0" w:space="0" w:color="auto"/>
                <w:right w:val="none" w:sz="0" w:space="0" w:color="auto"/>
              </w:divBdr>
              <w:divsChild>
                <w:div w:id="62605614">
                  <w:marLeft w:val="0"/>
                  <w:marRight w:val="0"/>
                  <w:marTop w:val="0"/>
                  <w:marBottom w:val="0"/>
                  <w:divBdr>
                    <w:top w:val="none" w:sz="0" w:space="0" w:color="auto"/>
                    <w:left w:val="none" w:sz="0" w:space="0" w:color="auto"/>
                    <w:bottom w:val="none" w:sz="0" w:space="0" w:color="auto"/>
                    <w:right w:val="none" w:sz="0" w:space="0" w:color="auto"/>
                  </w:divBdr>
                  <w:divsChild>
                    <w:div w:id="1657563941">
                      <w:marLeft w:val="0"/>
                      <w:marRight w:val="0"/>
                      <w:marTop w:val="0"/>
                      <w:marBottom w:val="0"/>
                      <w:divBdr>
                        <w:top w:val="none" w:sz="0" w:space="0" w:color="auto"/>
                        <w:left w:val="none" w:sz="0" w:space="0" w:color="auto"/>
                        <w:bottom w:val="none" w:sz="0" w:space="0" w:color="auto"/>
                        <w:right w:val="none" w:sz="0" w:space="0" w:color="auto"/>
                      </w:divBdr>
                    </w:div>
                  </w:divsChild>
                </w:div>
                <w:div w:id="88696945">
                  <w:marLeft w:val="0"/>
                  <w:marRight w:val="0"/>
                  <w:marTop w:val="0"/>
                  <w:marBottom w:val="0"/>
                  <w:divBdr>
                    <w:top w:val="none" w:sz="0" w:space="0" w:color="auto"/>
                    <w:left w:val="none" w:sz="0" w:space="0" w:color="auto"/>
                    <w:bottom w:val="none" w:sz="0" w:space="0" w:color="auto"/>
                    <w:right w:val="none" w:sz="0" w:space="0" w:color="auto"/>
                  </w:divBdr>
                  <w:divsChild>
                    <w:div w:id="1239553816">
                      <w:marLeft w:val="0"/>
                      <w:marRight w:val="0"/>
                      <w:marTop w:val="0"/>
                      <w:marBottom w:val="0"/>
                      <w:divBdr>
                        <w:top w:val="none" w:sz="0" w:space="0" w:color="auto"/>
                        <w:left w:val="none" w:sz="0" w:space="0" w:color="auto"/>
                        <w:bottom w:val="none" w:sz="0" w:space="0" w:color="auto"/>
                        <w:right w:val="none" w:sz="0" w:space="0" w:color="auto"/>
                      </w:divBdr>
                    </w:div>
                  </w:divsChild>
                </w:div>
                <w:div w:id="196309299">
                  <w:marLeft w:val="0"/>
                  <w:marRight w:val="0"/>
                  <w:marTop w:val="0"/>
                  <w:marBottom w:val="0"/>
                  <w:divBdr>
                    <w:top w:val="none" w:sz="0" w:space="0" w:color="auto"/>
                    <w:left w:val="none" w:sz="0" w:space="0" w:color="auto"/>
                    <w:bottom w:val="none" w:sz="0" w:space="0" w:color="auto"/>
                    <w:right w:val="none" w:sz="0" w:space="0" w:color="auto"/>
                  </w:divBdr>
                  <w:divsChild>
                    <w:div w:id="353730189">
                      <w:marLeft w:val="0"/>
                      <w:marRight w:val="0"/>
                      <w:marTop w:val="0"/>
                      <w:marBottom w:val="0"/>
                      <w:divBdr>
                        <w:top w:val="none" w:sz="0" w:space="0" w:color="auto"/>
                        <w:left w:val="none" w:sz="0" w:space="0" w:color="auto"/>
                        <w:bottom w:val="none" w:sz="0" w:space="0" w:color="auto"/>
                        <w:right w:val="none" w:sz="0" w:space="0" w:color="auto"/>
                      </w:divBdr>
                    </w:div>
                  </w:divsChild>
                </w:div>
                <w:div w:id="346250614">
                  <w:marLeft w:val="0"/>
                  <w:marRight w:val="0"/>
                  <w:marTop w:val="0"/>
                  <w:marBottom w:val="0"/>
                  <w:divBdr>
                    <w:top w:val="none" w:sz="0" w:space="0" w:color="auto"/>
                    <w:left w:val="none" w:sz="0" w:space="0" w:color="auto"/>
                    <w:bottom w:val="none" w:sz="0" w:space="0" w:color="auto"/>
                    <w:right w:val="none" w:sz="0" w:space="0" w:color="auto"/>
                  </w:divBdr>
                  <w:divsChild>
                    <w:div w:id="1597248223">
                      <w:marLeft w:val="0"/>
                      <w:marRight w:val="0"/>
                      <w:marTop w:val="0"/>
                      <w:marBottom w:val="0"/>
                      <w:divBdr>
                        <w:top w:val="none" w:sz="0" w:space="0" w:color="auto"/>
                        <w:left w:val="none" w:sz="0" w:space="0" w:color="auto"/>
                        <w:bottom w:val="none" w:sz="0" w:space="0" w:color="auto"/>
                        <w:right w:val="none" w:sz="0" w:space="0" w:color="auto"/>
                      </w:divBdr>
                    </w:div>
                  </w:divsChild>
                </w:div>
                <w:div w:id="400829944">
                  <w:marLeft w:val="0"/>
                  <w:marRight w:val="0"/>
                  <w:marTop w:val="0"/>
                  <w:marBottom w:val="0"/>
                  <w:divBdr>
                    <w:top w:val="none" w:sz="0" w:space="0" w:color="auto"/>
                    <w:left w:val="none" w:sz="0" w:space="0" w:color="auto"/>
                    <w:bottom w:val="none" w:sz="0" w:space="0" w:color="auto"/>
                    <w:right w:val="none" w:sz="0" w:space="0" w:color="auto"/>
                  </w:divBdr>
                  <w:divsChild>
                    <w:div w:id="1938712437">
                      <w:marLeft w:val="0"/>
                      <w:marRight w:val="0"/>
                      <w:marTop w:val="0"/>
                      <w:marBottom w:val="0"/>
                      <w:divBdr>
                        <w:top w:val="none" w:sz="0" w:space="0" w:color="auto"/>
                        <w:left w:val="none" w:sz="0" w:space="0" w:color="auto"/>
                        <w:bottom w:val="none" w:sz="0" w:space="0" w:color="auto"/>
                        <w:right w:val="none" w:sz="0" w:space="0" w:color="auto"/>
                      </w:divBdr>
                    </w:div>
                  </w:divsChild>
                </w:div>
                <w:div w:id="522133450">
                  <w:marLeft w:val="0"/>
                  <w:marRight w:val="0"/>
                  <w:marTop w:val="0"/>
                  <w:marBottom w:val="0"/>
                  <w:divBdr>
                    <w:top w:val="none" w:sz="0" w:space="0" w:color="auto"/>
                    <w:left w:val="none" w:sz="0" w:space="0" w:color="auto"/>
                    <w:bottom w:val="none" w:sz="0" w:space="0" w:color="auto"/>
                    <w:right w:val="none" w:sz="0" w:space="0" w:color="auto"/>
                  </w:divBdr>
                  <w:divsChild>
                    <w:div w:id="221673301">
                      <w:marLeft w:val="0"/>
                      <w:marRight w:val="0"/>
                      <w:marTop w:val="0"/>
                      <w:marBottom w:val="0"/>
                      <w:divBdr>
                        <w:top w:val="none" w:sz="0" w:space="0" w:color="auto"/>
                        <w:left w:val="none" w:sz="0" w:space="0" w:color="auto"/>
                        <w:bottom w:val="none" w:sz="0" w:space="0" w:color="auto"/>
                        <w:right w:val="none" w:sz="0" w:space="0" w:color="auto"/>
                      </w:divBdr>
                    </w:div>
                  </w:divsChild>
                </w:div>
                <w:div w:id="562718389">
                  <w:marLeft w:val="0"/>
                  <w:marRight w:val="0"/>
                  <w:marTop w:val="0"/>
                  <w:marBottom w:val="0"/>
                  <w:divBdr>
                    <w:top w:val="none" w:sz="0" w:space="0" w:color="auto"/>
                    <w:left w:val="none" w:sz="0" w:space="0" w:color="auto"/>
                    <w:bottom w:val="none" w:sz="0" w:space="0" w:color="auto"/>
                    <w:right w:val="none" w:sz="0" w:space="0" w:color="auto"/>
                  </w:divBdr>
                  <w:divsChild>
                    <w:div w:id="2090805208">
                      <w:marLeft w:val="0"/>
                      <w:marRight w:val="0"/>
                      <w:marTop w:val="0"/>
                      <w:marBottom w:val="0"/>
                      <w:divBdr>
                        <w:top w:val="none" w:sz="0" w:space="0" w:color="auto"/>
                        <w:left w:val="none" w:sz="0" w:space="0" w:color="auto"/>
                        <w:bottom w:val="none" w:sz="0" w:space="0" w:color="auto"/>
                        <w:right w:val="none" w:sz="0" w:space="0" w:color="auto"/>
                      </w:divBdr>
                    </w:div>
                  </w:divsChild>
                </w:div>
                <w:div w:id="655305987">
                  <w:marLeft w:val="0"/>
                  <w:marRight w:val="0"/>
                  <w:marTop w:val="0"/>
                  <w:marBottom w:val="0"/>
                  <w:divBdr>
                    <w:top w:val="none" w:sz="0" w:space="0" w:color="auto"/>
                    <w:left w:val="none" w:sz="0" w:space="0" w:color="auto"/>
                    <w:bottom w:val="none" w:sz="0" w:space="0" w:color="auto"/>
                    <w:right w:val="none" w:sz="0" w:space="0" w:color="auto"/>
                  </w:divBdr>
                  <w:divsChild>
                    <w:div w:id="1487017006">
                      <w:marLeft w:val="0"/>
                      <w:marRight w:val="0"/>
                      <w:marTop w:val="0"/>
                      <w:marBottom w:val="0"/>
                      <w:divBdr>
                        <w:top w:val="none" w:sz="0" w:space="0" w:color="auto"/>
                        <w:left w:val="none" w:sz="0" w:space="0" w:color="auto"/>
                        <w:bottom w:val="none" w:sz="0" w:space="0" w:color="auto"/>
                        <w:right w:val="none" w:sz="0" w:space="0" w:color="auto"/>
                      </w:divBdr>
                    </w:div>
                  </w:divsChild>
                </w:div>
                <w:div w:id="680815521">
                  <w:marLeft w:val="0"/>
                  <w:marRight w:val="0"/>
                  <w:marTop w:val="0"/>
                  <w:marBottom w:val="0"/>
                  <w:divBdr>
                    <w:top w:val="none" w:sz="0" w:space="0" w:color="auto"/>
                    <w:left w:val="none" w:sz="0" w:space="0" w:color="auto"/>
                    <w:bottom w:val="none" w:sz="0" w:space="0" w:color="auto"/>
                    <w:right w:val="none" w:sz="0" w:space="0" w:color="auto"/>
                  </w:divBdr>
                  <w:divsChild>
                    <w:div w:id="88477738">
                      <w:marLeft w:val="0"/>
                      <w:marRight w:val="0"/>
                      <w:marTop w:val="0"/>
                      <w:marBottom w:val="0"/>
                      <w:divBdr>
                        <w:top w:val="none" w:sz="0" w:space="0" w:color="auto"/>
                        <w:left w:val="none" w:sz="0" w:space="0" w:color="auto"/>
                        <w:bottom w:val="none" w:sz="0" w:space="0" w:color="auto"/>
                        <w:right w:val="none" w:sz="0" w:space="0" w:color="auto"/>
                      </w:divBdr>
                    </w:div>
                  </w:divsChild>
                </w:div>
                <w:div w:id="1111556970">
                  <w:marLeft w:val="0"/>
                  <w:marRight w:val="0"/>
                  <w:marTop w:val="0"/>
                  <w:marBottom w:val="0"/>
                  <w:divBdr>
                    <w:top w:val="none" w:sz="0" w:space="0" w:color="auto"/>
                    <w:left w:val="none" w:sz="0" w:space="0" w:color="auto"/>
                    <w:bottom w:val="none" w:sz="0" w:space="0" w:color="auto"/>
                    <w:right w:val="none" w:sz="0" w:space="0" w:color="auto"/>
                  </w:divBdr>
                  <w:divsChild>
                    <w:div w:id="1269121834">
                      <w:marLeft w:val="0"/>
                      <w:marRight w:val="0"/>
                      <w:marTop w:val="0"/>
                      <w:marBottom w:val="0"/>
                      <w:divBdr>
                        <w:top w:val="none" w:sz="0" w:space="0" w:color="auto"/>
                        <w:left w:val="none" w:sz="0" w:space="0" w:color="auto"/>
                        <w:bottom w:val="none" w:sz="0" w:space="0" w:color="auto"/>
                        <w:right w:val="none" w:sz="0" w:space="0" w:color="auto"/>
                      </w:divBdr>
                    </w:div>
                  </w:divsChild>
                </w:div>
                <w:div w:id="1359351411">
                  <w:marLeft w:val="0"/>
                  <w:marRight w:val="0"/>
                  <w:marTop w:val="0"/>
                  <w:marBottom w:val="0"/>
                  <w:divBdr>
                    <w:top w:val="none" w:sz="0" w:space="0" w:color="auto"/>
                    <w:left w:val="none" w:sz="0" w:space="0" w:color="auto"/>
                    <w:bottom w:val="none" w:sz="0" w:space="0" w:color="auto"/>
                    <w:right w:val="none" w:sz="0" w:space="0" w:color="auto"/>
                  </w:divBdr>
                  <w:divsChild>
                    <w:div w:id="599140494">
                      <w:marLeft w:val="0"/>
                      <w:marRight w:val="0"/>
                      <w:marTop w:val="0"/>
                      <w:marBottom w:val="0"/>
                      <w:divBdr>
                        <w:top w:val="none" w:sz="0" w:space="0" w:color="auto"/>
                        <w:left w:val="none" w:sz="0" w:space="0" w:color="auto"/>
                        <w:bottom w:val="none" w:sz="0" w:space="0" w:color="auto"/>
                        <w:right w:val="none" w:sz="0" w:space="0" w:color="auto"/>
                      </w:divBdr>
                    </w:div>
                  </w:divsChild>
                </w:div>
                <w:div w:id="1568615533">
                  <w:marLeft w:val="0"/>
                  <w:marRight w:val="0"/>
                  <w:marTop w:val="0"/>
                  <w:marBottom w:val="0"/>
                  <w:divBdr>
                    <w:top w:val="none" w:sz="0" w:space="0" w:color="auto"/>
                    <w:left w:val="none" w:sz="0" w:space="0" w:color="auto"/>
                    <w:bottom w:val="none" w:sz="0" w:space="0" w:color="auto"/>
                    <w:right w:val="none" w:sz="0" w:space="0" w:color="auto"/>
                  </w:divBdr>
                  <w:divsChild>
                    <w:div w:id="1352534096">
                      <w:marLeft w:val="0"/>
                      <w:marRight w:val="0"/>
                      <w:marTop w:val="0"/>
                      <w:marBottom w:val="0"/>
                      <w:divBdr>
                        <w:top w:val="none" w:sz="0" w:space="0" w:color="auto"/>
                        <w:left w:val="none" w:sz="0" w:space="0" w:color="auto"/>
                        <w:bottom w:val="none" w:sz="0" w:space="0" w:color="auto"/>
                        <w:right w:val="none" w:sz="0" w:space="0" w:color="auto"/>
                      </w:divBdr>
                    </w:div>
                  </w:divsChild>
                </w:div>
                <w:div w:id="1594238987">
                  <w:marLeft w:val="0"/>
                  <w:marRight w:val="0"/>
                  <w:marTop w:val="0"/>
                  <w:marBottom w:val="0"/>
                  <w:divBdr>
                    <w:top w:val="none" w:sz="0" w:space="0" w:color="auto"/>
                    <w:left w:val="none" w:sz="0" w:space="0" w:color="auto"/>
                    <w:bottom w:val="none" w:sz="0" w:space="0" w:color="auto"/>
                    <w:right w:val="none" w:sz="0" w:space="0" w:color="auto"/>
                  </w:divBdr>
                  <w:divsChild>
                    <w:div w:id="302740350">
                      <w:marLeft w:val="0"/>
                      <w:marRight w:val="0"/>
                      <w:marTop w:val="0"/>
                      <w:marBottom w:val="0"/>
                      <w:divBdr>
                        <w:top w:val="none" w:sz="0" w:space="0" w:color="auto"/>
                        <w:left w:val="none" w:sz="0" w:space="0" w:color="auto"/>
                        <w:bottom w:val="none" w:sz="0" w:space="0" w:color="auto"/>
                        <w:right w:val="none" w:sz="0" w:space="0" w:color="auto"/>
                      </w:divBdr>
                    </w:div>
                  </w:divsChild>
                </w:div>
                <w:div w:id="1993674555">
                  <w:marLeft w:val="0"/>
                  <w:marRight w:val="0"/>
                  <w:marTop w:val="0"/>
                  <w:marBottom w:val="0"/>
                  <w:divBdr>
                    <w:top w:val="none" w:sz="0" w:space="0" w:color="auto"/>
                    <w:left w:val="none" w:sz="0" w:space="0" w:color="auto"/>
                    <w:bottom w:val="none" w:sz="0" w:space="0" w:color="auto"/>
                    <w:right w:val="none" w:sz="0" w:space="0" w:color="auto"/>
                  </w:divBdr>
                  <w:divsChild>
                    <w:div w:id="766971544">
                      <w:marLeft w:val="0"/>
                      <w:marRight w:val="0"/>
                      <w:marTop w:val="0"/>
                      <w:marBottom w:val="0"/>
                      <w:divBdr>
                        <w:top w:val="none" w:sz="0" w:space="0" w:color="auto"/>
                        <w:left w:val="none" w:sz="0" w:space="0" w:color="auto"/>
                        <w:bottom w:val="none" w:sz="0" w:space="0" w:color="auto"/>
                        <w:right w:val="none" w:sz="0" w:space="0" w:color="auto"/>
                      </w:divBdr>
                    </w:div>
                  </w:divsChild>
                </w:div>
                <w:div w:id="2133204180">
                  <w:marLeft w:val="0"/>
                  <w:marRight w:val="0"/>
                  <w:marTop w:val="0"/>
                  <w:marBottom w:val="0"/>
                  <w:divBdr>
                    <w:top w:val="none" w:sz="0" w:space="0" w:color="auto"/>
                    <w:left w:val="none" w:sz="0" w:space="0" w:color="auto"/>
                    <w:bottom w:val="none" w:sz="0" w:space="0" w:color="auto"/>
                    <w:right w:val="none" w:sz="0" w:space="0" w:color="auto"/>
                  </w:divBdr>
                  <w:divsChild>
                    <w:div w:id="3841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1623">
          <w:marLeft w:val="0"/>
          <w:marRight w:val="0"/>
          <w:marTop w:val="0"/>
          <w:marBottom w:val="0"/>
          <w:divBdr>
            <w:top w:val="none" w:sz="0" w:space="0" w:color="auto"/>
            <w:left w:val="none" w:sz="0" w:space="0" w:color="auto"/>
            <w:bottom w:val="none" w:sz="0" w:space="0" w:color="auto"/>
            <w:right w:val="none" w:sz="0" w:space="0" w:color="auto"/>
          </w:divBdr>
          <w:divsChild>
            <w:div w:id="292179303">
              <w:marLeft w:val="0"/>
              <w:marRight w:val="0"/>
              <w:marTop w:val="0"/>
              <w:marBottom w:val="0"/>
              <w:divBdr>
                <w:top w:val="none" w:sz="0" w:space="0" w:color="auto"/>
                <w:left w:val="none" w:sz="0" w:space="0" w:color="auto"/>
                <w:bottom w:val="none" w:sz="0" w:space="0" w:color="auto"/>
                <w:right w:val="none" w:sz="0" w:space="0" w:color="auto"/>
              </w:divBdr>
            </w:div>
            <w:div w:id="410129712">
              <w:marLeft w:val="0"/>
              <w:marRight w:val="0"/>
              <w:marTop w:val="0"/>
              <w:marBottom w:val="0"/>
              <w:divBdr>
                <w:top w:val="none" w:sz="0" w:space="0" w:color="auto"/>
                <w:left w:val="none" w:sz="0" w:space="0" w:color="auto"/>
                <w:bottom w:val="none" w:sz="0" w:space="0" w:color="auto"/>
                <w:right w:val="none" w:sz="0" w:space="0" w:color="auto"/>
              </w:divBdr>
            </w:div>
            <w:div w:id="498011044">
              <w:marLeft w:val="0"/>
              <w:marRight w:val="0"/>
              <w:marTop w:val="0"/>
              <w:marBottom w:val="0"/>
              <w:divBdr>
                <w:top w:val="none" w:sz="0" w:space="0" w:color="auto"/>
                <w:left w:val="none" w:sz="0" w:space="0" w:color="auto"/>
                <w:bottom w:val="none" w:sz="0" w:space="0" w:color="auto"/>
                <w:right w:val="none" w:sz="0" w:space="0" w:color="auto"/>
              </w:divBdr>
            </w:div>
            <w:div w:id="697976196">
              <w:marLeft w:val="0"/>
              <w:marRight w:val="0"/>
              <w:marTop w:val="0"/>
              <w:marBottom w:val="0"/>
              <w:divBdr>
                <w:top w:val="none" w:sz="0" w:space="0" w:color="auto"/>
                <w:left w:val="none" w:sz="0" w:space="0" w:color="auto"/>
                <w:bottom w:val="none" w:sz="0" w:space="0" w:color="auto"/>
                <w:right w:val="none" w:sz="0" w:space="0" w:color="auto"/>
              </w:divBdr>
            </w:div>
            <w:div w:id="721028569">
              <w:marLeft w:val="0"/>
              <w:marRight w:val="0"/>
              <w:marTop w:val="0"/>
              <w:marBottom w:val="0"/>
              <w:divBdr>
                <w:top w:val="none" w:sz="0" w:space="0" w:color="auto"/>
                <w:left w:val="none" w:sz="0" w:space="0" w:color="auto"/>
                <w:bottom w:val="none" w:sz="0" w:space="0" w:color="auto"/>
                <w:right w:val="none" w:sz="0" w:space="0" w:color="auto"/>
              </w:divBdr>
            </w:div>
            <w:div w:id="822232638">
              <w:marLeft w:val="0"/>
              <w:marRight w:val="0"/>
              <w:marTop w:val="0"/>
              <w:marBottom w:val="0"/>
              <w:divBdr>
                <w:top w:val="none" w:sz="0" w:space="0" w:color="auto"/>
                <w:left w:val="none" w:sz="0" w:space="0" w:color="auto"/>
                <w:bottom w:val="none" w:sz="0" w:space="0" w:color="auto"/>
                <w:right w:val="none" w:sz="0" w:space="0" w:color="auto"/>
              </w:divBdr>
            </w:div>
            <w:div w:id="1155336586">
              <w:marLeft w:val="0"/>
              <w:marRight w:val="0"/>
              <w:marTop w:val="0"/>
              <w:marBottom w:val="0"/>
              <w:divBdr>
                <w:top w:val="none" w:sz="0" w:space="0" w:color="auto"/>
                <w:left w:val="none" w:sz="0" w:space="0" w:color="auto"/>
                <w:bottom w:val="none" w:sz="0" w:space="0" w:color="auto"/>
                <w:right w:val="none" w:sz="0" w:space="0" w:color="auto"/>
              </w:divBdr>
            </w:div>
            <w:div w:id="1428191688">
              <w:marLeft w:val="0"/>
              <w:marRight w:val="0"/>
              <w:marTop w:val="0"/>
              <w:marBottom w:val="0"/>
              <w:divBdr>
                <w:top w:val="none" w:sz="0" w:space="0" w:color="auto"/>
                <w:left w:val="none" w:sz="0" w:space="0" w:color="auto"/>
                <w:bottom w:val="none" w:sz="0" w:space="0" w:color="auto"/>
                <w:right w:val="none" w:sz="0" w:space="0" w:color="auto"/>
              </w:divBdr>
            </w:div>
            <w:div w:id="1518890631">
              <w:marLeft w:val="0"/>
              <w:marRight w:val="0"/>
              <w:marTop w:val="0"/>
              <w:marBottom w:val="0"/>
              <w:divBdr>
                <w:top w:val="none" w:sz="0" w:space="0" w:color="auto"/>
                <w:left w:val="none" w:sz="0" w:space="0" w:color="auto"/>
                <w:bottom w:val="none" w:sz="0" w:space="0" w:color="auto"/>
                <w:right w:val="none" w:sz="0" w:space="0" w:color="auto"/>
              </w:divBdr>
            </w:div>
            <w:div w:id="1815948689">
              <w:marLeft w:val="0"/>
              <w:marRight w:val="0"/>
              <w:marTop w:val="0"/>
              <w:marBottom w:val="0"/>
              <w:divBdr>
                <w:top w:val="none" w:sz="0" w:space="0" w:color="auto"/>
                <w:left w:val="none" w:sz="0" w:space="0" w:color="auto"/>
                <w:bottom w:val="none" w:sz="0" w:space="0" w:color="auto"/>
                <w:right w:val="none" w:sz="0" w:space="0" w:color="auto"/>
              </w:divBdr>
            </w:div>
            <w:div w:id="1884365243">
              <w:marLeft w:val="0"/>
              <w:marRight w:val="0"/>
              <w:marTop w:val="0"/>
              <w:marBottom w:val="0"/>
              <w:divBdr>
                <w:top w:val="none" w:sz="0" w:space="0" w:color="auto"/>
                <w:left w:val="none" w:sz="0" w:space="0" w:color="auto"/>
                <w:bottom w:val="none" w:sz="0" w:space="0" w:color="auto"/>
                <w:right w:val="none" w:sz="0" w:space="0" w:color="auto"/>
              </w:divBdr>
            </w:div>
            <w:div w:id="1933509050">
              <w:marLeft w:val="0"/>
              <w:marRight w:val="0"/>
              <w:marTop w:val="0"/>
              <w:marBottom w:val="0"/>
              <w:divBdr>
                <w:top w:val="none" w:sz="0" w:space="0" w:color="auto"/>
                <w:left w:val="none" w:sz="0" w:space="0" w:color="auto"/>
                <w:bottom w:val="none" w:sz="0" w:space="0" w:color="auto"/>
                <w:right w:val="none" w:sz="0" w:space="0" w:color="auto"/>
              </w:divBdr>
            </w:div>
            <w:div w:id="1950044746">
              <w:marLeft w:val="0"/>
              <w:marRight w:val="0"/>
              <w:marTop w:val="0"/>
              <w:marBottom w:val="0"/>
              <w:divBdr>
                <w:top w:val="none" w:sz="0" w:space="0" w:color="auto"/>
                <w:left w:val="none" w:sz="0" w:space="0" w:color="auto"/>
                <w:bottom w:val="none" w:sz="0" w:space="0" w:color="auto"/>
                <w:right w:val="none" w:sz="0" w:space="0" w:color="auto"/>
              </w:divBdr>
            </w:div>
            <w:div w:id="2057654485">
              <w:marLeft w:val="0"/>
              <w:marRight w:val="0"/>
              <w:marTop w:val="0"/>
              <w:marBottom w:val="0"/>
              <w:divBdr>
                <w:top w:val="none" w:sz="0" w:space="0" w:color="auto"/>
                <w:left w:val="none" w:sz="0" w:space="0" w:color="auto"/>
                <w:bottom w:val="none" w:sz="0" w:space="0" w:color="auto"/>
                <w:right w:val="none" w:sz="0" w:space="0" w:color="auto"/>
              </w:divBdr>
            </w:div>
          </w:divsChild>
        </w:div>
        <w:div w:id="527062697">
          <w:marLeft w:val="0"/>
          <w:marRight w:val="0"/>
          <w:marTop w:val="0"/>
          <w:marBottom w:val="0"/>
          <w:divBdr>
            <w:top w:val="none" w:sz="0" w:space="0" w:color="auto"/>
            <w:left w:val="none" w:sz="0" w:space="0" w:color="auto"/>
            <w:bottom w:val="none" w:sz="0" w:space="0" w:color="auto"/>
            <w:right w:val="none" w:sz="0" w:space="0" w:color="auto"/>
          </w:divBdr>
        </w:div>
        <w:div w:id="583564595">
          <w:marLeft w:val="0"/>
          <w:marRight w:val="0"/>
          <w:marTop w:val="0"/>
          <w:marBottom w:val="0"/>
          <w:divBdr>
            <w:top w:val="none" w:sz="0" w:space="0" w:color="auto"/>
            <w:left w:val="none" w:sz="0" w:space="0" w:color="auto"/>
            <w:bottom w:val="none" w:sz="0" w:space="0" w:color="auto"/>
            <w:right w:val="none" w:sz="0" w:space="0" w:color="auto"/>
          </w:divBdr>
        </w:div>
        <w:div w:id="586424787">
          <w:marLeft w:val="0"/>
          <w:marRight w:val="0"/>
          <w:marTop w:val="0"/>
          <w:marBottom w:val="0"/>
          <w:divBdr>
            <w:top w:val="none" w:sz="0" w:space="0" w:color="auto"/>
            <w:left w:val="none" w:sz="0" w:space="0" w:color="auto"/>
            <w:bottom w:val="none" w:sz="0" w:space="0" w:color="auto"/>
            <w:right w:val="none" w:sz="0" w:space="0" w:color="auto"/>
          </w:divBdr>
        </w:div>
        <w:div w:id="590549598">
          <w:marLeft w:val="0"/>
          <w:marRight w:val="0"/>
          <w:marTop w:val="0"/>
          <w:marBottom w:val="0"/>
          <w:divBdr>
            <w:top w:val="none" w:sz="0" w:space="0" w:color="auto"/>
            <w:left w:val="none" w:sz="0" w:space="0" w:color="auto"/>
            <w:bottom w:val="none" w:sz="0" w:space="0" w:color="auto"/>
            <w:right w:val="none" w:sz="0" w:space="0" w:color="auto"/>
          </w:divBdr>
        </w:div>
        <w:div w:id="600114463">
          <w:marLeft w:val="0"/>
          <w:marRight w:val="0"/>
          <w:marTop w:val="0"/>
          <w:marBottom w:val="0"/>
          <w:divBdr>
            <w:top w:val="none" w:sz="0" w:space="0" w:color="auto"/>
            <w:left w:val="none" w:sz="0" w:space="0" w:color="auto"/>
            <w:bottom w:val="none" w:sz="0" w:space="0" w:color="auto"/>
            <w:right w:val="none" w:sz="0" w:space="0" w:color="auto"/>
          </w:divBdr>
        </w:div>
        <w:div w:id="658730119">
          <w:marLeft w:val="0"/>
          <w:marRight w:val="0"/>
          <w:marTop w:val="0"/>
          <w:marBottom w:val="0"/>
          <w:divBdr>
            <w:top w:val="none" w:sz="0" w:space="0" w:color="auto"/>
            <w:left w:val="none" w:sz="0" w:space="0" w:color="auto"/>
            <w:bottom w:val="none" w:sz="0" w:space="0" w:color="auto"/>
            <w:right w:val="none" w:sz="0" w:space="0" w:color="auto"/>
          </w:divBdr>
        </w:div>
        <w:div w:id="683290747">
          <w:marLeft w:val="0"/>
          <w:marRight w:val="0"/>
          <w:marTop w:val="0"/>
          <w:marBottom w:val="0"/>
          <w:divBdr>
            <w:top w:val="none" w:sz="0" w:space="0" w:color="auto"/>
            <w:left w:val="none" w:sz="0" w:space="0" w:color="auto"/>
            <w:bottom w:val="none" w:sz="0" w:space="0" w:color="auto"/>
            <w:right w:val="none" w:sz="0" w:space="0" w:color="auto"/>
          </w:divBdr>
          <w:divsChild>
            <w:div w:id="1130319518">
              <w:marLeft w:val="-75"/>
              <w:marRight w:val="0"/>
              <w:marTop w:val="30"/>
              <w:marBottom w:val="30"/>
              <w:divBdr>
                <w:top w:val="none" w:sz="0" w:space="0" w:color="auto"/>
                <w:left w:val="none" w:sz="0" w:space="0" w:color="auto"/>
                <w:bottom w:val="none" w:sz="0" w:space="0" w:color="auto"/>
                <w:right w:val="none" w:sz="0" w:space="0" w:color="auto"/>
              </w:divBdr>
              <w:divsChild>
                <w:div w:id="264118098">
                  <w:marLeft w:val="0"/>
                  <w:marRight w:val="0"/>
                  <w:marTop w:val="0"/>
                  <w:marBottom w:val="0"/>
                  <w:divBdr>
                    <w:top w:val="none" w:sz="0" w:space="0" w:color="auto"/>
                    <w:left w:val="none" w:sz="0" w:space="0" w:color="auto"/>
                    <w:bottom w:val="none" w:sz="0" w:space="0" w:color="auto"/>
                    <w:right w:val="none" w:sz="0" w:space="0" w:color="auto"/>
                  </w:divBdr>
                  <w:divsChild>
                    <w:div w:id="1310358006">
                      <w:marLeft w:val="0"/>
                      <w:marRight w:val="0"/>
                      <w:marTop w:val="0"/>
                      <w:marBottom w:val="0"/>
                      <w:divBdr>
                        <w:top w:val="none" w:sz="0" w:space="0" w:color="auto"/>
                        <w:left w:val="none" w:sz="0" w:space="0" w:color="auto"/>
                        <w:bottom w:val="none" w:sz="0" w:space="0" w:color="auto"/>
                        <w:right w:val="none" w:sz="0" w:space="0" w:color="auto"/>
                      </w:divBdr>
                    </w:div>
                  </w:divsChild>
                </w:div>
                <w:div w:id="290332124">
                  <w:marLeft w:val="0"/>
                  <w:marRight w:val="0"/>
                  <w:marTop w:val="0"/>
                  <w:marBottom w:val="0"/>
                  <w:divBdr>
                    <w:top w:val="none" w:sz="0" w:space="0" w:color="auto"/>
                    <w:left w:val="none" w:sz="0" w:space="0" w:color="auto"/>
                    <w:bottom w:val="none" w:sz="0" w:space="0" w:color="auto"/>
                    <w:right w:val="none" w:sz="0" w:space="0" w:color="auto"/>
                  </w:divBdr>
                  <w:divsChild>
                    <w:div w:id="2079592499">
                      <w:marLeft w:val="0"/>
                      <w:marRight w:val="0"/>
                      <w:marTop w:val="0"/>
                      <w:marBottom w:val="0"/>
                      <w:divBdr>
                        <w:top w:val="none" w:sz="0" w:space="0" w:color="auto"/>
                        <w:left w:val="none" w:sz="0" w:space="0" w:color="auto"/>
                        <w:bottom w:val="none" w:sz="0" w:space="0" w:color="auto"/>
                        <w:right w:val="none" w:sz="0" w:space="0" w:color="auto"/>
                      </w:divBdr>
                    </w:div>
                  </w:divsChild>
                </w:div>
                <w:div w:id="353458714">
                  <w:marLeft w:val="0"/>
                  <w:marRight w:val="0"/>
                  <w:marTop w:val="0"/>
                  <w:marBottom w:val="0"/>
                  <w:divBdr>
                    <w:top w:val="none" w:sz="0" w:space="0" w:color="auto"/>
                    <w:left w:val="none" w:sz="0" w:space="0" w:color="auto"/>
                    <w:bottom w:val="none" w:sz="0" w:space="0" w:color="auto"/>
                    <w:right w:val="none" w:sz="0" w:space="0" w:color="auto"/>
                  </w:divBdr>
                  <w:divsChild>
                    <w:div w:id="1917156968">
                      <w:marLeft w:val="0"/>
                      <w:marRight w:val="0"/>
                      <w:marTop w:val="0"/>
                      <w:marBottom w:val="0"/>
                      <w:divBdr>
                        <w:top w:val="none" w:sz="0" w:space="0" w:color="auto"/>
                        <w:left w:val="none" w:sz="0" w:space="0" w:color="auto"/>
                        <w:bottom w:val="none" w:sz="0" w:space="0" w:color="auto"/>
                        <w:right w:val="none" w:sz="0" w:space="0" w:color="auto"/>
                      </w:divBdr>
                    </w:div>
                  </w:divsChild>
                </w:div>
                <w:div w:id="411045779">
                  <w:marLeft w:val="0"/>
                  <w:marRight w:val="0"/>
                  <w:marTop w:val="0"/>
                  <w:marBottom w:val="0"/>
                  <w:divBdr>
                    <w:top w:val="none" w:sz="0" w:space="0" w:color="auto"/>
                    <w:left w:val="none" w:sz="0" w:space="0" w:color="auto"/>
                    <w:bottom w:val="none" w:sz="0" w:space="0" w:color="auto"/>
                    <w:right w:val="none" w:sz="0" w:space="0" w:color="auto"/>
                  </w:divBdr>
                  <w:divsChild>
                    <w:div w:id="1615399570">
                      <w:marLeft w:val="0"/>
                      <w:marRight w:val="0"/>
                      <w:marTop w:val="0"/>
                      <w:marBottom w:val="0"/>
                      <w:divBdr>
                        <w:top w:val="none" w:sz="0" w:space="0" w:color="auto"/>
                        <w:left w:val="none" w:sz="0" w:space="0" w:color="auto"/>
                        <w:bottom w:val="none" w:sz="0" w:space="0" w:color="auto"/>
                        <w:right w:val="none" w:sz="0" w:space="0" w:color="auto"/>
                      </w:divBdr>
                    </w:div>
                  </w:divsChild>
                </w:div>
                <w:div w:id="537358340">
                  <w:marLeft w:val="0"/>
                  <w:marRight w:val="0"/>
                  <w:marTop w:val="0"/>
                  <w:marBottom w:val="0"/>
                  <w:divBdr>
                    <w:top w:val="none" w:sz="0" w:space="0" w:color="auto"/>
                    <w:left w:val="none" w:sz="0" w:space="0" w:color="auto"/>
                    <w:bottom w:val="none" w:sz="0" w:space="0" w:color="auto"/>
                    <w:right w:val="none" w:sz="0" w:space="0" w:color="auto"/>
                  </w:divBdr>
                  <w:divsChild>
                    <w:div w:id="961040147">
                      <w:marLeft w:val="0"/>
                      <w:marRight w:val="0"/>
                      <w:marTop w:val="0"/>
                      <w:marBottom w:val="0"/>
                      <w:divBdr>
                        <w:top w:val="none" w:sz="0" w:space="0" w:color="auto"/>
                        <w:left w:val="none" w:sz="0" w:space="0" w:color="auto"/>
                        <w:bottom w:val="none" w:sz="0" w:space="0" w:color="auto"/>
                        <w:right w:val="none" w:sz="0" w:space="0" w:color="auto"/>
                      </w:divBdr>
                    </w:div>
                  </w:divsChild>
                </w:div>
                <w:div w:id="559707756">
                  <w:marLeft w:val="0"/>
                  <w:marRight w:val="0"/>
                  <w:marTop w:val="0"/>
                  <w:marBottom w:val="0"/>
                  <w:divBdr>
                    <w:top w:val="none" w:sz="0" w:space="0" w:color="auto"/>
                    <w:left w:val="none" w:sz="0" w:space="0" w:color="auto"/>
                    <w:bottom w:val="none" w:sz="0" w:space="0" w:color="auto"/>
                    <w:right w:val="none" w:sz="0" w:space="0" w:color="auto"/>
                  </w:divBdr>
                  <w:divsChild>
                    <w:div w:id="1458908381">
                      <w:marLeft w:val="0"/>
                      <w:marRight w:val="0"/>
                      <w:marTop w:val="0"/>
                      <w:marBottom w:val="0"/>
                      <w:divBdr>
                        <w:top w:val="none" w:sz="0" w:space="0" w:color="auto"/>
                        <w:left w:val="none" w:sz="0" w:space="0" w:color="auto"/>
                        <w:bottom w:val="none" w:sz="0" w:space="0" w:color="auto"/>
                        <w:right w:val="none" w:sz="0" w:space="0" w:color="auto"/>
                      </w:divBdr>
                    </w:div>
                  </w:divsChild>
                </w:div>
                <w:div w:id="703942803">
                  <w:marLeft w:val="0"/>
                  <w:marRight w:val="0"/>
                  <w:marTop w:val="0"/>
                  <w:marBottom w:val="0"/>
                  <w:divBdr>
                    <w:top w:val="none" w:sz="0" w:space="0" w:color="auto"/>
                    <w:left w:val="none" w:sz="0" w:space="0" w:color="auto"/>
                    <w:bottom w:val="none" w:sz="0" w:space="0" w:color="auto"/>
                    <w:right w:val="none" w:sz="0" w:space="0" w:color="auto"/>
                  </w:divBdr>
                  <w:divsChild>
                    <w:div w:id="798063712">
                      <w:marLeft w:val="0"/>
                      <w:marRight w:val="0"/>
                      <w:marTop w:val="0"/>
                      <w:marBottom w:val="0"/>
                      <w:divBdr>
                        <w:top w:val="none" w:sz="0" w:space="0" w:color="auto"/>
                        <w:left w:val="none" w:sz="0" w:space="0" w:color="auto"/>
                        <w:bottom w:val="none" w:sz="0" w:space="0" w:color="auto"/>
                        <w:right w:val="none" w:sz="0" w:space="0" w:color="auto"/>
                      </w:divBdr>
                    </w:div>
                  </w:divsChild>
                </w:div>
                <w:div w:id="709182921">
                  <w:marLeft w:val="0"/>
                  <w:marRight w:val="0"/>
                  <w:marTop w:val="0"/>
                  <w:marBottom w:val="0"/>
                  <w:divBdr>
                    <w:top w:val="none" w:sz="0" w:space="0" w:color="auto"/>
                    <w:left w:val="none" w:sz="0" w:space="0" w:color="auto"/>
                    <w:bottom w:val="none" w:sz="0" w:space="0" w:color="auto"/>
                    <w:right w:val="none" w:sz="0" w:space="0" w:color="auto"/>
                  </w:divBdr>
                  <w:divsChild>
                    <w:div w:id="1457794035">
                      <w:marLeft w:val="0"/>
                      <w:marRight w:val="0"/>
                      <w:marTop w:val="0"/>
                      <w:marBottom w:val="0"/>
                      <w:divBdr>
                        <w:top w:val="none" w:sz="0" w:space="0" w:color="auto"/>
                        <w:left w:val="none" w:sz="0" w:space="0" w:color="auto"/>
                        <w:bottom w:val="none" w:sz="0" w:space="0" w:color="auto"/>
                        <w:right w:val="none" w:sz="0" w:space="0" w:color="auto"/>
                      </w:divBdr>
                    </w:div>
                  </w:divsChild>
                </w:div>
                <w:div w:id="781073284">
                  <w:marLeft w:val="0"/>
                  <w:marRight w:val="0"/>
                  <w:marTop w:val="0"/>
                  <w:marBottom w:val="0"/>
                  <w:divBdr>
                    <w:top w:val="none" w:sz="0" w:space="0" w:color="auto"/>
                    <w:left w:val="none" w:sz="0" w:space="0" w:color="auto"/>
                    <w:bottom w:val="none" w:sz="0" w:space="0" w:color="auto"/>
                    <w:right w:val="none" w:sz="0" w:space="0" w:color="auto"/>
                  </w:divBdr>
                  <w:divsChild>
                    <w:div w:id="859508938">
                      <w:marLeft w:val="0"/>
                      <w:marRight w:val="0"/>
                      <w:marTop w:val="0"/>
                      <w:marBottom w:val="0"/>
                      <w:divBdr>
                        <w:top w:val="none" w:sz="0" w:space="0" w:color="auto"/>
                        <w:left w:val="none" w:sz="0" w:space="0" w:color="auto"/>
                        <w:bottom w:val="none" w:sz="0" w:space="0" w:color="auto"/>
                        <w:right w:val="none" w:sz="0" w:space="0" w:color="auto"/>
                      </w:divBdr>
                    </w:div>
                  </w:divsChild>
                </w:div>
                <w:div w:id="1382705661">
                  <w:marLeft w:val="0"/>
                  <w:marRight w:val="0"/>
                  <w:marTop w:val="0"/>
                  <w:marBottom w:val="0"/>
                  <w:divBdr>
                    <w:top w:val="none" w:sz="0" w:space="0" w:color="auto"/>
                    <w:left w:val="none" w:sz="0" w:space="0" w:color="auto"/>
                    <w:bottom w:val="none" w:sz="0" w:space="0" w:color="auto"/>
                    <w:right w:val="none" w:sz="0" w:space="0" w:color="auto"/>
                  </w:divBdr>
                  <w:divsChild>
                    <w:div w:id="493108037">
                      <w:marLeft w:val="0"/>
                      <w:marRight w:val="0"/>
                      <w:marTop w:val="0"/>
                      <w:marBottom w:val="0"/>
                      <w:divBdr>
                        <w:top w:val="none" w:sz="0" w:space="0" w:color="auto"/>
                        <w:left w:val="none" w:sz="0" w:space="0" w:color="auto"/>
                        <w:bottom w:val="none" w:sz="0" w:space="0" w:color="auto"/>
                        <w:right w:val="none" w:sz="0" w:space="0" w:color="auto"/>
                      </w:divBdr>
                    </w:div>
                  </w:divsChild>
                </w:div>
                <w:div w:id="1396859096">
                  <w:marLeft w:val="0"/>
                  <w:marRight w:val="0"/>
                  <w:marTop w:val="0"/>
                  <w:marBottom w:val="0"/>
                  <w:divBdr>
                    <w:top w:val="none" w:sz="0" w:space="0" w:color="auto"/>
                    <w:left w:val="none" w:sz="0" w:space="0" w:color="auto"/>
                    <w:bottom w:val="none" w:sz="0" w:space="0" w:color="auto"/>
                    <w:right w:val="none" w:sz="0" w:space="0" w:color="auto"/>
                  </w:divBdr>
                  <w:divsChild>
                    <w:div w:id="839269526">
                      <w:marLeft w:val="0"/>
                      <w:marRight w:val="0"/>
                      <w:marTop w:val="0"/>
                      <w:marBottom w:val="0"/>
                      <w:divBdr>
                        <w:top w:val="none" w:sz="0" w:space="0" w:color="auto"/>
                        <w:left w:val="none" w:sz="0" w:space="0" w:color="auto"/>
                        <w:bottom w:val="none" w:sz="0" w:space="0" w:color="auto"/>
                        <w:right w:val="none" w:sz="0" w:space="0" w:color="auto"/>
                      </w:divBdr>
                    </w:div>
                  </w:divsChild>
                </w:div>
                <w:div w:id="1569461805">
                  <w:marLeft w:val="0"/>
                  <w:marRight w:val="0"/>
                  <w:marTop w:val="0"/>
                  <w:marBottom w:val="0"/>
                  <w:divBdr>
                    <w:top w:val="none" w:sz="0" w:space="0" w:color="auto"/>
                    <w:left w:val="none" w:sz="0" w:space="0" w:color="auto"/>
                    <w:bottom w:val="none" w:sz="0" w:space="0" w:color="auto"/>
                    <w:right w:val="none" w:sz="0" w:space="0" w:color="auto"/>
                  </w:divBdr>
                  <w:divsChild>
                    <w:div w:id="914826515">
                      <w:marLeft w:val="0"/>
                      <w:marRight w:val="0"/>
                      <w:marTop w:val="0"/>
                      <w:marBottom w:val="0"/>
                      <w:divBdr>
                        <w:top w:val="none" w:sz="0" w:space="0" w:color="auto"/>
                        <w:left w:val="none" w:sz="0" w:space="0" w:color="auto"/>
                        <w:bottom w:val="none" w:sz="0" w:space="0" w:color="auto"/>
                        <w:right w:val="none" w:sz="0" w:space="0" w:color="auto"/>
                      </w:divBdr>
                    </w:div>
                  </w:divsChild>
                </w:div>
                <w:div w:id="1903759770">
                  <w:marLeft w:val="0"/>
                  <w:marRight w:val="0"/>
                  <w:marTop w:val="0"/>
                  <w:marBottom w:val="0"/>
                  <w:divBdr>
                    <w:top w:val="none" w:sz="0" w:space="0" w:color="auto"/>
                    <w:left w:val="none" w:sz="0" w:space="0" w:color="auto"/>
                    <w:bottom w:val="none" w:sz="0" w:space="0" w:color="auto"/>
                    <w:right w:val="none" w:sz="0" w:space="0" w:color="auto"/>
                  </w:divBdr>
                  <w:divsChild>
                    <w:div w:id="306280800">
                      <w:marLeft w:val="0"/>
                      <w:marRight w:val="0"/>
                      <w:marTop w:val="0"/>
                      <w:marBottom w:val="0"/>
                      <w:divBdr>
                        <w:top w:val="none" w:sz="0" w:space="0" w:color="auto"/>
                        <w:left w:val="none" w:sz="0" w:space="0" w:color="auto"/>
                        <w:bottom w:val="none" w:sz="0" w:space="0" w:color="auto"/>
                        <w:right w:val="none" w:sz="0" w:space="0" w:color="auto"/>
                      </w:divBdr>
                    </w:div>
                  </w:divsChild>
                </w:div>
                <w:div w:id="1989281737">
                  <w:marLeft w:val="0"/>
                  <w:marRight w:val="0"/>
                  <w:marTop w:val="0"/>
                  <w:marBottom w:val="0"/>
                  <w:divBdr>
                    <w:top w:val="none" w:sz="0" w:space="0" w:color="auto"/>
                    <w:left w:val="none" w:sz="0" w:space="0" w:color="auto"/>
                    <w:bottom w:val="none" w:sz="0" w:space="0" w:color="auto"/>
                    <w:right w:val="none" w:sz="0" w:space="0" w:color="auto"/>
                  </w:divBdr>
                  <w:divsChild>
                    <w:div w:id="42146010">
                      <w:marLeft w:val="0"/>
                      <w:marRight w:val="0"/>
                      <w:marTop w:val="0"/>
                      <w:marBottom w:val="0"/>
                      <w:divBdr>
                        <w:top w:val="none" w:sz="0" w:space="0" w:color="auto"/>
                        <w:left w:val="none" w:sz="0" w:space="0" w:color="auto"/>
                        <w:bottom w:val="none" w:sz="0" w:space="0" w:color="auto"/>
                        <w:right w:val="none" w:sz="0" w:space="0" w:color="auto"/>
                      </w:divBdr>
                    </w:div>
                  </w:divsChild>
                </w:div>
                <w:div w:id="2043938990">
                  <w:marLeft w:val="0"/>
                  <w:marRight w:val="0"/>
                  <w:marTop w:val="0"/>
                  <w:marBottom w:val="0"/>
                  <w:divBdr>
                    <w:top w:val="none" w:sz="0" w:space="0" w:color="auto"/>
                    <w:left w:val="none" w:sz="0" w:space="0" w:color="auto"/>
                    <w:bottom w:val="none" w:sz="0" w:space="0" w:color="auto"/>
                    <w:right w:val="none" w:sz="0" w:space="0" w:color="auto"/>
                  </w:divBdr>
                  <w:divsChild>
                    <w:div w:id="7422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81045">
          <w:marLeft w:val="0"/>
          <w:marRight w:val="0"/>
          <w:marTop w:val="0"/>
          <w:marBottom w:val="0"/>
          <w:divBdr>
            <w:top w:val="none" w:sz="0" w:space="0" w:color="auto"/>
            <w:left w:val="none" w:sz="0" w:space="0" w:color="auto"/>
            <w:bottom w:val="none" w:sz="0" w:space="0" w:color="auto"/>
            <w:right w:val="none" w:sz="0" w:space="0" w:color="auto"/>
          </w:divBdr>
        </w:div>
        <w:div w:id="830295524">
          <w:marLeft w:val="0"/>
          <w:marRight w:val="0"/>
          <w:marTop w:val="0"/>
          <w:marBottom w:val="0"/>
          <w:divBdr>
            <w:top w:val="none" w:sz="0" w:space="0" w:color="auto"/>
            <w:left w:val="none" w:sz="0" w:space="0" w:color="auto"/>
            <w:bottom w:val="none" w:sz="0" w:space="0" w:color="auto"/>
            <w:right w:val="none" w:sz="0" w:space="0" w:color="auto"/>
          </w:divBdr>
        </w:div>
        <w:div w:id="893464366">
          <w:marLeft w:val="0"/>
          <w:marRight w:val="0"/>
          <w:marTop w:val="0"/>
          <w:marBottom w:val="0"/>
          <w:divBdr>
            <w:top w:val="none" w:sz="0" w:space="0" w:color="auto"/>
            <w:left w:val="none" w:sz="0" w:space="0" w:color="auto"/>
            <w:bottom w:val="none" w:sz="0" w:space="0" w:color="auto"/>
            <w:right w:val="none" w:sz="0" w:space="0" w:color="auto"/>
          </w:divBdr>
        </w:div>
        <w:div w:id="896941015">
          <w:marLeft w:val="0"/>
          <w:marRight w:val="0"/>
          <w:marTop w:val="0"/>
          <w:marBottom w:val="0"/>
          <w:divBdr>
            <w:top w:val="none" w:sz="0" w:space="0" w:color="auto"/>
            <w:left w:val="none" w:sz="0" w:space="0" w:color="auto"/>
            <w:bottom w:val="none" w:sz="0" w:space="0" w:color="auto"/>
            <w:right w:val="none" w:sz="0" w:space="0" w:color="auto"/>
          </w:divBdr>
        </w:div>
        <w:div w:id="927887435">
          <w:marLeft w:val="0"/>
          <w:marRight w:val="0"/>
          <w:marTop w:val="0"/>
          <w:marBottom w:val="0"/>
          <w:divBdr>
            <w:top w:val="none" w:sz="0" w:space="0" w:color="auto"/>
            <w:left w:val="none" w:sz="0" w:space="0" w:color="auto"/>
            <w:bottom w:val="none" w:sz="0" w:space="0" w:color="auto"/>
            <w:right w:val="none" w:sz="0" w:space="0" w:color="auto"/>
          </w:divBdr>
        </w:div>
        <w:div w:id="997734302">
          <w:marLeft w:val="0"/>
          <w:marRight w:val="0"/>
          <w:marTop w:val="0"/>
          <w:marBottom w:val="0"/>
          <w:divBdr>
            <w:top w:val="none" w:sz="0" w:space="0" w:color="auto"/>
            <w:left w:val="none" w:sz="0" w:space="0" w:color="auto"/>
            <w:bottom w:val="none" w:sz="0" w:space="0" w:color="auto"/>
            <w:right w:val="none" w:sz="0" w:space="0" w:color="auto"/>
          </w:divBdr>
        </w:div>
        <w:div w:id="1007709382">
          <w:marLeft w:val="0"/>
          <w:marRight w:val="0"/>
          <w:marTop w:val="0"/>
          <w:marBottom w:val="0"/>
          <w:divBdr>
            <w:top w:val="none" w:sz="0" w:space="0" w:color="auto"/>
            <w:left w:val="none" w:sz="0" w:space="0" w:color="auto"/>
            <w:bottom w:val="none" w:sz="0" w:space="0" w:color="auto"/>
            <w:right w:val="none" w:sz="0" w:space="0" w:color="auto"/>
          </w:divBdr>
        </w:div>
        <w:div w:id="1026637981">
          <w:marLeft w:val="0"/>
          <w:marRight w:val="0"/>
          <w:marTop w:val="0"/>
          <w:marBottom w:val="0"/>
          <w:divBdr>
            <w:top w:val="none" w:sz="0" w:space="0" w:color="auto"/>
            <w:left w:val="none" w:sz="0" w:space="0" w:color="auto"/>
            <w:bottom w:val="none" w:sz="0" w:space="0" w:color="auto"/>
            <w:right w:val="none" w:sz="0" w:space="0" w:color="auto"/>
          </w:divBdr>
        </w:div>
        <w:div w:id="1037004385">
          <w:marLeft w:val="0"/>
          <w:marRight w:val="0"/>
          <w:marTop w:val="0"/>
          <w:marBottom w:val="0"/>
          <w:divBdr>
            <w:top w:val="none" w:sz="0" w:space="0" w:color="auto"/>
            <w:left w:val="none" w:sz="0" w:space="0" w:color="auto"/>
            <w:bottom w:val="none" w:sz="0" w:space="0" w:color="auto"/>
            <w:right w:val="none" w:sz="0" w:space="0" w:color="auto"/>
          </w:divBdr>
        </w:div>
        <w:div w:id="1045374698">
          <w:marLeft w:val="0"/>
          <w:marRight w:val="0"/>
          <w:marTop w:val="0"/>
          <w:marBottom w:val="0"/>
          <w:divBdr>
            <w:top w:val="none" w:sz="0" w:space="0" w:color="auto"/>
            <w:left w:val="none" w:sz="0" w:space="0" w:color="auto"/>
            <w:bottom w:val="none" w:sz="0" w:space="0" w:color="auto"/>
            <w:right w:val="none" w:sz="0" w:space="0" w:color="auto"/>
          </w:divBdr>
          <w:divsChild>
            <w:div w:id="2066105147">
              <w:marLeft w:val="-75"/>
              <w:marRight w:val="0"/>
              <w:marTop w:val="30"/>
              <w:marBottom w:val="30"/>
              <w:divBdr>
                <w:top w:val="none" w:sz="0" w:space="0" w:color="auto"/>
                <w:left w:val="none" w:sz="0" w:space="0" w:color="auto"/>
                <w:bottom w:val="none" w:sz="0" w:space="0" w:color="auto"/>
                <w:right w:val="none" w:sz="0" w:space="0" w:color="auto"/>
              </w:divBdr>
              <w:divsChild>
                <w:div w:id="28989516">
                  <w:marLeft w:val="0"/>
                  <w:marRight w:val="0"/>
                  <w:marTop w:val="0"/>
                  <w:marBottom w:val="0"/>
                  <w:divBdr>
                    <w:top w:val="none" w:sz="0" w:space="0" w:color="auto"/>
                    <w:left w:val="none" w:sz="0" w:space="0" w:color="auto"/>
                    <w:bottom w:val="none" w:sz="0" w:space="0" w:color="auto"/>
                    <w:right w:val="none" w:sz="0" w:space="0" w:color="auto"/>
                  </w:divBdr>
                  <w:divsChild>
                    <w:div w:id="128986639">
                      <w:marLeft w:val="0"/>
                      <w:marRight w:val="0"/>
                      <w:marTop w:val="0"/>
                      <w:marBottom w:val="0"/>
                      <w:divBdr>
                        <w:top w:val="none" w:sz="0" w:space="0" w:color="auto"/>
                        <w:left w:val="none" w:sz="0" w:space="0" w:color="auto"/>
                        <w:bottom w:val="none" w:sz="0" w:space="0" w:color="auto"/>
                        <w:right w:val="none" w:sz="0" w:space="0" w:color="auto"/>
                      </w:divBdr>
                    </w:div>
                  </w:divsChild>
                </w:div>
                <w:div w:id="64765555">
                  <w:marLeft w:val="0"/>
                  <w:marRight w:val="0"/>
                  <w:marTop w:val="0"/>
                  <w:marBottom w:val="0"/>
                  <w:divBdr>
                    <w:top w:val="none" w:sz="0" w:space="0" w:color="auto"/>
                    <w:left w:val="none" w:sz="0" w:space="0" w:color="auto"/>
                    <w:bottom w:val="none" w:sz="0" w:space="0" w:color="auto"/>
                    <w:right w:val="none" w:sz="0" w:space="0" w:color="auto"/>
                  </w:divBdr>
                  <w:divsChild>
                    <w:div w:id="974021125">
                      <w:marLeft w:val="0"/>
                      <w:marRight w:val="0"/>
                      <w:marTop w:val="0"/>
                      <w:marBottom w:val="0"/>
                      <w:divBdr>
                        <w:top w:val="none" w:sz="0" w:space="0" w:color="auto"/>
                        <w:left w:val="none" w:sz="0" w:space="0" w:color="auto"/>
                        <w:bottom w:val="none" w:sz="0" w:space="0" w:color="auto"/>
                        <w:right w:val="none" w:sz="0" w:space="0" w:color="auto"/>
                      </w:divBdr>
                    </w:div>
                  </w:divsChild>
                </w:div>
                <w:div w:id="70778887">
                  <w:marLeft w:val="0"/>
                  <w:marRight w:val="0"/>
                  <w:marTop w:val="0"/>
                  <w:marBottom w:val="0"/>
                  <w:divBdr>
                    <w:top w:val="none" w:sz="0" w:space="0" w:color="auto"/>
                    <w:left w:val="none" w:sz="0" w:space="0" w:color="auto"/>
                    <w:bottom w:val="none" w:sz="0" w:space="0" w:color="auto"/>
                    <w:right w:val="none" w:sz="0" w:space="0" w:color="auto"/>
                  </w:divBdr>
                  <w:divsChild>
                    <w:div w:id="192428083">
                      <w:marLeft w:val="0"/>
                      <w:marRight w:val="0"/>
                      <w:marTop w:val="0"/>
                      <w:marBottom w:val="0"/>
                      <w:divBdr>
                        <w:top w:val="none" w:sz="0" w:space="0" w:color="auto"/>
                        <w:left w:val="none" w:sz="0" w:space="0" w:color="auto"/>
                        <w:bottom w:val="none" w:sz="0" w:space="0" w:color="auto"/>
                        <w:right w:val="none" w:sz="0" w:space="0" w:color="auto"/>
                      </w:divBdr>
                    </w:div>
                  </w:divsChild>
                </w:div>
                <w:div w:id="71322906">
                  <w:marLeft w:val="0"/>
                  <w:marRight w:val="0"/>
                  <w:marTop w:val="0"/>
                  <w:marBottom w:val="0"/>
                  <w:divBdr>
                    <w:top w:val="none" w:sz="0" w:space="0" w:color="auto"/>
                    <w:left w:val="none" w:sz="0" w:space="0" w:color="auto"/>
                    <w:bottom w:val="none" w:sz="0" w:space="0" w:color="auto"/>
                    <w:right w:val="none" w:sz="0" w:space="0" w:color="auto"/>
                  </w:divBdr>
                  <w:divsChild>
                    <w:div w:id="350952970">
                      <w:marLeft w:val="0"/>
                      <w:marRight w:val="0"/>
                      <w:marTop w:val="0"/>
                      <w:marBottom w:val="0"/>
                      <w:divBdr>
                        <w:top w:val="none" w:sz="0" w:space="0" w:color="auto"/>
                        <w:left w:val="none" w:sz="0" w:space="0" w:color="auto"/>
                        <w:bottom w:val="none" w:sz="0" w:space="0" w:color="auto"/>
                        <w:right w:val="none" w:sz="0" w:space="0" w:color="auto"/>
                      </w:divBdr>
                    </w:div>
                  </w:divsChild>
                </w:div>
                <w:div w:id="81293523">
                  <w:marLeft w:val="0"/>
                  <w:marRight w:val="0"/>
                  <w:marTop w:val="0"/>
                  <w:marBottom w:val="0"/>
                  <w:divBdr>
                    <w:top w:val="none" w:sz="0" w:space="0" w:color="auto"/>
                    <w:left w:val="none" w:sz="0" w:space="0" w:color="auto"/>
                    <w:bottom w:val="none" w:sz="0" w:space="0" w:color="auto"/>
                    <w:right w:val="none" w:sz="0" w:space="0" w:color="auto"/>
                  </w:divBdr>
                  <w:divsChild>
                    <w:div w:id="98065047">
                      <w:marLeft w:val="0"/>
                      <w:marRight w:val="0"/>
                      <w:marTop w:val="0"/>
                      <w:marBottom w:val="0"/>
                      <w:divBdr>
                        <w:top w:val="none" w:sz="0" w:space="0" w:color="auto"/>
                        <w:left w:val="none" w:sz="0" w:space="0" w:color="auto"/>
                        <w:bottom w:val="none" w:sz="0" w:space="0" w:color="auto"/>
                        <w:right w:val="none" w:sz="0" w:space="0" w:color="auto"/>
                      </w:divBdr>
                    </w:div>
                  </w:divsChild>
                </w:div>
                <w:div w:id="86316668">
                  <w:marLeft w:val="0"/>
                  <w:marRight w:val="0"/>
                  <w:marTop w:val="0"/>
                  <w:marBottom w:val="0"/>
                  <w:divBdr>
                    <w:top w:val="none" w:sz="0" w:space="0" w:color="auto"/>
                    <w:left w:val="none" w:sz="0" w:space="0" w:color="auto"/>
                    <w:bottom w:val="none" w:sz="0" w:space="0" w:color="auto"/>
                    <w:right w:val="none" w:sz="0" w:space="0" w:color="auto"/>
                  </w:divBdr>
                  <w:divsChild>
                    <w:div w:id="541095240">
                      <w:marLeft w:val="0"/>
                      <w:marRight w:val="0"/>
                      <w:marTop w:val="0"/>
                      <w:marBottom w:val="0"/>
                      <w:divBdr>
                        <w:top w:val="none" w:sz="0" w:space="0" w:color="auto"/>
                        <w:left w:val="none" w:sz="0" w:space="0" w:color="auto"/>
                        <w:bottom w:val="none" w:sz="0" w:space="0" w:color="auto"/>
                        <w:right w:val="none" w:sz="0" w:space="0" w:color="auto"/>
                      </w:divBdr>
                    </w:div>
                  </w:divsChild>
                </w:div>
                <w:div w:id="105001563">
                  <w:marLeft w:val="0"/>
                  <w:marRight w:val="0"/>
                  <w:marTop w:val="0"/>
                  <w:marBottom w:val="0"/>
                  <w:divBdr>
                    <w:top w:val="none" w:sz="0" w:space="0" w:color="auto"/>
                    <w:left w:val="none" w:sz="0" w:space="0" w:color="auto"/>
                    <w:bottom w:val="none" w:sz="0" w:space="0" w:color="auto"/>
                    <w:right w:val="none" w:sz="0" w:space="0" w:color="auto"/>
                  </w:divBdr>
                  <w:divsChild>
                    <w:div w:id="2100633966">
                      <w:marLeft w:val="0"/>
                      <w:marRight w:val="0"/>
                      <w:marTop w:val="0"/>
                      <w:marBottom w:val="0"/>
                      <w:divBdr>
                        <w:top w:val="none" w:sz="0" w:space="0" w:color="auto"/>
                        <w:left w:val="none" w:sz="0" w:space="0" w:color="auto"/>
                        <w:bottom w:val="none" w:sz="0" w:space="0" w:color="auto"/>
                        <w:right w:val="none" w:sz="0" w:space="0" w:color="auto"/>
                      </w:divBdr>
                    </w:div>
                  </w:divsChild>
                </w:div>
                <w:div w:id="127863825">
                  <w:marLeft w:val="0"/>
                  <w:marRight w:val="0"/>
                  <w:marTop w:val="0"/>
                  <w:marBottom w:val="0"/>
                  <w:divBdr>
                    <w:top w:val="none" w:sz="0" w:space="0" w:color="auto"/>
                    <w:left w:val="none" w:sz="0" w:space="0" w:color="auto"/>
                    <w:bottom w:val="none" w:sz="0" w:space="0" w:color="auto"/>
                    <w:right w:val="none" w:sz="0" w:space="0" w:color="auto"/>
                  </w:divBdr>
                  <w:divsChild>
                    <w:div w:id="1472403608">
                      <w:marLeft w:val="0"/>
                      <w:marRight w:val="0"/>
                      <w:marTop w:val="0"/>
                      <w:marBottom w:val="0"/>
                      <w:divBdr>
                        <w:top w:val="none" w:sz="0" w:space="0" w:color="auto"/>
                        <w:left w:val="none" w:sz="0" w:space="0" w:color="auto"/>
                        <w:bottom w:val="none" w:sz="0" w:space="0" w:color="auto"/>
                        <w:right w:val="none" w:sz="0" w:space="0" w:color="auto"/>
                      </w:divBdr>
                    </w:div>
                  </w:divsChild>
                </w:div>
                <w:div w:id="151991732">
                  <w:marLeft w:val="0"/>
                  <w:marRight w:val="0"/>
                  <w:marTop w:val="0"/>
                  <w:marBottom w:val="0"/>
                  <w:divBdr>
                    <w:top w:val="none" w:sz="0" w:space="0" w:color="auto"/>
                    <w:left w:val="none" w:sz="0" w:space="0" w:color="auto"/>
                    <w:bottom w:val="none" w:sz="0" w:space="0" w:color="auto"/>
                    <w:right w:val="none" w:sz="0" w:space="0" w:color="auto"/>
                  </w:divBdr>
                  <w:divsChild>
                    <w:div w:id="1630352665">
                      <w:marLeft w:val="0"/>
                      <w:marRight w:val="0"/>
                      <w:marTop w:val="0"/>
                      <w:marBottom w:val="0"/>
                      <w:divBdr>
                        <w:top w:val="none" w:sz="0" w:space="0" w:color="auto"/>
                        <w:left w:val="none" w:sz="0" w:space="0" w:color="auto"/>
                        <w:bottom w:val="none" w:sz="0" w:space="0" w:color="auto"/>
                        <w:right w:val="none" w:sz="0" w:space="0" w:color="auto"/>
                      </w:divBdr>
                    </w:div>
                  </w:divsChild>
                </w:div>
                <w:div w:id="195775731">
                  <w:marLeft w:val="0"/>
                  <w:marRight w:val="0"/>
                  <w:marTop w:val="0"/>
                  <w:marBottom w:val="0"/>
                  <w:divBdr>
                    <w:top w:val="none" w:sz="0" w:space="0" w:color="auto"/>
                    <w:left w:val="none" w:sz="0" w:space="0" w:color="auto"/>
                    <w:bottom w:val="none" w:sz="0" w:space="0" w:color="auto"/>
                    <w:right w:val="none" w:sz="0" w:space="0" w:color="auto"/>
                  </w:divBdr>
                  <w:divsChild>
                    <w:div w:id="2022782860">
                      <w:marLeft w:val="0"/>
                      <w:marRight w:val="0"/>
                      <w:marTop w:val="0"/>
                      <w:marBottom w:val="0"/>
                      <w:divBdr>
                        <w:top w:val="none" w:sz="0" w:space="0" w:color="auto"/>
                        <w:left w:val="none" w:sz="0" w:space="0" w:color="auto"/>
                        <w:bottom w:val="none" w:sz="0" w:space="0" w:color="auto"/>
                        <w:right w:val="none" w:sz="0" w:space="0" w:color="auto"/>
                      </w:divBdr>
                    </w:div>
                  </w:divsChild>
                </w:div>
                <w:div w:id="281881395">
                  <w:marLeft w:val="0"/>
                  <w:marRight w:val="0"/>
                  <w:marTop w:val="0"/>
                  <w:marBottom w:val="0"/>
                  <w:divBdr>
                    <w:top w:val="none" w:sz="0" w:space="0" w:color="auto"/>
                    <w:left w:val="none" w:sz="0" w:space="0" w:color="auto"/>
                    <w:bottom w:val="none" w:sz="0" w:space="0" w:color="auto"/>
                    <w:right w:val="none" w:sz="0" w:space="0" w:color="auto"/>
                  </w:divBdr>
                  <w:divsChild>
                    <w:div w:id="1979412792">
                      <w:marLeft w:val="0"/>
                      <w:marRight w:val="0"/>
                      <w:marTop w:val="0"/>
                      <w:marBottom w:val="0"/>
                      <w:divBdr>
                        <w:top w:val="none" w:sz="0" w:space="0" w:color="auto"/>
                        <w:left w:val="none" w:sz="0" w:space="0" w:color="auto"/>
                        <w:bottom w:val="none" w:sz="0" w:space="0" w:color="auto"/>
                        <w:right w:val="none" w:sz="0" w:space="0" w:color="auto"/>
                      </w:divBdr>
                    </w:div>
                  </w:divsChild>
                </w:div>
                <w:div w:id="368839459">
                  <w:marLeft w:val="0"/>
                  <w:marRight w:val="0"/>
                  <w:marTop w:val="0"/>
                  <w:marBottom w:val="0"/>
                  <w:divBdr>
                    <w:top w:val="none" w:sz="0" w:space="0" w:color="auto"/>
                    <w:left w:val="none" w:sz="0" w:space="0" w:color="auto"/>
                    <w:bottom w:val="none" w:sz="0" w:space="0" w:color="auto"/>
                    <w:right w:val="none" w:sz="0" w:space="0" w:color="auto"/>
                  </w:divBdr>
                  <w:divsChild>
                    <w:div w:id="1962960233">
                      <w:marLeft w:val="0"/>
                      <w:marRight w:val="0"/>
                      <w:marTop w:val="0"/>
                      <w:marBottom w:val="0"/>
                      <w:divBdr>
                        <w:top w:val="none" w:sz="0" w:space="0" w:color="auto"/>
                        <w:left w:val="none" w:sz="0" w:space="0" w:color="auto"/>
                        <w:bottom w:val="none" w:sz="0" w:space="0" w:color="auto"/>
                        <w:right w:val="none" w:sz="0" w:space="0" w:color="auto"/>
                      </w:divBdr>
                    </w:div>
                  </w:divsChild>
                </w:div>
                <w:div w:id="452483391">
                  <w:marLeft w:val="0"/>
                  <w:marRight w:val="0"/>
                  <w:marTop w:val="0"/>
                  <w:marBottom w:val="0"/>
                  <w:divBdr>
                    <w:top w:val="none" w:sz="0" w:space="0" w:color="auto"/>
                    <w:left w:val="none" w:sz="0" w:space="0" w:color="auto"/>
                    <w:bottom w:val="none" w:sz="0" w:space="0" w:color="auto"/>
                    <w:right w:val="none" w:sz="0" w:space="0" w:color="auto"/>
                  </w:divBdr>
                  <w:divsChild>
                    <w:div w:id="472647091">
                      <w:marLeft w:val="0"/>
                      <w:marRight w:val="0"/>
                      <w:marTop w:val="0"/>
                      <w:marBottom w:val="0"/>
                      <w:divBdr>
                        <w:top w:val="none" w:sz="0" w:space="0" w:color="auto"/>
                        <w:left w:val="none" w:sz="0" w:space="0" w:color="auto"/>
                        <w:bottom w:val="none" w:sz="0" w:space="0" w:color="auto"/>
                        <w:right w:val="none" w:sz="0" w:space="0" w:color="auto"/>
                      </w:divBdr>
                    </w:div>
                  </w:divsChild>
                </w:div>
                <w:div w:id="458451816">
                  <w:marLeft w:val="0"/>
                  <w:marRight w:val="0"/>
                  <w:marTop w:val="0"/>
                  <w:marBottom w:val="0"/>
                  <w:divBdr>
                    <w:top w:val="none" w:sz="0" w:space="0" w:color="auto"/>
                    <w:left w:val="none" w:sz="0" w:space="0" w:color="auto"/>
                    <w:bottom w:val="none" w:sz="0" w:space="0" w:color="auto"/>
                    <w:right w:val="none" w:sz="0" w:space="0" w:color="auto"/>
                  </w:divBdr>
                  <w:divsChild>
                    <w:div w:id="1651789860">
                      <w:marLeft w:val="0"/>
                      <w:marRight w:val="0"/>
                      <w:marTop w:val="0"/>
                      <w:marBottom w:val="0"/>
                      <w:divBdr>
                        <w:top w:val="none" w:sz="0" w:space="0" w:color="auto"/>
                        <w:left w:val="none" w:sz="0" w:space="0" w:color="auto"/>
                        <w:bottom w:val="none" w:sz="0" w:space="0" w:color="auto"/>
                        <w:right w:val="none" w:sz="0" w:space="0" w:color="auto"/>
                      </w:divBdr>
                    </w:div>
                  </w:divsChild>
                </w:div>
                <w:div w:id="534200627">
                  <w:marLeft w:val="0"/>
                  <w:marRight w:val="0"/>
                  <w:marTop w:val="0"/>
                  <w:marBottom w:val="0"/>
                  <w:divBdr>
                    <w:top w:val="none" w:sz="0" w:space="0" w:color="auto"/>
                    <w:left w:val="none" w:sz="0" w:space="0" w:color="auto"/>
                    <w:bottom w:val="none" w:sz="0" w:space="0" w:color="auto"/>
                    <w:right w:val="none" w:sz="0" w:space="0" w:color="auto"/>
                  </w:divBdr>
                  <w:divsChild>
                    <w:div w:id="2144039798">
                      <w:marLeft w:val="0"/>
                      <w:marRight w:val="0"/>
                      <w:marTop w:val="0"/>
                      <w:marBottom w:val="0"/>
                      <w:divBdr>
                        <w:top w:val="none" w:sz="0" w:space="0" w:color="auto"/>
                        <w:left w:val="none" w:sz="0" w:space="0" w:color="auto"/>
                        <w:bottom w:val="none" w:sz="0" w:space="0" w:color="auto"/>
                        <w:right w:val="none" w:sz="0" w:space="0" w:color="auto"/>
                      </w:divBdr>
                    </w:div>
                  </w:divsChild>
                </w:div>
                <w:div w:id="535578118">
                  <w:marLeft w:val="0"/>
                  <w:marRight w:val="0"/>
                  <w:marTop w:val="0"/>
                  <w:marBottom w:val="0"/>
                  <w:divBdr>
                    <w:top w:val="none" w:sz="0" w:space="0" w:color="auto"/>
                    <w:left w:val="none" w:sz="0" w:space="0" w:color="auto"/>
                    <w:bottom w:val="none" w:sz="0" w:space="0" w:color="auto"/>
                    <w:right w:val="none" w:sz="0" w:space="0" w:color="auto"/>
                  </w:divBdr>
                  <w:divsChild>
                    <w:div w:id="1542325499">
                      <w:marLeft w:val="0"/>
                      <w:marRight w:val="0"/>
                      <w:marTop w:val="0"/>
                      <w:marBottom w:val="0"/>
                      <w:divBdr>
                        <w:top w:val="none" w:sz="0" w:space="0" w:color="auto"/>
                        <w:left w:val="none" w:sz="0" w:space="0" w:color="auto"/>
                        <w:bottom w:val="none" w:sz="0" w:space="0" w:color="auto"/>
                        <w:right w:val="none" w:sz="0" w:space="0" w:color="auto"/>
                      </w:divBdr>
                    </w:div>
                  </w:divsChild>
                </w:div>
                <w:div w:id="685055177">
                  <w:marLeft w:val="0"/>
                  <w:marRight w:val="0"/>
                  <w:marTop w:val="0"/>
                  <w:marBottom w:val="0"/>
                  <w:divBdr>
                    <w:top w:val="none" w:sz="0" w:space="0" w:color="auto"/>
                    <w:left w:val="none" w:sz="0" w:space="0" w:color="auto"/>
                    <w:bottom w:val="none" w:sz="0" w:space="0" w:color="auto"/>
                    <w:right w:val="none" w:sz="0" w:space="0" w:color="auto"/>
                  </w:divBdr>
                  <w:divsChild>
                    <w:div w:id="1362124457">
                      <w:marLeft w:val="0"/>
                      <w:marRight w:val="0"/>
                      <w:marTop w:val="0"/>
                      <w:marBottom w:val="0"/>
                      <w:divBdr>
                        <w:top w:val="none" w:sz="0" w:space="0" w:color="auto"/>
                        <w:left w:val="none" w:sz="0" w:space="0" w:color="auto"/>
                        <w:bottom w:val="none" w:sz="0" w:space="0" w:color="auto"/>
                        <w:right w:val="none" w:sz="0" w:space="0" w:color="auto"/>
                      </w:divBdr>
                    </w:div>
                  </w:divsChild>
                </w:div>
                <w:div w:id="775176910">
                  <w:marLeft w:val="0"/>
                  <w:marRight w:val="0"/>
                  <w:marTop w:val="0"/>
                  <w:marBottom w:val="0"/>
                  <w:divBdr>
                    <w:top w:val="none" w:sz="0" w:space="0" w:color="auto"/>
                    <w:left w:val="none" w:sz="0" w:space="0" w:color="auto"/>
                    <w:bottom w:val="none" w:sz="0" w:space="0" w:color="auto"/>
                    <w:right w:val="none" w:sz="0" w:space="0" w:color="auto"/>
                  </w:divBdr>
                  <w:divsChild>
                    <w:div w:id="451635902">
                      <w:marLeft w:val="0"/>
                      <w:marRight w:val="0"/>
                      <w:marTop w:val="0"/>
                      <w:marBottom w:val="0"/>
                      <w:divBdr>
                        <w:top w:val="none" w:sz="0" w:space="0" w:color="auto"/>
                        <w:left w:val="none" w:sz="0" w:space="0" w:color="auto"/>
                        <w:bottom w:val="none" w:sz="0" w:space="0" w:color="auto"/>
                        <w:right w:val="none" w:sz="0" w:space="0" w:color="auto"/>
                      </w:divBdr>
                    </w:div>
                  </w:divsChild>
                </w:div>
                <w:div w:id="846409733">
                  <w:marLeft w:val="0"/>
                  <w:marRight w:val="0"/>
                  <w:marTop w:val="0"/>
                  <w:marBottom w:val="0"/>
                  <w:divBdr>
                    <w:top w:val="none" w:sz="0" w:space="0" w:color="auto"/>
                    <w:left w:val="none" w:sz="0" w:space="0" w:color="auto"/>
                    <w:bottom w:val="none" w:sz="0" w:space="0" w:color="auto"/>
                    <w:right w:val="none" w:sz="0" w:space="0" w:color="auto"/>
                  </w:divBdr>
                  <w:divsChild>
                    <w:div w:id="338822479">
                      <w:marLeft w:val="0"/>
                      <w:marRight w:val="0"/>
                      <w:marTop w:val="0"/>
                      <w:marBottom w:val="0"/>
                      <w:divBdr>
                        <w:top w:val="none" w:sz="0" w:space="0" w:color="auto"/>
                        <w:left w:val="none" w:sz="0" w:space="0" w:color="auto"/>
                        <w:bottom w:val="none" w:sz="0" w:space="0" w:color="auto"/>
                        <w:right w:val="none" w:sz="0" w:space="0" w:color="auto"/>
                      </w:divBdr>
                    </w:div>
                  </w:divsChild>
                </w:div>
                <w:div w:id="877621346">
                  <w:marLeft w:val="0"/>
                  <w:marRight w:val="0"/>
                  <w:marTop w:val="0"/>
                  <w:marBottom w:val="0"/>
                  <w:divBdr>
                    <w:top w:val="none" w:sz="0" w:space="0" w:color="auto"/>
                    <w:left w:val="none" w:sz="0" w:space="0" w:color="auto"/>
                    <w:bottom w:val="none" w:sz="0" w:space="0" w:color="auto"/>
                    <w:right w:val="none" w:sz="0" w:space="0" w:color="auto"/>
                  </w:divBdr>
                  <w:divsChild>
                    <w:div w:id="52315242">
                      <w:marLeft w:val="0"/>
                      <w:marRight w:val="0"/>
                      <w:marTop w:val="0"/>
                      <w:marBottom w:val="0"/>
                      <w:divBdr>
                        <w:top w:val="none" w:sz="0" w:space="0" w:color="auto"/>
                        <w:left w:val="none" w:sz="0" w:space="0" w:color="auto"/>
                        <w:bottom w:val="none" w:sz="0" w:space="0" w:color="auto"/>
                        <w:right w:val="none" w:sz="0" w:space="0" w:color="auto"/>
                      </w:divBdr>
                    </w:div>
                  </w:divsChild>
                </w:div>
                <w:div w:id="1004014435">
                  <w:marLeft w:val="0"/>
                  <w:marRight w:val="0"/>
                  <w:marTop w:val="0"/>
                  <w:marBottom w:val="0"/>
                  <w:divBdr>
                    <w:top w:val="none" w:sz="0" w:space="0" w:color="auto"/>
                    <w:left w:val="none" w:sz="0" w:space="0" w:color="auto"/>
                    <w:bottom w:val="none" w:sz="0" w:space="0" w:color="auto"/>
                    <w:right w:val="none" w:sz="0" w:space="0" w:color="auto"/>
                  </w:divBdr>
                  <w:divsChild>
                    <w:div w:id="641424449">
                      <w:marLeft w:val="0"/>
                      <w:marRight w:val="0"/>
                      <w:marTop w:val="0"/>
                      <w:marBottom w:val="0"/>
                      <w:divBdr>
                        <w:top w:val="none" w:sz="0" w:space="0" w:color="auto"/>
                        <w:left w:val="none" w:sz="0" w:space="0" w:color="auto"/>
                        <w:bottom w:val="none" w:sz="0" w:space="0" w:color="auto"/>
                        <w:right w:val="none" w:sz="0" w:space="0" w:color="auto"/>
                      </w:divBdr>
                    </w:div>
                  </w:divsChild>
                </w:div>
                <w:div w:id="1059086605">
                  <w:marLeft w:val="0"/>
                  <w:marRight w:val="0"/>
                  <w:marTop w:val="0"/>
                  <w:marBottom w:val="0"/>
                  <w:divBdr>
                    <w:top w:val="none" w:sz="0" w:space="0" w:color="auto"/>
                    <w:left w:val="none" w:sz="0" w:space="0" w:color="auto"/>
                    <w:bottom w:val="none" w:sz="0" w:space="0" w:color="auto"/>
                    <w:right w:val="none" w:sz="0" w:space="0" w:color="auto"/>
                  </w:divBdr>
                  <w:divsChild>
                    <w:div w:id="1492215213">
                      <w:marLeft w:val="0"/>
                      <w:marRight w:val="0"/>
                      <w:marTop w:val="0"/>
                      <w:marBottom w:val="0"/>
                      <w:divBdr>
                        <w:top w:val="none" w:sz="0" w:space="0" w:color="auto"/>
                        <w:left w:val="none" w:sz="0" w:space="0" w:color="auto"/>
                        <w:bottom w:val="none" w:sz="0" w:space="0" w:color="auto"/>
                        <w:right w:val="none" w:sz="0" w:space="0" w:color="auto"/>
                      </w:divBdr>
                    </w:div>
                  </w:divsChild>
                </w:div>
                <w:div w:id="1104156591">
                  <w:marLeft w:val="0"/>
                  <w:marRight w:val="0"/>
                  <w:marTop w:val="0"/>
                  <w:marBottom w:val="0"/>
                  <w:divBdr>
                    <w:top w:val="none" w:sz="0" w:space="0" w:color="auto"/>
                    <w:left w:val="none" w:sz="0" w:space="0" w:color="auto"/>
                    <w:bottom w:val="none" w:sz="0" w:space="0" w:color="auto"/>
                    <w:right w:val="none" w:sz="0" w:space="0" w:color="auto"/>
                  </w:divBdr>
                  <w:divsChild>
                    <w:div w:id="593779029">
                      <w:marLeft w:val="0"/>
                      <w:marRight w:val="0"/>
                      <w:marTop w:val="0"/>
                      <w:marBottom w:val="0"/>
                      <w:divBdr>
                        <w:top w:val="none" w:sz="0" w:space="0" w:color="auto"/>
                        <w:left w:val="none" w:sz="0" w:space="0" w:color="auto"/>
                        <w:bottom w:val="none" w:sz="0" w:space="0" w:color="auto"/>
                        <w:right w:val="none" w:sz="0" w:space="0" w:color="auto"/>
                      </w:divBdr>
                    </w:div>
                  </w:divsChild>
                </w:div>
                <w:div w:id="1162281664">
                  <w:marLeft w:val="0"/>
                  <w:marRight w:val="0"/>
                  <w:marTop w:val="0"/>
                  <w:marBottom w:val="0"/>
                  <w:divBdr>
                    <w:top w:val="none" w:sz="0" w:space="0" w:color="auto"/>
                    <w:left w:val="none" w:sz="0" w:space="0" w:color="auto"/>
                    <w:bottom w:val="none" w:sz="0" w:space="0" w:color="auto"/>
                    <w:right w:val="none" w:sz="0" w:space="0" w:color="auto"/>
                  </w:divBdr>
                  <w:divsChild>
                    <w:div w:id="346054991">
                      <w:marLeft w:val="0"/>
                      <w:marRight w:val="0"/>
                      <w:marTop w:val="0"/>
                      <w:marBottom w:val="0"/>
                      <w:divBdr>
                        <w:top w:val="none" w:sz="0" w:space="0" w:color="auto"/>
                        <w:left w:val="none" w:sz="0" w:space="0" w:color="auto"/>
                        <w:bottom w:val="none" w:sz="0" w:space="0" w:color="auto"/>
                        <w:right w:val="none" w:sz="0" w:space="0" w:color="auto"/>
                      </w:divBdr>
                    </w:div>
                  </w:divsChild>
                </w:div>
                <w:div w:id="1240359632">
                  <w:marLeft w:val="0"/>
                  <w:marRight w:val="0"/>
                  <w:marTop w:val="0"/>
                  <w:marBottom w:val="0"/>
                  <w:divBdr>
                    <w:top w:val="none" w:sz="0" w:space="0" w:color="auto"/>
                    <w:left w:val="none" w:sz="0" w:space="0" w:color="auto"/>
                    <w:bottom w:val="none" w:sz="0" w:space="0" w:color="auto"/>
                    <w:right w:val="none" w:sz="0" w:space="0" w:color="auto"/>
                  </w:divBdr>
                  <w:divsChild>
                    <w:div w:id="1380319337">
                      <w:marLeft w:val="0"/>
                      <w:marRight w:val="0"/>
                      <w:marTop w:val="0"/>
                      <w:marBottom w:val="0"/>
                      <w:divBdr>
                        <w:top w:val="none" w:sz="0" w:space="0" w:color="auto"/>
                        <w:left w:val="none" w:sz="0" w:space="0" w:color="auto"/>
                        <w:bottom w:val="none" w:sz="0" w:space="0" w:color="auto"/>
                        <w:right w:val="none" w:sz="0" w:space="0" w:color="auto"/>
                      </w:divBdr>
                    </w:div>
                  </w:divsChild>
                </w:div>
                <w:div w:id="1310475768">
                  <w:marLeft w:val="0"/>
                  <w:marRight w:val="0"/>
                  <w:marTop w:val="0"/>
                  <w:marBottom w:val="0"/>
                  <w:divBdr>
                    <w:top w:val="none" w:sz="0" w:space="0" w:color="auto"/>
                    <w:left w:val="none" w:sz="0" w:space="0" w:color="auto"/>
                    <w:bottom w:val="none" w:sz="0" w:space="0" w:color="auto"/>
                    <w:right w:val="none" w:sz="0" w:space="0" w:color="auto"/>
                  </w:divBdr>
                  <w:divsChild>
                    <w:div w:id="1940337059">
                      <w:marLeft w:val="0"/>
                      <w:marRight w:val="0"/>
                      <w:marTop w:val="0"/>
                      <w:marBottom w:val="0"/>
                      <w:divBdr>
                        <w:top w:val="none" w:sz="0" w:space="0" w:color="auto"/>
                        <w:left w:val="none" w:sz="0" w:space="0" w:color="auto"/>
                        <w:bottom w:val="none" w:sz="0" w:space="0" w:color="auto"/>
                        <w:right w:val="none" w:sz="0" w:space="0" w:color="auto"/>
                      </w:divBdr>
                    </w:div>
                  </w:divsChild>
                </w:div>
                <w:div w:id="1329360474">
                  <w:marLeft w:val="0"/>
                  <w:marRight w:val="0"/>
                  <w:marTop w:val="0"/>
                  <w:marBottom w:val="0"/>
                  <w:divBdr>
                    <w:top w:val="none" w:sz="0" w:space="0" w:color="auto"/>
                    <w:left w:val="none" w:sz="0" w:space="0" w:color="auto"/>
                    <w:bottom w:val="none" w:sz="0" w:space="0" w:color="auto"/>
                    <w:right w:val="none" w:sz="0" w:space="0" w:color="auto"/>
                  </w:divBdr>
                  <w:divsChild>
                    <w:div w:id="1857766527">
                      <w:marLeft w:val="0"/>
                      <w:marRight w:val="0"/>
                      <w:marTop w:val="0"/>
                      <w:marBottom w:val="0"/>
                      <w:divBdr>
                        <w:top w:val="none" w:sz="0" w:space="0" w:color="auto"/>
                        <w:left w:val="none" w:sz="0" w:space="0" w:color="auto"/>
                        <w:bottom w:val="none" w:sz="0" w:space="0" w:color="auto"/>
                        <w:right w:val="none" w:sz="0" w:space="0" w:color="auto"/>
                      </w:divBdr>
                    </w:div>
                  </w:divsChild>
                </w:div>
                <w:div w:id="1383748034">
                  <w:marLeft w:val="0"/>
                  <w:marRight w:val="0"/>
                  <w:marTop w:val="0"/>
                  <w:marBottom w:val="0"/>
                  <w:divBdr>
                    <w:top w:val="none" w:sz="0" w:space="0" w:color="auto"/>
                    <w:left w:val="none" w:sz="0" w:space="0" w:color="auto"/>
                    <w:bottom w:val="none" w:sz="0" w:space="0" w:color="auto"/>
                    <w:right w:val="none" w:sz="0" w:space="0" w:color="auto"/>
                  </w:divBdr>
                  <w:divsChild>
                    <w:div w:id="461191661">
                      <w:marLeft w:val="0"/>
                      <w:marRight w:val="0"/>
                      <w:marTop w:val="0"/>
                      <w:marBottom w:val="0"/>
                      <w:divBdr>
                        <w:top w:val="none" w:sz="0" w:space="0" w:color="auto"/>
                        <w:left w:val="none" w:sz="0" w:space="0" w:color="auto"/>
                        <w:bottom w:val="none" w:sz="0" w:space="0" w:color="auto"/>
                        <w:right w:val="none" w:sz="0" w:space="0" w:color="auto"/>
                      </w:divBdr>
                    </w:div>
                  </w:divsChild>
                </w:div>
                <w:div w:id="1412118386">
                  <w:marLeft w:val="0"/>
                  <w:marRight w:val="0"/>
                  <w:marTop w:val="0"/>
                  <w:marBottom w:val="0"/>
                  <w:divBdr>
                    <w:top w:val="none" w:sz="0" w:space="0" w:color="auto"/>
                    <w:left w:val="none" w:sz="0" w:space="0" w:color="auto"/>
                    <w:bottom w:val="none" w:sz="0" w:space="0" w:color="auto"/>
                    <w:right w:val="none" w:sz="0" w:space="0" w:color="auto"/>
                  </w:divBdr>
                  <w:divsChild>
                    <w:div w:id="494490322">
                      <w:marLeft w:val="0"/>
                      <w:marRight w:val="0"/>
                      <w:marTop w:val="0"/>
                      <w:marBottom w:val="0"/>
                      <w:divBdr>
                        <w:top w:val="none" w:sz="0" w:space="0" w:color="auto"/>
                        <w:left w:val="none" w:sz="0" w:space="0" w:color="auto"/>
                        <w:bottom w:val="none" w:sz="0" w:space="0" w:color="auto"/>
                        <w:right w:val="none" w:sz="0" w:space="0" w:color="auto"/>
                      </w:divBdr>
                    </w:div>
                  </w:divsChild>
                </w:div>
                <w:div w:id="1473594545">
                  <w:marLeft w:val="0"/>
                  <w:marRight w:val="0"/>
                  <w:marTop w:val="0"/>
                  <w:marBottom w:val="0"/>
                  <w:divBdr>
                    <w:top w:val="none" w:sz="0" w:space="0" w:color="auto"/>
                    <w:left w:val="none" w:sz="0" w:space="0" w:color="auto"/>
                    <w:bottom w:val="none" w:sz="0" w:space="0" w:color="auto"/>
                    <w:right w:val="none" w:sz="0" w:space="0" w:color="auto"/>
                  </w:divBdr>
                  <w:divsChild>
                    <w:div w:id="2050688753">
                      <w:marLeft w:val="0"/>
                      <w:marRight w:val="0"/>
                      <w:marTop w:val="0"/>
                      <w:marBottom w:val="0"/>
                      <w:divBdr>
                        <w:top w:val="none" w:sz="0" w:space="0" w:color="auto"/>
                        <w:left w:val="none" w:sz="0" w:space="0" w:color="auto"/>
                        <w:bottom w:val="none" w:sz="0" w:space="0" w:color="auto"/>
                        <w:right w:val="none" w:sz="0" w:space="0" w:color="auto"/>
                      </w:divBdr>
                    </w:div>
                  </w:divsChild>
                </w:div>
                <w:div w:id="1571847110">
                  <w:marLeft w:val="0"/>
                  <w:marRight w:val="0"/>
                  <w:marTop w:val="0"/>
                  <w:marBottom w:val="0"/>
                  <w:divBdr>
                    <w:top w:val="none" w:sz="0" w:space="0" w:color="auto"/>
                    <w:left w:val="none" w:sz="0" w:space="0" w:color="auto"/>
                    <w:bottom w:val="none" w:sz="0" w:space="0" w:color="auto"/>
                    <w:right w:val="none" w:sz="0" w:space="0" w:color="auto"/>
                  </w:divBdr>
                  <w:divsChild>
                    <w:div w:id="1326132443">
                      <w:marLeft w:val="0"/>
                      <w:marRight w:val="0"/>
                      <w:marTop w:val="0"/>
                      <w:marBottom w:val="0"/>
                      <w:divBdr>
                        <w:top w:val="none" w:sz="0" w:space="0" w:color="auto"/>
                        <w:left w:val="none" w:sz="0" w:space="0" w:color="auto"/>
                        <w:bottom w:val="none" w:sz="0" w:space="0" w:color="auto"/>
                        <w:right w:val="none" w:sz="0" w:space="0" w:color="auto"/>
                      </w:divBdr>
                    </w:div>
                  </w:divsChild>
                </w:div>
                <w:div w:id="1717272152">
                  <w:marLeft w:val="0"/>
                  <w:marRight w:val="0"/>
                  <w:marTop w:val="0"/>
                  <w:marBottom w:val="0"/>
                  <w:divBdr>
                    <w:top w:val="none" w:sz="0" w:space="0" w:color="auto"/>
                    <w:left w:val="none" w:sz="0" w:space="0" w:color="auto"/>
                    <w:bottom w:val="none" w:sz="0" w:space="0" w:color="auto"/>
                    <w:right w:val="none" w:sz="0" w:space="0" w:color="auto"/>
                  </w:divBdr>
                  <w:divsChild>
                    <w:div w:id="865555274">
                      <w:marLeft w:val="0"/>
                      <w:marRight w:val="0"/>
                      <w:marTop w:val="0"/>
                      <w:marBottom w:val="0"/>
                      <w:divBdr>
                        <w:top w:val="none" w:sz="0" w:space="0" w:color="auto"/>
                        <w:left w:val="none" w:sz="0" w:space="0" w:color="auto"/>
                        <w:bottom w:val="none" w:sz="0" w:space="0" w:color="auto"/>
                        <w:right w:val="none" w:sz="0" w:space="0" w:color="auto"/>
                      </w:divBdr>
                    </w:div>
                  </w:divsChild>
                </w:div>
                <w:div w:id="1752893518">
                  <w:marLeft w:val="0"/>
                  <w:marRight w:val="0"/>
                  <w:marTop w:val="0"/>
                  <w:marBottom w:val="0"/>
                  <w:divBdr>
                    <w:top w:val="none" w:sz="0" w:space="0" w:color="auto"/>
                    <w:left w:val="none" w:sz="0" w:space="0" w:color="auto"/>
                    <w:bottom w:val="none" w:sz="0" w:space="0" w:color="auto"/>
                    <w:right w:val="none" w:sz="0" w:space="0" w:color="auto"/>
                  </w:divBdr>
                  <w:divsChild>
                    <w:div w:id="1058239942">
                      <w:marLeft w:val="0"/>
                      <w:marRight w:val="0"/>
                      <w:marTop w:val="0"/>
                      <w:marBottom w:val="0"/>
                      <w:divBdr>
                        <w:top w:val="none" w:sz="0" w:space="0" w:color="auto"/>
                        <w:left w:val="none" w:sz="0" w:space="0" w:color="auto"/>
                        <w:bottom w:val="none" w:sz="0" w:space="0" w:color="auto"/>
                        <w:right w:val="none" w:sz="0" w:space="0" w:color="auto"/>
                      </w:divBdr>
                    </w:div>
                  </w:divsChild>
                </w:div>
                <w:div w:id="1843624489">
                  <w:marLeft w:val="0"/>
                  <w:marRight w:val="0"/>
                  <w:marTop w:val="0"/>
                  <w:marBottom w:val="0"/>
                  <w:divBdr>
                    <w:top w:val="none" w:sz="0" w:space="0" w:color="auto"/>
                    <w:left w:val="none" w:sz="0" w:space="0" w:color="auto"/>
                    <w:bottom w:val="none" w:sz="0" w:space="0" w:color="auto"/>
                    <w:right w:val="none" w:sz="0" w:space="0" w:color="auto"/>
                  </w:divBdr>
                  <w:divsChild>
                    <w:div w:id="1982997993">
                      <w:marLeft w:val="0"/>
                      <w:marRight w:val="0"/>
                      <w:marTop w:val="0"/>
                      <w:marBottom w:val="0"/>
                      <w:divBdr>
                        <w:top w:val="none" w:sz="0" w:space="0" w:color="auto"/>
                        <w:left w:val="none" w:sz="0" w:space="0" w:color="auto"/>
                        <w:bottom w:val="none" w:sz="0" w:space="0" w:color="auto"/>
                        <w:right w:val="none" w:sz="0" w:space="0" w:color="auto"/>
                      </w:divBdr>
                    </w:div>
                  </w:divsChild>
                </w:div>
                <w:div w:id="1983732513">
                  <w:marLeft w:val="0"/>
                  <w:marRight w:val="0"/>
                  <w:marTop w:val="0"/>
                  <w:marBottom w:val="0"/>
                  <w:divBdr>
                    <w:top w:val="none" w:sz="0" w:space="0" w:color="auto"/>
                    <w:left w:val="none" w:sz="0" w:space="0" w:color="auto"/>
                    <w:bottom w:val="none" w:sz="0" w:space="0" w:color="auto"/>
                    <w:right w:val="none" w:sz="0" w:space="0" w:color="auto"/>
                  </w:divBdr>
                  <w:divsChild>
                    <w:div w:id="11416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95983">
          <w:marLeft w:val="0"/>
          <w:marRight w:val="0"/>
          <w:marTop w:val="0"/>
          <w:marBottom w:val="0"/>
          <w:divBdr>
            <w:top w:val="none" w:sz="0" w:space="0" w:color="auto"/>
            <w:left w:val="none" w:sz="0" w:space="0" w:color="auto"/>
            <w:bottom w:val="none" w:sz="0" w:space="0" w:color="auto"/>
            <w:right w:val="none" w:sz="0" w:space="0" w:color="auto"/>
          </w:divBdr>
        </w:div>
        <w:div w:id="1079669780">
          <w:marLeft w:val="0"/>
          <w:marRight w:val="0"/>
          <w:marTop w:val="0"/>
          <w:marBottom w:val="0"/>
          <w:divBdr>
            <w:top w:val="none" w:sz="0" w:space="0" w:color="auto"/>
            <w:left w:val="none" w:sz="0" w:space="0" w:color="auto"/>
            <w:bottom w:val="none" w:sz="0" w:space="0" w:color="auto"/>
            <w:right w:val="none" w:sz="0" w:space="0" w:color="auto"/>
          </w:divBdr>
        </w:div>
        <w:div w:id="1086462535">
          <w:marLeft w:val="0"/>
          <w:marRight w:val="0"/>
          <w:marTop w:val="0"/>
          <w:marBottom w:val="0"/>
          <w:divBdr>
            <w:top w:val="none" w:sz="0" w:space="0" w:color="auto"/>
            <w:left w:val="none" w:sz="0" w:space="0" w:color="auto"/>
            <w:bottom w:val="none" w:sz="0" w:space="0" w:color="auto"/>
            <w:right w:val="none" w:sz="0" w:space="0" w:color="auto"/>
          </w:divBdr>
        </w:div>
        <w:div w:id="1121918863">
          <w:marLeft w:val="0"/>
          <w:marRight w:val="0"/>
          <w:marTop w:val="0"/>
          <w:marBottom w:val="0"/>
          <w:divBdr>
            <w:top w:val="none" w:sz="0" w:space="0" w:color="auto"/>
            <w:left w:val="none" w:sz="0" w:space="0" w:color="auto"/>
            <w:bottom w:val="none" w:sz="0" w:space="0" w:color="auto"/>
            <w:right w:val="none" w:sz="0" w:space="0" w:color="auto"/>
          </w:divBdr>
        </w:div>
        <w:div w:id="1178151751">
          <w:marLeft w:val="0"/>
          <w:marRight w:val="0"/>
          <w:marTop w:val="0"/>
          <w:marBottom w:val="0"/>
          <w:divBdr>
            <w:top w:val="none" w:sz="0" w:space="0" w:color="auto"/>
            <w:left w:val="none" w:sz="0" w:space="0" w:color="auto"/>
            <w:bottom w:val="none" w:sz="0" w:space="0" w:color="auto"/>
            <w:right w:val="none" w:sz="0" w:space="0" w:color="auto"/>
          </w:divBdr>
        </w:div>
        <w:div w:id="1185361879">
          <w:marLeft w:val="0"/>
          <w:marRight w:val="0"/>
          <w:marTop w:val="0"/>
          <w:marBottom w:val="0"/>
          <w:divBdr>
            <w:top w:val="none" w:sz="0" w:space="0" w:color="auto"/>
            <w:left w:val="none" w:sz="0" w:space="0" w:color="auto"/>
            <w:bottom w:val="none" w:sz="0" w:space="0" w:color="auto"/>
            <w:right w:val="none" w:sz="0" w:space="0" w:color="auto"/>
          </w:divBdr>
        </w:div>
        <w:div w:id="1201279572">
          <w:marLeft w:val="0"/>
          <w:marRight w:val="0"/>
          <w:marTop w:val="0"/>
          <w:marBottom w:val="0"/>
          <w:divBdr>
            <w:top w:val="none" w:sz="0" w:space="0" w:color="auto"/>
            <w:left w:val="none" w:sz="0" w:space="0" w:color="auto"/>
            <w:bottom w:val="none" w:sz="0" w:space="0" w:color="auto"/>
            <w:right w:val="none" w:sz="0" w:space="0" w:color="auto"/>
          </w:divBdr>
        </w:div>
        <w:div w:id="1220483904">
          <w:marLeft w:val="0"/>
          <w:marRight w:val="0"/>
          <w:marTop w:val="0"/>
          <w:marBottom w:val="0"/>
          <w:divBdr>
            <w:top w:val="none" w:sz="0" w:space="0" w:color="auto"/>
            <w:left w:val="none" w:sz="0" w:space="0" w:color="auto"/>
            <w:bottom w:val="none" w:sz="0" w:space="0" w:color="auto"/>
            <w:right w:val="none" w:sz="0" w:space="0" w:color="auto"/>
          </w:divBdr>
        </w:div>
        <w:div w:id="1236205729">
          <w:marLeft w:val="0"/>
          <w:marRight w:val="0"/>
          <w:marTop w:val="0"/>
          <w:marBottom w:val="0"/>
          <w:divBdr>
            <w:top w:val="none" w:sz="0" w:space="0" w:color="auto"/>
            <w:left w:val="none" w:sz="0" w:space="0" w:color="auto"/>
            <w:bottom w:val="none" w:sz="0" w:space="0" w:color="auto"/>
            <w:right w:val="none" w:sz="0" w:space="0" w:color="auto"/>
          </w:divBdr>
        </w:div>
        <w:div w:id="1285161907">
          <w:marLeft w:val="0"/>
          <w:marRight w:val="0"/>
          <w:marTop w:val="0"/>
          <w:marBottom w:val="0"/>
          <w:divBdr>
            <w:top w:val="none" w:sz="0" w:space="0" w:color="auto"/>
            <w:left w:val="none" w:sz="0" w:space="0" w:color="auto"/>
            <w:bottom w:val="none" w:sz="0" w:space="0" w:color="auto"/>
            <w:right w:val="none" w:sz="0" w:space="0" w:color="auto"/>
          </w:divBdr>
        </w:div>
        <w:div w:id="1297834946">
          <w:marLeft w:val="0"/>
          <w:marRight w:val="0"/>
          <w:marTop w:val="0"/>
          <w:marBottom w:val="0"/>
          <w:divBdr>
            <w:top w:val="none" w:sz="0" w:space="0" w:color="auto"/>
            <w:left w:val="none" w:sz="0" w:space="0" w:color="auto"/>
            <w:bottom w:val="none" w:sz="0" w:space="0" w:color="auto"/>
            <w:right w:val="none" w:sz="0" w:space="0" w:color="auto"/>
          </w:divBdr>
        </w:div>
        <w:div w:id="1343043241">
          <w:marLeft w:val="0"/>
          <w:marRight w:val="0"/>
          <w:marTop w:val="0"/>
          <w:marBottom w:val="0"/>
          <w:divBdr>
            <w:top w:val="none" w:sz="0" w:space="0" w:color="auto"/>
            <w:left w:val="none" w:sz="0" w:space="0" w:color="auto"/>
            <w:bottom w:val="none" w:sz="0" w:space="0" w:color="auto"/>
            <w:right w:val="none" w:sz="0" w:space="0" w:color="auto"/>
          </w:divBdr>
        </w:div>
        <w:div w:id="1374695584">
          <w:marLeft w:val="0"/>
          <w:marRight w:val="0"/>
          <w:marTop w:val="0"/>
          <w:marBottom w:val="0"/>
          <w:divBdr>
            <w:top w:val="none" w:sz="0" w:space="0" w:color="auto"/>
            <w:left w:val="none" w:sz="0" w:space="0" w:color="auto"/>
            <w:bottom w:val="none" w:sz="0" w:space="0" w:color="auto"/>
            <w:right w:val="none" w:sz="0" w:space="0" w:color="auto"/>
          </w:divBdr>
        </w:div>
        <w:div w:id="1377314844">
          <w:marLeft w:val="0"/>
          <w:marRight w:val="0"/>
          <w:marTop w:val="0"/>
          <w:marBottom w:val="0"/>
          <w:divBdr>
            <w:top w:val="none" w:sz="0" w:space="0" w:color="auto"/>
            <w:left w:val="none" w:sz="0" w:space="0" w:color="auto"/>
            <w:bottom w:val="none" w:sz="0" w:space="0" w:color="auto"/>
            <w:right w:val="none" w:sz="0" w:space="0" w:color="auto"/>
          </w:divBdr>
        </w:div>
        <w:div w:id="1397125462">
          <w:marLeft w:val="0"/>
          <w:marRight w:val="0"/>
          <w:marTop w:val="0"/>
          <w:marBottom w:val="0"/>
          <w:divBdr>
            <w:top w:val="none" w:sz="0" w:space="0" w:color="auto"/>
            <w:left w:val="none" w:sz="0" w:space="0" w:color="auto"/>
            <w:bottom w:val="none" w:sz="0" w:space="0" w:color="auto"/>
            <w:right w:val="none" w:sz="0" w:space="0" w:color="auto"/>
          </w:divBdr>
          <w:divsChild>
            <w:div w:id="41516567">
              <w:marLeft w:val="0"/>
              <w:marRight w:val="0"/>
              <w:marTop w:val="0"/>
              <w:marBottom w:val="0"/>
              <w:divBdr>
                <w:top w:val="none" w:sz="0" w:space="0" w:color="auto"/>
                <w:left w:val="none" w:sz="0" w:space="0" w:color="auto"/>
                <w:bottom w:val="none" w:sz="0" w:space="0" w:color="auto"/>
                <w:right w:val="none" w:sz="0" w:space="0" w:color="auto"/>
              </w:divBdr>
            </w:div>
            <w:div w:id="181820149">
              <w:marLeft w:val="0"/>
              <w:marRight w:val="0"/>
              <w:marTop w:val="0"/>
              <w:marBottom w:val="0"/>
              <w:divBdr>
                <w:top w:val="none" w:sz="0" w:space="0" w:color="auto"/>
                <w:left w:val="none" w:sz="0" w:space="0" w:color="auto"/>
                <w:bottom w:val="none" w:sz="0" w:space="0" w:color="auto"/>
                <w:right w:val="none" w:sz="0" w:space="0" w:color="auto"/>
              </w:divBdr>
            </w:div>
            <w:div w:id="278925416">
              <w:marLeft w:val="0"/>
              <w:marRight w:val="0"/>
              <w:marTop w:val="0"/>
              <w:marBottom w:val="0"/>
              <w:divBdr>
                <w:top w:val="none" w:sz="0" w:space="0" w:color="auto"/>
                <w:left w:val="none" w:sz="0" w:space="0" w:color="auto"/>
                <w:bottom w:val="none" w:sz="0" w:space="0" w:color="auto"/>
                <w:right w:val="none" w:sz="0" w:space="0" w:color="auto"/>
              </w:divBdr>
            </w:div>
            <w:div w:id="429357442">
              <w:marLeft w:val="0"/>
              <w:marRight w:val="0"/>
              <w:marTop w:val="0"/>
              <w:marBottom w:val="0"/>
              <w:divBdr>
                <w:top w:val="none" w:sz="0" w:space="0" w:color="auto"/>
                <w:left w:val="none" w:sz="0" w:space="0" w:color="auto"/>
                <w:bottom w:val="none" w:sz="0" w:space="0" w:color="auto"/>
                <w:right w:val="none" w:sz="0" w:space="0" w:color="auto"/>
              </w:divBdr>
            </w:div>
            <w:div w:id="567805104">
              <w:marLeft w:val="0"/>
              <w:marRight w:val="0"/>
              <w:marTop w:val="0"/>
              <w:marBottom w:val="0"/>
              <w:divBdr>
                <w:top w:val="none" w:sz="0" w:space="0" w:color="auto"/>
                <w:left w:val="none" w:sz="0" w:space="0" w:color="auto"/>
                <w:bottom w:val="none" w:sz="0" w:space="0" w:color="auto"/>
                <w:right w:val="none" w:sz="0" w:space="0" w:color="auto"/>
              </w:divBdr>
            </w:div>
            <w:div w:id="626280866">
              <w:marLeft w:val="0"/>
              <w:marRight w:val="0"/>
              <w:marTop w:val="0"/>
              <w:marBottom w:val="0"/>
              <w:divBdr>
                <w:top w:val="none" w:sz="0" w:space="0" w:color="auto"/>
                <w:left w:val="none" w:sz="0" w:space="0" w:color="auto"/>
                <w:bottom w:val="none" w:sz="0" w:space="0" w:color="auto"/>
                <w:right w:val="none" w:sz="0" w:space="0" w:color="auto"/>
              </w:divBdr>
            </w:div>
            <w:div w:id="683284240">
              <w:marLeft w:val="0"/>
              <w:marRight w:val="0"/>
              <w:marTop w:val="0"/>
              <w:marBottom w:val="0"/>
              <w:divBdr>
                <w:top w:val="none" w:sz="0" w:space="0" w:color="auto"/>
                <w:left w:val="none" w:sz="0" w:space="0" w:color="auto"/>
                <w:bottom w:val="none" w:sz="0" w:space="0" w:color="auto"/>
                <w:right w:val="none" w:sz="0" w:space="0" w:color="auto"/>
              </w:divBdr>
            </w:div>
            <w:div w:id="687800819">
              <w:marLeft w:val="0"/>
              <w:marRight w:val="0"/>
              <w:marTop w:val="0"/>
              <w:marBottom w:val="0"/>
              <w:divBdr>
                <w:top w:val="none" w:sz="0" w:space="0" w:color="auto"/>
                <w:left w:val="none" w:sz="0" w:space="0" w:color="auto"/>
                <w:bottom w:val="none" w:sz="0" w:space="0" w:color="auto"/>
                <w:right w:val="none" w:sz="0" w:space="0" w:color="auto"/>
              </w:divBdr>
            </w:div>
            <w:div w:id="783888972">
              <w:marLeft w:val="0"/>
              <w:marRight w:val="0"/>
              <w:marTop w:val="0"/>
              <w:marBottom w:val="0"/>
              <w:divBdr>
                <w:top w:val="none" w:sz="0" w:space="0" w:color="auto"/>
                <w:left w:val="none" w:sz="0" w:space="0" w:color="auto"/>
                <w:bottom w:val="none" w:sz="0" w:space="0" w:color="auto"/>
                <w:right w:val="none" w:sz="0" w:space="0" w:color="auto"/>
              </w:divBdr>
            </w:div>
            <w:div w:id="1010453726">
              <w:marLeft w:val="0"/>
              <w:marRight w:val="0"/>
              <w:marTop w:val="0"/>
              <w:marBottom w:val="0"/>
              <w:divBdr>
                <w:top w:val="none" w:sz="0" w:space="0" w:color="auto"/>
                <w:left w:val="none" w:sz="0" w:space="0" w:color="auto"/>
                <w:bottom w:val="none" w:sz="0" w:space="0" w:color="auto"/>
                <w:right w:val="none" w:sz="0" w:space="0" w:color="auto"/>
              </w:divBdr>
            </w:div>
            <w:div w:id="1445492893">
              <w:marLeft w:val="0"/>
              <w:marRight w:val="0"/>
              <w:marTop w:val="0"/>
              <w:marBottom w:val="0"/>
              <w:divBdr>
                <w:top w:val="none" w:sz="0" w:space="0" w:color="auto"/>
                <w:left w:val="none" w:sz="0" w:space="0" w:color="auto"/>
                <w:bottom w:val="none" w:sz="0" w:space="0" w:color="auto"/>
                <w:right w:val="none" w:sz="0" w:space="0" w:color="auto"/>
              </w:divBdr>
            </w:div>
            <w:div w:id="1457601191">
              <w:marLeft w:val="0"/>
              <w:marRight w:val="0"/>
              <w:marTop w:val="0"/>
              <w:marBottom w:val="0"/>
              <w:divBdr>
                <w:top w:val="none" w:sz="0" w:space="0" w:color="auto"/>
                <w:left w:val="none" w:sz="0" w:space="0" w:color="auto"/>
                <w:bottom w:val="none" w:sz="0" w:space="0" w:color="auto"/>
                <w:right w:val="none" w:sz="0" w:space="0" w:color="auto"/>
              </w:divBdr>
            </w:div>
            <w:div w:id="1479690649">
              <w:marLeft w:val="0"/>
              <w:marRight w:val="0"/>
              <w:marTop w:val="0"/>
              <w:marBottom w:val="0"/>
              <w:divBdr>
                <w:top w:val="none" w:sz="0" w:space="0" w:color="auto"/>
                <w:left w:val="none" w:sz="0" w:space="0" w:color="auto"/>
                <w:bottom w:val="none" w:sz="0" w:space="0" w:color="auto"/>
                <w:right w:val="none" w:sz="0" w:space="0" w:color="auto"/>
              </w:divBdr>
            </w:div>
            <w:div w:id="1521696146">
              <w:marLeft w:val="0"/>
              <w:marRight w:val="0"/>
              <w:marTop w:val="0"/>
              <w:marBottom w:val="0"/>
              <w:divBdr>
                <w:top w:val="none" w:sz="0" w:space="0" w:color="auto"/>
                <w:left w:val="none" w:sz="0" w:space="0" w:color="auto"/>
                <w:bottom w:val="none" w:sz="0" w:space="0" w:color="auto"/>
                <w:right w:val="none" w:sz="0" w:space="0" w:color="auto"/>
              </w:divBdr>
            </w:div>
            <w:div w:id="1522087638">
              <w:marLeft w:val="0"/>
              <w:marRight w:val="0"/>
              <w:marTop w:val="0"/>
              <w:marBottom w:val="0"/>
              <w:divBdr>
                <w:top w:val="none" w:sz="0" w:space="0" w:color="auto"/>
                <w:left w:val="none" w:sz="0" w:space="0" w:color="auto"/>
                <w:bottom w:val="none" w:sz="0" w:space="0" w:color="auto"/>
                <w:right w:val="none" w:sz="0" w:space="0" w:color="auto"/>
              </w:divBdr>
            </w:div>
            <w:div w:id="1526285699">
              <w:marLeft w:val="0"/>
              <w:marRight w:val="0"/>
              <w:marTop w:val="0"/>
              <w:marBottom w:val="0"/>
              <w:divBdr>
                <w:top w:val="none" w:sz="0" w:space="0" w:color="auto"/>
                <w:left w:val="none" w:sz="0" w:space="0" w:color="auto"/>
                <w:bottom w:val="none" w:sz="0" w:space="0" w:color="auto"/>
                <w:right w:val="none" w:sz="0" w:space="0" w:color="auto"/>
              </w:divBdr>
            </w:div>
            <w:div w:id="1549950668">
              <w:marLeft w:val="0"/>
              <w:marRight w:val="0"/>
              <w:marTop w:val="0"/>
              <w:marBottom w:val="0"/>
              <w:divBdr>
                <w:top w:val="none" w:sz="0" w:space="0" w:color="auto"/>
                <w:left w:val="none" w:sz="0" w:space="0" w:color="auto"/>
                <w:bottom w:val="none" w:sz="0" w:space="0" w:color="auto"/>
                <w:right w:val="none" w:sz="0" w:space="0" w:color="auto"/>
              </w:divBdr>
            </w:div>
            <w:div w:id="1650330873">
              <w:marLeft w:val="0"/>
              <w:marRight w:val="0"/>
              <w:marTop w:val="0"/>
              <w:marBottom w:val="0"/>
              <w:divBdr>
                <w:top w:val="none" w:sz="0" w:space="0" w:color="auto"/>
                <w:left w:val="none" w:sz="0" w:space="0" w:color="auto"/>
                <w:bottom w:val="none" w:sz="0" w:space="0" w:color="auto"/>
                <w:right w:val="none" w:sz="0" w:space="0" w:color="auto"/>
              </w:divBdr>
            </w:div>
            <w:div w:id="1766879204">
              <w:marLeft w:val="0"/>
              <w:marRight w:val="0"/>
              <w:marTop w:val="0"/>
              <w:marBottom w:val="0"/>
              <w:divBdr>
                <w:top w:val="none" w:sz="0" w:space="0" w:color="auto"/>
                <w:left w:val="none" w:sz="0" w:space="0" w:color="auto"/>
                <w:bottom w:val="none" w:sz="0" w:space="0" w:color="auto"/>
                <w:right w:val="none" w:sz="0" w:space="0" w:color="auto"/>
              </w:divBdr>
            </w:div>
            <w:div w:id="1917473396">
              <w:marLeft w:val="0"/>
              <w:marRight w:val="0"/>
              <w:marTop w:val="0"/>
              <w:marBottom w:val="0"/>
              <w:divBdr>
                <w:top w:val="none" w:sz="0" w:space="0" w:color="auto"/>
                <w:left w:val="none" w:sz="0" w:space="0" w:color="auto"/>
                <w:bottom w:val="none" w:sz="0" w:space="0" w:color="auto"/>
                <w:right w:val="none" w:sz="0" w:space="0" w:color="auto"/>
              </w:divBdr>
            </w:div>
          </w:divsChild>
        </w:div>
        <w:div w:id="1404336109">
          <w:marLeft w:val="0"/>
          <w:marRight w:val="0"/>
          <w:marTop w:val="0"/>
          <w:marBottom w:val="0"/>
          <w:divBdr>
            <w:top w:val="none" w:sz="0" w:space="0" w:color="auto"/>
            <w:left w:val="none" w:sz="0" w:space="0" w:color="auto"/>
            <w:bottom w:val="none" w:sz="0" w:space="0" w:color="auto"/>
            <w:right w:val="none" w:sz="0" w:space="0" w:color="auto"/>
          </w:divBdr>
        </w:div>
        <w:div w:id="1410423161">
          <w:marLeft w:val="0"/>
          <w:marRight w:val="0"/>
          <w:marTop w:val="0"/>
          <w:marBottom w:val="0"/>
          <w:divBdr>
            <w:top w:val="none" w:sz="0" w:space="0" w:color="auto"/>
            <w:left w:val="none" w:sz="0" w:space="0" w:color="auto"/>
            <w:bottom w:val="none" w:sz="0" w:space="0" w:color="auto"/>
            <w:right w:val="none" w:sz="0" w:space="0" w:color="auto"/>
          </w:divBdr>
        </w:div>
        <w:div w:id="1413162329">
          <w:marLeft w:val="0"/>
          <w:marRight w:val="0"/>
          <w:marTop w:val="0"/>
          <w:marBottom w:val="0"/>
          <w:divBdr>
            <w:top w:val="none" w:sz="0" w:space="0" w:color="auto"/>
            <w:left w:val="none" w:sz="0" w:space="0" w:color="auto"/>
            <w:bottom w:val="none" w:sz="0" w:space="0" w:color="auto"/>
            <w:right w:val="none" w:sz="0" w:space="0" w:color="auto"/>
          </w:divBdr>
        </w:div>
        <w:div w:id="1423647348">
          <w:marLeft w:val="0"/>
          <w:marRight w:val="0"/>
          <w:marTop w:val="0"/>
          <w:marBottom w:val="0"/>
          <w:divBdr>
            <w:top w:val="none" w:sz="0" w:space="0" w:color="auto"/>
            <w:left w:val="none" w:sz="0" w:space="0" w:color="auto"/>
            <w:bottom w:val="none" w:sz="0" w:space="0" w:color="auto"/>
            <w:right w:val="none" w:sz="0" w:space="0" w:color="auto"/>
          </w:divBdr>
        </w:div>
        <w:div w:id="1469589804">
          <w:marLeft w:val="0"/>
          <w:marRight w:val="0"/>
          <w:marTop w:val="0"/>
          <w:marBottom w:val="0"/>
          <w:divBdr>
            <w:top w:val="none" w:sz="0" w:space="0" w:color="auto"/>
            <w:left w:val="none" w:sz="0" w:space="0" w:color="auto"/>
            <w:bottom w:val="none" w:sz="0" w:space="0" w:color="auto"/>
            <w:right w:val="none" w:sz="0" w:space="0" w:color="auto"/>
          </w:divBdr>
        </w:div>
        <w:div w:id="1495099511">
          <w:marLeft w:val="0"/>
          <w:marRight w:val="0"/>
          <w:marTop w:val="0"/>
          <w:marBottom w:val="0"/>
          <w:divBdr>
            <w:top w:val="none" w:sz="0" w:space="0" w:color="auto"/>
            <w:left w:val="none" w:sz="0" w:space="0" w:color="auto"/>
            <w:bottom w:val="none" w:sz="0" w:space="0" w:color="auto"/>
            <w:right w:val="none" w:sz="0" w:space="0" w:color="auto"/>
          </w:divBdr>
        </w:div>
        <w:div w:id="1510410369">
          <w:marLeft w:val="0"/>
          <w:marRight w:val="0"/>
          <w:marTop w:val="0"/>
          <w:marBottom w:val="0"/>
          <w:divBdr>
            <w:top w:val="none" w:sz="0" w:space="0" w:color="auto"/>
            <w:left w:val="none" w:sz="0" w:space="0" w:color="auto"/>
            <w:bottom w:val="none" w:sz="0" w:space="0" w:color="auto"/>
            <w:right w:val="none" w:sz="0" w:space="0" w:color="auto"/>
          </w:divBdr>
        </w:div>
        <w:div w:id="1527527036">
          <w:marLeft w:val="0"/>
          <w:marRight w:val="0"/>
          <w:marTop w:val="0"/>
          <w:marBottom w:val="0"/>
          <w:divBdr>
            <w:top w:val="none" w:sz="0" w:space="0" w:color="auto"/>
            <w:left w:val="none" w:sz="0" w:space="0" w:color="auto"/>
            <w:bottom w:val="none" w:sz="0" w:space="0" w:color="auto"/>
            <w:right w:val="none" w:sz="0" w:space="0" w:color="auto"/>
          </w:divBdr>
        </w:div>
        <w:div w:id="1532647021">
          <w:marLeft w:val="0"/>
          <w:marRight w:val="0"/>
          <w:marTop w:val="0"/>
          <w:marBottom w:val="0"/>
          <w:divBdr>
            <w:top w:val="none" w:sz="0" w:space="0" w:color="auto"/>
            <w:left w:val="none" w:sz="0" w:space="0" w:color="auto"/>
            <w:bottom w:val="none" w:sz="0" w:space="0" w:color="auto"/>
            <w:right w:val="none" w:sz="0" w:space="0" w:color="auto"/>
          </w:divBdr>
          <w:divsChild>
            <w:div w:id="611209311">
              <w:marLeft w:val="-75"/>
              <w:marRight w:val="0"/>
              <w:marTop w:val="30"/>
              <w:marBottom w:val="30"/>
              <w:divBdr>
                <w:top w:val="none" w:sz="0" w:space="0" w:color="auto"/>
                <w:left w:val="none" w:sz="0" w:space="0" w:color="auto"/>
                <w:bottom w:val="none" w:sz="0" w:space="0" w:color="auto"/>
                <w:right w:val="none" w:sz="0" w:space="0" w:color="auto"/>
              </w:divBdr>
              <w:divsChild>
                <w:div w:id="191378466">
                  <w:marLeft w:val="0"/>
                  <w:marRight w:val="0"/>
                  <w:marTop w:val="0"/>
                  <w:marBottom w:val="0"/>
                  <w:divBdr>
                    <w:top w:val="none" w:sz="0" w:space="0" w:color="auto"/>
                    <w:left w:val="none" w:sz="0" w:space="0" w:color="auto"/>
                    <w:bottom w:val="none" w:sz="0" w:space="0" w:color="auto"/>
                    <w:right w:val="none" w:sz="0" w:space="0" w:color="auto"/>
                  </w:divBdr>
                  <w:divsChild>
                    <w:div w:id="378213257">
                      <w:marLeft w:val="0"/>
                      <w:marRight w:val="0"/>
                      <w:marTop w:val="0"/>
                      <w:marBottom w:val="0"/>
                      <w:divBdr>
                        <w:top w:val="none" w:sz="0" w:space="0" w:color="auto"/>
                        <w:left w:val="none" w:sz="0" w:space="0" w:color="auto"/>
                        <w:bottom w:val="none" w:sz="0" w:space="0" w:color="auto"/>
                        <w:right w:val="none" w:sz="0" w:space="0" w:color="auto"/>
                      </w:divBdr>
                    </w:div>
                  </w:divsChild>
                </w:div>
                <w:div w:id="324820268">
                  <w:marLeft w:val="0"/>
                  <w:marRight w:val="0"/>
                  <w:marTop w:val="0"/>
                  <w:marBottom w:val="0"/>
                  <w:divBdr>
                    <w:top w:val="none" w:sz="0" w:space="0" w:color="auto"/>
                    <w:left w:val="none" w:sz="0" w:space="0" w:color="auto"/>
                    <w:bottom w:val="none" w:sz="0" w:space="0" w:color="auto"/>
                    <w:right w:val="none" w:sz="0" w:space="0" w:color="auto"/>
                  </w:divBdr>
                  <w:divsChild>
                    <w:div w:id="965353895">
                      <w:marLeft w:val="0"/>
                      <w:marRight w:val="0"/>
                      <w:marTop w:val="0"/>
                      <w:marBottom w:val="0"/>
                      <w:divBdr>
                        <w:top w:val="none" w:sz="0" w:space="0" w:color="auto"/>
                        <w:left w:val="none" w:sz="0" w:space="0" w:color="auto"/>
                        <w:bottom w:val="none" w:sz="0" w:space="0" w:color="auto"/>
                        <w:right w:val="none" w:sz="0" w:space="0" w:color="auto"/>
                      </w:divBdr>
                    </w:div>
                  </w:divsChild>
                </w:div>
                <w:div w:id="346952117">
                  <w:marLeft w:val="0"/>
                  <w:marRight w:val="0"/>
                  <w:marTop w:val="0"/>
                  <w:marBottom w:val="0"/>
                  <w:divBdr>
                    <w:top w:val="none" w:sz="0" w:space="0" w:color="auto"/>
                    <w:left w:val="none" w:sz="0" w:space="0" w:color="auto"/>
                    <w:bottom w:val="none" w:sz="0" w:space="0" w:color="auto"/>
                    <w:right w:val="none" w:sz="0" w:space="0" w:color="auto"/>
                  </w:divBdr>
                  <w:divsChild>
                    <w:div w:id="1393235269">
                      <w:marLeft w:val="0"/>
                      <w:marRight w:val="0"/>
                      <w:marTop w:val="0"/>
                      <w:marBottom w:val="0"/>
                      <w:divBdr>
                        <w:top w:val="none" w:sz="0" w:space="0" w:color="auto"/>
                        <w:left w:val="none" w:sz="0" w:space="0" w:color="auto"/>
                        <w:bottom w:val="none" w:sz="0" w:space="0" w:color="auto"/>
                        <w:right w:val="none" w:sz="0" w:space="0" w:color="auto"/>
                      </w:divBdr>
                    </w:div>
                  </w:divsChild>
                </w:div>
                <w:div w:id="1076244809">
                  <w:marLeft w:val="0"/>
                  <w:marRight w:val="0"/>
                  <w:marTop w:val="0"/>
                  <w:marBottom w:val="0"/>
                  <w:divBdr>
                    <w:top w:val="none" w:sz="0" w:space="0" w:color="auto"/>
                    <w:left w:val="none" w:sz="0" w:space="0" w:color="auto"/>
                    <w:bottom w:val="none" w:sz="0" w:space="0" w:color="auto"/>
                    <w:right w:val="none" w:sz="0" w:space="0" w:color="auto"/>
                  </w:divBdr>
                  <w:divsChild>
                    <w:div w:id="262300454">
                      <w:marLeft w:val="0"/>
                      <w:marRight w:val="0"/>
                      <w:marTop w:val="0"/>
                      <w:marBottom w:val="0"/>
                      <w:divBdr>
                        <w:top w:val="none" w:sz="0" w:space="0" w:color="auto"/>
                        <w:left w:val="none" w:sz="0" w:space="0" w:color="auto"/>
                        <w:bottom w:val="none" w:sz="0" w:space="0" w:color="auto"/>
                        <w:right w:val="none" w:sz="0" w:space="0" w:color="auto"/>
                      </w:divBdr>
                    </w:div>
                  </w:divsChild>
                </w:div>
                <w:div w:id="1462336188">
                  <w:marLeft w:val="0"/>
                  <w:marRight w:val="0"/>
                  <w:marTop w:val="0"/>
                  <w:marBottom w:val="0"/>
                  <w:divBdr>
                    <w:top w:val="none" w:sz="0" w:space="0" w:color="auto"/>
                    <w:left w:val="none" w:sz="0" w:space="0" w:color="auto"/>
                    <w:bottom w:val="none" w:sz="0" w:space="0" w:color="auto"/>
                    <w:right w:val="none" w:sz="0" w:space="0" w:color="auto"/>
                  </w:divBdr>
                  <w:divsChild>
                    <w:div w:id="549995867">
                      <w:marLeft w:val="0"/>
                      <w:marRight w:val="0"/>
                      <w:marTop w:val="0"/>
                      <w:marBottom w:val="0"/>
                      <w:divBdr>
                        <w:top w:val="none" w:sz="0" w:space="0" w:color="auto"/>
                        <w:left w:val="none" w:sz="0" w:space="0" w:color="auto"/>
                        <w:bottom w:val="none" w:sz="0" w:space="0" w:color="auto"/>
                        <w:right w:val="none" w:sz="0" w:space="0" w:color="auto"/>
                      </w:divBdr>
                    </w:div>
                  </w:divsChild>
                </w:div>
                <w:div w:id="1559710121">
                  <w:marLeft w:val="0"/>
                  <w:marRight w:val="0"/>
                  <w:marTop w:val="0"/>
                  <w:marBottom w:val="0"/>
                  <w:divBdr>
                    <w:top w:val="none" w:sz="0" w:space="0" w:color="auto"/>
                    <w:left w:val="none" w:sz="0" w:space="0" w:color="auto"/>
                    <w:bottom w:val="none" w:sz="0" w:space="0" w:color="auto"/>
                    <w:right w:val="none" w:sz="0" w:space="0" w:color="auto"/>
                  </w:divBdr>
                  <w:divsChild>
                    <w:div w:id="847597165">
                      <w:marLeft w:val="0"/>
                      <w:marRight w:val="0"/>
                      <w:marTop w:val="0"/>
                      <w:marBottom w:val="0"/>
                      <w:divBdr>
                        <w:top w:val="none" w:sz="0" w:space="0" w:color="auto"/>
                        <w:left w:val="none" w:sz="0" w:space="0" w:color="auto"/>
                        <w:bottom w:val="none" w:sz="0" w:space="0" w:color="auto"/>
                        <w:right w:val="none" w:sz="0" w:space="0" w:color="auto"/>
                      </w:divBdr>
                    </w:div>
                  </w:divsChild>
                </w:div>
                <w:div w:id="1645893649">
                  <w:marLeft w:val="0"/>
                  <w:marRight w:val="0"/>
                  <w:marTop w:val="0"/>
                  <w:marBottom w:val="0"/>
                  <w:divBdr>
                    <w:top w:val="none" w:sz="0" w:space="0" w:color="auto"/>
                    <w:left w:val="none" w:sz="0" w:space="0" w:color="auto"/>
                    <w:bottom w:val="none" w:sz="0" w:space="0" w:color="auto"/>
                    <w:right w:val="none" w:sz="0" w:space="0" w:color="auto"/>
                  </w:divBdr>
                  <w:divsChild>
                    <w:div w:id="1449540885">
                      <w:marLeft w:val="0"/>
                      <w:marRight w:val="0"/>
                      <w:marTop w:val="0"/>
                      <w:marBottom w:val="0"/>
                      <w:divBdr>
                        <w:top w:val="none" w:sz="0" w:space="0" w:color="auto"/>
                        <w:left w:val="none" w:sz="0" w:space="0" w:color="auto"/>
                        <w:bottom w:val="none" w:sz="0" w:space="0" w:color="auto"/>
                        <w:right w:val="none" w:sz="0" w:space="0" w:color="auto"/>
                      </w:divBdr>
                    </w:div>
                  </w:divsChild>
                </w:div>
                <w:div w:id="1744327231">
                  <w:marLeft w:val="0"/>
                  <w:marRight w:val="0"/>
                  <w:marTop w:val="0"/>
                  <w:marBottom w:val="0"/>
                  <w:divBdr>
                    <w:top w:val="none" w:sz="0" w:space="0" w:color="auto"/>
                    <w:left w:val="none" w:sz="0" w:space="0" w:color="auto"/>
                    <w:bottom w:val="none" w:sz="0" w:space="0" w:color="auto"/>
                    <w:right w:val="none" w:sz="0" w:space="0" w:color="auto"/>
                  </w:divBdr>
                  <w:divsChild>
                    <w:div w:id="344211787">
                      <w:marLeft w:val="0"/>
                      <w:marRight w:val="0"/>
                      <w:marTop w:val="0"/>
                      <w:marBottom w:val="0"/>
                      <w:divBdr>
                        <w:top w:val="none" w:sz="0" w:space="0" w:color="auto"/>
                        <w:left w:val="none" w:sz="0" w:space="0" w:color="auto"/>
                        <w:bottom w:val="none" w:sz="0" w:space="0" w:color="auto"/>
                        <w:right w:val="none" w:sz="0" w:space="0" w:color="auto"/>
                      </w:divBdr>
                    </w:div>
                  </w:divsChild>
                </w:div>
                <w:div w:id="1760253883">
                  <w:marLeft w:val="0"/>
                  <w:marRight w:val="0"/>
                  <w:marTop w:val="0"/>
                  <w:marBottom w:val="0"/>
                  <w:divBdr>
                    <w:top w:val="none" w:sz="0" w:space="0" w:color="auto"/>
                    <w:left w:val="none" w:sz="0" w:space="0" w:color="auto"/>
                    <w:bottom w:val="none" w:sz="0" w:space="0" w:color="auto"/>
                    <w:right w:val="none" w:sz="0" w:space="0" w:color="auto"/>
                  </w:divBdr>
                  <w:divsChild>
                    <w:div w:id="1758558526">
                      <w:marLeft w:val="0"/>
                      <w:marRight w:val="0"/>
                      <w:marTop w:val="0"/>
                      <w:marBottom w:val="0"/>
                      <w:divBdr>
                        <w:top w:val="none" w:sz="0" w:space="0" w:color="auto"/>
                        <w:left w:val="none" w:sz="0" w:space="0" w:color="auto"/>
                        <w:bottom w:val="none" w:sz="0" w:space="0" w:color="auto"/>
                        <w:right w:val="none" w:sz="0" w:space="0" w:color="auto"/>
                      </w:divBdr>
                    </w:div>
                  </w:divsChild>
                </w:div>
                <w:div w:id="1854344249">
                  <w:marLeft w:val="0"/>
                  <w:marRight w:val="0"/>
                  <w:marTop w:val="0"/>
                  <w:marBottom w:val="0"/>
                  <w:divBdr>
                    <w:top w:val="none" w:sz="0" w:space="0" w:color="auto"/>
                    <w:left w:val="none" w:sz="0" w:space="0" w:color="auto"/>
                    <w:bottom w:val="none" w:sz="0" w:space="0" w:color="auto"/>
                    <w:right w:val="none" w:sz="0" w:space="0" w:color="auto"/>
                  </w:divBdr>
                  <w:divsChild>
                    <w:div w:id="1806582181">
                      <w:marLeft w:val="0"/>
                      <w:marRight w:val="0"/>
                      <w:marTop w:val="0"/>
                      <w:marBottom w:val="0"/>
                      <w:divBdr>
                        <w:top w:val="none" w:sz="0" w:space="0" w:color="auto"/>
                        <w:left w:val="none" w:sz="0" w:space="0" w:color="auto"/>
                        <w:bottom w:val="none" w:sz="0" w:space="0" w:color="auto"/>
                        <w:right w:val="none" w:sz="0" w:space="0" w:color="auto"/>
                      </w:divBdr>
                    </w:div>
                  </w:divsChild>
                </w:div>
                <w:div w:id="1904097576">
                  <w:marLeft w:val="0"/>
                  <w:marRight w:val="0"/>
                  <w:marTop w:val="0"/>
                  <w:marBottom w:val="0"/>
                  <w:divBdr>
                    <w:top w:val="none" w:sz="0" w:space="0" w:color="auto"/>
                    <w:left w:val="none" w:sz="0" w:space="0" w:color="auto"/>
                    <w:bottom w:val="none" w:sz="0" w:space="0" w:color="auto"/>
                    <w:right w:val="none" w:sz="0" w:space="0" w:color="auto"/>
                  </w:divBdr>
                  <w:divsChild>
                    <w:div w:id="1773698713">
                      <w:marLeft w:val="0"/>
                      <w:marRight w:val="0"/>
                      <w:marTop w:val="0"/>
                      <w:marBottom w:val="0"/>
                      <w:divBdr>
                        <w:top w:val="none" w:sz="0" w:space="0" w:color="auto"/>
                        <w:left w:val="none" w:sz="0" w:space="0" w:color="auto"/>
                        <w:bottom w:val="none" w:sz="0" w:space="0" w:color="auto"/>
                        <w:right w:val="none" w:sz="0" w:space="0" w:color="auto"/>
                      </w:divBdr>
                    </w:div>
                  </w:divsChild>
                </w:div>
                <w:div w:id="1931351246">
                  <w:marLeft w:val="0"/>
                  <w:marRight w:val="0"/>
                  <w:marTop w:val="0"/>
                  <w:marBottom w:val="0"/>
                  <w:divBdr>
                    <w:top w:val="none" w:sz="0" w:space="0" w:color="auto"/>
                    <w:left w:val="none" w:sz="0" w:space="0" w:color="auto"/>
                    <w:bottom w:val="none" w:sz="0" w:space="0" w:color="auto"/>
                    <w:right w:val="none" w:sz="0" w:space="0" w:color="auto"/>
                  </w:divBdr>
                  <w:divsChild>
                    <w:div w:id="177235031">
                      <w:marLeft w:val="0"/>
                      <w:marRight w:val="0"/>
                      <w:marTop w:val="0"/>
                      <w:marBottom w:val="0"/>
                      <w:divBdr>
                        <w:top w:val="none" w:sz="0" w:space="0" w:color="auto"/>
                        <w:left w:val="none" w:sz="0" w:space="0" w:color="auto"/>
                        <w:bottom w:val="none" w:sz="0" w:space="0" w:color="auto"/>
                        <w:right w:val="none" w:sz="0" w:space="0" w:color="auto"/>
                      </w:divBdr>
                    </w:div>
                  </w:divsChild>
                </w:div>
                <w:div w:id="1948733862">
                  <w:marLeft w:val="0"/>
                  <w:marRight w:val="0"/>
                  <w:marTop w:val="0"/>
                  <w:marBottom w:val="0"/>
                  <w:divBdr>
                    <w:top w:val="none" w:sz="0" w:space="0" w:color="auto"/>
                    <w:left w:val="none" w:sz="0" w:space="0" w:color="auto"/>
                    <w:bottom w:val="none" w:sz="0" w:space="0" w:color="auto"/>
                    <w:right w:val="none" w:sz="0" w:space="0" w:color="auto"/>
                  </w:divBdr>
                  <w:divsChild>
                    <w:div w:id="1982729874">
                      <w:marLeft w:val="0"/>
                      <w:marRight w:val="0"/>
                      <w:marTop w:val="0"/>
                      <w:marBottom w:val="0"/>
                      <w:divBdr>
                        <w:top w:val="none" w:sz="0" w:space="0" w:color="auto"/>
                        <w:left w:val="none" w:sz="0" w:space="0" w:color="auto"/>
                        <w:bottom w:val="none" w:sz="0" w:space="0" w:color="auto"/>
                        <w:right w:val="none" w:sz="0" w:space="0" w:color="auto"/>
                      </w:divBdr>
                    </w:div>
                  </w:divsChild>
                </w:div>
                <w:div w:id="2070880041">
                  <w:marLeft w:val="0"/>
                  <w:marRight w:val="0"/>
                  <w:marTop w:val="0"/>
                  <w:marBottom w:val="0"/>
                  <w:divBdr>
                    <w:top w:val="none" w:sz="0" w:space="0" w:color="auto"/>
                    <w:left w:val="none" w:sz="0" w:space="0" w:color="auto"/>
                    <w:bottom w:val="none" w:sz="0" w:space="0" w:color="auto"/>
                    <w:right w:val="none" w:sz="0" w:space="0" w:color="auto"/>
                  </w:divBdr>
                  <w:divsChild>
                    <w:div w:id="1408764588">
                      <w:marLeft w:val="0"/>
                      <w:marRight w:val="0"/>
                      <w:marTop w:val="0"/>
                      <w:marBottom w:val="0"/>
                      <w:divBdr>
                        <w:top w:val="none" w:sz="0" w:space="0" w:color="auto"/>
                        <w:left w:val="none" w:sz="0" w:space="0" w:color="auto"/>
                        <w:bottom w:val="none" w:sz="0" w:space="0" w:color="auto"/>
                        <w:right w:val="none" w:sz="0" w:space="0" w:color="auto"/>
                      </w:divBdr>
                    </w:div>
                  </w:divsChild>
                </w:div>
                <w:div w:id="2104912749">
                  <w:marLeft w:val="0"/>
                  <w:marRight w:val="0"/>
                  <w:marTop w:val="0"/>
                  <w:marBottom w:val="0"/>
                  <w:divBdr>
                    <w:top w:val="none" w:sz="0" w:space="0" w:color="auto"/>
                    <w:left w:val="none" w:sz="0" w:space="0" w:color="auto"/>
                    <w:bottom w:val="none" w:sz="0" w:space="0" w:color="auto"/>
                    <w:right w:val="none" w:sz="0" w:space="0" w:color="auto"/>
                  </w:divBdr>
                  <w:divsChild>
                    <w:div w:id="19745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93821">
          <w:marLeft w:val="0"/>
          <w:marRight w:val="0"/>
          <w:marTop w:val="0"/>
          <w:marBottom w:val="0"/>
          <w:divBdr>
            <w:top w:val="none" w:sz="0" w:space="0" w:color="auto"/>
            <w:left w:val="none" w:sz="0" w:space="0" w:color="auto"/>
            <w:bottom w:val="none" w:sz="0" w:space="0" w:color="auto"/>
            <w:right w:val="none" w:sz="0" w:space="0" w:color="auto"/>
          </w:divBdr>
        </w:div>
        <w:div w:id="1548568795">
          <w:marLeft w:val="0"/>
          <w:marRight w:val="0"/>
          <w:marTop w:val="0"/>
          <w:marBottom w:val="0"/>
          <w:divBdr>
            <w:top w:val="none" w:sz="0" w:space="0" w:color="auto"/>
            <w:left w:val="none" w:sz="0" w:space="0" w:color="auto"/>
            <w:bottom w:val="none" w:sz="0" w:space="0" w:color="auto"/>
            <w:right w:val="none" w:sz="0" w:space="0" w:color="auto"/>
          </w:divBdr>
        </w:div>
        <w:div w:id="1643658032">
          <w:marLeft w:val="0"/>
          <w:marRight w:val="0"/>
          <w:marTop w:val="0"/>
          <w:marBottom w:val="0"/>
          <w:divBdr>
            <w:top w:val="none" w:sz="0" w:space="0" w:color="auto"/>
            <w:left w:val="none" w:sz="0" w:space="0" w:color="auto"/>
            <w:bottom w:val="none" w:sz="0" w:space="0" w:color="auto"/>
            <w:right w:val="none" w:sz="0" w:space="0" w:color="auto"/>
          </w:divBdr>
        </w:div>
        <w:div w:id="1655718965">
          <w:marLeft w:val="0"/>
          <w:marRight w:val="0"/>
          <w:marTop w:val="0"/>
          <w:marBottom w:val="0"/>
          <w:divBdr>
            <w:top w:val="none" w:sz="0" w:space="0" w:color="auto"/>
            <w:left w:val="none" w:sz="0" w:space="0" w:color="auto"/>
            <w:bottom w:val="none" w:sz="0" w:space="0" w:color="auto"/>
            <w:right w:val="none" w:sz="0" w:space="0" w:color="auto"/>
          </w:divBdr>
        </w:div>
        <w:div w:id="1670282414">
          <w:marLeft w:val="0"/>
          <w:marRight w:val="0"/>
          <w:marTop w:val="0"/>
          <w:marBottom w:val="0"/>
          <w:divBdr>
            <w:top w:val="none" w:sz="0" w:space="0" w:color="auto"/>
            <w:left w:val="none" w:sz="0" w:space="0" w:color="auto"/>
            <w:bottom w:val="none" w:sz="0" w:space="0" w:color="auto"/>
            <w:right w:val="none" w:sz="0" w:space="0" w:color="auto"/>
          </w:divBdr>
        </w:div>
        <w:div w:id="1685087382">
          <w:marLeft w:val="0"/>
          <w:marRight w:val="0"/>
          <w:marTop w:val="0"/>
          <w:marBottom w:val="0"/>
          <w:divBdr>
            <w:top w:val="none" w:sz="0" w:space="0" w:color="auto"/>
            <w:left w:val="none" w:sz="0" w:space="0" w:color="auto"/>
            <w:bottom w:val="none" w:sz="0" w:space="0" w:color="auto"/>
            <w:right w:val="none" w:sz="0" w:space="0" w:color="auto"/>
          </w:divBdr>
        </w:div>
        <w:div w:id="1727680212">
          <w:marLeft w:val="0"/>
          <w:marRight w:val="0"/>
          <w:marTop w:val="0"/>
          <w:marBottom w:val="0"/>
          <w:divBdr>
            <w:top w:val="none" w:sz="0" w:space="0" w:color="auto"/>
            <w:left w:val="none" w:sz="0" w:space="0" w:color="auto"/>
            <w:bottom w:val="none" w:sz="0" w:space="0" w:color="auto"/>
            <w:right w:val="none" w:sz="0" w:space="0" w:color="auto"/>
          </w:divBdr>
        </w:div>
        <w:div w:id="1772243085">
          <w:marLeft w:val="0"/>
          <w:marRight w:val="0"/>
          <w:marTop w:val="0"/>
          <w:marBottom w:val="0"/>
          <w:divBdr>
            <w:top w:val="none" w:sz="0" w:space="0" w:color="auto"/>
            <w:left w:val="none" w:sz="0" w:space="0" w:color="auto"/>
            <w:bottom w:val="none" w:sz="0" w:space="0" w:color="auto"/>
            <w:right w:val="none" w:sz="0" w:space="0" w:color="auto"/>
          </w:divBdr>
        </w:div>
        <w:div w:id="1831823980">
          <w:marLeft w:val="0"/>
          <w:marRight w:val="0"/>
          <w:marTop w:val="0"/>
          <w:marBottom w:val="0"/>
          <w:divBdr>
            <w:top w:val="none" w:sz="0" w:space="0" w:color="auto"/>
            <w:left w:val="none" w:sz="0" w:space="0" w:color="auto"/>
            <w:bottom w:val="none" w:sz="0" w:space="0" w:color="auto"/>
            <w:right w:val="none" w:sz="0" w:space="0" w:color="auto"/>
          </w:divBdr>
        </w:div>
        <w:div w:id="1913150288">
          <w:marLeft w:val="0"/>
          <w:marRight w:val="0"/>
          <w:marTop w:val="0"/>
          <w:marBottom w:val="0"/>
          <w:divBdr>
            <w:top w:val="none" w:sz="0" w:space="0" w:color="auto"/>
            <w:left w:val="none" w:sz="0" w:space="0" w:color="auto"/>
            <w:bottom w:val="none" w:sz="0" w:space="0" w:color="auto"/>
            <w:right w:val="none" w:sz="0" w:space="0" w:color="auto"/>
          </w:divBdr>
        </w:div>
        <w:div w:id="1916745204">
          <w:marLeft w:val="0"/>
          <w:marRight w:val="0"/>
          <w:marTop w:val="0"/>
          <w:marBottom w:val="0"/>
          <w:divBdr>
            <w:top w:val="none" w:sz="0" w:space="0" w:color="auto"/>
            <w:left w:val="none" w:sz="0" w:space="0" w:color="auto"/>
            <w:bottom w:val="none" w:sz="0" w:space="0" w:color="auto"/>
            <w:right w:val="none" w:sz="0" w:space="0" w:color="auto"/>
          </w:divBdr>
        </w:div>
        <w:div w:id="1930385795">
          <w:marLeft w:val="0"/>
          <w:marRight w:val="0"/>
          <w:marTop w:val="0"/>
          <w:marBottom w:val="0"/>
          <w:divBdr>
            <w:top w:val="none" w:sz="0" w:space="0" w:color="auto"/>
            <w:left w:val="none" w:sz="0" w:space="0" w:color="auto"/>
            <w:bottom w:val="none" w:sz="0" w:space="0" w:color="auto"/>
            <w:right w:val="none" w:sz="0" w:space="0" w:color="auto"/>
          </w:divBdr>
        </w:div>
        <w:div w:id="1966034907">
          <w:marLeft w:val="0"/>
          <w:marRight w:val="0"/>
          <w:marTop w:val="0"/>
          <w:marBottom w:val="0"/>
          <w:divBdr>
            <w:top w:val="none" w:sz="0" w:space="0" w:color="auto"/>
            <w:left w:val="none" w:sz="0" w:space="0" w:color="auto"/>
            <w:bottom w:val="none" w:sz="0" w:space="0" w:color="auto"/>
            <w:right w:val="none" w:sz="0" w:space="0" w:color="auto"/>
          </w:divBdr>
        </w:div>
        <w:div w:id="2008821333">
          <w:marLeft w:val="0"/>
          <w:marRight w:val="0"/>
          <w:marTop w:val="0"/>
          <w:marBottom w:val="0"/>
          <w:divBdr>
            <w:top w:val="none" w:sz="0" w:space="0" w:color="auto"/>
            <w:left w:val="none" w:sz="0" w:space="0" w:color="auto"/>
            <w:bottom w:val="none" w:sz="0" w:space="0" w:color="auto"/>
            <w:right w:val="none" w:sz="0" w:space="0" w:color="auto"/>
          </w:divBdr>
        </w:div>
        <w:div w:id="2049523411">
          <w:marLeft w:val="0"/>
          <w:marRight w:val="0"/>
          <w:marTop w:val="0"/>
          <w:marBottom w:val="0"/>
          <w:divBdr>
            <w:top w:val="none" w:sz="0" w:space="0" w:color="auto"/>
            <w:left w:val="none" w:sz="0" w:space="0" w:color="auto"/>
            <w:bottom w:val="none" w:sz="0" w:space="0" w:color="auto"/>
            <w:right w:val="none" w:sz="0" w:space="0" w:color="auto"/>
          </w:divBdr>
        </w:div>
        <w:div w:id="2070036094">
          <w:marLeft w:val="0"/>
          <w:marRight w:val="0"/>
          <w:marTop w:val="0"/>
          <w:marBottom w:val="0"/>
          <w:divBdr>
            <w:top w:val="none" w:sz="0" w:space="0" w:color="auto"/>
            <w:left w:val="none" w:sz="0" w:space="0" w:color="auto"/>
            <w:bottom w:val="none" w:sz="0" w:space="0" w:color="auto"/>
            <w:right w:val="none" w:sz="0" w:space="0" w:color="auto"/>
          </w:divBdr>
        </w:div>
        <w:div w:id="2071032450">
          <w:marLeft w:val="0"/>
          <w:marRight w:val="0"/>
          <w:marTop w:val="0"/>
          <w:marBottom w:val="0"/>
          <w:divBdr>
            <w:top w:val="none" w:sz="0" w:space="0" w:color="auto"/>
            <w:left w:val="none" w:sz="0" w:space="0" w:color="auto"/>
            <w:bottom w:val="none" w:sz="0" w:space="0" w:color="auto"/>
            <w:right w:val="none" w:sz="0" w:space="0" w:color="auto"/>
          </w:divBdr>
          <w:divsChild>
            <w:div w:id="65539642">
              <w:marLeft w:val="0"/>
              <w:marRight w:val="0"/>
              <w:marTop w:val="0"/>
              <w:marBottom w:val="0"/>
              <w:divBdr>
                <w:top w:val="none" w:sz="0" w:space="0" w:color="auto"/>
                <w:left w:val="none" w:sz="0" w:space="0" w:color="auto"/>
                <w:bottom w:val="none" w:sz="0" w:space="0" w:color="auto"/>
                <w:right w:val="none" w:sz="0" w:space="0" w:color="auto"/>
              </w:divBdr>
            </w:div>
            <w:div w:id="219444675">
              <w:marLeft w:val="0"/>
              <w:marRight w:val="0"/>
              <w:marTop w:val="0"/>
              <w:marBottom w:val="0"/>
              <w:divBdr>
                <w:top w:val="none" w:sz="0" w:space="0" w:color="auto"/>
                <w:left w:val="none" w:sz="0" w:space="0" w:color="auto"/>
                <w:bottom w:val="none" w:sz="0" w:space="0" w:color="auto"/>
                <w:right w:val="none" w:sz="0" w:space="0" w:color="auto"/>
              </w:divBdr>
            </w:div>
            <w:div w:id="269968454">
              <w:marLeft w:val="0"/>
              <w:marRight w:val="0"/>
              <w:marTop w:val="0"/>
              <w:marBottom w:val="0"/>
              <w:divBdr>
                <w:top w:val="none" w:sz="0" w:space="0" w:color="auto"/>
                <w:left w:val="none" w:sz="0" w:space="0" w:color="auto"/>
                <w:bottom w:val="none" w:sz="0" w:space="0" w:color="auto"/>
                <w:right w:val="none" w:sz="0" w:space="0" w:color="auto"/>
              </w:divBdr>
            </w:div>
            <w:div w:id="410472344">
              <w:marLeft w:val="0"/>
              <w:marRight w:val="0"/>
              <w:marTop w:val="0"/>
              <w:marBottom w:val="0"/>
              <w:divBdr>
                <w:top w:val="none" w:sz="0" w:space="0" w:color="auto"/>
                <w:left w:val="none" w:sz="0" w:space="0" w:color="auto"/>
                <w:bottom w:val="none" w:sz="0" w:space="0" w:color="auto"/>
                <w:right w:val="none" w:sz="0" w:space="0" w:color="auto"/>
              </w:divBdr>
            </w:div>
            <w:div w:id="692460096">
              <w:marLeft w:val="0"/>
              <w:marRight w:val="0"/>
              <w:marTop w:val="0"/>
              <w:marBottom w:val="0"/>
              <w:divBdr>
                <w:top w:val="none" w:sz="0" w:space="0" w:color="auto"/>
                <w:left w:val="none" w:sz="0" w:space="0" w:color="auto"/>
                <w:bottom w:val="none" w:sz="0" w:space="0" w:color="auto"/>
                <w:right w:val="none" w:sz="0" w:space="0" w:color="auto"/>
              </w:divBdr>
            </w:div>
            <w:div w:id="817385124">
              <w:marLeft w:val="0"/>
              <w:marRight w:val="0"/>
              <w:marTop w:val="0"/>
              <w:marBottom w:val="0"/>
              <w:divBdr>
                <w:top w:val="none" w:sz="0" w:space="0" w:color="auto"/>
                <w:left w:val="none" w:sz="0" w:space="0" w:color="auto"/>
                <w:bottom w:val="none" w:sz="0" w:space="0" w:color="auto"/>
                <w:right w:val="none" w:sz="0" w:space="0" w:color="auto"/>
              </w:divBdr>
            </w:div>
            <w:div w:id="899368363">
              <w:marLeft w:val="0"/>
              <w:marRight w:val="0"/>
              <w:marTop w:val="0"/>
              <w:marBottom w:val="0"/>
              <w:divBdr>
                <w:top w:val="none" w:sz="0" w:space="0" w:color="auto"/>
                <w:left w:val="none" w:sz="0" w:space="0" w:color="auto"/>
                <w:bottom w:val="none" w:sz="0" w:space="0" w:color="auto"/>
                <w:right w:val="none" w:sz="0" w:space="0" w:color="auto"/>
              </w:divBdr>
            </w:div>
            <w:div w:id="999432574">
              <w:marLeft w:val="0"/>
              <w:marRight w:val="0"/>
              <w:marTop w:val="0"/>
              <w:marBottom w:val="0"/>
              <w:divBdr>
                <w:top w:val="none" w:sz="0" w:space="0" w:color="auto"/>
                <w:left w:val="none" w:sz="0" w:space="0" w:color="auto"/>
                <w:bottom w:val="none" w:sz="0" w:space="0" w:color="auto"/>
                <w:right w:val="none" w:sz="0" w:space="0" w:color="auto"/>
              </w:divBdr>
            </w:div>
            <w:div w:id="1020669290">
              <w:marLeft w:val="0"/>
              <w:marRight w:val="0"/>
              <w:marTop w:val="0"/>
              <w:marBottom w:val="0"/>
              <w:divBdr>
                <w:top w:val="none" w:sz="0" w:space="0" w:color="auto"/>
                <w:left w:val="none" w:sz="0" w:space="0" w:color="auto"/>
                <w:bottom w:val="none" w:sz="0" w:space="0" w:color="auto"/>
                <w:right w:val="none" w:sz="0" w:space="0" w:color="auto"/>
              </w:divBdr>
            </w:div>
            <w:div w:id="1110785493">
              <w:marLeft w:val="0"/>
              <w:marRight w:val="0"/>
              <w:marTop w:val="0"/>
              <w:marBottom w:val="0"/>
              <w:divBdr>
                <w:top w:val="none" w:sz="0" w:space="0" w:color="auto"/>
                <w:left w:val="none" w:sz="0" w:space="0" w:color="auto"/>
                <w:bottom w:val="none" w:sz="0" w:space="0" w:color="auto"/>
                <w:right w:val="none" w:sz="0" w:space="0" w:color="auto"/>
              </w:divBdr>
            </w:div>
            <w:div w:id="1223296417">
              <w:marLeft w:val="0"/>
              <w:marRight w:val="0"/>
              <w:marTop w:val="0"/>
              <w:marBottom w:val="0"/>
              <w:divBdr>
                <w:top w:val="none" w:sz="0" w:space="0" w:color="auto"/>
                <w:left w:val="none" w:sz="0" w:space="0" w:color="auto"/>
                <w:bottom w:val="none" w:sz="0" w:space="0" w:color="auto"/>
                <w:right w:val="none" w:sz="0" w:space="0" w:color="auto"/>
              </w:divBdr>
            </w:div>
            <w:div w:id="1233850021">
              <w:marLeft w:val="0"/>
              <w:marRight w:val="0"/>
              <w:marTop w:val="0"/>
              <w:marBottom w:val="0"/>
              <w:divBdr>
                <w:top w:val="none" w:sz="0" w:space="0" w:color="auto"/>
                <w:left w:val="none" w:sz="0" w:space="0" w:color="auto"/>
                <w:bottom w:val="none" w:sz="0" w:space="0" w:color="auto"/>
                <w:right w:val="none" w:sz="0" w:space="0" w:color="auto"/>
              </w:divBdr>
            </w:div>
            <w:div w:id="1409689503">
              <w:marLeft w:val="0"/>
              <w:marRight w:val="0"/>
              <w:marTop w:val="0"/>
              <w:marBottom w:val="0"/>
              <w:divBdr>
                <w:top w:val="none" w:sz="0" w:space="0" w:color="auto"/>
                <w:left w:val="none" w:sz="0" w:space="0" w:color="auto"/>
                <w:bottom w:val="none" w:sz="0" w:space="0" w:color="auto"/>
                <w:right w:val="none" w:sz="0" w:space="0" w:color="auto"/>
              </w:divBdr>
            </w:div>
            <w:div w:id="1575237493">
              <w:marLeft w:val="0"/>
              <w:marRight w:val="0"/>
              <w:marTop w:val="0"/>
              <w:marBottom w:val="0"/>
              <w:divBdr>
                <w:top w:val="none" w:sz="0" w:space="0" w:color="auto"/>
                <w:left w:val="none" w:sz="0" w:space="0" w:color="auto"/>
                <w:bottom w:val="none" w:sz="0" w:space="0" w:color="auto"/>
                <w:right w:val="none" w:sz="0" w:space="0" w:color="auto"/>
              </w:divBdr>
            </w:div>
            <w:div w:id="1622301862">
              <w:marLeft w:val="0"/>
              <w:marRight w:val="0"/>
              <w:marTop w:val="0"/>
              <w:marBottom w:val="0"/>
              <w:divBdr>
                <w:top w:val="none" w:sz="0" w:space="0" w:color="auto"/>
                <w:left w:val="none" w:sz="0" w:space="0" w:color="auto"/>
                <w:bottom w:val="none" w:sz="0" w:space="0" w:color="auto"/>
                <w:right w:val="none" w:sz="0" w:space="0" w:color="auto"/>
              </w:divBdr>
            </w:div>
            <w:div w:id="20443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1403">
      <w:bodyDiv w:val="1"/>
      <w:marLeft w:val="0"/>
      <w:marRight w:val="0"/>
      <w:marTop w:val="0"/>
      <w:marBottom w:val="0"/>
      <w:divBdr>
        <w:top w:val="none" w:sz="0" w:space="0" w:color="auto"/>
        <w:left w:val="none" w:sz="0" w:space="0" w:color="auto"/>
        <w:bottom w:val="none" w:sz="0" w:space="0" w:color="auto"/>
        <w:right w:val="none" w:sz="0" w:space="0" w:color="auto"/>
      </w:divBdr>
      <w:divsChild>
        <w:div w:id="24721804">
          <w:marLeft w:val="-75"/>
          <w:marRight w:val="0"/>
          <w:marTop w:val="30"/>
          <w:marBottom w:val="30"/>
          <w:divBdr>
            <w:top w:val="none" w:sz="0" w:space="0" w:color="auto"/>
            <w:left w:val="none" w:sz="0" w:space="0" w:color="auto"/>
            <w:bottom w:val="none" w:sz="0" w:space="0" w:color="auto"/>
            <w:right w:val="none" w:sz="0" w:space="0" w:color="auto"/>
          </w:divBdr>
          <w:divsChild>
            <w:div w:id="96144378">
              <w:marLeft w:val="0"/>
              <w:marRight w:val="0"/>
              <w:marTop w:val="0"/>
              <w:marBottom w:val="0"/>
              <w:divBdr>
                <w:top w:val="none" w:sz="0" w:space="0" w:color="auto"/>
                <w:left w:val="none" w:sz="0" w:space="0" w:color="auto"/>
                <w:bottom w:val="none" w:sz="0" w:space="0" w:color="auto"/>
                <w:right w:val="none" w:sz="0" w:space="0" w:color="auto"/>
              </w:divBdr>
              <w:divsChild>
                <w:div w:id="1709840522">
                  <w:marLeft w:val="0"/>
                  <w:marRight w:val="0"/>
                  <w:marTop w:val="0"/>
                  <w:marBottom w:val="0"/>
                  <w:divBdr>
                    <w:top w:val="none" w:sz="0" w:space="0" w:color="auto"/>
                    <w:left w:val="none" w:sz="0" w:space="0" w:color="auto"/>
                    <w:bottom w:val="none" w:sz="0" w:space="0" w:color="auto"/>
                    <w:right w:val="none" w:sz="0" w:space="0" w:color="auto"/>
                  </w:divBdr>
                </w:div>
              </w:divsChild>
            </w:div>
            <w:div w:id="401951814">
              <w:marLeft w:val="0"/>
              <w:marRight w:val="0"/>
              <w:marTop w:val="0"/>
              <w:marBottom w:val="0"/>
              <w:divBdr>
                <w:top w:val="none" w:sz="0" w:space="0" w:color="auto"/>
                <w:left w:val="none" w:sz="0" w:space="0" w:color="auto"/>
                <w:bottom w:val="none" w:sz="0" w:space="0" w:color="auto"/>
                <w:right w:val="none" w:sz="0" w:space="0" w:color="auto"/>
              </w:divBdr>
              <w:divsChild>
                <w:div w:id="111479119">
                  <w:marLeft w:val="0"/>
                  <w:marRight w:val="0"/>
                  <w:marTop w:val="0"/>
                  <w:marBottom w:val="0"/>
                  <w:divBdr>
                    <w:top w:val="none" w:sz="0" w:space="0" w:color="auto"/>
                    <w:left w:val="none" w:sz="0" w:space="0" w:color="auto"/>
                    <w:bottom w:val="none" w:sz="0" w:space="0" w:color="auto"/>
                    <w:right w:val="none" w:sz="0" w:space="0" w:color="auto"/>
                  </w:divBdr>
                </w:div>
              </w:divsChild>
            </w:div>
            <w:div w:id="405037006">
              <w:marLeft w:val="0"/>
              <w:marRight w:val="0"/>
              <w:marTop w:val="0"/>
              <w:marBottom w:val="0"/>
              <w:divBdr>
                <w:top w:val="none" w:sz="0" w:space="0" w:color="auto"/>
                <w:left w:val="none" w:sz="0" w:space="0" w:color="auto"/>
                <w:bottom w:val="none" w:sz="0" w:space="0" w:color="auto"/>
                <w:right w:val="none" w:sz="0" w:space="0" w:color="auto"/>
              </w:divBdr>
              <w:divsChild>
                <w:div w:id="1496147038">
                  <w:marLeft w:val="0"/>
                  <w:marRight w:val="0"/>
                  <w:marTop w:val="0"/>
                  <w:marBottom w:val="0"/>
                  <w:divBdr>
                    <w:top w:val="none" w:sz="0" w:space="0" w:color="auto"/>
                    <w:left w:val="none" w:sz="0" w:space="0" w:color="auto"/>
                    <w:bottom w:val="none" w:sz="0" w:space="0" w:color="auto"/>
                    <w:right w:val="none" w:sz="0" w:space="0" w:color="auto"/>
                  </w:divBdr>
                </w:div>
              </w:divsChild>
            </w:div>
            <w:div w:id="424763782">
              <w:marLeft w:val="0"/>
              <w:marRight w:val="0"/>
              <w:marTop w:val="0"/>
              <w:marBottom w:val="0"/>
              <w:divBdr>
                <w:top w:val="none" w:sz="0" w:space="0" w:color="auto"/>
                <w:left w:val="none" w:sz="0" w:space="0" w:color="auto"/>
                <w:bottom w:val="none" w:sz="0" w:space="0" w:color="auto"/>
                <w:right w:val="none" w:sz="0" w:space="0" w:color="auto"/>
              </w:divBdr>
              <w:divsChild>
                <w:div w:id="675038086">
                  <w:marLeft w:val="0"/>
                  <w:marRight w:val="0"/>
                  <w:marTop w:val="0"/>
                  <w:marBottom w:val="0"/>
                  <w:divBdr>
                    <w:top w:val="none" w:sz="0" w:space="0" w:color="auto"/>
                    <w:left w:val="none" w:sz="0" w:space="0" w:color="auto"/>
                    <w:bottom w:val="none" w:sz="0" w:space="0" w:color="auto"/>
                    <w:right w:val="none" w:sz="0" w:space="0" w:color="auto"/>
                  </w:divBdr>
                </w:div>
              </w:divsChild>
            </w:div>
            <w:div w:id="446313611">
              <w:marLeft w:val="0"/>
              <w:marRight w:val="0"/>
              <w:marTop w:val="0"/>
              <w:marBottom w:val="0"/>
              <w:divBdr>
                <w:top w:val="none" w:sz="0" w:space="0" w:color="auto"/>
                <w:left w:val="none" w:sz="0" w:space="0" w:color="auto"/>
                <w:bottom w:val="none" w:sz="0" w:space="0" w:color="auto"/>
                <w:right w:val="none" w:sz="0" w:space="0" w:color="auto"/>
              </w:divBdr>
              <w:divsChild>
                <w:div w:id="625890554">
                  <w:marLeft w:val="0"/>
                  <w:marRight w:val="0"/>
                  <w:marTop w:val="0"/>
                  <w:marBottom w:val="0"/>
                  <w:divBdr>
                    <w:top w:val="none" w:sz="0" w:space="0" w:color="auto"/>
                    <w:left w:val="none" w:sz="0" w:space="0" w:color="auto"/>
                    <w:bottom w:val="none" w:sz="0" w:space="0" w:color="auto"/>
                    <w:right w:val="none" w:sz="0" w:space="0" w:color="auto"/>
                  </w:divBdr>
                </w:div>
              </w:divsChild>
            </w:div>
            <w:div w:id="487476355">
              <w:marLeft w:val="0"/>
              <w:marRight w:val="0"/>
              <w:marTop w:val="0"/>
              <w:marBottom w:val="0"/>
              <w:divBdr>
                <w:top w:val="none" w:sz="0" w:space="0" w:color="auto"/>
                <w:left w:val="none" w:sz="0" w:space="0" w:color="auto"/>
                <w:bottom w:val="none" w:sz="0" w:space="0" w:color="auto"/>
                <w:right w:val="none" w:sz="0" w:space="0" w:color="auto"/>
              </w:divBdr>
              <w:divsChild>
                <w:div w:id="1764570256">
                  <w:marLeft w:val="0"/>
                  <w:marRight w:val="0"/>
                  <w:marTop w:val="0"/>
                  <w:marBottom w:val="0"/>
                  <w:divBdr>
                    <w:top w:val="none" w:sz="0" w:space="0" w:color="auto"/>
                    <w:left w:val="none" w:sz="0" w:space="0" w:color="auto"/>
                    <w:bottom w:val="none" w:sz="0" w:space="0" w:color="auto"/>
                    <w:right w:val="none" w:sz="0" w:space="0" w:color="auto"/>
                  </w:divBdr>
                </w:div>
              </w:divsChild>
            </w:div>
            <w:div w:id="543710370">
              <w:marLeft w:val="0"/>
              <w:marRight w:val="0"/>
              <w:marTop w:val="0"/>
              <w:marBottom w:val="0"/>
              <w:divBdr>
                <w:top w:val="none" w:sz="0" w:space="0" w:color="auto"/>
                <w:left w:val="none" w:sz="0" w:space="0" w:color="auto"/>
                <w:bottom w:val="none" w:sz="0" w:space="0" w:color="auto"/>
                <w:right w:val="none" w:sz="0" w:space="0" w:color="auto"/>
              </w:divBdr>
              <w:divsChild>
                <w:div w:id="292831311">
                  <w:marLeft w:val="0"/>
                  <w:marRight w:val="0"/>
                  <w:marTop w:val="0"/>
                  <w:marBottom w:val="0"/>
                  <w:divBdr>
                    <w:top w:val="none" w:sz="0" w:space="0" w:color="auto"/>
                    <w:left w:val="none" w:sz="0" w:space="0" w:color="auto"/>
                    <w:bottom w:val="none" w:sz="0" w:space="0" w:color="auto"/>
                    <w:right w:val="none" w:sz="0" w:space="0" w:color="auto"/>
                  </w:divBdr>
                </w:div>
              </w:divsChild>
            </w:div>
            <w:div w:id="562641252">
              <w:marLeft w:val="0"/>
              <w:marRight w:val="0"/>
              <w:marTop w:val="0"/>
              <w:marBottom w:val="0"/>
              <w:divBdr>
                <w:top w:val="none" w:sz="0" w:space="0" w:color="auto"/>
                <w:left w:val="none" w:sz="0" w:space="0" w:color="auto"/>
                <w:bottom w:val="none" w:sz="0" w:space="0" w:color="auto"/>
                <w:right w:val="none" w:sz="0" w:space="0" w:color="auto"/>
              </w:divBdr>
              <w:divsChild>
                <w:div w:id="1131706097">
                  <w:marLeft w:val="0"/>
                  <w:marRight w:val="0"/>
                  <w:marTop w:val="0"/>
                  <w:marBottom w:val="0"/>
                  <w:divBdr>
                    <w:top w:val="none" w:sz="0" w:space="0" w:color="auto"/>
                    <w:left w:val="none" w:sz="0" w:space="0" w:color="auto"/>
                    <w:bottom w:val="none" w:sz="0" w:space="0" w:color="auto"/>
                    <w:right w:val="none" w:sz="0" w:space="0" w:color="auto"/>
                  </w:divBdr>
                </w:div>
              </w:divsChild>
            </w:div>
            <w:div w:id="572816885">
              <w:marLeft w:val="0"/>
              <w:marRight w:val="0"/>
              <w:marTop w:val="0"/>
              <w:marBottom w:val="0"/>
              <w:divBdr>
                <w:top w:val="none" w:sz="0" w:space="0" w:color="auto"/>
                <w:left w:val="none" w:sz="0" w:space="0" w:color="auto"/>
                <w:bottom w:val="none" w:sz="0" w:space="0" w:color="auto"/>
                <w:right w:val="none" w:sz="0" w:space="0" w:color="auto"/>
              </w:divBdr>
              <w:divsChild>
                <w:div w:id="1283462373">
                  <w:marLeft w:val="0"/>
                  <w:marRight w:val="0"/>
                  <w:marTop w:val="0"/>
                  <w:marBottom w:val="0"/>
                  <w:divBdr>
                    <w:top w:val="none" w:sz="0" w:space="0" w:color="auto"/>
                    <w:left w:val="none" w:sz="0" w:space="0" w:color="auto"/>
                    <w:bottom w:val="none" w:sz="0" w:space="0" w:color="auto"/>
                    <w:right w:val="none" w:sz="0" w:space="0" w:color="auto"/>
                  </w:divBdr>
                </w:div>
              </w:divsChild>
            </w:div>
            <w:div w:id="612639829">
              <w:marLeft w:val="0"/>
              <w:marRight w:val="0"/>
              <w:marTop w:val="0"/>
              <w:marBottom w:val="0"/>
              <w:divBdr>
                <w:top w:val="none" w:sz="0" w:space="0" w:color="auto"/>
                <w:left w:val="none" w:sz="0" w:space="0" w:color="auto"/>
                <w:bottom w:val="none" w:sz="0" w:space="0" w:color="auto"/>
                <w:right w:val="none" w:sz="0" w:space="0" w:color="auto"/>
              </w:divBdr>
              <w:divsChild>
                <w:div w:id="43607825">
                  <w:marLeft w:val="0"/>
                  <w:marRight w:val="0"/>
                  <w:marTop w:val="0"/>
                  <w:marBottom w:val="0"/>
                  <w:divBdr>
                    <w:top w:val="none" w:sz="0" w:space="0" w:color="auto"/>
                    <w:left w:val="none" w:sz="0" w:space="0" w:color="auto"/>
                    <w:bottom w:val="none" w:sz="0" w:space="0" w:color="auto"/>
                    <w:right w:val="none" w:sz="0" w:space="0" w:color="auto"/>
                  </w:divBdr>
                </w:div>
              </w:divsChild>
            </w:div>
            <w:div w:id="655231252">
              <w:marLeft w:val="0"/>
              <w:marRight w:val="0"/>
              <w:marTop w:val="0"/>
              <w:marBottom w:val="0"/>
              <w:divBdr>
                <w:top w:val="none" w:sz="0" w:space="0" w:color="auto"/>
                <w:left w:val="none" w:sz="0" w:space="0" w:color="auto"/>
                <w:bottom w:val="none" w:sz="0" w:space="0" w:color="auto"/>
                <w:right w:val="none" w:sz="0" w:space="0" w:color="auto"/>
              </w:divBdr>
              <w:divsChild>
                <w:div w:id="945651078">
                  <w:marLeft w:val="0"/>
                  <w:marRight w:val="0"/>
                  <w:marTop w:val="0"/>
                  <w:marBottom w:val="0"/>
                  <w:divBdr>
                    <w:top w:val="none" w:sz="0" w:space="0" w:color="auto"/>
                    <w:left w:val="none" w:sz="0" w:space="0" w:color="auto"/>
                    <w:bottom w:val="none" w:sz="0" w:space="0" w:color="auto"/>
                    <w:right w:val="none" w:sz="0" w:space="0" w:color="auto"/>
                  </w:divBdr>
                </w:div>
              </w:divsChild>
            </w:div>
            <w:div w:id="676927473">
              <w:marLeft w:val="0"/>
              <w:marRight w:val="0"/>
              <w:marTop w:val="0"/>
              <w:marBottom w:val="0"/>
              <w:divBdr>
                <w:top w:val="none" w:sz="0" w:space="0" w:color="auto"/>
                <w:left w:val="none" w:sz="0" w:space="0" w:color="auto"/>
                <w:bottom w:val="none" w:sz="0" w:space="0" w:color="auto"/>
                <w:right w:val="none" w:sz="0" w:space="0" w:color="auto"/>
              </w:divBdr>
              <w:divsChild>
                <w:div w:id="1597325581">
                  <w:marLeft w:val="0"/>
                  <w:marRight w:val="0"/>
                  <w:marTop w:val="0"/>
                  <w:marBottom w:val="0"/>
                  <w:divBdr>
                    <w:top w:val="none" w:sz="0" w:space="0" w:color="auto"/>
                    <w:left w:val="none" w:sz="0" w:space="0" w:color="auto"/>
                    <w:bottom w:val="none" w:sz="0" w:space="0" w:color="auto"/>
                    <w:right w:val="none" w:sz="0" w:space="0" w:color="auto"/>
                  </w:divBdr>
                </w:div>
              </w:divsChild>
            </w:div>
            <w:div w:id="842085670">
              <w:marLeft w:val="0"/>
              <w:marRight w:val="0"/>
              <w:marTop w:val="0"/>
              <w:marBottom w:val="0"/>
              <w:divBdr>
                <w:top w:val="none" w:sz="0" w:space="0" w:color="auto"/>
                <w:left w:val="none" w:sz="0" w:space="0" w:color="auto"/>
                <w:bottom w:val="none" w:sz="0" w:space="0" w:color="auto"/>
                <w:right w:val="none" w:sz="0" w:space="0" w:color="auto"/>
              </w:divBdr>
              <w:divsChild>
                <w:div w:id="457072304">
                  <w:marLeft w:val="0"/>
                  <w:marRight w:val="0"/>
                  <w:marTop w:val="0"/>
                  <w:marBottom w:val="0"/>
                  <w:divBdr>
                    <w:top w:val="none" w:sz="0" w:space="0" w:color="auto"/>
                    <w:left w:val="none" w:sz="0" w:space="0" w:color="auto"/>
                    <w:bottom w:val="none" w:sz="0" w:space="0" w:color="auto"/>
                    <w:right w:val="none" w:sz="0" w:space="0" w:color="auto"/>
                  </w:divBdr>
                </w:div>
              </w:divsChild>
            </w:div>
            <w:div w:id="876161548">
              <w:marLeft w:val="0"/>
              <w:marRight w:val="0"/>
              <w:marTop w:val="0"/>
              <w:marBottom w:val="0"/>
              <w:divBdr>
                <w:top w:val="none" w:sz="0" w:space="0" w:color="auto"/>
                <w:left w:val="none" w:sz="0" w:space="0" w:color="auto"/>
                <w:bottom w:val="none" w:sz="0" w:space="0" w:color="auto"/>
                <w:right w:val="none" w:sz="0" w:space="0" w:color="auto"/>
              </w:divBdr>
              <w:divsChild>
                <w:div w:id="351687">
                  <w:marLeft w:val="0"/>
                  <w:marRight w:val="0"/>
                  <w:marTop w:val="0"/>
                  <w:marBottom w:val="0"/>
                  <w:divBdr>
                    <w:top w:val="none" w:sz="0" w:space="0" w:color="auto"/>
                    <w:left w:val="none" w:sz="0" w:space="0" w:color="auto"/>
                    <w:bottom w:val="none" w:sz="0" w:space="0" w:color="auto"/>
                    <w:right w:val="none" w:sz="0" w:space="0" w:color="auto"/>
                  </w:divBdr>
                </w:div>
              </w:divsChild>
            </w:div>
            <w:div w:id="890769076">
              <w:marLeft w:val="0"/>
              <w:marRight w:val="0"/>
              <w:marTop w:val="0"/>
              <w:marBottom w:val="0"/>
              <w:divBdr>
                <w:top w:val="none" w:sz="0" w:space="0" w:color="auto"/>
                <w:left w:val="none" w:sz="0" w:space="0" w:color="auto"/>
                <w:bottom w:val="none" w:sz="0" w:space="0" w:color="auto"/>
                <w:right w:val="none" w:sz="0" w:space="0" w:color="auto"/>
              </w:divBdr>
              <w:divsChild>
                <w:div w:id="1460299664">
                  <w:marLeft w:val="0"/>
                  <w:marRight w:val="0"/>
                  <w:marTop w:val="0"/>
                  <w:marBottom w:val="0"/>
                  <w:divBdr>
                    <w:top w:val="none" w:sz="0" w:space="0" w:color="auto"/>
                    <w:left w:val="none" w:sz="0" w:space="0" w:color="auto"/>
                    <w:bottom w:val="none" w:sz="0" w:space="0" w:color="auto"/>
                    <w:right w:val="none" w:sz="0" w:space="0" w:color="auto"/>
                  </w:divBdr>
                </w:div>
              </w:divsChild>
            </w:div>
            <w:div w:id="1039015225">
              <w:marLeft w:val="0"/>
              <w:marRight w:val="0"/>
              <w:marTop w:val="0"/>
              <w:marBottom w:val="0"/>
              <w:divBdr>
                <w:top w:val="none" w:sz="0" w:space="0" w:color="auto"/>
                <w:left w:val="none" w:sz="0" w:space="0" w:color="auto"/>
                <w:bottom w:val="none" w:sz="0" w:space="0" w:color="auto"/>
                <w:right w:val="none" w:sz="0" w:space="0" w:color="auto"/>
              </w:divBdr>
              <w:divsChild>
                <w:div w:id="1559366275">
                  <w:marLeft w:val="0"/>
                  <w:marRight w:val="0"/>
                  <w:marTop w:val="0"/>
                  <w:marBottom w:val="0"/>
                  <w:divBdr>
                    <w:top w:val="none" w:sz="0" w:space="0" w:color="auto"/>
                    <w:left w:val="none" w:sz="0" w:space="0" w:color="auto"/>
                    <w:bottom w:val="none" w:sz="0" w:space="0" w:color="auto"/>
                    <w:right w:val="none" w:sz="0" w:space="0" w:color="auto"/>
                  </w:divBdr>
                </w:div>
              </w:divsChild>
            </w:div>
            <w:div w:id="1079985462">
              <w:marLeft w:val="0"/>
              <w:marRight w:val="0"/>
              <w:marTop w:val="0"/>
              <w:marBottom w:val="0"/>
              <w:divBdr>
                <w:top w:val="none" w:sz="0" w:space="0" w:color="auto"/>
                <w:left w:val="none" w:sz="0" w:space="0" w:color="auto"/>
                <w:bottom w:val="none" w:sz="0" w:space="0" w:color="auto"/>
                <w:right w:val="none" w:sz="0" w:space="0" w:color="auto"/>
              </w:divBdr>
              <w:divsChild>
                <w:div w:id="1868133983">
                  <w:marLeft w:val="0"/>
                  <w:marRight w:val="0"/>
                  <w:marTop w:val="0"/>
                  <w:marBottom w:val="0"/>
                  <w:divBdr>
                    <w:top w:val="none" w:sz="0" w:space="0" w:color="auto"/>
                    <w:left w:val="none" w:sz="0" w:space="0" w:color="auto"/>
                    <w:bottom w:val="none" w:sz="0" w:space="0" w:color="auto"/>
                    <w:right w:val="none" w:sz="0" w:space="0" w:color="auto"/>
                  </w:divBdr>
                </w:div>
              </w:divsChild>
            </w:div>
            <w:div w:id="1158350287">
              <w:marLeft w:val="0"/>
              <w:marRight w:val="0"/>
              <w:marTop w:val="0"/>
              <w:marBottom w:val="0"/>
              <w:divBdr>
                <w:top w:val="none" w:sz="0" w:space="0" w:color="auto"/>
                <w:left w:val="none" w:sz="0" w:space="0" w:color="auto"/>
                <w:bottom w:val="none" w:sz="0" w:space="0" w:color="auto"/>
                <w:right w:val="none" w:sz="0" w:space="0" w:color="auto"/>
              </w:divBdr>
              <w:divsChild>
                <w:div w:id="1803111067">
                  <w:marLeft w:val="0"/>
                  <w:marRight w:val="0"/>
                  <w:marTop w:val="0"/>
                  <w:marBottom w:val="0"/>
                  <w:divBdr>
                    <w:top w:val="none" w:sz="0" w:space="0" w:color="auto"/>
                    <w:left w:val="none" w:sz="0" w:space="0" w:color="auto"/>
                    <w:bottom w:val="none" w:sz="0" w:space="0" w:color="auto"/>
                    <w:right w:val="none" w:sz="0" w:space="0" w:color="auto"/>
                  </w:divBdr>
                </w:div>
              </w:divsChild>
            </w:div>
            <w:div w:id="1230574849">
              <w:marLeft w:val="0"/>
              <w:marRight w:val="0"/>
              <w:marTop w:val="0"/>
              <w:marBottom w:val="0"/>
              <w:divBdr>
                <w:top w:val="none" w:sz="0" w:space="0" w:color="auto"/>
                <w:left w:val="none" w:sz="0" w:space="0" w:color="auto"/>
                <w:bottom w:val="none" w:sz="0" w:space="0" w:color="auto"/>
                <w:right w:val="none" w:sz="0" w:space="0" w:color="auto"/>
              </w:divBdr>
              <w:divsChild>
                <w:div w:id="93523167">
                  <w:marLeft w:val="0"/>
                  <w:marRight w:val="0"/>
                  <w:marTop w:val="0"/>
                  <w:marBottom w:val="0"/>
                  <w:divBdr>
                    <w:top w:val="none" w:sz="0" w:space="0" w:color="auto"/>
                    <w:left w:val="none" w:sz="0" w:space="0" w:color="auto"/>
                    <w:bottom w:val="none" w:sz="0" w:space="0" w:color="auto"/>
                    <w:right w:val="none" w:sz="0" w:space="0" w:color="auto"/>
                  </w:divBdr>
                </w:div>
              </w:divsChild>
            </w:div>
            <w:div w:id="1297956982">
              <w:marLeft w:val="0"/>
              <w:marRight w:val="0"/>
              <w:marTop w:val="0"/>
              <w:marBottom w:val="0"/>
              <w:divBdr>
                <w:top w:val="none" w:sz="0" w:space="0" w:color="auto"/>
                <w:left w:val="none" w:sz="0" w:space="0" w:color="auto"/>
                <w:bottom w:val="none" w:sz="0" w:space="0" w:color="auto"/>
                <w:right w:val="none" w:sz="0" w:space="0" w:color="auto"/>
              </w:divBdr>
              <w:divsChild>
                <w:div w:id="1279331634">
                  <w:marLeft w:val="0"/>
                  <w:marRight w:val="0"/>
                  <w:marTop w:val="0"/>
                  <w:marBottom w:val="0"/>
                  <w:divBdr>
                    <w:top w:val="none" w:sz="0" w:space="0" w:color="auto"/>
                    <w:left w:val="none" w:sz="0" w:space="0" w:color="auto"/>
                    <w:bottom w:val="none" w:sz="0" w:space="0" w:color="auto"/>
                    <w:right w:val="none" w:sz="0" w:space="0" w:color="auto"/>
                  </w:divBdr>
                </w:div>
              </w:divsChild>
            </w:div>
            <w:div w:id="1312520291">
              <w:marLeft w:val="0"/>
              <w:marRight w:val="0"/>
              <w:marTop w:val="0"/>
              <w:marBottom w:val="0"/>
              <w:divBdr>
                <w:top w:val="none" w:sz="0" w:space="0" w:color="auto"/>
                <w:left w:val="none" w:sz="0" w:space="0" w:color="auto"/>
                <w:bottom w:val="none" w:sz="0" w:space="0" w:color="auto"/>
                <w:right w:val="none" w:sz="0" w:space="0" w:color="auto"/>
              </w:divBdr>
              <w:divsChild>
                <w:div w:id="2129809122">
                  <w:marLeft w:val="0"/>
                  <w:marRight w:val="0"/>
                  <w:marTop w:val="0"/>
                  <w:marBottom w:val="0"/>
                  <w:divBdr>
                    <w:top w:val="none" w:sz="0" w:space="0" w:color="auto"/>
                    <w:left w:val="none" w:sz="0" w:space="0" w:color="auto"/>
                    <w:bottom w:val="none" w:sz="0" w:space="0" w:color="auto"/>
                    <w:right w:val="none" w:sz="0" w:space="0" w:color="auto"/>
                  </w:divBdr>
                </w:div>
              </w:divsChild>
            </w:div>
            <w:div w:id="1334259667">
              <w:marLeft w:val="0"/>
              <w:marRight w:val="0"/>
              <w:marTop w:val="0"/>
              <w:marBottom w:val="0"/>
              <w:divBdr>
                <w:top w:val="none" w:sz="0" w:space="0" w:color="auto"/>
                <w:left w:val="none" w:sz="0" w:space="0" w:color="auto"/>
                <w:bottom w:val="none" w:sz="0" w:space="0" w:color="auto"/>
                <w:right w:val="none" w:sz="0" w:space="0" w:color="auto"/>
              </w:divBdr>
              <w:divsChild>
                <w:div w:id="739444525">
                  <w:marLeft w:val="0"/>
                  <w:marRight w:val="0"/>
                  <w:marTop w:val="0"/>
                  <w:marBottom w:val="0"/>
                  <w:divBdr>
                    <w:top w:val="none" w:sz="0" w:space="0" w:color="auto"/>
                    <w:left w:val="none" w:sz="0" w:space="0" w:color="auto"/>
                    <w:bottom w:val="none" w:sz="0" w:space="0" w:color="auto"/>
                    <w:right w:val="none" w:sz="0" w:space="0" w:color="auto"/>
                  </w:divBdr>
                </w:div>
              </w:divsChild>
            </w:div>
            <w:div w:id="1336691504">
              <w:marLeft w:val="0"/>
              <w:marRight w:val="0"/>
              <w:marTop w:val="0"/>
              <w:marBottom w:val="0"/>
              <w:divBdr>
                <w:top w:val="none" w:sz="0" w:space="0" w:color="auto"/>
                <w:left w:val="none" w:sz="0" w:space="0" w:color="auto"/>
                <w:bottom w:val="none" w:sz="0" w:space="0" w:color="auto"/>
                <w:right w:val="none" w:sz="0" w:space="0" w:color="auto"/>
              </w:divBdr>
              <w:divsChild>
                <w:div w:id="1311251790">
                  <w:marLeft w:val="0"/>
                  <w:marRight w:val="0"/>
                  <w:marTop w:val="0"/>
                  <w:marBottom w:val="0"/>
                  <w:divBdr>
                    <w:top w:val="none" w:sz="0" w:space="0" w:color="auto"/>
                    <w:left w:val="none" w:sz="0" w:space="0" w:color="auto"/>
                    <w:bottom w:val="none" w:sz="0" w:space="0" w:color="auto"/>
                    <w:right w:val="none" w:sz="0" w:space="0" w:color="auto"/>
                  </w:divBdr>
                </w:div>
              </w:divsChild>
            </w:div>
            <w:div w:id="1347319110">
              <w:marLeft w:val="0"/>
              <w:marRight w:val="0"/>
              <w:marTop w:val="0"/>
              <w:marBottom w:val="0"/>
              <w:divBdr>
                <w:top w:val="none" w:sz="0" w:space="0" w:color="auto"/>
                <w:left w:val="none" w:sz="0" w:space="0" w:color="auto"/>
                <w:bottom w:val="none" w:sz="0" w:space="0" w:color="auto"/>
                <w:right w:val="none" w:sz="0" w:space="0" w:color="auto"/>
              </w:divBdr>
              <w:divsChild>
                <w:div w:id="1325471931">
                  <w:marLeft w:val="0"/>
                  <w:marRight w:val="0"/>
                  <w:marTop w:val="0"/>
                  <w:marBottom w:val="0"/>
                  <w:divBdr>
                    <w:top w:val="none" w:sz="0" w:space="0" w:color="auto"/>
                    <w:left w:val="none" w:sz="0" w:space="0" w:color="auto"/>
                    <w:bottom w:val="none" w:sz="0" w:space="0" w:color="auto"/>
                    <w:right w:val="none" w:sz="0" w:space="0" w:color="auto"/>
                  </w:divBdr>
                </w:div>
              </w:divsChild>
            </w:div>
            <w:div w:id="1380861457">
              <w:marLeft w:val="0"/>
              <w:marRight w:val="0"/>
              <w:marTop w:val="0"/>
              <w:marBottom w:val="0"/>
              <w:divBdr>
                <w:top w:val="none" w:sz="0" w:space="0" w:color="auto"/>
                <w:left w:val="none" w:sz="0" w:space="0" w:color="auto"/>
                <w:bottom w:val="none" w:sz="0" w:space="0" w:color="auto"/>
                <w:right w:val="none" w:sz="0" w:space="0" w:color="auto"/>
              </w:divBdr>
              <w:divsChild>
                <w:div w:id="1617444130">
                  <w:marLeft w:val="0"/>
                  <w:marRight w:val="0"/>
                  <w:marTop w:val="0"/>
                  <w:marBottom w:val="0"/>
                  <w:divBdr>
                    <w:top w:val="none" w:sz="0" w:space="0" w:color="auto"/>
                    <w:left w:val="none" w:sz="0" w:space="0" w:color="auto"/>
                    <w:bottom w:val="none" w:sz="0" w:space="0" w:color="auto"/>
                    <w:right w:val="none" w:sz="0" w:space="0" w:color="auto"/>
                  </w:divBdr>
                </w:div>
              </w:divsChild>
            </w:div>
            <w:div w:id="1442729025">
              <w:marLeft w:val="0"/>
              <w:marRight w:val="0"/>
              <w:marTop w:val="0"/>
              <w:marBottom w:val="0"/>
              <w:divBdr>
                <w:top w:val="none" w:sz="0" w:space="0" w:color="auto"/>
                <w:left w:val="none" w:sz="0" w:space="0" w:color="auto"/>
                <w:bottom w:val="none" w:sz="0" w:space="0" w:color="auto"/>
                <w:right w:val="none" w:sz="0" w:space="0" w:color="auto"/>
              </w:divBdr>
              <w:divsChild>
                <w:div w:id="289436999">
                  <w:marLeft w:val="0"/>
                  <w:marRight w:val="0"/>
                  <w:marTop w:val="0"/>
                  <w:marBottom w:val="0"/>
                  <w:divBdr>
                    <w:top w:val="none" w:sz="0" w:space="0" w:color="auto"/>
                    <w:left w:val="none" w:sz="0" w:space="0" w:color="auto"/>
                    <w:bottom w:val="none" w:sz="0" w:space="0" w:color="auto"/>
                    <w:right w:val="none" w:sz="0" w:space="0" w:color="auto"/>
                  </w:divBdr>
                </w:div>
              </w:divsChild>
            </w:div>
            <w:div w:id="1495492013">
              <w:marLeft w:val="0"/>
              <w:marRight w:val="0"/>
              <w:marTop w:val="0"/>
              <w:marBottom w:val="0"/>
              <w:divBdr>
                <w:top w:val="none" w:sz="0" w:space="0" w:color="auto"/>
                <w:left w:val="none" w:sz="0" w:space="0" w:color="auto"/>
                <w:bottom w:val="none" w:sz="0" w:space="0" w:color="auto"/>
                <w:right w:val="none" w:sz="0" w:space="0" w:color="auto"/>
              </w:divBdr>
              <w:divsChild>
                <w:div w:id="1603295210">
                  <w:marLeft w:val="0"/>
                  <w:marRight w:val="0"/>
                  <w:marTop w:val="0"/>
                  <w:marBottom w:val="0"/>
                  <w:divBdr>
                    <w:top w:val="none" w:sz="0" w:space="0" w:color="auto"/>
                    <w:left w:val="none" w:sz="0" w:space="0" w:color="auto"/>
                    <w:bottom w:val="none" w:sz="0" w:space="0" w:color="auto"/>
                    <w:right w:val="none" w:sz="0" w:space="0" w:color="auto"/>
                  </w:divBdr>
                </w:div>
              </w:divsChild>
            </w:div>
            <w:div w:id="1564367620">
              <w:marLeft w:val="0"/>
              <w:marRight w:val="0"/>
              <w:marTop w:val="0"/>
              <w:marBottom w:val="0"/>
              <w:divBdr>
                <w:top w:val="none" w:sz="0" w:space="0" w:color="auto"/>
                <w:left w:val="none" w:sz="0" w:space="0" w:color="auto"/>
                <w:bottom w:val="none" w:sz="0" w:space="0" w:color="auto"/>
                <w:right w:val="none" w:sz="0" w:space="0" w:color="auto"/>
              </w:divBdr>
              <w:divsChild>
                <w:div w:id="500395935">
                  <w:marLeft w:val="0"/>
                  <w:marRight w:val="0"/>
                  <w:marTop w:val="0"/>
                  <w:marBottom w:val="0"/>
                  <w:divBdr>
                    <w:top w:val="none" w:sz="0" w:space="0" w:color="auto"/>
                    <w:left w:val="none" w:sz="0" w:space="0" w:color="auto"/>
                    <w:bottom w:val="none" w:sz="0" w:space="0" w:color="auto"/>
                    <w:right w:val="none" w:sz="0" w:space="0" w:color="auto"/>
                  </w:divBdr>
                </w:div>
              </w:divsChild>
            </w:div>
            <w:div w:id="1580946887">
              <w:marLeft w:val="0"/>
              <w:marRight w:val="0"/>
              <w:marTop w:val="0"/>
              <w:marBottom w:val="0"/>
              <w:divBdr>
                <w:top w:val="none" w:sz="0" w:space="0" w:color="auto"/>
                <w:left w:val="none" w:sz="0" w:space="0" w:color="auto"/>
                <w:bottom w:val="none" w:sz="0" w:space="0" w:color="auto"/>
                <w:right w:val="none" w:sz="0" w:space="0" w:color="auto"/>
              </w:divBdr>
              <w:divsChild>
                <w:div w:id="220141745">
                  <w:marLeft w:val="0"/>
                  <w:marRight w:val="0"/>
                  <w:marTop w:val="0"/>
                  <w:marBottom w:val="0"/>
                  <w:divBdr>
                    <w:top w:val="none" w:sz="0" w:space="0" w:color="auto"/>
                    <w:left w:val="none" w:sz="0" w:space="0" w:color="auto"/>
                    <w:bottom w:val="none" w:sz="0" w:space="0" w:color="auto"/>
                    <w:right w:val="none" w:sz="0" w:space="0" w:color="auto"/>
                  </w:divBdr>
                </w:div>
              </w:divsChild>
            </w:div>
            <w:div w:id="1583643084">
              <w:marLeft w:val="0"/>
              <w:marRight w:val="0"/>
              <w:marTop w:val="0"/>
              <w:marBottom w:val="0"/>
              <w:divBdr>
                <w:top w:val="none" w:sz="0" w:space="0" w:color="auto"/>
                <w:left w:val="none" w:sz="0" w:space="0" w:color="auto"/>
                <w:bottom w:val="none" w:sz="0" w:space="0" w:color="auto"/>
                <w:right w:val="none" w:sz="0" w:space="0" w:color="auto"/>
              </w:divBdr>
              <w:divsChild>
                <w:div w:id="1298872269">
                  <w:marLeft w:val="0"/>
                  <w:marRight w:val="0"/>
                  <w:marTop w:val="0"/>
                  <w:marBottom w:val="0"/>
                  <w:divBdr>
                    <w:top w:val="none" w:sz="0" w:space="0" w:color="auto"/>
                    <w:left w:val="none" w:sz="0" w:space="0" w:color="auto"/>
                    <w:bottom w:val="none" w:sz="0" w:space="0" w:color="auto"/>
                    <w:right w:val="none" w:sz="0" w:space="0" w:color="auto"/>
                  </w:divBdr>
                </w:div>
              </w:divsChild>
            </w:div>
            <w:div w:id="1598099184">
              <w:marLeft w:val="0"/>
              <w:marRight w:val="0"/>
              <w:marTop w:val="0"/>
              <w:marBottom w:val="0"/>
              <w:divBdr>
                <w:top w:val="none" w:sz="0" w:space="0" w:color="auto"/>
                <w:left w:val="none" w:sz="0" w:space="0" w:color="auto"/>
                <w:bottom w:val="none" w:sz="0" w:space="0" w:color="auto"/>
                <w:right w:val="none" w:sz="0" w:space="0" w:color="auto"/>
              </w:divBdr>
              <w:divsChild>
                <w:div w:id="1033650256">
                  <w:marLeft w:val="0"/>
                  <w:marRight w:val="0"/>
                  <w:marTop w:val="0"/>
                  <w:marBottom w:val="0"/>
                  <w:divBdr>
                    <w:top w:val="none" w:sz="0" w:space="0" w:color="auto"/>
                    <w:left w:val="none" w:sz="0" w:space="0" w:color="auto"/>
                    <w:bottom w:val="none" w:sz="0" w:space="0" w:color="auto"/>
                    <w:right w:val="none" w:sz="0" w:space="0" w:color="auto"/>
                  </w:divBdr>
                </w:div>
              </w:divsChild>
            </w:div>
            <w:div w:id="1603105272">
              <w:marLeft w:val="0"/>
              <w:marRight w:val="0"/>
              <w:marTop w:val="0"/>
              <w:marBottom w:val="0"/>
              <w:divBdr>
                <w:top w:val="none" w:sz="0" w:space="0" w:color="auto"/>
                <w:left w:val="none" w:sz="0" w:space="0" w:color="auto"/>
                <w:bottom w:val="none" w:sz="0" w:space="0" w:color="auto"/>
                <w:right w:val="none" w:sz="0" w:space="0" w:color="auto"/>
              </w:divBdr>
              <w:divsChild>
                <w:div w:id="991520204">
                  <w:marLeft w:val="0"/>
                  <w:marRight w:val="0"/>
                  <w:marTop w:val="0"/>
                  <w:marBottom w:val="0"/>
                  <w:divBdr>
                    <w:top w:val="none" w:sz="0" w:space="0" w:color="auto"/>
                    <w:left w:val="none" w:sz="0" w:space="0" w:color="auto"/>
                    <w:bottom w:val="none" w:sz="0" w:space="0" w:color="auto"/>
                    <w:right w:val="none" w:sz="0" w:space="0" w:color="auto"/>
                  </w:divBdr>
                </w:div>
              </w:divsChild>
            </w:div>
            <w:div w:id="1700087168">
              <w:marLeft w:val="0"/>
              <w:marRight w:val="0"/>
              <w:marTop w:val="0"/>
              <w:marBottom w:val="0"/>
              <w:divBdr>
                <w:top w:val="none" w:sz="0" w:space="0" w:color="auto"/>
                <w:left w:val="none" w:sz="0" w:space="0" w:color="auto"/>
                <w:bottom w:val="none" w:sz="0" w:space="0" w:color="auto"/>
                <w:right w:val="none" w:sz="0" w:space="0" w:color="auto"/>
              </w:divBdr>
              <w:divsChild>
                <w:div w:id="1748109629">
                  <w:marLeft w:val="0"/>
                  <w:marRight w:val="0"/>
                  <w:marTop w:val="0"/>
                  <w:marBottom w:val="0"/>
                  <w:divBdr>
                    <w:top w:val="none" w:sz="0" w:space="0" w:color="auto"/>
                    <w:left w:val="none" w:sz="0" w:space="0" w:color="auto"/>
                    <w:bottom w:val="none" w:sz="0" w:space="0" w:color="auto"/>
                    <w:right w:val="none" w:sz="0" w:space="0" w:color="auto"/>
                  </w:divBdr>
                </w:div>
              </w:divsChild>
            </w:div>
            <w:div w:id="1753088920">
              <w:marLeft w:val="0"/>
              <w:marRight w:val="0"/>
              <w:marTop w:val="0"/>
              <w:marBottom w:val="0"/>
              <w:divBdr>
                <w:top w:val="none" w:sz="0" w:space="0" w:color="auto"/>
                <w:left w:val="none" w:sz="0" w:space="0" w:color="auto"/>
                <w:bottom w:val="none" w:sz="0" w:space="0" w:color="auto"/>
                <w:right w:val="none" w:sz="0" w:space="0" w:color="auto"/>
              </w:divBdr>
              <w:divsChild>
                <w:div w:id="1439132742">
                  <w:marLeft w:val="0"/>
                  <w:marRight w:val="0"/>
                  <w:marTop w:val="0"/>
                  <w:marBottom w:val="0"/>
                  <w:divBdr>
                    <w:top w:val="none" w:sz="0" w:space="0" w:color="auto"/>
                    <w:left w:val="none" w:sz="0" w:space="0" w:color="auto"/>
                    <w:bottom w:val="none" w:sz="0" w:space="0" w:color="auto"/>
                    <w:right w:val="none" w:sz="0" w:space="0" w:color="auto"/>
                  </w:divBdr>
                </w:div>
              </w:divsChild>
            </w:div>
            <w:div w:id="1786970628">
              <w:marLeft w:val="0"/>
              <w:marRight w:val="0"/>
              <w:marTop w:val="0"/>
              <w:marBottom w:val="0"/>
              <w:divBdr>
                <w:top w:val="none" w:sz="0" w:space="0" w:color="auto"/>
                <w:left w:val="none" w:sz="0" w:space="0" w:color="auto"/>
                <w:bottom w:val="none" w:sz="0" w:space="0" w:color="auto"/>
                <w:right w:val="none" w:sz="0" w:space="0" w:color="auto"/>
              </w:divBdr>
              <w:divsChild>
                <w:div w:id="621038303">
                  <w:marLeft w:val="0"/>
                  <w:marRight w:val="0"/>
                  <w:marTop w:val="0"/>
                  <w:marBottom w:val="0"/>
                  <w:divBdr>
                    <w:top w:val="none" w:sz="0" w:space="0" w:color="auto"/>
                    <w:left w:val="none" w:sz="0" w:space="0" w:color="auto"/>
                    <w:bottom w:val="none" w:sz="0" w:space="0" w:color="auto"/>
                    <w:right w:val="none" w:sz="0" w:space="0" w:color="auto"/>
                  </w:divBdr>
                </w:div>
              </w:divsChild>
            </w:div>
            <w:div w:id="1920674141">
              <w:marLeft w:val="0"/>
              <w:marRight w:val="0"/>
              <w:marTop w:val="0"/>
              <w:marBottom w:val="0"/>
              <w:divBdr>
                <w:top w:val="none" w:sz="0" w:space="0" w:color="auto"/>
                <w:left w:val="none" w:sz="0" w:space="0" w:color="auto"/>
                <w:bottom w:val="none" w:sz="0" w:space="0" w:color="auto"/>
                <w:right w:val="none" w:sz="0" w:space="0" w:color="auto"/>
              </w:divBdr>
              <w:divsChild>
                <w:div w:id="729964076">
                  <w:marLeft w:val="0"/>
                  <w:marRight w:val="0"/>
                  <w:marTop w:val="0"/>
                  <w:marBottom w:val="0"/>
                  <w:divBdr>
                    <w:top w:val="none" w:sz="0" w:space="0" w:color="auto"/>
                    <w:left w:val="none" w:sz="0" w:space="0" w:color="auto"/>
                    <w:bottom w:val="none" w:sz="0" w:space="0" w:color="auto"/>
                    <w:right w:val="none" w:sz="0" w:space="0" w:color="auto"/>
                  </w:divBdr>
                </w:div>
              </w:divsChild>
            </w:div>
            <w:div w:id="1933659728">
              <w:marLeft w:val="0"/>
              <w:marRight w:val="0"/>
              <w:marTop w:val="0"/>
              <w:marBottom w:val="0"/>
              <w:divBdr>
                <w:top w:val="none" w:sz="0" w:space="0" w:color="auto"/>
                <w:left w:val="none" w:sz="0" w:space="0" w:color="auto"/>
                <w:bottom w:val="none" w:sz="0" w:space="0" w:color="auto"/>
                <w:right w:val="none" w:sz="0" w:space="0" w:color="auto"/>
              </w:divBdr>
              <w:divsChild>
                <w:div w:id="392967868">
                  <w:marLeft w:val="0"/>
                  <w:marRight w:val="0"/>
                  <w:marTop w:val="0"/>
                  <w:marBottom w:val="0"/>
                  <w:divBdr>
                    <w:top w:val="none" w:sz="0" w:space="0" w:color="auto"/>
                    <w:left w:val="none" w:sz="0" w:space="0" w:color="auto"/>
                    <w:bottom w:val="none" w:sz="0" w:space="0" w:color="auto"/>
                    <w:right w:val="none" w:sz="0" w:space="0" w:color="auto"/>
                  </w:divBdr>
                </w:div>
              </w:divsChild>
            </w:div>
            <w:div w:id="2023895416">
              <w:marLeft w:val="0"/>
              <w:marRight w:val="0"/>
              <w:marTop w:val="0"/>
              <w:marBottom w:val="0"/>
              <w:divBdr>
                <w:top w:val="none" w:sz="0" w:space="0" w:color="auto"/>
                <w:left w:val="none" w:sz="0" w:space="0" w:color="auto"/>
                <w:bottom w:val="none" w:sz="0" w:space="0" w:color="auto"/>
                <w:right w:val="none" w:sz="0" w:space="0" w:color="auto"/>
              </w:divBdr>
              <w:divsChild>
                <w:div w:id="1626961618">
                  <w:marLeft w:val="0"/>
                  <w:marRight w:val="0"/>
                  <w:marTop w:val="0"/>
                  <w:marBottom w:val="0"/>
                  <w:divBdr>
                    <w:top w:val="none" w:sz="0" w:space="0" w:color="auto"/>
                    <w:left w:val="none" w:sz="0" w:space="0" w:color="auto"/>
                    <w:bottom w:val="none" w:sz="0" w:space="0" w:color="auto"/>
                    <w:right w:val="none" w:sz="0" w:space="0" w:color="auto"/>
                  </w:divBdr>
                </w:div>
              </w:divsChild>
            </w:div>
            <w:div w:id="2048750250">
              <w:marLeft w:val="0"/>
              <w:marRight w:val="0"/>
              <w:marTop w:val="0"/>
              <w:marBottom w:val="0"/>
              <w:divBdr>
                <w:top w:val="none" w:sz="0" w:space="0" w:color="auto"/>
                <w:left w:val="none" w:sz="0" w:space="0" w:color="auto"/>
                <w:bottom w:val="none" w:sz="0" w:space="0" w:color="auto"/>
                <w:right w:val="none" w:sz="0" w:space="0" w:color="auto"/>
              </w:divBdr>
              <w:divsChild>
                <w:div w:id="445080266">
                  <w:marLeft w:val="0"/>
                  <w:marRight w:val="0"/>
                  <w:marTop w:val="0"/>
                  <w:marBottom w:val="0"/>
                  <w:divBdr>
                    <w:top w:val="none" w:sz="0" w:space="0" w:color="auto"/>
                    <w:left w:val="none" w:sz="0" w:space="0" w:color="auto"/>
                    <w:bottom w:val="none" w:sz="0" w:space="0" w:color="auto"/>
                    <w:right w:val="none" w:sz="0" w:space="0" w:color="auto"/>
                  </w:divBdr>
                </w:div>
              </w:divsChild>
            </w:div>
            <w:div w:id="2100132478">
              <w:marLeft w:val="0"/>
              <w:marRight w:val="0"/>
              <w:marTop w:val="0"/>
              <w:marBottom w:val="0"/>
              <w:divBdr>
                <w:top w:val="none" w:sz="0" w:space="0" w:color="auto"/>
                <w:left w:val="none" w:sz="0" w:space="0" w:color="auto"/>
                <w:bottom w:val="none" w:sz="0" w:space="0" w:color="auto"/>
                <w:right w:val="none" w:sz="0" w:space="0" w:color="auto"/>
              </w:divBdr>
              <w:divsChild>
                <w:div w:id="147940999">
                  <w:marLeft w:val="0"/>
                  <w:marRight w:val="0"/>
                  <w:marTop w:val="0"/>
                  <w:marBottom w:val="0"/>
                  <w:divBdr>
                    <w:top w:val="none" w:sz="0" w:space="0" w:color="auto"/>
                    <w:left w:val="none" w:sz="0" w:space="0" w:color="auto"/>
                    <w:bottom w:val="none" w:sz="0" w:space="0" w:color="auto"/>
                    <w:right w:val="none" w:sz="0" w:space="0" w:color="auto"/>
                  </w:divBdr>
                </w:div>
              </w:divsChild>
            </w:div>
            <w:div w:id="2101245914">
              <w:marLeft w:val="0"/>
              <w:marRight w:val="0"/>
              <w:marTop w:val="0"/>
              <w:marBottom w:val="0"/>
              <w:divBdr>
                <w:top w:val="none" w:sz="0" w:space="0" w:color="auto"/>
                <w:left w:val="none" w:sz="0" w:space="0" w:color="auto"/>
                <w:bottom w:val="none" w:sz="0" w:space="0" w:color="auto"/>
                <w:right w:val="none" w:sz="0" w:space="0" w:color="auto"/>
              </w:divBdr>
              <w:divsChild>
                <w:div w:id="107285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953">
          <w:marLeft w:val="0"/>
          <w:marRight w:val="0"/>
          <w:marTop w:val="0"/>
          <w:marBottom w:val="0"/>
          <w:divBdr>
            <w:top w:val="none" w:sz="0" w:space="0" w:color="auto"/>
            <w:left w:val="none" w:sz="0" w:space="0" w:color="auto"/>
            <w:bottom w:val="none" w:sz="0" w:space="0" w:color="auto"/>
            <w:right w:val="none" w:sz="0" w:space="0" w:color="auto"/>
          </w:divBdr>
        </w:div>
        <w:div w:id="91165981">
          <w:marLeft w:val="0"/>
          <w:marRight w:val="0"/>
          <w:marTop w:val="0"/>
          <w:marBottom w:val="0"/>
          <w:divBdr>
            <w:top w:val="none" w:sz="0" w:space="0" w:color="auto"/>
            <w:left w:val="none" w:sz="0" w:space="0" w:color="auto"/>
            <w:bottom w:val="none" w:sz="0" w:space="0" w:color="auto"/>
            <w:right w:val="none" w:sz="0" w:space="0" w:color="auto"/>
          </w:divBdr>
        </w:div>
        <w:div w:id="138307148">
          <w:marLeft w:val="0"/>
          <w:marRight w:val="0"/>
          <w:marTop w:val="0"/>
          <w:marBottom w:val="0"/>
          <w:divBdr>
            <w:top w:val="none" w:sz="0" w:space="0" w:color="auto"/>
            <w:left w:val="none" w:sz="0" w:space="0" w:color="auto"/>
            <w:bottom w:val="none" w:sz="0" w:space="0" w:color="auto"/>
            <w:right w:val="none" w:sz="0" w:space="0" w:color="auto"/>
          </w:divBdr>
        </w:div>
        <w:div w:id="161167409">
          <w:marLeft w:val="0"/>
          <w:marRight w:val="0"/>
          <w:marTop w:val="0"/>
          <w:marBottom w:val="0"/>
          <w:divBdr>
            <w:top w:val="none" w:sz="0" w:space="0" w:color="auto"/>
            <w:left w:val="none" w:sz="0" w:space="0" w:color="auto"/>
            <w:bottom w:val="none" w:sz="0" w:space="0" w:color="auto"/>
            <w:right w:val="none" w:sz="0" w:space="0" w:color="auto"/>
          </w:divBdr>
        </w:div>
        <w:div w:id="175927678">
          <w:marLeft w:val="0"/>
          <w:marRight w:val="0"/>
          <w:marTop w:val="0"/>
          <w:marBottom w:val="0"/>
          <w:divBdr>
            <w:top w:val="none" w:sz="0" w:space="0" w:color="auto"/>
            <w:left w:val="none" w:sz="0" w:space="0" w:color="auto"/>
            <w:bottom w:val="none" w:sz="0" w:space="0" w:color="auto"/>
            <w:right w:val="none" w:sz="0" w:space="0" w:color="auto"/>
          </w:divBdr>
        </w:div>
        <w:div w:id="177085435">
          <w:marLeft w:val="0"/>
          <w:marRight w:val="0"/>
          <w:marTop w:val="0"/>
          <w:marBottom w:val="0"/>
          <w:divBdr>
            <w:top w:val="none" w:sz="0" w:space="0" w:color="auto"/>
            <w:left w:val="none" w:sz="0" w:space="0" w:color="auto"/>
            <w:bottom w:val="none" w:sz="0" w:space="0" w:color="auto"/>
            <w:right w:val="none" w:sz="0" w:space="0" w:color="auto"/>
          </w:divBdr>
        </w:div>
        <w:div w:id="201332290">
          <w:marLeft w:val="0"/>
          <w:marRight w:val="0"/>
          <w:marTop w:val="0"/>
          <w:marBottom w:val="0"/>
          <w:divBdr>
            <w:top w:val="none" w:sz="0" w:space="0" w:color="auto"/>
            <w:left w:val="none" w:sz="0" w:space="0" w:color="auto"/>
            <w:bottom w:val="none" w:sz="0" w:space="0" w:color="auto"/>
            <w:right w:val="none" w:sz="0" w:space="0" w:color="auto"/>
          </w:divBdr>
        </w:div>
        <w:div w:id="221332084">
          <w:marLeft w:val="0"/>
          <w:marRight w:val="0"/>
          <w:marTop w:val="0"/>
          <w:marBottom w:val="0"/>
          <w:divBdr>
            <w:top w:val="none" w:sz="0" w:space="0" w:color="auto"/>
            <w:left w:val="none" w:sz="0" w:space="0" w:color="auto"/>
            <w:bottom w:val="none" w:sz="0" w:space="0" w:color="auto"/>
            <w:right w:val="none" w:sz="0" w:space="0" w:color="auto"/>
          </w:divBdr>
        </w:div>
        <w:div w:id="221446480">
          <w:marLeft w:val="0"/>
          <w:marRight w:val="0"/>
          <w:marTop w:val="0"/>
          <w:marBottom w:val="0"/>
          <w:divBdr>
            <w:top w:val="none" w:sz="0" w:space="0" w:color="auto"/>
            <w:left w:val="none" w:sz="0" w:space="0" w:color="auto"/>
            <w:bottom w:val="none" w:sz="0" w:space="0" w:color="auto"/>
            <w:right w:val="none" w:sz="0" w:space="0" w:color="auto"/>
          </w:divBdr>
        </w:div>
        <w:div w:id="224418673">
          <w:marLeft w:val="0"/>
          <w:marRight w:val="0"/>
          <w:marTop w:val="0"/>
          <w:marBottom w:val="0"/>
          <w:divBdr>
            <w:top w:val="none" w:sz="0" w:space="0" w:color="auto"/>
            <w:left w:val="none" w:sz="0" w:space="0" w:color="auto"/>
            <w:bottom w:val="none" w:sz="0" w:space="0" w:color="auto"/>
            <w:right w:val="none" w:sz="0" w:space="0" w:color="auto"/>
          </w:divBdr>
        </w:div>
        <w:div w:id="244148005">
          <w:marLeft w:val="0"/>
          <w:marRight w:val="0"/>
          <w:marTop w:val="0"/>
          <w:marBottom w:val="0"/>
          <w:divBdr>
            <w:top w:val="none" w:sz="0" w:space="0" w:color="auto"/>
            <w:left w:val="none" w:sz="0" w:space="0" w:color="auto"/>
            <w:bottom w:val="none" w:sz="0" w:space="0" w:color="auto"/>
            <w:right w:val="none" w:sz="0" w:space="0" w:color="auto"/>
          </w:divBdr>
        </w:div>
        <w:div w:id="251741859">
          <w:marLeft w:val="0"/>
          <w:marRight w:val="0"/>
          <w:marTop w:val="0"/>
          <w:marBottom w:val="0"/>
          <w:divBdr>
            <w:top w:val="none" w:sz="0" w:space="0" w:color="auto"/>
            <w:left w:val="none" w:sz="0" w:space="0" w:color="auto"/>
            <w:bottom w:val="none" w:sz="0" w:space="0" w:color="auto"/>
            <w:right w:val="none" w:sz="0" w:space="0" w:color="auto"/>
          </w:divBdr>
        </w:div>
        <w:div w:id="282923176">
          <w:marLeft w:val="0"/>
          <w:marRight w:val="0"/>
          <w:marTop w:val="0"/>
          <w:marBottom w:val="0"/>
          <w:divBdr>
            <w:top w:val="none" w:sz="0" w:space="0" w:color="auto"/>
            <w:left w:val="none" w:sz="0" w:space="0" w:color="auto"/>
            <w:bottom w:val="none" w:sz="0" w:space="0" w:color="auto"/>
            <w:right w:val="none" w:sz="0" w:space="0" w:color="auto"/>
          </w:divBdr>
        </w:div>
        <w:div w:id="315376223">
          <w:marLeft w:val="0"/>
          <w:marRight w:val="0"/>
          <w:marTop w:val="0"/>
          <w:marBottom w:val="0"/>
          <w:divBdr>
            <w:top w:val="none" w:sz="0" w:space="0" w:color="auto"/>
            <w:left w:val="none" w:sz="0" w:space="0" w:color="auto"/>
            <w:bottom w:val="none" w:sz="0" w:space="0" w:color="auto"/>
            <w:right w:val="none" w:sz="0" w:space="0" w:color="auto"/>
          </w:divBdr>
        </w:div>
        <w:div w:id="330761734">
          <w:marLeft w:val="0"/>
          <w:marRight w:val="0"/>
          <w:marTop w:val="0"/>
          <w:marBottom w:val="0"/>
          <w:divBdr>
            <w:top w:val="none" w:sz="0" w:space="0" w:color="auto"/>
            <w:left w:val="none" w:sz="0" w:space="0" w:color="auto"/>
            <w:bottom w:val="none" w:sz="0" w:space="0" w:color="auto"/>
            <w:right w:val="none" w:sz="0" w:space="0" w:color="auto"/>
          </w:divBdr>
        </w:div>
        <w:div w:id="331837412">
          <w:marLeft w:val="0"/>
          <w:marRight w:val="0"/>
          <w:marTop w:val="0"/>
          <w:marBottom w:val="0"/>
          <w:divBdr>
            <w:top w:val="none" w:sz="0" w:space="0" w:color="auto"/>
            <w:left w:val="none" w:sz="0" w:space="0" w:color="auto"/>
            <w:bottom w:val="none" w:sz="0" w:space="0" w:color="auto"/>
            <w:right w:val="none" w:sz="0" w:space="0" w:color="auto"/>
          </w:divBdr>
        </w:div>
        <w:div w:id="336347496">
          <w:marLeft w:val="0"/>
          <w:marRight w:val="0"/>
          <w:marTop w:val="0"/>
          <w:marBottom w:val="0"/>
          <w:divBdr>
            <w:top w:val="none" w:sz="0" w:space="0" w:color="auto"/>
            <w:left w:val="none" w:sz="0" w:space="0" w:color="auto"/>
            <w:bottom w:val="none" w:sz="0" w:space="0" w:color="auto"/>
            <w:right w:val="none" w:sz="0" w:space="0" w:color="auto"/>
          </w:divBdr>
        </w:div>
        <w:div w:id="353655087">
          <w:marLeft w:val="0"/>
          <w:marRight w:val="0"/>
          <w:marTop w:val="0"/>
          <w:marBottom w:val="0"/>
          <w:divBdr>
            <w:top w:val="none" w:sz="0" w:space="0" w:color="auto"/>
            <w:left w:val="none" w:sz="0" w:space="0" w:color="auto"/>
            <w:bottom w:val="none" w:sz="0" w:space="0" w:color="auto"/>
            <w:right w:val="none" w:sz="0" w:space="0" w:color="auto"/>
          </w:divBdr>
        </w:div>
        <w:div w:id="368334818">
          <w:marLeft w:val="0"/>
          <w:marRight w:val="0"/>
          <w:marTop w:val="0"/>
          <w:marBottom w:val="0"/>
          <w:divBdr>
            <w:top w:val="none" w:sz="0" w:space="0" w:color="auto"/>
            <w:left w:val="none" w:sz="0" w:space="0" w:color="auto"/>
            <w:bottom w:val="none" w:sz="0" w:space="0" w:color="auto"/>
            <w:right w:val="none" w:sz="0" w:space="0" w:color="auto"/>
          </w:divBdr>
        </w:div>
        <w:div w:id="383867012">
          <w:marLeft w:val="0"/>
          <w:marRight w:val="0"/>
          <w:marTop w:val="0"/>
          <w:marBottom w:val="0"/>
          <w:divBdr>
            <w:top w:val="none" w:sz="0" w:space="0" w:color="auto"/>
            <w:left w:val="none" w:sz="0" w:space="0" w:color="auto"/>
            <w:bottom w:val="none" w:sz="0" w:space="0" w:color="auto"/>
            <w:right w:val="none" w:sz="0" w:space="0" w:color="auto"/>
          </w:divBdr>
        </w:div>
        <w:div w:id="386029512">
          <w:marLeft w:val="0"/>
          <w:marRight w:val="0"/>
          <w:marTop w:val="0"/>
          <w:marBottom w:val="0"/>
          <w:divBdr>
            <w:top w:val="none" w:sz="0" w:space="0" w:color="auto"/>
            <w:left w:val="none" w:sz="0" w:space="0" w:color="auto"/>
            <w:bottom w:val="none" w:sz="0" w:space="0" w:color="auto"/>
            <w:right w:val="none" w:sz="0" w:space="0" w:color="auto"/>
          </w:divBdr>
        </w:div>
        <w:div w:id="396589025">
          <w:marLeft w:val="0"/>
          <w:marRight w:val="0"/>
          <w:marTop w:val="0"/>
          <w:marBottom w:val="0"/>
          <w:divBdr>
            <w:top w:val="none" w:sz="0" w:space="0" w:color="auto"/>
            <w:left w:val="none" w:sz="0" w:space="0" w:color="auto"/>
            <w:bottom w:val="none" w:sz="0" w:space="0" w:color="auto"/>
            <w:right w:val="none" w:sz="0" w:space="0" w:color="auto"/>
          </w:divBdr>
        </w:div>
        <w:div w:id="403182434">
          <w:marLeft w:val="0"/>
          <w:marRight w:val="0"/>
          <w:marTop w:val="0"/>
          <w:marBottom w:val="0"/>
          <w:divBdr>
            <w:top w:val="none" w:sz="0" w:space="0" w:color="auto"/>
            <w:left w:val="none" w:sz="0" w:space="0" w:color="auto"/>
            <w:bottom w:val="none" w:sz="0" w:space="0" w:color="auto"/>
            <w:right w:val="none" w:sz="0" w:space="0" w:color="auto"/>
          </w:divBdr>
        </w:div>
        <w:div w:id="407845041">
          <w:marLeft w:val="0"/>
          <w:marRight w:val="0"/>
          <w:marTop w:val="0"/>
          <w:marBottom w:val="0"/>
          <w:divBdr>
            <w:top w:val="none" w:sz="0" w:space="0" w:color="auto"/>
            <w:left w:val="none" w:sz="0" w:space="0" w:color="auto"/>
            <w:bottom w:val="none" w:sz="0" w:space="0" w:color="auto"/>
            <w:right w:val="none" w:sz="0" w:space="0" w:color="auto"/>
          </w:divBdr>
        </w:div>
        <w:div w:id="410199315">
          <w:marLeft w:val="0"/>
          <w:marRight w:val="0"/>
          <w:marTop w:val="0"/>
          <w:marBottom w:val="0"/>
          <w:divBdr>
            <w:top w:val="none" w:sz="0" w:space="0" w:color="auto"/>
            <w:left w:val="none" w:sz="0" w:space="0" w:color="auto"/>
            <w:bottom w:val="none" w:sz="0" w:space="0" w:color="auto"/>
            <w:right w:val="none" w:sz="0" w:space="0" w:color="auto"/>
          </w:divBdr>
        </w:div>
        <w:div w:id="412432369">
          <w:marLeft w:val="0"/>
          <w:marRight w:val="0"/>
          <w:marTop w:val="0"/>
          <w:marBottom w:val="0"/>
          <w:divBdr>
            <w:top w:val="none" w:sz="0" w:space="0" w:color="auto"/>
            <w:left w:val="none" w:sz="0" w:space="0" w:color="auto"/>
            <w:bottom w:val="none" w:sz="0" w:space="0" w:color="auto"/>
            <w:right w:val="none" w:sz="0" w:space="0" w:color="auto"/>
          </w:divBdr>
        </w:div>
        <w:div w:id="493836645">
          <w:marLeft w:val="0"/>
          <w:marRight w:val="0"/>
          <w:marTop w:val="0"/>
          <w:marBottom w:val="0"/>
          <w:divBdr>
            <w:top w:val="none" w:sz="0" w:space="0" w:color="auto"/>
            <w:left w:val="none" w:sz="0" w:space="0" w:color="auto"/>
            <w:bottom w:val="none" w:sz="0" w:space="0" w:color="auto"/>
            <w:right w:val="none" w:sz="0" w:space="0" w:color="auto"/>
          </w:divBdr>
        </w:div>
        <w:div w:id="496001278">
          <w:marLeft w:val="0"/>
          <w:marRight w:val="0"/>
          <w:marTop w:val="0"/>
          <w:marBottom w:val="0"/>
          <w:divBdr>
            <w:top w:val="none" w:sz="0" w:space="0" w:color="auto"/>
            <w:left w:val="none" w:sz="0" w:space="0" w:color="auto"/>
            <w:bottom w:val="none" w:sz="0" w:space="0" w:color="auto"/>
            <w:right w:val="none" w:sz="0" w:space="0" w:color="auto"/>
          </w:divBdr>
        </w:div>
        <w:div w:id="513999489">
          <w:marLeft w:val="0"/>
          <w:marRight w:val="0"/>
          <w:marTop w:val="0"/>
          <w:marBottom w:val="0"/>
          <w:divBdr>
            <w:top w:val="none" w:sz="0" w:space="0" w:color="auto"/>
            <w:left w:val="none" w:sz="0" w:space="0" w:color="auto"/>
            <w:bottom w:val="none" w:sz="0" w:space="0" w:color="auto"/>
            <w:right w:val="none" w:sz="0" w:space="0" w:color="auto"/>
          </w:divBdr>
        </w:div>
        <w:div w:id="571236642">
          <w:marLeft w:val="0"/>
          <w:marRight w:val="0"/>
          <w:marTop w:val="0"/>
          <w:marBottom w:val="0"/>
          <w:divBdr>
            <w:top w:val="none" w:sz="0" w:space="0" w:color="auto"/>
            <w:left w:val="none" w:sz="0" w:space="0" w:color="auto"/>
            <w:bottom w:val="none" w:sz="0" w:space="0" w:color="auto"/>
            <w:right w:val="none" w:sz="0" w:space="0" w:color="auto"/>
          </w:divBdr>
        </w:div>
        <w:div w:id="625895746">
          <w:marLeft w:val="0"/>
          <w:marRight w:val="0"/>
          <w:marTop w:val="0"/>
          <w:marBottom w:val="0"/>
          <w:divBdr>
            <w:top w:val="none" w:sz="0" w:space="0" w:color="auto"/>
            <w:left w:val="none" w:sz="0" w:space="0" w:color="auto"/>
            <w:bottom w:val="none" w:sz="0" w:space="0" w:color="auto"/>
            <w:right w:val="none" w:sz="0" w:space="0" w:color="auto"/>
          </w:divBdr>
        </w:div>
        <w:div w:id="640160991">
          <w:marLeft w:val="0"/>
          <w:marRight w:val="0"/>
          <w:marTop w:val="0"/>
          <w:marBottom w:val="0"/>
          <w:divBdr>
            <w:top w:val="none" w:sz="0" w:space="0" w:color="auto"/>
            <w:left w:val="none" w:sz="0" w:space="0" w:color="auto"/>
            <w:bottom w:val="none" w:sz="0" w:space="0" w:color="auto"/>
            <w:right w:val="none" w:sz="0" w:space="0" w:color="auto"/>
          </w:divBdr>
        </w:div>
        <w:div w:id="656541764">
          <w:marLeft w:val="0"/>
          <w:marRight w:val="0"/>
          <w:marTop w:val="0"/>
          <w:marBottom w:val="0"/>
          <w:divBdr>
            <w:top w:val="none" w:sz="0" w:space="0" w:color="auto"/>
            <w:left w:val="none" w:sz="0" w:space="0" w:color="auto"/>
            <w:bottom w:val="none" w:sz="0" w:space="0" w:color="auto"/>
            <w:right w:val="none" w:sz="0" w:space="0" w:color="auto"/>
          </w:divBdr>
        </w:div>
        <w:div w:id="670136826">
          <w:marLeft w:val="0"/>
          <w:marRight w:val="0"/>
          <w:marTop w:val="0"/>
          <w:marBottom w:val="0"/>
          <w:divBdr>
            <w:top w:val="none" w:sz="0" w:space="0" w:color="auto"/>
            <w:left w:val="none" w:sz="0" w:space="0" w:color="auto"/>
            <w:bottom w:val="none" w:sz="0" w:space="0" w:color="auto"/>
            <w:right w:val="none" w:sz="0" w:space="0" w:color="auto"/>
          </w:divBdr>
          <w:divsChild>
            <w:div w:id="517039325">
              <w:marLeft w:val="-75"/>
              <w:marRight w:val="0"/>
              <w:marTop w:val="30"/>
              <w:marBottom w:val="30"/>
              <w:divBdr>
                <w:top w:val="none" w:sz="0" w:space="0" w:color="auto"/>
                <w:left w:val="none" w:sz="0" w:space="0" w:color="auto"/>
                <w:bottom w:val="none" w:sz="0" w:space="0" w:color="auto"/>
                <w:right w:val="none" w:sz="0" w:space="0" w:color="auto"/>
              </w:divBdr>
              <w:divsChild>
                <w:div w:id="4867137">
                  <w:marLeft w:val="0"/>
                  <w:marRight w:val="0"/>
                  <w:marTop w:val="0"/>
                  <w:marBottom w:val="0"/>
                  <w:divBdr>
                    <w:top w:val="none" w:sz="0" w:space="0" w:color="auto"/>
                    <w:left w:val="none" w:sz="0" w:space="0" w:color="auto"/>
                    <w:bottom w:val="none" w:sz="0" w:space="0" w:color="auto"/>
                    <w:right w:val="none" w:sz="0" w:space="0" w:color="auto"/>
                  </w:divBdr>
                </w:div>
                <w:div w:id="47460336">
                  <w:marLeft w:val="0"/>
                  <w:marRight w:val="0"/>
                  <w:marTop w:val="0"/>
                  <w:marBottom w:val="0"/>
                  <w:divBdr>
                    <w:top w:val="none" w:sz="0" w:space="0" w:color="auto"/>
                    <w:left w:val="none" w:sz="0" w:space="0" w:color="auto"/>
                    <w:bottom w:val="none" w:sz="0" w:space="0" w:color="auto"/>
                    <w:right w:val="none" w:sz="0" w:space="0" w:color="auto"/>
                  </w:divBdr>
                </w:div>
                <w:div w:id="85227336">
                  <w:marLeft w:val="0"/>
                  <w:marRight w:val="0"/>
                  <w:marTop w:val="0"/>
                  <w:marBottom w:val="0"/>
                  <w:divBdr>
                    <w:top w:val="none" w:sz="0" w:space="0" w:color="auto"/>
                    <w:left w:val="none" w:sz="0" w:space="0" w:color="auto"/>
                    <w:bottom w:val="none" w:sz="0" w:space="0" w:color="auto"/>
                    <w:right w:val="none" w:sz="0" w:space="0" w:color="auto"/>
                  </w:divBdr>
                </w:div>
                <w:div w:id="109013151">
                  <w:marLeft w:val="0"/>
                  <w:marRight w:val="0"/>
                  <w:marTop w:val="0"/>
                  <w:marBottom w:val="0"/>
                  <w:divBdr>
                    <w:top w:val="none" w:sz="0" w:space="0" w:color="auto"/>
                    <w:left w:val="none" w:sz="0" w:space="0" w:color="auto"/>
                    <w:bottom w:val="none" w:sz="0" w:space="0" w:color="auto"/>
                    <w:right w:val="none" w:sz="0" w:space="0" w:color="auto"/>
                  </w:divBdr>
                </w:div>
                <w:div w:id="177547879">
                  <w:marLeft w:val="0"/>
                  <w:marRight w:val="0"/>
                  <w:marTop w:val="0"/>
                  <w:marBottom w:val="0"/>
                  <w:divBdr>
                    <w:top w:val="none" w:sz="0" w:space="0" w:color="auto"/>
                    <w:left w:val="none" w:sz="0" w:space="0" w:color="auto"/>
                    <w:bottom w:val="none" w:sz="0" w:space="0" w:color="auto"/>
                    <w:right w:val="none" w:sz="0" w:space="0" w:color="auto"/>
                  </w:divBdr>
                </w:div>
                <w:div w:id="231040707">
                  <w:marLeft w:val="0"/>
                  <w:marRight w:val="0"/>
                  <w:marTop w:val="0"/>
                  <w:marBottom w:val="0"/>
                  <w:divBdr>
                    <w:top w:val="none" w:sz="0" w:space="0" w:color="auto"/>
                    <w:left w:val="none" w:sz="0" w:space="0" w:color="auto"/>
                    <w:bottom w:val="none" w:sz="0" w:space="0" w:color="auto"/>
                    <w:right w:val="none" w:sz="0" w:space="0" w:color="auto"/>
                  </w:divBdr>
                </w:div>
                <w:div w:id="285428998">
                  <w:marLeft w:val="0"/>
                  <w:marRight w:val="0"/>
                  <w:marTop w:val="0"/>
                  <w:marBottom w:val="0"/>
                  <w:divBdr>
                    <w:top w:val="none" w:sz="0" w:space="0" w:color="auto"/>
                    <w:left w:val="none" w:sz="0" w:space="0" w:color="auto"/>
                    <w:bottom w:val="none" w:sz="0" w:space="0" w:color="auto"/>
                    <w:right w:val="none" w:sz="0" w:space="0" w:color="auto"/>
                  </w:divBdr>
                </w:div>
                <w:div w:id="290598399">
                  <w:marLeft w:val="0"/>
                  <w:marRight w:val="0"/>
                  <w:marTop w:val="0"/>
                  <w:marBottom w:val="0"/>
                  <w:divBdr>
                    <w:top w:val="none" w:sz="0" w:space="0" w:color="auto"/>
                    <w:left w:val="none" w:sz="0" w:space="0" w:color="auto"/>
                    <w:bottom w:val="none" w:sz="0" w:space="0" w:color="auto"/>
                    <w:right w:val="none" w:sz="0" w:space="0" w:color="auto"/>
                  </w:divBdr>
                </w:div>
                <w:div w:id="298998323">
                  <w:marLeft w:val="0"/>
                  <w:marRight w:val="0"/>
                  <w:marTop w:val="0"/>
                  <w:marBottom w:val="0"/>
                  <w:divBdr>
                    <w:top w:val="none" w:sz="0" w:space="0" w:color="auto"/>
                    <w:left w:val="none" w:sz="0" w:space="0" w:color="auto"/>
                    <w:bottom w:val="none" w:sz="0" w:space="0" w:color="auto"/>
                    <w:right w:val="none" w:sz="0" w:space="0" w:color="auto"/>
                  </w:divBdr>
                </w:div>
                <w:div w:id="325983622">
                  <w:marLeft w:val="0"/>
                  <w:marRight w:val="0"/>
                  <w:marTop w:val="0"/>
                  <w:marBottom w:val="0"/>
                  <w:divBdr>
                    <w:top w:val="none" w:sz="0" w:space="0" w:color="auto"/>
                    <w:left w:val="none" w:sz="0" w:space="0" w:color="auto"/>
                    <w:bottom w:val="none" w:sz="0" w:space="0" w:color="auto"/>
                    <w:right w:val="none" w:sz="0" w:space="0" w:color="auto"/>
                  </w:divBdr>
                </w:div>
                <w:div w:id="352387088">
                  <w:marLeft w:val="0"/>
                  <w:marRight w:val="0"/>
                  <w:marTop w:val="0"/>
                  <w:marBottom w:val="0"/>
                  <w:divBdr>
                    <w:top w:val="none" w:sz="0" w:space="0" w:color="auto"/>
                    <w:left w:val="none" w:sz="0" w:space="0" w:color="auto"/>
                    <w:bottom w:val="none" w:sz="0" w:space="0" w:color="auto"/>
                    <w:right w:val="none" w:sz="0" w:space="0" w:color="auto"/>
                  </w:divBdr>
                </w:div>
                <w:div w:id="357005330">
                  <w:marLeft w:val="0"/>
                  <w:marRight w:val="0"/>
                  <w:marTop w:val="0"/>
                  <w:marBottom w:val="0"/>
                  <w:divBdr>
                    <w:top w:val="none" w:sz="0" w:space="0" w:color="auto"/>
                    <w:left w:val="none" w:sz="0" w:space="0" w:color="auto"/>
                    <w:bottom w:val="none" w:sz="0" w:space="0" w:color="auto"/>
                    <w:right w:val="none" w:sz="0" w:space="0" w:color="auto"/>
                  </w:divBdr>
                </w:div>
                <w:div w:id="382753833">
                  <w:marLeft w:val="0"/>
                  <w:marRight w:val="0"/>
                  <w:marTop w:val="0"/>
                  <w:marBottom w:val="0"/>
                  <w:divBdr>
                    <w:top w:val="none" w:sz="0" w:space="0" w:color="auto"/>
                    <w:left w:val="none" w:sz="0" w:space="0" w:color="auto"/>
                    <w:bottom w:val="none" w:sz="0" w:space="0" w:color="auto"/>
                    <w:right w:val="none" w:sz="0" w:space="0" w:color="auto"/>
                  </w:divBdr>
                </w:div>
                <w:div w:id="501896568">
                  <w:marLeft w:val="0"/>
                  <w:marRight w:val="0"/>
                  <w:marTop w:val="0"/>
                  <w:marBottom w:val="0"/>
                  <w:divBdr>
                    <w:top w:val="none" w:sz="0" w:space="0" w:color="auto"/>
                    <w:left w:val="none" w:sz="0" w:space="0" w:color="auto"/>
                    <w:bottom w:val="none" w:sz="0" w:space="0" w:color="auto"/>
                    <w:right w:val="none" w:sz="0" w:space="0" w:color="auto"/>
                  </w:divBdr>
                </w:div>
                <w:div w:id="510025760">
                  <w:marLeft w:val="0"/>
                  <w:marRight w:val="0"/>
                  <w:marTop w:val="0"/>
                  <w:marBottom w:val="0"/>
                  <w:divBdr>
                    <w:top w:val="none" w:sz="0" w:space="0" w:color="auto"/>
                    <w:left w:val="none" w:sz="0" w:space="0" w:color="auto"/>
                    <w:bottom w:val="none" w:sz="0" w:space="0" w:color="auto"/>
                    <w:right w:val="none" w:sz="0" w:space="0" w:color="auto"/>
                  </w:divBdr>
                </w:div>
                <w:div w:id="512694894">
                  <w:marLeft w:val="0"/>
                  <w:marRight w:val="0"/>
                  <w:marTop w:val="0"/>
                  <w:marBottom w:val="0"/>
                  <w:divBdr>
                    <w:top w:val="none" w:sz="0" w:space="0" w:color="auto"/>
                    <w:left w:val="none" w:sz="0" w:space="0" w:color="auto"/>
                    <w:bottom w:val="none" w:sz="0" w:space="0" w:color="auto"/>
                    <w:right w:val="none" w:sz="0" w:space="0" w:color="auto"/>
                  </w:divBdr>
                </w:div>
                <w:div w:id="553781420">
                  <w:marLeft w:val="0"/>
                  <w:marRight w:val="0"/>
                  <w:marTop w:val="0"/>
                  <w:marBottom w:val="0"/>
                  <w:divBdr>
                    <w:top w:val="none" w:sz="0" w:space="0" w:color="auto"/>
                    <w:left w:val="none" w:sz="0" w:space="0" w:color="auto"/>
                    <w:bottom w:val="none" w:sz="0" w:space="0" w:color="auto"/>
                    <w:right w:val="none" w:sz="0" w:space="0" w:color="auto"/>
                  </w:divBdr>
                </w:div>
                <w:div w:id="564487889">
                  <w:marLeft w:val="0"/>
                  <w:marRight w:val="0"/>
                  <w:marTop w:val="0"/>
                  <w:marBottom w:val="0"/>
                  <w:divBdr>
                    <w:top w:val="none" w:sz="0" w:space="0" w:color="auto"/>
                    <w:left w:val="none" w:sz="0" w:space="0" w:color="auto"/>
                    <w:bottom w:val="none" w:sz="0" w:space="0" w:color="auto"/>
                    <w:right w:val="none" w:sz="0" w:space="0" w:color="auto"/>
                  </w:divBdr>
                </w:div>
                <w:div w:id="622930694">
                  <w:marLeft w:val="0"/>
                  <w:marRight w:val="0"/>
                  <w:marTop w:val="0"/>
                  <w:marBottom w:val="0"/>
                  <w:divBdr>
                    <w:top w:val="none" w:sz="0" w:space="0" w:color="auto"/>
                    <w:left w:val="none" w:sz="0" w:space="0" w:color="auto"/>
                    <w:bottom w:val="none" w:sz="0" w:space="0" w:color="auto"/>
                    <w:right w:val="none" w:sz="0" w:space="0" w:color="auto"/>
                  </w:divBdr>
                </w:div>
                <w:div w:id="639846783">
                  <w:marLeft w:val="0"/>
                  <w:marRight w:val="0"/>
                  <w:marTop w:val="0"/>
                  <w:marBottom w:val="0"/>
                  <w:divBdr>
                    <w:top w:val="none" w:sz="0" w:space="0" w:color="auto"/>
                    <w:left w:val="none" w:sz="0" w:space="0" w:color="auto"/>
                    <w:bottom w:val="none" w:sz="0" w:space="0" w:color="auto"/>
                    <w:right w:val="none" w:sz="0" w:space="0" w:color="auto"/>
                  </w:divBdr>
                </w:div>
                <w:div w:id="714816850">
                  <w:marLeft w:val="0"/>
                  <w:marRight w:val="0"/>
                  <w:marTop w:val="0"/>
                  <w:marBottom w:val="0"/>
                  <w:divBdr>
                    <w:top w:val="none" w:sz="0" w:space="0" w:color="auto"/>
                    <w:left w:val="none" w:sz="0" w:space="0" w:color="auto"/>
                    <w:bottom w:val="none" w:sz="0" w:space="0" w:color="auto"/>
                    <w:right w:val="none" w:sz="0" w:space="0" w:color="auto"/>
                  </w:divBdr>
                </w:div>
                <w:div w:id="747002374">
                  <w:marLeft w:val="0"/>
                  <w:marRight w:val="0"/>
                  <w:marTop w:val="0"/>
                  <w:marBottom w:val="0"/>
                  <w:divBdr>
                    <w:top w:val="none" w:sz="0" w:space="0" w:color="auto"/>
                    <w:left w:val="none" w:sz="0" w:space="0" w:color="auto"/>
                    <w:bottom w:val="none" w:sz="0" w:space="0" w:color="auto"/>
                    <w:right w:val="none" w:sz="0" w:space="0" w:color="auto"/>
                  </w:divBdr>
                </w:div>
                <w:div w:id="778793427">
                  <w:marLeft w:val="0"/>
                  <w:marRight w:val="0"/>
                  <w:marTop w:val="0"/>
                  <w:marBottom w:val="0"/>
                  <w:divBdr>
                    <w:top w:val="none" w:sz="0" w:space="0" w:color="auto"/>
                    <w:left w:val="none" w:sz="0" w:space="0" w:color="auto"/>
                    <w:bottom w:val="none" w:sz="0" w:space="0" w:color="auto"/>
                    <w:right w:val="none" w:sz="0" w:space="0" w:color="auto"/>
                  </w:divBdr>
                </w:div>
                <w:div w:id="786895526">
                  <w:marLeft w:val="0"/>
                  <w:marRight w:val="0"/>
                  <w:marTop w:val="0"/>
                  <w:marBottom w:val="0"/>
                  <w:divBdr>
                    <w:top w:val="none" w:sz="0" w:space="0" w:color="auto"/>
                    <w:left w:val="none" w:sz="0" w:space="0" w:color="auto"/>
                    <w:bottom w:val="none" w:sz="0" w:space="0" w:color="auto"/>
                    <w:right w:val="none" w:sz="0" w:space="0" w:color="auto"/>
                  </w:divBdr>
                </w:div>
                <w:div w:id="867523562">
                  <w:marLeft w:val="0"/>
                  <w:marRight w:val="0"/>
                  <w:marTop w:val="0"/>
                  <w:marBottom w:val="0"/>
                  <w:divBdr>
                    <w:top w:val="none" w:sz="0" w:space="0" w:color="auto"/>
                    <w:left w:val="none" w:sz="0" w:space="0" w:color="auto"/>
                    <w:bottom w:val="none" w:sz="0" w:space="0" w:color="auto"/>
                    <w:right w:val="none" w:sz="0" w:space="0" w:color="auto"/>
                  </w:divBdr>
                </w:div>
                <w:div w:id="929239826">
                  <w:marLeft w:val="0"/>
                  <w:marRight w:val="0"/>
                  <w:marTop w:val="0"/>
                  <w:marBottom w:val="0"/>
                  <w:divBdr>
                    <w:top w:val="none" w:sz="0" w:space="0" w:color="auto"/>
                    <w:left w:val="none" w:sz="0" w:space="0" w:color="auto"/>
                    <w:bottom w:val="none" w:sz="0" w:space="0" w:color="auto"/>
                    <w:right w:val="none" w:sz="0" w:space="0" w:color="auto"/>
                  </w:divBdr>
                </w:div>
                <w:div w:id="954795668">
                  <w:marLeft w:val="0"/>
                  <w:marRight w:val="0"/>
                  <w:marTop w:val="0"/>
                  <w:marBottom w:val="0"/>
                  <w:divBdr>
                    <w:top w:val="none" w:sz="0" w:space="0" w:color="auto"/>
                    <w:left w:val="none" w:sz="0" w:space="0" w:color="auto"/>
                    <w:bottom w:val="none" w:sz="0" w:space="0" w:color="auto"/>
                    <w:right w:val="none" w:sz="0" w:space="0" w:color="auto"/>
                  </w:divBdr>
                </w:div>
                <w:div w:id="963851273">
                  <w:marLeft w:val="0"/>
                  <w:marRight w:val="0"/>
                  <w:marTop w:val="0"/>
                  <w:marBottom w:val="0"/>
                  <w:divBdr>
                    <w:top w:val="none" w:sz="0" w:space="0" w:color="auto"/>
                    <w:left w:val="none" w:sz="0" w:space="0" w:color="auto"/>
                    <w:bottom w:val="none" w:sz="0" w:space="0" w:color="auto"/>
                    <w:right w:val="none" w:sz="0" w:space="0" w:color="auto"/>
                  </w:divBdr>
                </w:div>
                <w:div w:id="965620858">
                  <w:marLeft w:val="0"/>
                  <w:marRight w:val="0"/>
                  <w:marTop w:val="0"/>
                  <w:marBottom w:val="0"/>
                  <w:divBdr>
                    <w:top w:val="none" w:sz="0" w:space="0" w:color="auto"/>
                    <w:left w:val="none" w:sz="0" w:space="0" w:color="auto"/>
                    <w:bottom w:val="none" w:sz="0" w:space="0" w:color="auto"/>
                    <w:right w:val="none" w:sz="0" w:space="0" w:color="auto"/>
                  </w:divBdr>
                </w:div>
                <w:div w:id="981884858">
                  <w:marLeft w:val="0"/>
                  <w:marRight w:val="0"/>
                  <w:marTop w:val="0"/>
                  <w:marBottom w:val="0"/>
                  <w:divBdr>
                    <w:top w:val="none" w:sz="0" w:space="0" w:color="auto"/>
                    <w:left w:val="none" w:sz="0" w:space="0" w:color="auto"/>
                    <w:bottom w:val="none" w:sz="0" w:space="0" w:color="auto"/>
                    <w:right w:val="none" w:sz="0" w:space="0" w:color="auto"/>
                  </w:divBdr>
                </w:div>
                <w:div w:id="1034114521">
                  <w:marLeft w:val="0"/>
                  <w:marRight w:val="0"/>
                  <w:marTop w:val="0"/>
                  <w:marBottom w:val="0"/>
                  <w:divBdr>
                    <w:top w:val="none" w:sz="0" w:space="0" w:color="auto"/>
                    <w:left w:val="none" w:sz="0" w:space="0" w:color="auto"/>
                    <w:bottom w:val="none" w:sz="0" w:space="0" w:color="auto"/>
                    <w:right w:val="none" w:sz="0" w:space="0" w:color="auto"/>
                  </w:divBdr>
                </w:div>
                <w:div w:id="1059547643">
                  <w:marLeft w:val="0"/>
                  <w:marRight w:val="0"/>
                  <w:marTop w:val="0"/>
                  <w:marBottom w:val="0"/>
                  <w:divBdr>
                    <w:top w:val="none" w:sz="0" w:space="0" w:color="auto"/>
                    <w:left w:val="none" w:sz="0" w:space="0" w:color="auto"/>
                    <w:bottom w:val="none" w:sz="0" w:space="0" w:color="auto"/>
                    <w:right w:val="none" w:sz="0" w:space="0" w:color="auto"/>
                  </w:divBdr>
                </w:div>
                <w:div w:id="1092580373">
                  <w:marLeft w:val="0"/>
                  <w:marRight w:val="0"/>
                  <w:marTop w:val="0"/>
                  <w:marBottom w:val="0"/>
                  <w:divBdr>
                    <w:top w:val="none" w:sz="0" w:space="0" w:color="auto"/>
                    <w:left w:val="none" w:sz="0" w:space="0" w:color="auto"/>
                    <w:bottom w:val="none" w:sz="0" w:space="0" w:color="auto"/>
                    <w:right w:val="none" w:sz="0" w:space="0" w:color="auto"/>
                  </w:divBdr>
                </w:div>
                <w:div w:id="1167983243">
                  <w:marLeft w:val="0"/>
                  <w:marRight w:val="0"/>
                  <w:marTop w:val="0"/>
                  <w:marBottom w:val="0"/>
                  <w:divBdr>
                    <w:top w:val="none" w:sz="0" w:space="0" w:color="auto"/>
                    <w:left w:val="none" w:sz="0" w:space="0" w:color="auto"/>
                    <w:bottom w:val="none" w:sz="0" w:space="0" w:color="auto"/>
                    <w:right w:val="none" w:sz="0" w:space="0" w:color="auto"/>
                  </w:divBdr>
                </w:div>
                <w:div w:id="1195460326">
                  <w:marLeft w:val="0"/>
                  <w:marRight w:val="0"/>
                  <w:marTop w:val="0"/>
                  <w:marBottom w:val="0"/>
                  <w:divBdr>
                    <w:top w:val="none" w:sz="0" w:space="0" w:color="auto"/>
                    <w:left w:val="none" w:sz="0" w:space="0" w:color="auto"/>
                    <w:bottom w:val="none" w:sz="0" w:space="0" w:color="auto"/>
                    <w:right w:val="none" w:sz="0" w:space="0" w:color="auto"/>
                  </w:divBdr>
                </w:div>
                <w:div w:id="1201285567">
                  <w:marLeft w:val="0"/>
                  <w:marRight w:val="0"/>
                  <w:marTop w:val="0"/>
                  <w:marBottom w:val="0"/>
                  <w:divBdr>
                    <w:top w:val="none" w:sz="0" w:space="0" w:color="auto"/>
                    <w:left w:val="none" w:sz="0" w:space="0" w:color="auto"/>
                    <w:bottom w:val="none" w:sz="0" w:space="0" w:color="auto"/>
                    <w:right w:val="none" w:sz="0" w:space="0" w:color="auto"/>
                  </w:divBdr>
                </w:div>
                <w:div w:id="1220163863">
                  <w:marLeft w:val="0"/>
                  <w:marRight w:val="0"/>
                  <w:marTop w:val="0"/>
                  <w:marBottom w:val="0"/>
                  <w:divBdr>
                    <w:top w:val="none" w:sz="0" w:space="0" w:color="auto"/>
                    <w:left w:val="none" w:sz="0" w:space="0" w:color="auto"/>
                    <w:bottom w:val="none" w:sz="0" w:space="0" w:color="auto"/>
                    <w:right w:val="none" w:sz="0" w:space="0" w:color="auto"/>
                  </w:divBdr>
                </w:div>
                <w:div w:id="1241409659">
                  <w:marLeft w:val="0"/>
                  <w:marRight w:val="0"/>
                  <w:marTop w:val="0"/>
                  <w:marBottom w:val="0"/>
                  <w:divBdr>
                    <w:top w:val="none" w:sz="0" w:space="0" w:color="auto"/>
                    <w:left w:val="none" w:sz="0" w:space="0" w:color="auto"/>
                    <w:bottom w:val="none" w:sz="0" w:space="0" w:color="auto"/>
                    <w:right w:val="none" w:sz="0" w:space="0" w:color="auto"/>
                  </w:divBdr>
                </w:div>
                <w:div w:id="1256085880">
                  <w:marLeft w:val="0"/>
                  <w:marRight w:val="0"/>
                  <w:marTop w:val="0"/>
                  <w:marBottom w:val="0"/>
                  <w:divBdr>
                    <w:top w:val="none" w:sz="0" w:space="0" w:color="auto"/>
                    <w:left w:val="none" w:sz="0" w:space="0" w:color="auto"/>
                    <w:bottom w:val="none" w:sz="0" w:space="0" w:color="auto"/>
                    <w:right w:val="none" w:sz="0" w:space="0" w:color="auto"/>
                  </w:divBdr>
                </w:div>
                <w:div w:id="1282373387">
                  <w:marLeft w:val="0"/>
                  <w:marRight w:val="0"/>
                  <w:marTop w:val="0"/>
                  <w:marBottom w:val="0"/>
                  <w:divBdr>
                    <w:top w:val="none" w:sz="0" w:space="0" w:color="auto"/>
                    <w:left w:val="none" w:sz="0" w:space="0" w:color="auto"/>
                    <w:bottom w:val="none" w:sz="0" w:space="0" w:color="auto"/>
                    <w:right w:val="none" w:sz="0" w:space="0" w:color="auto"/>
                  </w:divBdr>
                </w:div>
                <w:div w:id="1294365919">
                  <w:marLeft w:val="0"/>
                  <w:marRight w:val="0"/>
                  <w:marTop w:val="0"/>
                  <w:marBottom w:val="0"/>
                  <w:divBdr>
                    <w:top w:val="none" w:sz="0" w:space="0" w:color="auto"/>
                    <w:left w:val="none" w:sz="0" w:space="0" w:color="auto"/>
                    <w:bottom w:val="none" w:sz="0" w:space="0" w:color="auto"/>
                    <w:right w:val="none" w:sz="0" w:space="0" w:color="auto"/>
                  </w:divBdr>
                </w:div>
                <w:div w:id="1298678844">
                  <w:marLeft w:val="0"/>
                  <w:marRight w:val="0"/>
                  <w:marTop w:val="0"/>
                  <w:marBottom w:val="0"/>
                  <w:divBdr>
                    <w:top w:val="none" w:sz="0" w:space="0" w:color="auto"/>
                    <w:left w:val="none" w:sz="0" w:space="0" w:color="auto"/>
                    <w:bottom w:val="none" w:sz="0" w:space="0" w:color="auto"/>
                    <w:right w:val="none" w:sz="0" w:space="0" w:color="auto"/>
                  </w:divBdr>
                  <w:divsChild>
                    <w:div w:id="2006130185">
                      <w:marLeft w:val="0"/>
                      <w:marRight w:val="0"/>
                      <w:marTop w:val="0"/>
                      <w:marBottom w:val="0"/>
                      <w:divBdr>
                        <w:top w:val="none" w:sz="0" w:space="0" w:color="auto"/>
                        <w:left w:val="none" w:sz="0" w:space="0" w:color="auto"/>
                        <w:bottom w:val="none" w:sz="0" w:space="0" w:color="auto"/>
                        <w:right w:val="none" w:sz="0" w:space="0" w:color="auto"/>
                      </w:divBdr>
                    </w:div>
                  </w:divsChild>
                </w:div>
                <w:div w:id="1317495416">
                  <w:marLeft w:val="0"/>
                  <w:marRight w:val="0"/>
                  <w:marTop w:val="0"/>
                  <w:marBottom w:val="0"/>
                  <w:divBdr>
                    <w:top w:val="none" w:sz="0" w:space="0" w:color="auto"/>
                    <w:left w:val="none" w:sz="0" w:space="0" w:color="auto"/>
                    <w:bottom w:val="none" w:sz="0" w:space="0" w:color="auto"/>
                    <w:right w:val="none" w:sz="0" w:space="0" w:color="auto"/>
                  </w:divBdr>
                </w:div>
                <w:div w:id="1331441498">
                  <w:marLeft w:val="0"/>
                  <w:marRight w:val="0"/>
                  <w:marTop w:val="0"/>
                  <w:marBottom w:val="0"/>
                  <w:divBdr>
                    <w:top w:val="none" w:sz="0" w:space="0" w:color="auto"/>
                    <w:left w:val="none" w:sz="0" w:space="0" w:color="auto"/>
                    <w:bottom w:val="none" w:sz="0" w:space="0" w:color="auto"/>
                    <w:right w:val="none" w:sz="0" w:space="0" w:color="auto"/>
                  </w:divBdr>
                </w:div>
                <w:div w:id="1394623521">
                  <w:marLeft w:val="0"/>
                  <w:marRight w:val="0"/>
                  <w:marTop w:val="0"/>
                  <w:marBottom w:val="0"/>
                  <w:divBdr>
                    <w:top w:val="none" w:sz="0" w:space="0" w:color="auto"/>
                    <w:left w:val="none" w:sz="0" w:space="0" w:color="auto"/>
                    <w:bottom w:val="none" w:sz="0" w:space="0" w:color="auto"/>
                    <w:right w:val="none" w:sz="0" w:space="0" w:color="auto"/>
                  </w:divBdr>
                </w:div>
                <w:div w:id="1429500811">
                  <w:marLeft w:val="0"/>
                  <w:marRight w:val="0"/>
                  <w:marTop w:val="0"/>
                  <w:marBottom w:val="0"/>
                  <w:divBdr>
                    <w:top w:val="none" w:sz="0" w:space="0" w:color="auto"/>
                    <w:left w:val="none" w:sz="0" w:space="0" w:color="auto"/>
                    <w:bottom w:val="none" w:sz="0" w:space="0" w:color="auto"/>
                    <w:right w:val="none" w:sz="0" w:space="0" w:color="auto"/>
                  </w:divBdr>
                </w:div>
                <w:div w:id="1471630031">
                  <w:marLeft w:val="0"/>
                  <w:marRight w:val="0"/>
                  <w:marTop w:val="0"/>
                  <w:marBottom w:val="0"/>
                  <w:divBdr>
                    <w:top w:val="none" w:sz="0" w:space="0" w:color="auto"/>
                    <w:left w:val="none" w:sz="0" w:space="0" w:color="auto"/>
                    <w:bottom w:val="none" w:sz="0" w:space="0" w:color="auto"/>
                    <w:right w:val="none" w:sz="0" w:space="0" w:color="auto"/>
                  </w:divBdr>
                </w:div>
                <w:div w:id="1475218740">
                  <w:marLeft w:val="0"/>
                  <w:marRight w:val="0"/>
                  <w:marTop w:val="0"/>
                  <w:marBottom w:val="0"/>
                  <w:divBdr>
                    <w:top w:val="none" w:sz="0" w:space="0" w:color="auto"/>
                    <w:left w:val="none" w:sz="0" w:space="0" w:color="auto"/>
                    <w:bottom w:val="none" w:sz="0" w:space="0" w:color="auto"/>
                    <w:right w:val="none" w:sz="0" w:space="0" w:color="auto"/>
                  </w:divBdr>
                </w:div>
                <w:div w:id="1484617786">
                  <w:marLeft w:val="0"/>
                  <w:marRight w:val="0"/>
                  <w:marTop w:val="0"/>
                  <w:marBottom w:val="0"/>
                  <w:divBdr>
                    <w:top w:val="none" w:sz="0" w:space="0" w:color="auto"/>
                    <w:left w:val="none" w:sz="0" w:space="0" w:color="auto"/>
                    <w:bottom w:val="none" w:sz="0" w:space="0" w:color="auto"/>
                    <w:right w:val="none" w:sz="0" w:space="0" w:color="auto"/>
                  </w:divBdr>
                </w:div>
                <w:div w:id="1493449300">
                  <w:marLeft w:val="0"/>
                  <w:marRight w:val="0"/>
                  <w:marTop w:val="0"/>
                  <w:marBottom w:val="0"/>
                  <w:divBdr>
                    <w:top w:val="none" w:sz="0" w:space="0" w:color="auto"/>
                    <w:left w:val="none" w:sz="0" w:space="0" w:color="auto"/>
                    <w:bottom w:val="none" w:sz="0" w:space="0" w:color="auto"/>
                    <w:right w:val="none" w:sz="0" w:space="0" w:color="auto"/>
                  </w:divBdr>
                </w:div>
                <w:div w:id="1580824153">
                  <w:marLeft w:val="0"/>
                  <w:marRight w:val="0"/>
                  <w:marTop w:val="0"/>
                  <w:marBottom w:val="0"/>
                  <w:divBdr>
                    <w:top w:val="none" w:sz="0" w:space="0" w:color="auto"/>
                    <w:left w:val="none" w:sz="0" w:space="0" w:color="auto"/>
                    <w:bottom w:val="none" w:sz="0" w:space="0" w:color="auto"/>
                    <w:right w:val="none" w:sz="0" w:space="0" w:color="auto"/>
                  </w:divBdr>
                </w:div>
                <w:div w:id="1582177158">
                  <w:marLeft w:val="0"/>
                  <w:marRight w:val="0"/>
                  <w:marTop w:val="0"/>
                  <w:marBottom w:val="0"/>
                  <w:divBdr>
                    <w:top w:val="none" w:sz="0" w:space="0" w:color="auto"/>
                    <w:left w:val="none" w:sz="0" w:space="0" w:color="auto"/>
                    <w:bottom w:val="none" w:sz="0" w:space="0" w:color="auto"/>
                    <w:right w:val="none" w:sz="0" w:space="0" w:color="auto"/>
                  </w:divBdr>
                </w:div>
                <w:div w:id="1605920640">
                  <w:marLeft w:val="0"/>
                  <w:marRight w:val="0"/>
                  <w:marTop w:val="0"/>
                  <w:marBottom w:val="0"/>
                  <w:divBdr>
                    <w:top w:val="none" w:sz="0" w:space="0" w:color="auto"/>
                    <w:left w:val="none" w:sz="0" w:space="0" w:color="auto"/>
                    <w:bottom w:val="none" w:sz="0" w:space="0" w:color="auto"/>
                    <w:right w:val="none" w:sz="0" w:space="0" w:color="auto"/>
                  </w:divBdr>
                </w:div>
                <w:div w:id="1615282143">
                  <w:marLeft w:val="0"/>
                  <w:marRight w:val="0"/>
                  <w:marTop w:val="0"/>
                  <w:marBottom w:val="0"/>
                  <w:divBdr>
                    <w:top w:val="none" w:sz="0" w:space="0" w:color="auto"/>
                    <w:left w:val="none" w:sz="0" w:space="0" w:color="auto"/>
                    <w:bottom w:val="none" w:sz="0" w:space="0" w:color="auto"/>
                    <w:right w:val="none" w:sz="0" w:space="0" w:color="auto"/>
                  </w:divBdr>
                </w:div>
                <w:div w:id="1615867515">
                  <w:marLeft w:val="0"/>
                  <w:marRight w:val="0"/>
                  <w:marTop w:val="0"/>
                  <w:marBottom w:val="0"/>
                  <w:divBdr>
                    <w:top w:val="none" w:sz="0" w:space="0" w:color="auto"/>
                    <w:left w:val="none" w:sz="0" w:space="0" w:color="auto"/>
                    <w:bottom w:val="none" w:sz="0" w:space="0" w:color="auto"/>
                    <w:right w:val="none" w:sz="0" w:space="0" w:color="auto"/>
                  </w:divBdr>
                </w:div>
                <w:div w:id="1631590021">
                  <w:marLeft w:val="0"/>
                  <w:marRight w:val="0"/>
                  <w:marTop w:val="0"/>
                  <w:marBottom w:val="0"/>
                  <w:divBdr>
                    <w:top w:val="none" w:sz="0" w:space="0" w:color="auto"/>
                    <w:left w:val="none" w:sz="0" w:space="0" w:color="auto"/>
                    <w:bottom w:val="none" w:sz="0" w:space="0" w:color="auto"/>
                    <w:right w:val="none" w:sz="0" w:space="0" w:color="auto"/>
                  </w:divBdr>
                </w:div>
                <w:div w:id="1653098816">
                  <w:marLeft w:val="0"/>
                  <w:marRight w:val="0"/>
                  <w:marTop w:val="0"/>
                  <w:marBottom w:val="0"/>
                  <w:divBdr>
                    <w:top w:val="none" w:sz="0" w:space="0" w:color="auto"/>
                    <w:left w:val="none" w:sz="0" w:space="0" w:color="auto"/>
                    <w:bottom w:val="none" w:sz="0" w:space="0" w:color="auto"/>
                    <w:right w:val="none" w:sz="0" w:space="0" w:color="auto"/>
                  </w:divBdr>
                </w:div>
                <w:div w:id="1662078023">
                  <w:marLeft w:val="0"/>
                  <w:marRight w:val="0"/>
                  <w:marTop w:val="0"/>
                  <w:marBottom w:val="0"/>
                  <w:divBdr>
                    <w:top w:val="none" w:sz="0" w:space="0" w:color="auto"/>
                    <w:left w:val="none" w:sz="0" w:space="0" w:color="auto"/>
                    <w:bottom w:val="none" w:sz="0" w:space="0" w:color="auto"/>
                    <w:right w:val="none" w:sz="0" w:space="0" w:color="auto"/>
                  </w:divBdr>
                </w:div>
                <w:div w:id="1678118269">
                  <w:marLeft w:val="0"/>
                  <w:marRight w:val="0"/>
                  <w:marTop w:val="0"/>
                  <w:marBottom w:val="0"/>
                  <w:divBdr>
                    <w:top w:val="none" w:sz="0" w:space="0" w:color="auto"/>
                    <w:left w:val="none" w:sz="0" w:space="0" w:color="auto"/>
                    <w:bottom w:val="none" w:sz="0" w:space="0" w:color="auto"/>
                    <w:right w:val="none" w:sz="0" w:space="0" w:color="auto"/>
                  </w:divBdr>
                </w:div>
                <w:div w:id="1686981722">
                  <w:marLeft w:val="0"/>
                  <w:marRight w:val="0"/>
                  <w:marTop w:val="0"/>
                  <w:marBottom w:val="0"/>
                  <w:divBdr>
                    <w:top w:val="none" w:sz="0" w:space="0" w:color="auto"/>
                    <w:left w:val="none" w:sz="0" w:space="0" w:color="auto"/>
                    <w:bottom w:val="none" w:sz="0" w:space="0" w:color="auto"/>
                    <w:right w:val="none" w:sz="0" w:space="0" w:color="auto"/>
                  </w:divBdr>
                </w:div>
                <w:div w:id="1727610399">
                  <w:marLeft w:val="0"/>
                  <w:marRight w:val="0"/>
                  <w:marTop w:val="0"/>
                  <w:marBottom w:val="0"/>
                  <w:divBdr>
                    <w:top w:val="none" w:sz="0" w:space="0" w:color="auto"/>
                    <w:left w:val="none" w:sz="0" w:space="0" w:color="auto"/>
                    <w:bottom w:val="none" w:sz="0" w:space="0" w:color="auto"/>
                    <w:right w:val="none" w:sz="0" w:space="0" w:color="auto"/>
                  </w:divBdr>
                </w:div>
                <w:div w:id="1743749033">
                  <w:marLeft w:val="0"/>
                  <w:marRight w:val="0"/>
                  <w:marTop w:val="0"/>
                  <w:marBottom w:val="0"/>
                  <w:divBdr>
                    <w:top w:val="none" w:sz="0" w:space="0" w:color="auto"/>
                    <w:left w:val="none" w:sz="0" w:space="0" w:color="auto"/>
                    <w:bottom w:val="none" w:sz="0" w:space="0" w:color="auto"/>
                    <w:right w:val="none" w:sz="0" w:space="0" w:color="auto"/>
                  </w:divBdr>
                </w:div>
                <w:div w:id="1806701533">
                  <w:marLeft w:val="0"/>
                  <w:marRight w:val="0"/>
                  <w:marTop w:val="0"/>
                  <w:marBottom w:val="0"/>
                  <w:divBdr>
                    <w:top w:val="none" w:sz="0" w:space="0" w:color="auto"/>
                    <w:left w:val="none" w:sz="0" w:space="0" w:color="auto"/>
                    <w:bottom w:val="none" w:sz="0" w:space="0" w:color="auto"/>
                    <w:right w:val="none" w:sz="0" w:space="0" w:color="auto"/>
                  </w:divBdr>
                </w:div>
                <w:div w:id="1840585057">
                  <w:marLeft w:val="0"/>
                  <w:marRight w:val="0"/>
                  <w:marTop w:val="0"/>
                  <w:marBottom w:val="0"/>
                  <w:divBdr>
                    <w:top w:val="none" w:sz="0" w:space="0" w:color="auto"/>
                    <w:left w:val="none" w:sz="0" w:space="0" w:color="auto"/>
                    <w:bottom w:val="none" w:sz="0" w:space="0" w:color="auto"/>
                    <w:right w:val="none" w:sz="0" w:space="0" w:color="auto"/>
                  </w:divBdr>
                </w:div>
                <w:div w:id="1878466224">
                  <w:marLeft w:val="0"/>
                  <w:marRight w:val="0"/>
                  <w:marTop w:val="0"/>
                  <w:marBottom w:val="0"/>
                  <w:divBdr>
                    <w:top w:val="none" w:sz="0" w:space="0" w:color="auto"/>
                    <w:left w:val="none" w:sz="0" w:space="0" w:color="auto"/>
                    <w:bottom w:val="none" w:sz="0" w:space="0" w:color="auto"/>
                    <w:right w:val="none" w:sz="0" w:space="0" w:color="auto"/>
                  </w:divBdr>
                </w:div>
                <w:div w:id="1917935937">
                  <w:marLeft w:val="0"/>
                  <w:marRight w:val="0"/>
                  <w:marTop w:val="0"/>
                  <w:marBottom w:val="0"/>
                  <w:divBdr>
                    <w:top w:val="none" w:sz="0" w:space="0" w:color="auto"/>
                    <w:left w:val="none" w:sz="0" w:space="0" w:color="auto"/>
                    <w:bottom w:val="none" w:sz="0" w:space="0" w:color="auto"/>
                    <w:right w:val="none" w:sz="0" w:space="0" w:color="auto"/>
                  </w:divBdr>
                </w:div>
                <w:div w:id="2067558186">
                  <w:marLeft w:val="0"/>
                  <w:marRight w:val="0"/>
                  <w:marTop w:val="0"/>
                  <w:marBottom w:val="0"/>
                  <w:divBdr>
                    <w:top w:val="none" w:sz="0" w:space="0" w:color="auto"/>
                    <w:left w:val="none" w:sz="0" w:space="0" w:color="auto"/>
                    <w:bottom w:val="none" w:sz="0" w:space="0" w:color="auto"/>
                    <w:right w:val="none" w:sz="0" w:space="0" w:color="auto"/>
                  </w:divBdr>
                </w:div>
                <w:div w:id="2071927913">
                  <w:marLeft w:val="0"/>
                  <w:marRight w:val="0"/>
                  <w:marTop w:val="0"/>
                  <w:marBottom w:val="0"/>
                  <w:divBdr>
                    <w:top w:val="none" w:sz="0" w:space="0" w:color="auto"/>
                    <w:left w:val="none" w:sz="0" w:space="0" w:color="auto"/>
                    <w:bottom w:val="none" w:sz="0" w:space="0" w:color="auto"/>
                    <w:right w:val="none" w:sz="0" w:space="0" w:color="auto"/>
                  </w:divBdr>
                </w:div>
                <w:div w:id="2096124096">
                  <w:marLeft w:val="0"/>
                  <w:marRight w:val="0"/>
                  <w:marTop w:val="0"/>
                  <w:marBottom w:val="0"/>
                  <w:divBdr>
                    <w:top w:val="none" w:sz="0" w:space="0" w:color="auto"/>
                    <w:left w:val="none" w:sz="0" w:space="0" w:color="auto"/>
                    <w:bottom w:val="none" w:sz="0" w:space="0" w:color="auto"/>
                    <w:right w:val="none" w:sz="0" w:space="0" w:color="auto"/>
                  </w:divBdr>
                </w:div>
                <w:div w:id="2101095866">
                  <w:marLeft w:val="0"/>
                  <w:marRight w:val="0"/>
                  <w:marTop w:val="0"/>
                  <w:marBottom w:val="0"/>
                  <w:divBdr>
                    <w:top w:val="none" w:sz="0" w:space="0" w:color="auto"/>
                    <w:left w:val="none" w:sz="0" w:space="0" w:color="auto"/>
                    <w:bottom w:val="none" w:sz="0" w:space="0" w:color="auto"/>
                    <w:right w:val="none" w:sz="0" w:space="0" w:color="auto"/>
                  </w:divBdr>
                </w:div>
                <w:div w:id="212219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2418">
          <w:marLeft w:val="0"/>
          <w:marRight w:val="0"/>
          <w:marTop w:val="0"/>
          <w:marBottom w:val="0"/>
          <w:divBdr>
            <w:top w:val="none" w:sz="0" w:space="0" w:color="auto"/>
            <w:left w:val="none" w:sz="0" w:space="0" w:color="auto"/>
            <w:bottom w:val="none" w:sz="0" w:space="0" w:color="auto"/>
            <w:right w:val="none" w:sz="0" w:space="0" w:color="auto"/>
          </w:divBdr>
        </w:div>
        <w:div w:id="675813345">
          <w:marLeft w:val="0"/>
          <w:marRight w:val="0"/>
          <w:marTop w:val="0"/>
          <w:marBottom w:val="0"/>
          <w:divBdr>
            <w:top w:val="none" w:sz="0" w:space="0" w:color="auto"/>
            <w:left w:val="none" w:sz="0" w:space="0" w:color="auto"/>
            <w:bottom w:val="none" w:sz="0" w:space="0" w:color="auto"/>
            <w:right w:val="none" w:sz="0" w:space="0" w:color="auto"/>
          </w:divBdr>
        </w:div>
        <w:div w:id="678391669">
          <w:marLeft w:val="0"/>
          <w:marRight w:val="0"/>
          <w:marTop w:val="0"/>
          <w:marBottom w:val="0"/>
          <w:divBdr>
            <w:top w:val="none" w:sz="0" w:space="0" w:color="auto"/>
            <w:left w:val="none" w:sz="0" w:space="0" w:color="auto"/>
            <w:bottom w:val="none" w:sz="0" w:space="0" w:color="auto"/>
            <w:right w:val="none" w:sz="0" w:space="0" w:color="auto"/>
          </w:divBdr>
        </w:div>
        <w:div w:id="687369722">
          <w:marLeft w:val="0"/>
          <w:marRight w:val="0"/>
          <w:marTop w:val="0"/>
          <w:marBottom w:val="0"/>
          <w:divBdr>
            <w:top w:val="none" w:sz="0" w:space="0" w:color="auto"/>
            <w:left w:val="none" w:sz="0" w:space="0" w:color="auto"/>
            <w:bottom w:val="none" w:sz="0" w:space="0" w:color="auto"/>
            <w:right w:val="none" w:sz="0" w:space="0" w:color="auto"/>
          </w:divBdr>
        </w:div>
        <w:div w:id="701319894">
          <w:marLeft w:val="0"/>
          <w:marRight w:val="0"/>
          <w:marTop w:val="0"/>
          <w:marBottom w:val="0"/>
          <w:divBdr>
            <w:top w:val="none" w:sz="0" w:space="0" w:color="auto"/>
            <w:left w:val="none" w:sz="0" w:space="0" w:color="auto"/>
            <w:bottom w:val="none" w:sz="0" w:space="0" w:color="auto"/>
            <w:right w:val="none" w:sz="0" w:space="0" w:color="auto"/>
          </w:divBdr>
        </w:div>
        <w:div w:id="704452044">
          <w:marLeft w:val="0"/>
          <w:marRight w:val="0"/>
          <w:marTop w:val="0"/>
          <w:marBottom w:val="0"/>
          <w:divBdr>
            <w:top w:val="none" w:sz="0" w:space="0" w:color="auto"/>
            <w:left w:val="none" w:sz="0" w:space="0" w:color="auto"/>
            <w:bottom w:val="none" w:sz="0" w:space="0" w:color="auto"/>
            <w:right w:val="none" w:sz="0" w:space="0" w:color="auto"/>
          </w:divBdr>
        </w:div>
        <w:div w:id="713771139">
          <w:marLeft w:val="0"/>
          <w:marRight w:val="0"/>
          <w:marTop w:val="0"/>
          <w:marBottom w:val="0"/>
          <w:divBdr>
            <w:top w:val="none" w:sz="0" w:space="0" w:color="auto"/>
            <w:left w:val="none" w:sz="0" w:space="0" w:color="auto"/>
            <w:bottom w:val="none" w:sz="0" w:space="0" w:color="auto"/>
            <w:right w:val="none" w:sz="0" w:space="0" w:color="auto"/>
          </w:divBdr>
        </w:div>
        <w:div w:id="764038571">
          <w:marLeft w:val="0"/>
          <w:marRight w:val="0"/>
          <w:marTop w:val="0"/>
          <w:marBottom w:val="0"/>
          <w:divBdr>
            <w:top w:val="none" w:sz="0" w:space="0" w:color="auto"/>
            <w:left w:val="none" w:sz="0" w:space="0" w:color="auto"/>
            <w:bottom w:val="none" w:sz="0" w:space="0" w:color="auto"/>
            <w:right w:val="none" w:sz="0" w:space="0" w:color="auto"/>
          </w:divBdr>
        </w:div>
        <w:div w:id="767429498">
          <w:marLeft w:val="0"/>
          <w:marRight w:val="0"/>
          <w:marTop w:val="0"/>
          <w:marBottom w:val="0"/>
          <w:divBdr>
            <w:top w:val="none" w:sz="0" w:space="0" w:color="auto"/>
            <w:left w:val="none" w:sz="0" w:space="0" w:color="auto"/>
            <w:bottom w:val="none" w:sz="0" w:space="0" w:color="auto"/>
            <w:right w:val="none" w:sz="0" w:space="0" w:color="auto"/>
          </w:divBdr>
        </w:div>
        <w:div w:id="768891233">
          <w:marLeft w:val="0"/>
          <w:marRight w:val="0"/>
          <w:marTop w:val="0"/>
          <w:marBottom w:val="0"/>
          <w:divBdr>
            <w:top w:val="none" w:sz="0" w:space="0" w:color="auto"/>
            <w:left w:val="none" w:sz="0" w:space="0" w:color="auto"/>
            <w:bottom w:val="none" w:sz="0" w:space="0" w:color="auto"/>
            <w:right w:val="none" w:sz="0" w:space="0" w:color="auto"/>
          </w:divBdr>
        </w:div>
        <w:div w:id="791051828">
          <w:marLeft w:val="0"/>
          <w:marRight w:val="0"/>
          <w:marTop w:val="0"/>
          <w:marBottom w:val="0"/>
          <w:divBdr>
            <w:top w:val="none" w:sz="0" w:space="0" w:color="auto"/>
            <w:left w:val="none" w:sz="0" w:space="0" w:color="auto"/>
            <w:bottom w:val="none" w:sz="0" w:space="0" w:color="auto"/>
            <w:right w:val="none" w:sz="0" w:space="0" w:color="auto"/>
          </w:divBdr>
        </w:div>
        <w:div w:id="800802174">
          <w:marLeft w:val="0"/>
          <w:marRight w:val="0"/>
          <w:marTop w:val="0"/>
          <w:marBottom w:val="0"/>
          <w:divBdr>
            <w:top w:val="none" w:sz="0" w:space="0" w:color="auto"/>
            <w:left w:val="none" w:sz="0" w:space="0" w:color="auto"/>
            <w:bottom w:val="none" w:sz="0" w:space="0" w:color="auto"/>
            <w:right w:val="none" w:sz="0" w:space="0" w:color="auto"/>
          </w:divBdr>
        </w:div>
        <w:div w:id="807431757">
          <w:marLeft w:val="-75"/>
          <w:marRight w:val="0"/>
          <w:marTop w:val="30"/>
          <w:marBottom w:val="30"/>
          <w:divBdr>
            <w:top w:val="none" w:sz="0" w:space="0" w:color="auto"/>
            <w:left w:val="none" w:sz="0" w:space="0" w:color="auto"/>
            <w:bottom w:val="none" w:sz="0" w:space="0" w:color="auto"/>
            <w:right w:val="none" w:sz="0" w:space="0" w:color="auto"/>
          </w:divBdr>
          <w:divsChild>
            <w:div w:id="8408998">
              <w:marLeft w:val="0"/>
              <w:marRight w:val="0"/>
              <w:marTop w:val="0"/>
              <w:marBottom w:val="0"/>
              <w:divBdr>
                <w:top w:val="none" w:sz="0" w:space="0" w:color="auto"/>
                <w:left w:val="none" w:sz="0" w:space="0" w:color="auto"/>
                <w:bottom w:val="none" w:sz="0" w:space="0" w:color="auto"/>
                <w:right w:val="none" w:sz="0" w:space="0" w:color="auto"/>
              </w:divBdr>
              <w:divsChild>
                <w:div w:id="2117828560">
                  <w:marLeft w:val="0"/>
                  <w:marRight w:val="0"/>
                  <w:marTop w:val="0"/>
                  <w:marBottom w:val="0"/>
                  <w:divBdr>
                    <w:top w:val="none" w:sz="0" w:space="0" w:color="auto"/>
                    <w:left w:val="none" w:sz="0" w:space="0" w:color="auto"/>
                    <w:bottom w:val="none" w:sz="0" w:space="0" w:color="auto"/>
                    <w:right w:val="none" w:sz="0" w:space="0" w:color="auto"/>
                  </w:divBdr>
                </w:div>
              </w:divsChild>
            </w:div>
            <w:div w:id="110705166">
              <w:marLeft w:val="0"/>
              <w:marRight w:val="0"/>
              <w:marTop w:val="0"/>
              <w:marBottom w:val="0"/>
              <w:divBdr>
                <w:top w:val="none" w:sz="0" w:space="0" w:color="auto"/>
                <w:left w:val="none" w:sz="0" w:space="0" w:color="auto"/>
                <w:bottom w:val="none" w:sz="0" w:space="0" w:color="auto"/>
                <w:right w:val="none" w:sz="0" w:space="0" w:color="auto"/>
              </w:divBdr>
              <w:divsChild>
                <w:div w:id="1314291534">
                  <w:marLeft w:val="0"/>
                  <w:marRight w:val="0"/>
                  <w:marTop w:val="0"/>
                  <w:marBottom w:val="0"/>
                  <w:divBdr>
                    <w:top w:val="none" w:sz="0" w:space="0" w:color="auto"/>
                    <w:left w:val="none" w:sz="0" w:space="0" w:color="auto"/>
                    <w:bottom w:val="none" w:sz="0" w:space="0" w:color="auto"/>
                    <w:right w:val="none" w:sz="0" w:space="0" w:color="auto"/>
                  </w:divBdr>
                </w:div>
              </w:divsChild>
            </w:div>
            <w:div w:id="292642468">
              <w:marLeft w:val="0"/>
              <w:marRight w:val="0"/>
              <w:marTop w:val="0"/>
              <w:marBottom w:val="0"/>
              <w:divBdr>
                <w:top w:val="none" w:sz="0" w:space="0" w:color="auto"/>
                <w:left w:val="none" w:sz="0" w:space="0" w:color="auto"/>
                <w:bottom w:val="none" w:sz="0" w:space="0" w:color="auto"/>
                <w:right w:val="none" w:sz="0" w:space="0" w:color="auto"/>
              </w:divBdr>
              <w:divsChild>
                <w:div w:id="897202494">
                  <w:marLeft w:val="0"/>
                  <w:marRight w:val="0"/>
                  <w:marTop w:val="0"/>
                  <w:marBottom w:val="0"/>
                  <w:divBdr>
                    <w:top w:val="none" w:sz="0" w:space="0" w:color="auto"/>
                    <w:left w:val="none" w:sz="0" w:space="0" w:color="auto"/>
                    <w:bottom w:val="none" w:sz="0" w:space="0" w:color="auto"/>
                    <w:right w:val="none" w:sz="0" w:space="0" w:color="auto"/>
                  </w:divBdr>
                </w:div>
              </w:divsChild>
            </w:div>
            <w:div w:id="363485203">
              <w:marLeft w:val="0"/>
              <w:marRight w:val="0"/>
              <w:marTop w:val="0"/>
              <w:marBottom w:val="0"/>
              <w:divBdr>
                <w:top w:val="none" w:sz="0" w:space="0" w:color="auto"/>
                <w:left w:val="none" w:sz="0" w:space="0" w:color="auto"/>
                <w:bottom w:val="none" w:sz="0" w:space="0" w:color="auto"/>
                <w:right w:val="none" w:sz="0" w:space="0" w:color="auto"/>
              </w:divBdr>
              <w:divsChild>
                <w:div w:id="1170949662">
                  <w:marLeft w:val="0"/>
                  <w:marRight w:val="0"/>
                  <w:marTop w:val="0"/>
                  <w:marBottom w:val="0"/>
                  <w:divBdr>
                    <w:top w:val="none" w:sz="0" w:space="0" w:color="auto"/>
                    <w:left w:val="none" w:sz="0" w:space="0" w:color="auto"/>
                    <w:bottom w:val="none" w:sz="0" w:space="0" w:color="auto"/>
                    <w:right w:val="none" w:sz="0" w:space="0" w:color="auto"/>
                  </w:divBdr>
                </w:div>
              </w:divsChild>
            </w:div>
            <w:div w:id="501900102">
              <w:marLeft w:val="0"/>
              <w:marRight w:val="0"/>
              <w:marTop w:val="0"/>
              <w:marBottom w:val="0"/>
              <w:divBdr>
                <w:top w:val="none" w:sz="0" w:space="0" w:color="auto"/>
                <w:left w:val="none" w:sz="0" w:space="0" w:color="auto"/>
                <w:bottom w:val="none" w:sz="0" w:space="0" w:color="auto"/>
                <w:right w:val="none" w:sz="0" w:space="0" w:color="auto"/>
              </w:divBdr>
              <w:divsChild>
                <w:div w:id="1063649387">
                  <w:marLeft w:val="0"/>
                  <w:marRight w:val="0"/>
                  <w:marTop w:val="0"/>
                  <w:marBottom w:val="0"/>
                  <w:divBdr>
                    <w:top w:val="none" w:sz="0" w:space="0" w:color="auto"/>
                    <w:left w:val="none" w:sz="0" w:space="0" w:color="auto"/>
                    <w:bottom w:val="none" w:sz="0" w:space="0" w:color="auto"/>
                    <w:right w:val="none" w:sz="0" w:space="0" w:color="auto"/>
                  </w:divBdr>
                </w:div>
              </w:divsChild>
            </w:div>
            <w:div w:id="581909144">
              <w:marLeft w:val="0"/>
              <w:marRight w:val="0"/>
              <w:marTop w:val="0"/>
              <w:marBottom w:val="0"/>
              <w:divBdr>
                <w:top w:val="none" w:sz="0" w:space="0" w:color="auto"/>
                <w:left w:val="none" w:sz="0" w:space="0" w:color="auto"/>
                <w:bottom w:val="none" w:sz="0" w:space="0" w:color="auto"/>
                <w:right w:val="none" w:sz="0" w:space="0" w:color="auto"/>
              </w:divBdr>
              <w:divsChild>
                <w:div w:id="1456945620">
                  <w:marLeft w:val="0"/>
                  <w:marRight w:val="0"/>
                  <w:marTop w:val="0"/>
                  <w:marBottom w:val="0"/>
                  <w:divBdr>
                    <w:top w:val="none" w:sz="0" w:space="0" w:color="auto"/>
                    <w:left w:val="none" w:sz="0" w:space="0" w:color="auto"/>
                    <w:bottom w:val="none" w:sz="0" w:space="0" w:color="auto"/>
                    <w:right w:val="none" w:sz="0" w:space="0" w:color="auto"/>
                  </w:divBdr>
                </w:div>
              </w:divsChild>
            </w:div>
            <w:div w:id="624963837">
              <w:marLeft w:val="0"/>
              <w:marRight w:val="0"/>
              <w:marTop w:val="0"/>
              <w:marBottom w:val="0"/>
              <w:divBdr>
                <w:top w:val="none" w:sz="0" w:space="0" w:color="auto"/>
                <w:left w:val="none" w:sz="0" w:space="0" w:color="auto"/>
                <w:bottom w:val="none" w:sz="0" w:space="0" w:color="auto"/>
                <w:right w:val="none" w:sz="0" w:space="0" w:color="auto"/>
              </w:divBdr>
              <w:divsChild>
                <w:div w:id="1527209014">
                  <w:marLeft w:val="0"/>
                  <w:marRight w:val="0"/>
                  <w:marTop w:val="0"/>
                  <w:marBottom w:val="0"/>
                  <w:divBdr>
                    <w:top w:val="none" w:sz="0" w:space="0" w:color="auto"/>
                    <w:left w:val="none" w:sz="0" w:space="0" w:color="auto"/>
                    <w:bottom w:val="none" w:sz="0" w:space="0" w:color="auto"/>
                    <w:right w:val="none" w:sz="0" w:space="0" w:color="auto"/>
                  </w:divBdr>
                </w:div>
              </w:divsChild>
            </w:div>
            <w:div w:id="635572267">
              <w:marLeft w:val="0"/>
              <w:marRight w:val="0"/>
              <w:marTop w:val="0"/>
              <w:marBottom w:val="0"/>
              <w:divBdr>
                <w:top w:val="none" w:sz="0" w:space="0" w:color="auto"/>
                <w:left w:val="none" w:sz="0" w:space="0" w:color="auto"/>
                <w:bottom w:val="none" w:sz="0" w:space="0" w:color="auto"/>
                <w:right w:val="none" w:sz="0" w:space="0" w:color="auto"/>
              </w:divBdr>
              <w:divsChild>
                <w:div w:id="740445801">
                  <w:marLeft w:val="0"/>
                  <w:marRight w:val="0"/>
                  <w:marTop w:val="0"/>
                  <w:marBottom w:val="0"/>
                  <w:divBdr>
                    <w:top w:val="none" w:sz="0" w:space="0" w:color="auto"/>
                    <w:left w:val="none" w:sz="0" w:space="0" w:color="auto"/>
                    <w:bottom w:val="none" w:sz="0" w:space="0" w:color="auto"/>
                    <w:right w:val="none" w:sz="0" w:space="0" w:color="auto"/>
                  </w:divBdr>
                </w:div>
              </w:divsChild>
            </w:div>
            <w:div w:id="888492086">
              <w:marLeft w:val="0"/>
              <w:marRight w:val="0"/>
              <w:marTop w:val="0"/>
              <w:marBottom w:val="0"/>
              <w:divBdr>
                <w:top w:val="none" w:sz="0" w:space="0" w:color="auto"/>
                <w:left w:val="none" w:sz="0" w:space="0" w:color="auto"/>
                <w:bottom w:val="none" w:sz="0" w:space="0" w:color="auto"/>
                <w:right w:val="none" w:sz="0" w:space="0" w:color="auto"/>
              </w:divBdr>
              <w:divsChild>
                <w:div w:id="1106342274">
                  <w:marLeft w:val="0"/>
                  <w:marRight w:val="0"/>
                  <w:marTop w:val="0"/>
                  <w:marBottom w:val="0"/>
                  <w:divBdr>
                    <w:top w:val="none" w:sz="0" w:space="0" w:color="auto"/>
                    <w:left w:val="none" w:sz="0" w:space="0" w:color="auto"/>
                    <w:bottom w:val="none" w:sz="0" w:space="0" w:color="auto"/>
                    <w:right w:val="none" w:sz="0" w:space="0" w:color="auto"/>
                  </w:divBdr>
                </w:div>
              </w:divsChild>
            </w:div>
            <w:div w:id="1024408481">
              <w:marLeft w:val="0"/>
              <w:marRight w:val="0"/>
              <w:marTop w:val="0"/>
              <w:marBottom w:val="0"/>
              <w:divBdr>
                <w:top w:val="none" w:sz="0" w:space="0" w:color="auto"/>
                <w:left w:val="none" w:sz="0" w:space="0" w:color="auto"/>
                <w:bottom w:val="none" w:sz="0" w:space="0" w:color="auto"/>
                <w:right w:val="none" w:sz="0" w:space="0" w:color="auto"/>
              </w:divBdr>
              <w:divsChild>
                <w:div w:id="1452284244">
                  <w:marLeft w:val="0"/>
                  <w:marRight w:val="0"/>
                  <w:marTop w:val="0"/>
                  <w:marBottom w:val="0"/>
                  <w:divBdr>
                    <w:top w:val="none" w:sz="0" w:space="0" w:color="auto"/>
                    <w:left w:val="none" w:sz="0" w:space="0" w:color="auto"/>
                    <w:bottom w:val="none" w:sz="0" w:space="0" w:color="auto"/>
                    <w:right w:val="none" w:sz="0" w:space="0" w:color="auto"/>
                  </w:divBdr>
                </w:div>
              </w:divsChild>
            </w:div>
            <w:div w:id="1077941745">
              <w:marLeft w:val="0"/>
              <w:marRight w:val="0"/>
              <w:marTop w:val="0"/>
              <w:marBottom w:val="0"/>
              <w:divBdr>
                <w:top w:val="none" w:sz="0" w:space="0" w:color="auto"/>
                <w:left w:val="none" w:sz="0" w:space="0" w:color="auto"/>
                <w:bottom w:val="none" w:sz="0" w:space="0" w:color="auto"/>
                <w:right w:val="none" w:sz="0" w:space="0" w:color="auto"/>
              </w:divBdr>
              <w:divsChild>
                <w:div w:id="920941831">
                  <w:marLeft w:val="0"/>
                  <w:marRight w:val="0"/>
                  <w:marTop w:val="0"/>
                  <w:marBottom w:val="0"/>
                  <w:divBdr>
                    <w:top w:val="none" w:sz="0" w:space="0" w:color="auto"/>
                    <w:left w:val="none" w:sz="0" w:space="0" w:color="auto"/>
                    <w:bottom w:val="none" w:sz="0" w:space="0" w:color="auto"/>
                    <w:right w:val="none" w:sz="0" w:space="0" w:color="auto"/>
                  </w:divBdr>
                </w:div>
              </w:divsChild>
            </w:div>
            <w:div w:id="1132284902">
              <w:marLeft w:val="0"/>
              <w:marRight w:val="0"/>
              <w:marTop w:val="0"/>
              <w:marBottom w:val="0"/>
              <w:divBdr>
                <w:top w:val="none" w:sz="0" w:space="0" w:color="auto"/>
                <w:left w:val="none" w:sz="0" w:space="0" w:color="auto"/>
                <w:bottom w:val="none" w:sz="0" w:space="0" w:color="auto"/>
                <w:right w:val="none" w:sz="0" w:space="0" w:color="auto"/>
              </w:divBdr>
              <w:divsChild>
                <w:div w:id="562836939">
                  <w:marLeft w:val="0"/>
                  <w:marRight w:val="0"/>
                  <w:marTop w:val="0"/>
                  <w:marBottom w:val="0"/>
                  <w:divBdr>
                    <w:top w:val="none" w:sz="0" w:space="0" w:color="auto"/>
                    <w:left w:val="none" w:sz="0" w:space="0" w:color="auto"/>
                    <w:bottom w:val="none" w:sz="0" w:space="0" w:color="auto"/>
                    <w:right w:val="none" w:sz="0" w:space="0" w:color="auto"/>
                  </w:divBdr>
                </w:div>
              </w:divsChild>
            </w:div>
            <w:div w:id="1178428262">
              <w:marLeft w:val="0"/>
              <w:marRight w:val="0"/>
              <w:marTop w:val="0"/>
              <w:marBottom w:val="0"/>
              <w:divBdr>
                <w:top w:val="none" w:sz="0" w:space="0" w:color="auto"/>
                <w:left w:val="none" w:sz="0" w:space="0" w:color="auto"/>
                <w:bottom w:val="none" w:sz="0" w:space="0" w:color="auto"/>
                <w:right w:val="none" w:sz="0" w:space="0" w:color="auto"/>
              </w:divBdr>
              <w:divsChild>
                <w:div w:id="588152489">
                  <w:marLeft w:val="0"/>
                  <w:marRight w:val="0"/>
                  <w:marTop w:val="0"/>
                  <w:marBottom w:val="0"/>
                  <w:divBdr>
                    <w:top w:val="none" w:sz="0" w:space="0" w:color="auto"/>
                    <w:left w:val="none" w:sz="0" w:space="0" w:color="auto"/>
                    <w:bottom w:val="none" w:sz="0" w:space="0" w:color="auto"/>
                    <w:right w:val="none" w:sz="0" w:space="0" w:color="auto"/>
                  </w:divBdr>
                </w:div>
              </w:divsChild>
            </w:div>
            <w:div w:id="1225486148">
              <w:marLeft w:val="0"/>
              <w:marRight w:val="0"/>
              <w:marTop w:val="0"/>
              <w:marBottom w:val="0"/>
              <w:divBdr>
                <w:top w:val="none" w:sz="0" w:space="0" w:color="auto"/>
                <w:left w:val="none" w:sz="0" w:space="0" w:color="auto"/>
                <w:bottom w:val="none" w:sz="0" w:space="0" w:color="auto"/>
                <w:right w:val="none" w:sz="0" w:space="0" w:color="auto"/>
              </w:divBdr>
              <w:divsChild>
                <w:div w:id="1090155356">
                  <w:marLeft w:val="0"/>
                  <w:marRight w:val="0"/>
                  <w:marTop w:val="0"/>
                  <w:marBottom w:val="0"/>
                  <w:divBdr>
                    <w:top w:val="none" w:sz="0" w:space="0" w:color="auto"/>
                    <w:left w:val="none" w:sz="0" w:space="0" w:color="auto"/>
                    <w:bottom w:val="none" w:sz="0" w:space="0" w:color="auto"/>
                    <w:right w:val="none" w:sz="0" w:space="0" w:color="auto"/>
                  </w:divBdr>
                </w:div>
              </w:divsChild>
            </w:div>
            <w:div w:id="1249195328">
              <w:marLeft w:val="0"/>
              <w:marRight w:val="0"/>
              <w:marTop w:val="0"/>
              <w:marBottom w:val="0"/>
              <w:divBdr>
                <w:top w:val="none" w:sz="0" w:space="0" w:color="auto"/>
                <w:left w:val="none" w:sz="0" w:space="0" w:color="auto"/>
                <w:bottom w:val="none" w:sz="0" w:space="0" w:color="auto"/>
                <w:right w:val="none" w:sz="0" w:space="0" w:color="auto"/>
              </w:divBdr>
              <w:divsChild>
                <w:div w:id="1894464128">
                  <w:marLeft w:val="0"/>
                  <w:marRight w:val="0"/>
                  <w:marTop w:val="0"/>
                  <w:marBottom w:val="0"/>
                  <w:divBdr>
                    <w:top w:val="none" w:sz="0" w:space="0" w:color="auto"/>
                    <w:left w:val="none" w:sz="0" w:space="0" w:color="auto"/>
                    <w:bottom w:val="none" w:sz="0" w:space="0" w:color="auto"/>
                    <w:right w:val="none" w:sz="0" w:space="0" w:color="auto"/>
                  </w:divBdr>
                </w:div>
              </w:divsChild>
            </w:div>
            <w:div w:id="1269922563">
              <w:marLeft w:val="0"/>
              <w:marRight w:val="0"/>
              <w:marTop w:val="0"/>
              <w:marBottom w:val="0"/>
              <w:divBdr>
                <w:top w:val="none" w:sz="0" w:space="0" w:color="auto"/>
                <w:left w:val="none" w:sz="0" w:space="0" w:color="auto"/>
                <w:bottom w:val="none" w:sz="0" w:space="0" w:color="auto"/>
                <w:right w:val="none" w:sz="0" w:space="0" w:color="auto"/>
              </w:divBdr>
              <w:divsChild>
                <w:div w:id="357316801">
                  <w:marLeft w:val="0"/>
                  <w:marRight w:val="0"/>
                  <w:marTop w:val="0"/>
                  <w:marBottom w:val="0"/>
                  <w:divBdr>
                    <w:top w:val="none" w:sz="0" w:space="0" w:color="auto"/>
                    <w:left w:val="none" w:sz="0" w:space="0" w:color="auto"/>
                    <w:bottom w:val="none" w:sz="0" w:space="0" w:color="auto"/>
                    <w:right w:val="none" w:sz="0" w:space="0" w:color="auto"/>
                  </w:divBdr>
                </w:div>
              </w:divsChild>
            </w:div>
            <w:div w:id="1361318745">
              <w:marLeft w:val="0"/>
              <w:marRight w:val="0"/>
              <w:marTop w:val="0"/>
              <w:marBottom w:val="0"/>
              <w:divBdr>
                <w:top w:val="none" w:sz="0" w:space="0" w:color="auto"/>
                <w:left w:val="none" w:sz="0" w:space="0" w:color="auto"/>
                <w:bottom w:val="none" w:sz="0" w:space="0" w:color="auto"/>
                <w:right w:val="none" w:sz="0" w:space="0" w:color="auto"/>
              </w:divBdr>
              <w:divsChild>
                <w:div w:id="1792749637">
                  <w:marLeft w:val="0"/>
                  <w:marRight w:val="0"/>
                  <w:marTop w:val="0"/>
                  <w:marBottom w:val="0"/>
                  <w:divBdr>
                    <w:top w:val="none" w:sz="0" w:space="0" w:color="auto"/>
                    <w:left w:val="none" w:sz="0" w:space="0" w:color="auto"/>
                    <w:bottom w:val="none" w:sz="0" w:space="0" w:color="auto"/>
                    <w:right w:val="none" w:sz="0" w:space="0" w:color="auto"/>
                  </w:divBdr>
                </w:div>
              </w:divsChild>
            </w:div>
            <w:div w:id="1406419052">
              <w:marLeft w:val="0"/>
              <w:marRight w:val="0"/>
              <w:marTop w:val="0"/>
              <w:marBottom w:val="0"/>
              <w:divBdr>
                <w:top w:val="none" w:sz="0" w:space="0" w:color="auto"/>
                <w:left w:val="none" w:sz="0" w:space="0" w:color="auto"/>
                <w:bottom w:val="none" w:sz="0" w:space="0" w:color="auto"/>
                <w:right w:val="none" w:sz="0" w:space="0" w:color="auto"/>
              </w:divBdr>
              <w:divsChild>
                <w:div w:id="1719157793">
                  <w:marLeft w:val="0"/>
                  <w:marRight w:val="0"/>
                  <w:marTop w:val="0"/>
                  <w:marBottom w:val="0"/>
                  <w:divBdr>
                    <w:top w:val="none" w:sz="0" w:space="0" w:color="auto"/>
                    <w:left w:val="none" w:sz="0" w:space="0" w:color="auto"/>
                    <w:bottom w:val="none" w:sz="0" w:space="0" w:color="auto"/>
                    <w:right w:val="none" w:sz="0" w:space="0" w:color="auto"/>
                  </w:divBdr>
                </w:div>
              </w:divsChild>
            </w:div>
            <w:div w:id="1516384342">
              <w:marLeft w:val="0"/>
              <w:marRight w:val="0"/>
              <w:marTop w:val="0"/>
              <w:marBottom w:val="0"/>
              <w:divBdr>
                <w:top w:val="none" w:sz="0" w:space="0" w:color="auto"/>
                <w:left w:val="none" w:sz="0" w:space="0" w:color="auto"/>
                <w:bottom w:val="none" w:sz="0" w:space="0" w:color="auto"/>
                <w:right w:val="none" w:sz="0" w:space="0" w:color="auto"/>
              </w:divBdr>
              <w:divsChild>
                <w:div w:id="1186141421">
                  <w:marLeft w:val="0"/>
                  <w:marRight w:val="0"/>
                  <w:marTop w:val="0"/>
                  <w:marBottom w:val="0"/>
                  <w:divBdr>
                    <w:top w:val="none" w:sz="0" w:space="0" w:color="auto"/>
                    <w:left w:val="none" w:sz="0" w:space="0" w:color="auto"/>
                    <w:bottom w:val="none" w:sz="0" w:space="0" w:color="auto"/>
                    <w:right w:val="none" w:sz="0" w:space="0" w:color="auto"/>
                  </w:divBdr>
                </w:div>
              </w:divsChild>
            </w:div>
            <w:div w:id="1529175307">
              <w:marLeft w:val="0"/>
              <w:marRight w:val="0"/>
              <w:marTop w:val="0"/>
              <w:marBottom w:val="0"/>
              <w:divBdr>
                <w:top w:val="none" w:sz="0" w:space="0" w:color="auto"/>
                <w:left w:val="none" w:sz="0" w:space="0" w:color="auto"/>
                <w:bottom w:val="none" w:sz="0" w:space="0" w:color="auto"/>
                <w:right w:val="none" w:sz="0" w:space="0" w:color="auto"/>
              </w:divBdr>
              <w:divsChild>
                <w:div w:id="1291395507">
                  <w:marLeft w:val="0"/>
                  <w:marRight w:val="0"/>
                  <w:marTop w:val="0"/>
                  <w:marBottom w:val="0"/>
                  <w:divBdr>
                    <w:top w:val="none" w:sz="0" w:space="0" w:color="auto"/>
                    <w:left w:val="none" w:sz="0" w:space="0" w:color="auto"/>
                    <w:bottom w:val="none" w:sz="0" w:space="0" w:color="auto"/>
                    <w:right w:val="none" w:sz="0" w:space="0" w:color="auto"/>
                  </w:divBdr>
                </w:div>
              </w:divsChild>
            </w:div>
            <w:div w:id="1542282561">
              <w:marLeft w:val="0"/>
              <w:marRight w:val="0"/>
              <w:marTop w:val="0"/>
              <w:marBottom w:val="0"/>
              <w:divBdr>
                <w:top w:val="none" w:sz="0" w:space="0" w:color="auto"/>
                <w:left w:val="none" w:sz="0" w:space="0" w:color="auto"/>
                <w:bottom w:val="none" w:sz="0" w:space="0" w:color="auto"/>
                <w:right w:val="none" w:sz="0" w:space="0" w:color="auto"/>
              </w:divBdr>
              <w:divsChild>
                <w:div w:id="1106196486">
                  <w:marLeft w:val="0"/>
                  <w:marRight w:val="0"/>
                  <w:marTop w:val="0"/>
                  <w:marBottom w:val="0"/>
                  <w:divBdr>
                    <w:top w:val="none" w:sz="0" w:space="0" w:color="auto"/>
                    <w:left w:val="none" w:sz="0" w:space="0" w:color="auto"/>
                    <w:bottom w:val="none" w:sz="0" w:space="0" w:color="auto"/>
                    <w:right w:val="none" w:sz="0" w:space="0" w:color="auto"/>
                  </w:divBdr>
                </w:div>
              </w:divsChild>
            </w:div>
            <w:div w:id="1564028153">
              <w:marLeft w:val="0"/>
              <w:marRight w:val="0"/>
              <w:marTop w:val="0"/>
              <w:marBottom w:val="0"/>
              <w:divBdr>
                <w:top w:val="none" w:sz="0" w:space="0" w:color="auto"/>
                <w:left w:val="none" w:sz="0" w:space="0" w:color="auto"/>
                <w:bottom w:val="none" w:sz="0" w:space="0" w:color="auto"/>
                <w:right w:val="none" w:sz="0" w:space="0" w:color="auto"/>
              </w:divBdr>
              <w:divsChild>
                <w:div w:id="1088037656">
                  <w:marLeft w:val="0"/>
                  <w:marRight w:val="0"/>
                  <w:marTop w:val="0"/>
                  <w:marBottom w:val="0"/>
                  <w:divBdr>
                    <w:top w:val="none" w:sz="0" w:space="0" w:color="auto"/>
                    <w:left w:val="none" w:sz="0" w:space="0" w:color="auto"/>
                    <w:bottom w:val="none" w:sz="0" w:space="0" w:color="auto"/>
                    <w:right w:val="none" w:sz="0" w:space="0" w:color="auto"/>
                  </w:divBdr>
                </w:div>
              </w:divsChild>
            </w:div>
            <w:div w:id="1601597499">
              <w:marLeft w:val="0"/>
              <w:marRight w:val="0"/>
              <w:marTop w:val="0"/>
              <w:marBottom w:val="0"/>
              <w:divBdr>
                <w:top w:val="none" w:sz="0" w:space="0" w:color="auto"/>
                <w:left w:val="none" w:sz="0" w:space="0" w:color="auto"/>
                <w:bottom w:val="none" w:sz="0" w:space="0" w:color="auto"/>
                <w:right w:val="none" w:sz="0" w:space="0" w:color="auto"/>
              </w:divBdr>
              <w:divsChild>
                <w:div w:id="1003509882">
                  <w:marLeft w:val="0"/>
                  <w:marRight w:val="0"/>
                  <w:marTop w:val="0"/>
                  <w:marBottom w:val="0"/>
                  <w:divBdr>
                    <w:top w:val="none" w:sz="0" w:space="0" w:color="auto"/>
                    <w:left w:val="none" w:sz="0" w:space="0" w:color="auto"/>
                    <w:bottom w:val="none" w:sz="0" w:space="0" w:color="auto"/>
                    <w:right w:val="none" w:sz="0" w:space="0" w:color="auto"/>
                  </w:divBdr>
                </w:div>
              </w:divsChild>
            </w:div>
            <w:div w:id="1620798517">
              <w:marLeft w:val="0"/>
              <w:marRight w:val="0"/>
              <w:marTop w:val="0"/>
              <w:marBottom w:val="0"/>
              <w:divBdr>
                <w:top w:val="none" w:sz="0" w:space="0" w:color="auto"/>
                <w:left w:val="none" w:sz="0" w:space="0" w:color="auto"/>
                <w:bottom w:val="none" w:sz="0" w:space="0" w:color="auto"/>
                <w:right w:val="none" w:sz="0" w:space="0" w:color="auto"/>
              </w:divBdr>
              <w:divsChild>
                <w:div w:id="494224798">
                  <w:marLeft w:val="0"/>
                  <w:marRight w:val="0"/>
                  <w:marTop w:val="0"/>
                  <w:marBottom w:val="0"/>
                  <w:divBdr>
                    <w:top w:val="none" w:sz="0" w:space="0" w:color="auto"/>
                    <w:left w:val="none" w:sz="0" w:space="0" w:color="auto"/>
                    <w:bottom w:val="none" w:sz="0" w:space="0" w:color="auto"/>
                    <w:right w:val="none" w:sz="0" w:space="0" w:color="auto"/>
                  </w:divBdr>
                </w:div>
              </w:divsChild>
            </w:div>
            <w:div w:id="1685935197">
              <w:marLeft w:val="0"/>
              <w:marRight w:val="0"/>
              <w:marTop w:val="0"/>
              <w:marBottom w:val="0"/>
              <w:divBdr>
                <w:top w:val="none" w:sz="0" w:space="0" w:color="auto"/>
                <w:left w:val="none" w:sz="0" w:space="0" w:color="auto"/>
                <w:bottom w:val="none" w:sz="0" w:space="0" w:color="auto"/>
                <w:right w:val="none" w:sz="0" w:space="0" w:color="auto"/>
              </w:divBdr>
              <w:divsChild>
                <w:div w:id="1095903878">
                  <w:marLeft w:val="0"/>
                  <w:marRight w:val="0"/>
                  <w:marTop w:val="0"/>
                  <w:marBottom w:val="0"/>
                  <w:divBdr>
                    <w:top w:val="none" w:sz="0" w:space="0" w:color="auto"/>
                    <w:left w:val="none" w:sz="0" w:space="0" w:color="auto"/>
                    <w:bottom w:val="none" w:sz="0" w:space="0" w:color="auto"/>
                    <w:right w:val="none" w:sz="0" w:space="0" w:color="auto"/>
                  </w:divBdr>
                </w:div>
              </w:divsChild>
            </w:div>
            <w:div w:id="1720279336">
              <w:marLeft w:val="0"/>
              <w:marRight w:val="0"/>
              <w:marTop w:val="0"/>
              <w:marBottom w:val="0"/>
              <w:divBdr>
                <w:top w:val="none" w:sz="0" w:space="0" w:color="auto"/>
                <w:left w:val="none" w:sz="0" w:space="0" w:color="auto"/>
                <w:bottom w:val="none" w:sz="0" w:space="0" w:color="auto"/>
                <w:right w:val="none" w:sz="0" w:space="0" w:color="auto"/>
              </w:divBdr>
              <w:divsChild>
                <w:div w:id="88887681">
                  <w:marLeft w:val="0"/>
                  <w:marRight w:val="0"/>
                  <w:marTop w:val="0"/>
                  <w:marBottom w:val="0"/>
                  <w:divBdr>
                    <w:top w:val="none" w:sz="0" w:space="0" w:color="auto"/>
                    <w:left w:val="none" w:sz="0" w:space="0" w:color="auto"/>
                    <w:bottom w:val="none" w:sz="0" w:space="0" w:color="auto"/>
                    <w:right w:val="none" w:sz="0" w:space="0" w:color="auto"/>
                  </w:divBdr>
                </w:div>
              </w:divsChild>
            </w:div>
            <w:div w:id="1859461397">
              <w:marLeft w:val="0"/>
              <w:marRight w:val="0"/>
              <w:marTop w:val="0"/>
              <w:marBottom w:val="0"/>
              <w:divBdr>
                <w:top w:val="none" w:sz="0" w:space="0" w:color="auto"/>
                <w:left w:val="none" w:sz="0" w:space="0" w:color="auto"/>
                <w:bottom w:val="none" w:sz="0" w:space="0" w:color="auto"/>
                <w:right w:val="none" w:sz="0" w:space="0" w:color="auto"/>
              </w:divBdr>
              <w:divsChild>
                <w:div w:id="1860852285">
                  <w:marLeft w:val="0"/>
                  <w:marRight w:val="0"/>
                  <w:marTop w:val="0"/>
                  <w:marBottom w:val="0"/>
                  <w:divBdr>
                    <w:top w:val="none" w:sz="0" w:space="0" w:color="auto"/>
                    <w:left w:val="none" w:sz="0" w:space="0" w:color="auto"/>
                    <w:bottom w:val="none" w:sz="0" w:space="0" w:color="auto"/>
                    <w:right w:val="none" w:sz="0" w:space="0" w:color="auto"/>
                  </w:divBdr>
                </w:div>
              </w:divsChild>
            </w:div>
            <w:div w:id="1880582506">
              <w:marLeft w:val="0"/>
              <w:marRight w:val="0"/>
              <w:marTop w:val="0"/>
              <w:marBottom w:val="0"/>
              <w:divBdr>
                <w:top w:val="none" w:sz="0" w:space="0" w:color="auto"/>
                <w:left w:val="none" w:sz="0" w:space="0" w:color="auto"/>
                <w:bottom w:val="none" w:sz="0" w:space="0" w:color="auto"/>
                <w:right w:val="none" w:sz="0" w:space="0" w:color="auto"/>
              </w:divBdr>
              <w:divsChild>
                <w:div w:id="1558315625">
                  <w:marLeft w:val="0"/>
                  <w:marRight w:val="0"/>
                  <w:marTop w:val="0"/>
                  <w:marBottom w:val="0"/>
                  <w:divBdr>
                    <w:top w:val="none" w:sz="0" w:space="0" w:color="auto"/>
                    <w:left w:val="none" w:sz="0" w:space="0" w:color="auto"/>
                    <w:bottom w:val="none" w:sz="0" w:space="0" w:color="auto"/>
                    <w:right w:val="none" w:sz="0" w:space="0" w:color="auto"/>
                  </w:divBdr>
                </w:div>
              </w:divsChild>
            </w:div>
            <w:div w:id="1913541178">
              <w:marLeft w:val="0"/>
              <w:marRight w:val="0"/>
              <w:marTop w:val="0"/>
              <w:marBottom w:val="0"/>
              <w:divBdr>
                <w:top w:val="none" w:sz="0" w:space="0" w:color="auto"/>
                <w:left w:val="none" w:sz="0" w:space="0" w:color="auto"/>
                <w:bottom w:val="none" w:sz="0" w:space="0" w:color="auto"/>
                <w:right w:val="none" w:sz="0" w:space="0" w:color="auto"/>
              </w:divBdr>
              <w:divsChild>
                <w:div w:id="2045399666">
                  <w:marLeft w:val="0"/>
                  <w:marRight w:val="0"/>
                  <w:marTop w:val="0"/>
                  <w:marBottom w:val="0"/>
                  <w:divBdr>
                    <w:top w:val="none" w:sz="0" w:space="0" w:color="auto"/>
                    <w:left w:val="none" w:sz="0" w:space="0" w:color="auto"/>
                    <w:bottom w:val="none" w:sz="0" w:space="0" w:color="auto"/>
                    <w:right w:val="none" w:sz="0" w:space="0" w:color="auto"/>
                  </w:divBdr>
                </w:div>
              </w:divsChild>
            </w:div>
            <w:div w:id="2048411490">
              <w:marLeft w:val="0"/>
              <w:marRight w:val="0"/>
              <w:marTop w:val="0"/>
              <w:marBottom w:val="0"/>
              <w:divBdr>
                <w:top w:val="none" w:sz="0" w:space="0" w:color="auto"/>
                <w:left w:val="none" w:sz="0" w:space="0" w:color="auto"/>
                <w:bottom w:val="none" w:sz="0" w:space="0" w:color="auto"/>
                <w:right w:val="none" w:sz="0" w:space="0" w:color="auto"/>
              </w:divBdr>
              <w:divsChild>
                <w:div w:id="314379575">
                  <w:marLeft w:val="0"/>
                  <w:marRight w:val="0"/>
                  <w:marTop w:val="0"/>
                  <w:marBottom w:val="0"/>
                  <w:divBdr>
                    <w:top w:val="none" w:sz="0" w:space="0" w:color="auto"/>
                    <w:left w:val="none" w:sz="0" w:space="0" w:color="auto"/>
                    <w:bottom w:val="none" w:sz="0" w:space="0" w:color="auto"/>
                    <w:right w:val="none" w:sz="0" w:space="0" w:color="auto"/>
                  </w:divBdr>
                </w:div>
              </w:divsChild>
            </w:div>
            <w:div w:id="2113472971">
              <w:marLeft w:val="0"/>
              <w:marRight w:val="0"/>
              <w:marTop w:val="0"/>
              <w:marBottom w:val="0"/>
              <w:divBdr>
                <w:top w:val="none" w:sz="0" w:space="0" w:color="auto"/>
                <w:left w:val="none" w:sz="0" w:space="0" w:color="auto"/>
                <w:bottom w:val="none" w:sz="0" w:space="0" w:color="auto"/>
                <w:right w:val="none" w:sz="0" w:space="0" w:color="auto"/>
              </w:divBdr>
              <w:divsChild>
                <w:div w:id="208765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1180">
          <w:marLeft w:val="0"/>
          <w:marRight w:val="0"/>
          <w:marTop w:val="0"/>
          <w:marBottom w:val="0"/>
          <w:divBdr>
            <w:top w:val="none" w:sz="0" w:space="0" w:color="auto"/>
            <w:left w:val="none" w:sz="0" w:space="0" w:color="auto"/>
            <w:bottom w:val="none" w:sz="0" w:space="0" w:color="auto"/>
            <w:right w:val="none" w:sz="0" w:space="0" w:color="auto"/>
          </w:divBdr>
        </w:div>
        <w:div w:id="881553727">
          <w:marLeft w:val="0"/>
          <w:marRight w:val="0"/>
          <w:marTop w:val="0"/>
          <w:marBottom w:val="0"/>
          <w:divBdr>
            <w:top w:val="none" w:sz="0" w:space="0" w:color="auto"/>
            <w:left w:val="none" w:sz="0" w:space="0" w:color="auto"/>
            <w:bottom w:val="none" w:sz="0" w:space="0" w:color="auto"/>
            <w:right w:val="none" w:sz="0" w:space="0" w:color="auto"/>
          </w:divBdr>
        </w:div>
        <w:div w:id="965817840">
          <w:marLeft w:val="-75"/>
          <w:marRight w:val="0"/>
          <w:marTop w:val="30"/>
          <w:marBottom w:val="30"/>
          <w:divBdr>
            <w:top w:val="none" w:sz="0" w:space="0" w:color="auto"/>
            <w:left w:val="none" w:sz="0" w:space="0" w:color="auto"/>
            <w:bottom w:val="none" w:sz="0" w:space="0" w:color="auto"/>
            <w:right w:val="none" w:sz="0" w:space="0" w:color="auto"/>
          </w:divBdr>
          <w:divsChild>
            <w:div w:id="10643309">
              <w:marLeft w:val="0"/>
              <w:marRight w:val="0"/>
              <w:marTop w:val="0"/>
              <w:marBottom w:val="0"/>
              <w:divBdr>
                <w:top w:val="none" w:sz="0" w:space="0" w:color="auto"/>
                <w:left w:val="none" w:sz="0" w:space="0" w:color="auto"/>
                <w:bottom w:val="none" w:sz="0" w:space="0" w:color="auto"/>
                <w:right w:val="none" w:sz="0" w:space="0" w:color="auto"/>
              </w:divBdr>
              <w:divsChild>
                <w:div w:id="1185435183">
                  <w:marLeft w:val="0"/>
                  <w:marRight w:val="0"/>
                  <w:marTop w:val="0"/>
                  <w:marBottom w:val="0"/>
                  <w:divBdr>
                    <w:top w:val="none" w:sz="0" w:space="0" w:color="auto"/>
                    <w:left w:val="none" w:sz="0" w:space="0" w:color="auto"/>
                    <w:bottom w:val="none" w:sz="0" w:space="0" w:color="auto"/>
                    <w:right w:val="none" w:sz="0" w:space="0" w:color="auto"/>
                  </w:divBdr>
                </w:div>
              </w:divsChild>
            </w:div>
            <w:div w:id="29573037">
              <w:marLeft w:val="0"/>
              <w:marRight w:val="0"/>
              <w:marTop w:val="0"/>
              <w:marBottom w:val="0"/>
              <w:divBdr>
                <w:top w:val="none" w:sz="0" w:space="0" w:color="auto"/>
                <w:left w:val="none" w:sz="0" w:space="0" w:color="auto"/>
                <w:bottom w:val="none" w:sz="0" w:space="0" w:color="auto"/>
                <w:right w:val="none" w:sz="0" w:space="0" w:color="auto"/>
              </w:divBdr>
              <w:divsChild>
                <w:div w:id="851842566">
                  <w:marLeft w:val="0"/>
                  <w:marRight w:val="0"/>
                  <w:marTop w:val="0"/>
                  <w:marBottom w:val="0"/>
                  <w:divBdr>
                    <w:top w:val="none" w:sz="0" w:space="0" w:color="auto"/>
                    <w:left w:val="none" w:sz="0" w:space="0" w:color="auto"/>
                    <w:bottom w:val="none" w:sz="0" w:space="0" w:color="auto"/>
                    <w:right w:val="none" w:sz="0" w:space="0" w:color="auto"/>
                  </w:divBdr>
                </w:div>
              </w:divsChild>
            </w:div>
            <w:div w:id="123932131">
              <w:marLeft w:val="0"/>
              <w:marRight w:val="0"/>
              <w:marTop w:val="0"/>
              <w:marBottom w:val="0"/>
              <w:divBdr>
                <w:top w:val="none" w:sz="0" w:space="0" w:color="auto"/>
                <w:left w:val="none" w:sz="0" w:space="0" w:color="auto"/>
                <w:bottom w:val="none" w:sz="0" w:space="0" w:color="auto"/>
                <w:right w:val="none" w:sz="0" w:space="0" w:color="auto"/>
              </w:divBdr>
              <w:divsChild>
                <w:div w:id="207764104">
                  <w:marLeft w:val="0"/>
                  <w:marRight w:val="0"/>
                  <w:marTop w:val="0"/>
                  <w:marBottom w:val="0"/>
                  <w:divBdr>
                    <w:top w:val="none" w:sz="0" w:space="0" w:color="auto"/>
                    <w:left w:val="none" w:sz="0" w:space="0" w:color="auto"/>
                    <w:bottom w:val="none" w:sz="0" w:space="0" w:color="auto"/>
                    <w:right w:val="none" w:sz="0" w:space="0" w:color="auto"/>
                  </w:divBdr>
                </w:div>
              </w:divsChild>
            </w:div>
            <w:div w:id="148791253">
              <w:marLeft w:val="0"/>
              <w:marRight w:val="0"/>
              <w:marTop w:val="0"/>
              <w:marBottom w:val="0"/>
              <w:divBdr>
                <w:top w:val="none" w:sz="0" w:space="0" w:color="auto"/>
                <w:left w:val="none" w:sz="0" w:space="0" w:color="auto"/>
                <w:bottom w:val="none" w:sz="0" w:space="0" w:color="auto"/>
                <w:right w:val="none" w:sz="0" w:space="0" w:color="auto"/>
              </w:divBdr>
              <w:divsChild>
                <w:div w:id="1590504518">
                  <w:marLeft w:val="0"/>
                  <w:marRight w:val="0"/>
                  <w:marTop w:val="0"/>
                  <w:marBottom w:val="0"/>
                  <w:divBdr>
                    <w:top w:val="none" w:sz="0" w:space="0" w:color="auto"/>
                    <w:left w:val="none" w:sz="0" w:space="0" w:color="auto"/>
                    <w:bottom w:val="none" w:sz="0" w:space="0" w:color="auto"/>
                    <w:right w:val="none" w:sz="0" w:space="0" w:color="auto"/>
                  </w:divBdr>
                </w:div>
              </w:divsChild>
            </w:div>
            <w:div w:id="153379342">
              <w:marLeft w:val="0"/>
              <w:marRight w:val="0"/>
              <w:marTop w:val="0"/>
              <w:marBottom w:val="0"/>
              <w:divBdr>
                <w:top w:val="none" w:sz="0" w:space="0" w:color="auto"/>
                <w:left w:val="none" w:sz="0" w:space="0" w:color="auto"/>
                <w:bottom w:val="none" w:sz="0" w:space="0" w:color="auto"/>
                <w:right w:val="none" w:sz="0" w:space="0" w:color="auto"/>
              </w:divBdr>
              <w:divsChild>
                <w:div w:id="124397090">
                  <w:marLeft w:val="0"/>
                  <w:marRight w:val="0"/>
                  <w:marTop w:val="0"/>
                  <w:marBottom w:val="0"/>
                  <w:divBdr>
                    <w:top w:val="none" w:sz="0" w:space="0" w:color="auto"/>
                    <w:left w:val="none" w:sz="0" w:space="0" w:color="auto"/>
                    <w:bottom w:val="none" w:sz="0" w:space="0" w:color="auto"/>
                    <w:right w:val="none" w:sz="0" w:space="0" w:color="auto"/>
                  </w:divBdr>
                </w:div>
              </w:divsChild>
            </w:div>
            <w:div w:id="155263742">
              <w:marLeft w:val="0"/>
              <w:marRight w:val="0"/>
              <w:marTop w:val="0"/>
              <w:marBottom w:val="0"/>
              <w:divBdr>
                <w:top w:val="none" w:sz="0" w:space="0" w:color="auto"/>
                <w:left w:val="none" w:sz="0" w:space="0" w:color="auto"/>
                <w:bottom w:val="none" w:sz="0" w:space="0" w:color="auto"/>
                <w:right w:val="none" w:sz="0" w:space="0" w:color="auto"/>
              </w:divBdr>
              <w:divsChild>
                <w:div w:id="70782704">
                  <w:marLeft w:val="0"/>
                  <w:marRight w:val="0"/>
                  <w:marTop w:val="0"/>
                  <w:marBottom w:val="0"/>
                  <w:divBdr>
                    <w:top w:val="none" w:sz="0" w:space="0" w:color="auto"/>
                    <w:left w:val="none" w:sz="0" w:space="0" w:color="auto"/>
                    <w:bottom w:val="none" w:sz="0" w:space="0" w:color="auto"/>
                    <w:right w:val="none" w:sz="0" w:space="0" w:color="auto"/>
                  </w:divBdr>
                </w:div>
              </w:divsChild>
            </w:div>
            <w:div w:id="183321894">
              <w:marLeft w:val="0"/>
              <w:marRight w:val="0"/>
              <w:marTop w:val="0"/>
              <w:marBottom w:val="0"/>
              <w:divBdr>
                <w:top w:val="none" w:sz="0" w:space="0" w:color="auto"/>
                <w:left w:val="none" w:sz="0" w:space="0" w:color="auto"/>
                <w:bottom w:val="none" w:sz="0" w:space="0" w:color="auto"/>
                <w:right w:val="none" w:sz="0" w:space="0" w:color="auto"/>
              </w:divBdr>
              <w:divsChild>
                <w:div w:id="1419719043">
                  <w:marLeft w:val="0"/>
                  <w:marRight w:val="0"/>
                  <w:marTop w:val="0"/>
                  <w:marBottom w:val="0"/>
                  <w:divBdr>
                    <w:top w:val="none" w:sz="0" w:space="0" w:color="auto"/>
                    <w:left w:val="none" w:sz="0" w:space="0" w:color="auto"/>
                    <w:bottom w:val="none" w:sz="0" w:space="0" w:color="auto"/>
                    <w:right w:val="none" w:sz="0" w:space="0" w:color="auto"/>
                  </w:divBdr>
                </w:div>
              </w:divsChild>
            </w:div>
            <w:div w:id="196360462">
              <w:marLeft w:val="0"/>
              <w:marRight w:val="0"/>
              <w:marTop w:val="0"/>
              <w:marBottom w:val="0"/>
              <w:divBdr>
                <w:top w:val="none" w:sz="0" w:space="0" w:color="auto"/>
                <w:left w:val="none" w:sz="0" w:space="0" w:color="auto"/>
                <w:bottom w:val="none" w:sz="0" w:space="0" w:color="auto"/>
                <w:right w:val="none" w:sz="0" w:space="0" w:color="auto"/>
              </w:divBdr>
              <w:divsChild>
                <w:div w:id="1933322173">
                  <w:marLeft w:val="0"/>
                  <w:marRight w:val="0"/>
                  <w:marTop w:val="0"/>
                  <w:marBottom w:val="0"/>
                  <w:divBdr>
                    <w:top w:val="none" w:sz="0" w:space="0" w:color="auto"/>
                    <w:left w:val="none" w:sz="0" w:space="0" w:color="auto"/>
                    <w:bottom w:val="none" w:sz="0" w:space="0" w:color="auto"/>
                    <w:right w:val="none" w:sz="0" w:space="0" w:color="auto"/>
                  </w:divBdr>
                </w:div>
              </w:divsChild>
            </w:div>
            <w:div w:id="205067897">
              <w:marLeft w:val="0"/>
              <w:marRight w:val="0"/>
              <w:marTop w:val="0"/>
              <w:marBottom w:val="0"/>
              <w:divBdr>
                <w:top w:val="none" w:sz="0" w:space="0" w:color="auto"/>
                <w:left w:val="none" w:sz="0" w:space="0" w:color="auto"/>
                <w:bottom w:val="none" w:sz="0" w:space="0" w:color="auto"/>
                <w:right w:val="none" w:sz="0" w:space="0" w:color="auto"/>
              </w:divBdr>
              <w:divsChild>
                <w:div w:id="1397776865">
                  <w:marLeft w:val="0"/>
                  <w:marRight w:val="0"/>
                  <w:marTop w:val="0"/>
                  <w:marBottom w:val="0"/>
                  <w:divBdr>
                    <w:top w:val="none" w:sz="0" w:space="0" w:color="auto"/>
                    <w:left w:val="none" w:sz="0" w:space="0" w:color="auto"/>
                    <w:bottom w:val="none" w:sz="0" w:space="0" w:color="auto"/>
                    <w:right w:val="none" w:sz="0" w:space="0" w:color="auto"/>
                  </w:divBdr>
                </w:div>
              </w:divsChild>
            </w:div>
            <w:div w:id="206458550">
              <w:marLeft w:val="0"/>
              <w:marRight w:val="0"/>
              <w:marTop w:val="0"/>
              <w:marBottom w:val="0"/>
              <w:divBdr>
                <w:top w:val="none" w:sz="0" w:space="0" w:color="auto"/>
                <w:left w:val="none" w:sz="0" w:space="0" w:color="auto"/>
                <w:bottom w:val="none" w:sz="0" w:space="0" w:color="auto"/>
                <w:right w:val="none" w:sz="0" w:space="0" w:color="auto"/>
              </w:divBdr>
              <w:divsChild>
                <w:div w:id="1385058600">
                  <w:marLeft w:val="0"/>
                  <w:marRight w:val="0"/>
                  <w:marTop w:val="0"/>
                  <w:marBottom w:val="0"/>
                  <w:divBdr>
                    <w:top w:val="none" w:sz="0" w:space="0" w:color="auto"/>
                    <w:left w:val="none" w:sz="0" w:space="0" w:color="auto"/>
                    <w:bottom w:val="none" w:sz="0" w:space="0" w:color="auto"/>
                    <w:right w:val="none" w:sz="0" w:space="0" w:color="auto"/>
                  </w:divBdr>
                </w:div>
              </w:divsChild>
            </w:div>
            <w:div w:id="232081573">
              <w:marLeft w:val="0"/>
              <w:marRight w:val="0"/>
              <w:marTop w:val="0"/>
              <w:marBottom w:val="0"/>
              <w:divBdr>
                <w:top w:val="none" w:sz="0" w:space="0" w:color="auto"/>
                <w:left w:val="none" w:sz="0" w:space="0" w:color="auto"/>
                <w:bottom w:val="none" w:sz="0" w:space="0" w:color="auto"/>
                <w:right w:val="none" w:sz="0" w:space="0" w:color="auto"/>
              </w:divBdr>
              <w:divsChild>
                <w:div w:id="1756121457">
                  <w:marLeft w:val="0"/>
                  <w:marRight w:val="0"/>
                  <w:marTop w:val="0"/>
                  <w:marBottom w:val="0"/>
                  <w:divBdr>
                    <w:top w:val="none" w:sz="0" w:space="0" w:color="auto"/>
                    <w:left w:val="none" w:sz="0" w:space="0" w:color="auto"/>
                    <w:bottom w:val="none" w:sz="0" w:space="0" w:color="auto"/>
                    <w:right w:val="none" w:sz="0" w:space="0" w:color="auto"/>
                  </w:divBdr>
                </w:div>
              </w:divsChild>
            </w:div>
            <w:div w:id="247423433">
              <w:marLeft w:val="0"/>
              <w:marRight w:val="0"/>
              <w:marTop w:val="0"/>
              <w:marBottom w:val="0"/>
              <w:divBdr>
                <w:top w:val="none" w:sz="0" w:space="0" w:color="auto"/>
                <w:left w:val="none" w:sz="0" w:space="0" w:color="auto"/>
                <w:bottom w:val="none" w:sz="0" w:space="0" w:color="auto"/>
                <w:right w:val="none" w:sz="0" w:space="0" w:color="auto"/>
              </w:divBdr>
              <w:divsChild>
                <w:div w:id="1786921505">
                  <w:marLeft w:val="0"/>
                  <w:marRight w:val="0"/>
                  <w:marTop w:val="0"/>
                  <w:marBottom w:val="0"/>
                  <w:divBdr>
                    <w:top w:val="none" w:sz="0" w:space="0" w:color="auto"/>
                    <w:left w:val="none" w:sz="0" w:space="0" w:color="auto"/>
                    <w:bottom w:val="none" w:sz="0" w:space="0" w:color="auto"/>
                    <w:right w:val="none" w:sz="0" w:space="0" w:color="auto"/>
                  </w:divBdr>
                </w:div>
              </w:divsChild>
            </w:div>
            <w:div w:id="261883576">
              <w:marLeft w:val="0"/>
              <w:marRight w:val="0"/>
              <w:marTop w:val="0"/>
              <w:marBottom w:val="0"/>
              <w:divBdr>
                <w:top w:val="none" w:sz="0" w:space="0" w:color="auto"/>
                <w:left w:val="none" w:sz="0" w:space="0" w:color="auto"/>
                <w:bottom w:val="none" w:sz="0" w:space="0" w:color="auto"/>
                <w:right w:val="none" w:sz="0" w:space="0" w:color="auto"/>
              </w:divBdr>
              <w:divsChild>
                <w:div w:id="410735635">
                  <w:marLeft w:val="0"/>
                  <w:marRight w:val="0"/>
                  <w:marTop w:val="0"/>
                  <w:marBottom w:val="0"/>
                  <w:divBdr>
                    <w:top w:val="none" w:sz="0" w:space="0" w:color="auto"/>
                    <w:left w:val="none" w:sz="0" w:space="0" w:color="auto"/>
                    <w:bottom w:val="none" w:sz="0" w:space="0" w:color="auto"/>
                    <w:right w:val="none" w:sz="0" w:space="0" w:color="auto"/>
                  </w:divBdr>
                </w:div>
              </w:divsChild>
            </w:div>
            <w:div w:id="277181238">
              <w:marLeft w:val="0"/>
              <w:marRight w:val="0"/>
              <w:marTop w:val="0"/>
              <w:marBottom w:val="0"/>
              <w:divBdr>
                <w:top w:val="none" w:sz="0" w:space="0" w:color="auto"/>
                <w:left w:val="none" w:sz="0" w:space="0" w:color="auto"/>
                <w:bottom w:val="none" w:sz="0" w:space="0" w:color="auto"/>
                <w:right w:val="none" w:sz="0" w:space="0" w:color="auto"/>
              </w:divBdr>
              <w:divsChild>
                <w:div w:id="1017584469">
                  <w:marLeft w:val="0"/>
                  <w:marRight w:val="0"/>
                  <w:marTop w:val="0"/>
                  <w:marBottom w:val="0"/>
                  <w:divBdr>
                    <w:top w:val="none" w:sz="0" w:space="0" w:color="auto"/>
                    <w:left w:val="none" w:sz="0" w:space="0" w:color="auto"/>
                    <w:bottom w:val="none" w:sz="0" w:space="0" w:color="auto"/>
                    <w:right w:val="none" w:sz="0" w:space="0" w:color="auto"/>
                  </w:divBdr>
                </w:div>
              </w:divsChild>
            </w:div>
            <w:div w:id="343090208">
              <w:marLeft w:val="0"/>
              <w:marRight w:val="0"/>
              <w:marTop w:val="0"/>
              <w:marBottom w:val="0"/>
              <w:divBdr>
                <w:top w:val="none" w:sz="0" w:space="0" w:color="auto"/>
                <w:left w:val="none" w:sz="0" w:space="0" w:color="auto"/>
                <w:bottom w:val="none" w:sz="0" w:space="0" w:color="auto"/>
                <w:right w:val="none" w:sz="0" w:space="0" w:color="auto"/>
              </w:divBdr>
              <w:divsChild>
                <w:div w:id="1968004083">
                  <w:marLeft w:val="0"/>
                  <w:marRight w:val="0"/>
                  <w:marTop w:val="0"/>
                  <w:marBottom w:val="0"/>
                  <w:divBdr>
                    <w:top w:val="none" w:sz="0" w:space="0" w:color="auto"/>
                    <w:left w:val="none" w:sz="0" w:space="0" w:color="auto"/>
                    <w:bottom w:val="none" w:sz="0" w:space="0" w:color="auto"/>
                    <w:right w:val="none" w:sz="0" w:space="0" w:color="auto"/>
                  </w:divBdr>
                </w:div>
              </w:divsChild>
            </w:div>
            <w:div w:id="373501507">
              <w:marLeft w:val="0"/>
              <w:marRight w:val="0"/>
              <w:marTop w:val="0"/>
              <w:marBottom w:val="0"/>
              <w:divBdr>
                <w:top w:val="none" w:sz="0" w:space="0" w:color="auto"/>
                <w:left w:val="none" w:sz="0" w:space="0" w:color="auto"/>
                <w:bottom w:val="none" w:sz="0" w:space="0" w:color="auto"/>
                <w:right w:val="none" w:sz="0" w:space="0" w:color="auto"/>
              </w:divBdr>
              <w:divsChild>
                <w:div w:id="1117332997">
                  <w:marLeft w:val="0"/>
                  <w:marRight w:val="0"/>
                  <w:marTop w:val="0"/>
                  <w:marBottom w:val="0"/>
                  <w:divBdr>
                    <w:top w:val="none" w:sz="0" w:space="0" w:color="auto"/>
                    <w:left w:val="none" w:sz="0" w:space="0" w:color="auto"/>
                    <w:bottom w:val="none" w:sz="0" w:space="0" w:color="auto"/>
                    <w:right w:val="none" w:sz="0" w:space="0" w:color="auto"/>
                  </w:divBdr>
                </w:div>
              </w:divsChild>
            </w:div>
            <w:div w:id="395904296">
              <w:marLeft w:val="0"/>
              <w:marRight w:val="0"/>
              <w:marTop w:val="0"/>
              <w:marBottom w:val="0"/>
              <w:divBdr>
                <w:top w:val="none" w:sz="0" w:space="0" w:color="auto"/>
                <w:left w:val="none" w:sz="0" w:space="0" w:color="auto"/>
                <w:bottom w:val="none" w:sz="0" w:space="0" w:color="auto"/>
                <w:right w:val="none" w:sz="0" w:space="0" w:color="auto"/>
              </w:divBdr>
              <w:divsChild>
                <w:div w:id="2125340998">
                  <w:marLeft w:val="0"/>
                  <w:marRight w:val="0"/>
                  <w:marTop w:val="0"/>
                  <w:marBottom w:val="0"/>
                  <w:divBdr>
                    <w:top w:val="none" w:sz="0" w:space="0" w:color="auto"/>
                    <w:left w:val="none" w:sz="0" w:space="0" w:color="auto"/>
                    <w:bottom w:val="none" w:sz="0" w:space="0" w:color="auto"/>
                    <w:right w:val="none" w:sz="0" w:space="0" w:color="auto"/>
                  </w:divBdr>
                </w:div>
              </w:divsChild>
            </w:div>
            <w:div w:id="400174855">
              <w:marLeft w:val="0"/>
              <w:marRight w:val="0"/>
              <w:marTop w:val="0"/>
              <w:marBottom w:val="0"/>
              <w:divBdr>
                <w:top w:val="none" w:sz="0" w:space="0" w:color="auto"/>
                <w:left w:val="none" w:sz="0" w:space="0" w:color="auto"/>
                <w:bottom w:val="none" w:sz="0" w:space="0" w:color="auto"/>
                <w:right w:val="none" w:sz="0" w:space="0" w:color="auto"/>
              </w:divBdr>
              <w:divsChild>
                <w:div w:id="179437982">
                  <w:marLeft w:val="0"/>
                  <w:marRight w:val="0"/>
                  <w:marTop w:val="0"/>
                  <w:marBottom w:val="0"/>
                  <w:divBdr>
                    <w:top w:val="none" w:sz="0" w:space="0" w:color="auto"/>
                    <w:left w:val="none" w:sz="0" w:space="0" w:color="auto"/>
                    <w:bottom w:val="none" w:sz="0" w:space="0" w:color="auto"/>
                    <w:right w:val="none" w:sz="0" w:space="0" w:color="auto"/>
                  </w:divBdr>
                </w:div>
              </w:divsChild>
            </w:div>
            <w:div w:id="439298186">
              <w:marLeft w:val="0"/>
              <w:marRight w:val="0"/>
              <w:marTop w:val="0"/>
              <w:marBottom w:val="0"/>
              <w:divBdr>
                <w:top w:val="none" w:sz="0" w:space="0" w:color="auto"/>
                <w:left w:val="none" w:sz="0" w:space="0" w:color="auto"/>
                <w:bottom w:val="none" w:sz="0" w:space="0" w:color="auto"/>
                <w:right w:val="none" w:sz="0" w:space="0" w:color="auto"/>
              </w:divBdr>
              <w:divsChild>
                <w:div w:id="1754234189">
                  <w:marLeft w:val="0"/>
                  <w:marRight w:val="0"/>
                  <w:marTop w:val="0"/>
                  <w:marBottom w:val="0"/>
                  <w:divBdr>
                    <w:top w:val="none" w:sz="0" w:space="0" w:color="auto"/>
                    <w:left w:val="none" w:sz="0" w:space="0" w:color="auto"/>
                    <w:bottom w:val="none" w:sz="0" w:space="0" w:color="auto"/>
                    <w:right w:val="none" w:sz="0" w:space="0" w:color="auto"/>
                  </w:divBdr>
                </w:div>
              </w:divsChild>
            </w:div>
            <w:div w:id="447119168">
              <w:marLeft w:val="0"/>
              <w:marRight w:val="0"/>
              <w:marTop w:val="0"/>
              <w:marBottom w:val="0"/>
              <w:divBdr>
                <w:top w:val="none" w:sz="0" w:space="0" w:color="auto"/>
                <w:left w:val="none" w:sz="0" w:space="0" w:color="auto"/>
                <w:bottom w:val="none" w:sz="0" w:space="0" w:color="auto"/>
                <w:right w:val="none" w:sz="0" w:space="0" w:color="auto"/>
              </w:divBdr>
              <w:divsChild>
                <w:div w:id="1269119928">
                  <w:marLeft w:val="0"/>
                  <w:marRight w:val="0"/>
                  <w:marTop w:val="0"/>
                  <w:marBottom w:val="0"/>
                  <w:divBdr>
                    <w:top w:val="none" w:sz="0" w:space="0" w:color="auto"/>
                    <w:left w:val="none" w:sz="0" w:space="0" w:color="auto"/>
                    <w:bottom w:val="none" w:sz="0" w:space="0" w:color="auto"/>
                    <w:right w:val="none" w:sz="0" w:space="0" w:color="auto"/>
                  </w:divBdr>
                </w:div>
              </w:divsChild>
            </w:div>
            <w:div w:id="500199657">
              <w:marLeft w:val="0"/>
              <w:marRight w:val="0"/>
              <w:marTop w:val="0"/>
              <w:marBottom w:val="0"/>
              <w:divBdr>
                <w:top w:val="none" w:sz="0" w:space="0" w:color="auto"/>
                <w:left w:val="none" w:sz="0" w:space="0" w:color="auto"/>
                <w:bottom w:val="none" w:sz="0" w:space="0" w:color="auto"/>
                <w:right w:val="none" w:sz="0" w:space="0" w:color="auto"/>
              </w:divBdr>
              <w:divsChild>
                <w:div w:id="1707943082">
                  <w:marLeft w:val="0"/>
                  <w:marRight w:val="0"/>
                  <w:marTop w:val="0"/>
                  <w:marBottom w:val="0"/>
                  <w:divBdr>
                    <w:top w:val="none" w:sz="0" w:space="0" w:color="auto"/>
                    <w:left w:val="none" w:sz="0" w:space="0" w:color="auto"/>
                    <w:bottom w:val="none" w:sz="0" w:space="0" w:color="auto"/>
                    <w:right w:val="none" w:sz="0" w:space="0" w:color="auto"/>
                  </w:divBdr>
                </w:div>
              </w:divsChild>
            </w:div>
            <w:div w:id="606238514">
              <w:marLeft w:val="0"/>
              <w:marRight w:val="0"/>
              <w:marTop w:val="0"/>
              <w:marBottom w:val="0"/>
              <w:divBdr>
                <w:top w:val="none" w:sz="0" w:space="0" w:color="auto"/>
                <w:left w:val="none" w:sz="0" w:space="0" w:color="auto"/>
                <w:bottom w:val="none" w:sz="0" w:space="0" w:color="auto"/>
                <w:right w:val="none" w:sz="0" w:space="0" w:color="auto"/>
              </w:divBdr>
              <w:divsChild>
                <w:div w:id="1218737224">
                  <w:marLeft w:val="0"/>
                  <w:marRight w:val="0"/>
                  <w:marTop w:val="0"/>
                  <w:marBottom w:val="0"/>
                  <w:divBdr>
                    <w:top w:val="none" w:sz="0" w:space="0" w:color="auto"/>
                    <w:left w:val="none" w:sz="0" w:space="0" w:color="auto"/>
                    <w:bottom w:val="none" w:sz="0" w:space="0" w:color="auto"/>
                    <w:right w:val="none" w:sz="0" w:space="0" w:color="auto"/>
                  </w:divBdr>
                </w:div>
              </w:divsChild>
            </w:div>
            <w:div w:id="622808168">
              <w:marLeft w:val="0"/>
              <w:marRight w:val="0"/>
              <w:marTop w:val="0"/>
              <w:marBottom w:val="0"/>
              <w:divBdr>
                <w:top w:val="none" w:sz="0" w:space="0" w:color="auto"/>
                <w:left w:val="none" w:sz="0" w:space="0" w:color="auto"/>
                <w:bottom w:val="none" w:sz="0" w:space="0" w:color="auto"/>
                <w:right w:val="none" w:sz="0" w:space="0" w:color="auto"/>
              </w:divBdr>
              <w:divsChild>
                <w:div w:id="472019456">
                  <w:marLeft w:val="0"/>
                  <w:marRight w:val="0"/>
                  <w:marTop w:val="0"/>
                  <w:marBottom w:val="0"/>
                  <w:divBdr>
                    <w:top w:val="none" w:sz="0" w:space="0" w:color="auto"/>
                    <w:left w:val="none" w:sz="0" w:space="0" w:color="auto"/>
                    <w:bottom w:val="none" w:sz="0" w:space="0" w:color="auto"/>
                    <w:right w:val="none" w:sz="0" w:space="0" w:color="auto"/>
                  </w:divBdr>
                </w:div>
              </w:divsChild>
            </w:div>
            <w:div w:id="651520381">
              <w:marLeft w:val="0"/>
              <w:marRight w:val="0"/>
              <w:marTop w:val="0"/>
              <w:marBottom w:val="0"/>
              <w:divBdr>
                <w:top w:val="none" w:sz="0" w:space="0" w:color="auto"/>
                <w:left w:val="none" w:sz="0" w:space="0" w:color="auto"/>
                <w:bottom w:val="none" w:sz="0" w:space="0" w:color="auto"/>
                <w:right w:val="none" w:sz="0" w:space="0" w:color="auto"/>
              </w:divBdr>
              <w:divsChild>
                <w:div w:id="1329791427">
                  <w:marLeft w:val="0"/>
                  <w:marRight w:val="0"/>
                  <w:marTop w:val="0"/>
                  <w:marBottom w:val="0"/>
                  <w:divBdr>
                    <w:top w:val="none" w:sz="0" w:space="0" w:color="auto"/>
                    <w:left w:val="none" w:sz="0" w:space="0" w:color="auto"/>
                    <w:bottom w:val="none" w:sz="0" w:space="0" w:color="auto"/>
                    <w:right w:val="none" w:sz="0" w:space="0" w:color="auto"/>
                  </w:divBdr>
                </w:div>
              </w:divsChild>
            </w:div>
            <w:div w:id="655687930">
              <w:marLeft w:val="0"/>
              <w:marRight w:val="0"/>
              <w:marTop w:val="0"/>
              <w:marBottom w:val="0"/>
              <w:divBdr>
                <w:top w:val="none" w:sz="0" w:space="0" w:color="auto"/>
                <w:left w:val="none" w:sz="0" w:space="0" w:color="auto"/>
                <w:bottom w:val="none" w:sz="0" w:space="0" w:color="auto"/>
                <w:right w:val="none" w:sz="0" w:space="0" w:color="auto"/>
              </w:divBdr>
              <w:divsChild>
                <w:div w:id="841815406">
                  <w:marLeft w:val="0"/>
                  <w:marRight w:val="0"/>
                  <w:marTop w:val="0"/>
                  <w:marBottom w:val="0"/>
                  <w:divBdr>
                    <w:top w:val="none" w:sz="0" w:space="0" w:color="auto"/>
                    <w:left w:val="none" w:sz="0" w:space="0" w:color="auto"/>
                    <w:bottom w:val="none" w:sz="0" w:space="0" w:color="auto"/>
                    <w:right w:val="none" w:sz="0" w:space="0" w:color="auto"/>
                  </w:divBdr>
                </w:div>
              </w:divsChild>
            </w:div>
            <w:div w:id="701128887">
              <w:marLeft w:val="0"/>
              <w:marRight w:val="0"/>
              <w:marTop w:val="0"/>
              <w:marBottom w:val="0"/>
              <w:divBdr>
                <w:top w:val="none" w:sz="0" w:space="0" w:color="auto"/>
                <w:left w:val="none" w:sz="0" w:space="0" w:color="auto"/>
                <w:bottom w:val="none" w:sz="0" w:space="0" w:color="auto"/>
                <w:right w:val="none" w:sz="0" w:space="0" w:color="auto"/>
              </w:divBdr>
              <w:divsChild>
                <w:div w:id="1041780526">
                  <w:marLeft w:val="0"/>
                  <w:marRight w:val="0"/>
                  <w:marTop w:val="0"/>
                  <w:marBottom w:val="0"/>
                  <w:divBdr>
                    <w:top w:val="none" w:sz="0" w:space="0" w:color="auto"/>
                    <w:left w:val="none" w:sz="0" w:space="0" w:color="auto"/>
                    <w:bottom w:val="none" w:sz="0" w:space="0" w:color="auto"/>
                    <w:right w:val="none" w:sz="0" w:space="0" w:color="auto"/>
                  </w:divBdr>
                </w:div>
              </w:divsChild>
            </w:div>
            <w:div w:id="708527123">
              <w:marLeft w:val="0"/>
              <w:marRight w:val="0"/>
              <w:marTop w:val="0"/>
              <w:marBottom w:val="0"/>
              <w:divBdr>
                <w:top w:val="none" w:sz="0" w:space="0" w:color="auto"/>
                <w:left w:val="none" w:sz="0" w:space="0" w:color="auto"/>
                <w:bottom w:val="none" w:sz="0" w:space="0" w:color="auto"/>
                <w:right w:val="none" w:sz="0" w:space="0" w:color="auto"/>
              </w:divBdr>
              <w:divsChild>
                <w:div w:id="1155609164">
                  <w:marLeft w:val="0"/>
                  <w:marRight w:val="0"/>
                  <w:marTop w:val="0"/>
                  <w:marBottom w:val="0"/>
                  <w:divBdr>
                    <w:top w:val="none" w:sz="0" w:space="0" w:color="auto"/>
                    <w:left w:val="none" w:sz="0" w:space="0" w:color="auto"/>
                    <w:bottom w:val="none" w:sz="0" w:space="0" w:color="auto"/>
                    <w:right w:val="none" w:sz="0" w:space="0" w:color="auto"/>
                  </w:divBdr>
                </w:div>
              </w:divsChild>
            </w:div>
            <w:div w:id="741029985">
              <w:marLeft w:val="0"/>
              <w:marRight w:val="0"/>
              <w:marTop w:val="0"/>
              <w:marBottom w:val="0"/>
              <w:divBdr>
                <w:top w:val="none" w:sz="0" w:space="0" w:color="auto"/>
                <w:left w:val="none" w:sz="0" w:space="0" w:color="auto"/>
                <w:bottom w:val="none" w:sz="0" w:space="0" w:color="auto"/>
                <w:right w:val="none" w:sz="0" w:space="0" w:color="auto"/>
              </w:divBdr>
              <w:divsChild>
                <w:div w:id="583684937">
                  <w:marLeft w:val="0"/>
                  <w:marRight w:val="0"/>
                  <w:marTop w:val="0"/>
                  <w:marBottom w:val="0"/>
                  <w:divBdr>
                    <w:top w:val="none" w:sz="0" w:space="0" w:color="auto"/>
                    <w:left w:val="none" w:sz="0" w:space="0" w:color="auto"/>
                    <w:bottom w:val="none" w:sz="0" w:space="0" w:color="auto"/>
                    <w:right w:val="none" w:sz="0" w:space="0" w:color="auto"/>
                  </w:divBdr>
                </w:div>
              </w:divsChild>
            </w:div>
            <w:div w:id="759444576">
              <w:marLeft w:val="0"/>
              <w:marRight w:val="0"/>
              <w:marTop w:val="0"/>
              <w:marBottom w:val="0"/>
              <w:divBdr>
                <w:top w:val="none" w:sz="0" w:space="0" w:color="auto"/>
                <w:left w:val="none" w:sz="0" w:space="0" w:color="auto"/>
                <w:bottom w:val="none" w:sz="0" w:space="0" w:color="auto"/>
                <w:right w:val="none" w:sz="0" w:space="0" w:color="auto"/>
              </w:divBdr>
              <w:divsChild>
                <w:div w:id="1266302631">
                  <w:marLeft w:val="0"/>
                  <w:marRight w:val="0"/>
                  <w:marTop w:val="0"/>
                  <w:marBottom w:val="0"/>
                  <w:divBdr>
                    <w:top w:val="none" w:sz="0" w:space="0" w:color="auto"/>
                    <w:left w:val="none" w:sz="0" w:space="0" w:color="auto"/>
                    <w:bottom w:val="none" w:sz="0" w:space="0" w:color="auto"/>
                    <w:right w:val="none" w:sz="0" w:space="0" w:color="auto"/>
                  </w:divBdr>
                </w:div>
              </w:divsChild>
            </w:div>
            <w:div w:id="773943976">
              <w:marLeft w:val="0"/>
              <w:marRight w:val="0"/>
              <w:marTop w:val="0"/>
              <w:marBottom w:val="0"/>
              <w:divBdr>
                <w:top w:val="none" w:sz="0" w:space="0" w:color="auto"/>
                <w:left w:val="none" w:sz="0" w:space="0" w:color="auto"/>
                <w:bottom w:val="none" w:sz="0" w:space="0" w:color="auto"/>
                <w:right w:val="none" w:sz="0" w:space="0" w:color="auto"/>
              </w:divBdr>
              <w:divsChild>
                <w:div w:id="831333339">
                  <w:marLeft w:val="0"/>
                  <w:marRight w:val="0"/>
                  <w:marTop w:val="0"/>
                  <w:marBottom w:val="0"/>
                  <w:divBdr>
                    <w:top w:val="none" w:sz="0" w:space="0" w:color="auto"/>
                    <w:left w:val="none" w:sz="0" w:space="0" w:color="auto"/>
                    <w:bottom w:val="none" w:sz="0" w:space="0" w:color="auto"/>
                    <w:right w:val="none" w:sz="0" w:space="0" w:color="auto"/>
                  </w:divBdr>
                </w:div>
              </w:divsChild>
            </w:div>
            <w:div w:id="807288128">
              <w:marLeft w:val="0"/>
              <w:marRight w:val="0"/>
              <w:marTop w:val="0"/>
              <w:marBottom w:val="0"/>
              <w:divBdr>
                <w:top w:val="none" w:sz="0" w:space="0" w:color="auto"/>
                <w:left w:val="none" w:sz="0" w:space="0" w:color="auto"/>
                <w:bottom w:val="none" w:sz="0" w:space="0" w:color="auto"/>
                <w:right w:val="none" w:sz="0" w:space="0" w:color="auto"/>
              </w:divBdr>
              <w:divsChild>
                <w:div w:id="355036285">
                  <w:marLeft w:val="0"/>
                  <w:marRight w:val="0"/>
                  <w:marTop w:val="0"/>
                  <w:marBottom w:val="0"/>
                  <w:divBdr>
                    <w:top w:val="none" w:sz="0" w:space="0" w:color="auto"/>
                    <w:left w:val="none" w:sz="0" w:space="0" w:color="auto"/>
                    <w:bottom w:val="none" w:sz="0" w:space="0" w:color="auto"/>
                    <w:right w:val="none" w:sz="0" w:space="0" w:color="auto"/>
                  </w:divBdr>
                </w:div>
              </w:divsChild>
            </w:div>
            <w:div w:id="807744866">
              <w:marLeft w:val="0"/>
              <w:marRight w:val="0"/>
              <w:marTop w:val="0"/>
              <w:marBottom w:val="0"/>
              <w:divBdr>
                <w:top w:val="none" w:sz="0" w:space="0" w:color="auto"/>
                <w:left w:val="none" w:sz="0" w:space="0" w:color="auto"/>
                <w:bottom w:val="none" w:sz="0" w:space="0" w:color="auto"/>
                <w:right w:val="none" w:sz="0" w:space="0" w:color="auto"/>
              </w:divBdr>
              <w:divsChild>
                <w:div w:id="1609047453">
                  <w:marLeft w:val="0"/>
                  <w:marRight w:val="0"/>
                  <w:marTop w:val="0"/>
                  <w:marBottom w:val="0"/>
                  <w:divBdr>
                    <w:top w:val="none" w:sz="0" w:space="0" w:color="auto"/>
                    <w:left w:val="none" w:sz="0" w:space="0" w:color="auto"/>
                    <w:bottom w:val="none" w:sz="0" w:space="0" w:color="auto"/>
                    <w:right w:val="none" w:sz="0" w:space="0" w:color="auto"/>
                  </w:divBdr>
                </w:div>
              </w:divsChild>
            </w:div>
            <w:div w:id="841311174">
              <w:marLeft w:val="0"/>
              <w:marRight w:val="0"/>
              <w:marTop w:val="0"/>
              <w:marBottom w:val="0"/>
              <w:divBdr>
                <w:top w:val="none" w:sz="0" w:space="0" w:color="auto"/>
                <w:left w:val="none" w:sz="0" w:space="0" w:color="auto"/>
                <w:bottom w:val="none" w:sz="0" w:space="0" w:color="auto"/>
                <w:right w:val="none" w:sz="0" w:space="0" w:color="auto"/>
              </w:divBdr>
              <w:divsChild>
                <w:div w:id="826438071">
                  <w:marLeft w:val="0"/>
                  <w:marRight w:val="0"/>
                  <w:marTop w:val="0"/>
                  <w:marBottom w:val="0"/>
                  <w:divBdr>
                    <w:top w:val="none" w:sz="0" w:space="0" w:color="auto"/>
                    <w:left w:val="none" w:sz="0" w:space="0" w:color="auto"/>
                    <w:bottom w:val="none" w:sz="0" w:space="0" w:color="auto"/>
                    <w:right w:val="none" w:sz="0" w:space="0" w:color="auto"/>
                  </w:divBdr>
                </w:div>
              </w:divsChild>
            </w:div>
            <w:div w:id="869805784">
              <w:marLeft w:val="0"/>
              <w:marRight w:val="0"/>
              <w:marTop w:val="0"/>
              <w:marBottom w:val="0"/>
              <w:divBdr>
                <w:top w:val="none" w:sz="0" w:space="0" w:color="auto"/>
                <w:left w:val="none" w:sz="0" w:space="0" w:color="auto"/>
                <w:bottom w:val="none" w:sz="0" w:space="0" w:color="auto"/>
                <w:right w:val="none" w:sz="0" w:space="0" w:color="auto"/>
              </w:divBdr>
              <w:divsChild>
                <w:div w:id="286472427">
                  <w:marLeft w:val="0"/>
                  <w:marRight w:val="0"/>
                  <w:marTop w:val="0"/>
                  <w:marBottom w:val="0"/>
                  <w:divBdr>
                    <w:top w:val="none" w:sz="0" w:space="0" w:color="auto"/>
                    <w:left w:val="none" w:sz="0" w:space="0" w:color="auto"/>
                    <w:bottom w:val="none" w:sz="0" w:space="0" w:color="auto"/>
                    <w:right w:val="none" w:sz="0" w:space="0" w:color="auto"/>
                  </w:divBdr>
                </w:div>
              </w:divsChild>
            </w:div>
            <w:div w:id="874804799">
              <w:marLeft w:val="0"/>
              <w:marRight w:val="0"/>
              <w:marTop w:val="0"/>
              <w:marBottom w:val="0"/>
              <w:divBdr>
                <w:top w:val="none" w:sz="0" w:space="0" w:color="auto"/>
                <w:left w:val="none" w:sz="0" w:space="0" w:color="auto"/>
                <w:bottom w:val="none" w:sz="0" w:space="0" w:color="auto"/>
                <w:right w:val="none" w:sz="0" w:space="0" w:color="auto"/>
              </w:divBdr>
              <w:divsChild>
                <w:div w:id="195773249">
                  <w:marLeft w:val="0"/>
                  <w:marRight w:val="0"/>
                  <w:marTop w:val="0"/>
                  <w:marBottom w:val="0"/>
                  <w:divBdr>
                    <w:top w:val="none" w:sz="0" w:space="0" w:color="auto"/>
                    <w:left w:val="none" w:sz="0" w:space="0" w:color="auto"/>
                    <w:bottom w:val="none" w:sz="0" w:space="0" w:color="auto"/>
                    <w:right w:val="none" w:sz="0" w:space="0" w:color="auto"/>
                  </w:divBdr>
                </w:div>
              </w:divsChild>
            </w:div>
            <w:div w:id="885220559">
              <w:marLeft w:val="0"/>
              <w:marRight w:val="0"/>
              <w:marTop w:val="0"/>
              <w:marBottom w:val="0"/>
              <w:divBdr>
                <w:top w:val="none" w:sz="0" w:space="0" w:color="auto"/>
                <w:left w:val="none" w:sz="0" w:space="0" w:color="auto"/>
                <w:bottom w:val="none" w:sz="0" w:space="0" w:color="auto"/>
                <w:right w:val="none" w:sz="0" w:space="0" w:color="auto"/>
              </w:divBdr>
              <w:divsChild>
                <w:div w:id="32120295">
                  <w:marLeft w:val="0"/>
                  <w:marRight w:val="0"/>
                  <w:marTop w:val="0"/>
                  <w:marBottom w:val="0"/>
                  <w:divBdr>
                    <w:top w:val="none" w:sz="0" w:space="0" w:color="auto"/>
                    <w:left w:val="none" w:sz="0" w:space="0" w:color="auto"/>
                    <w:bottom w:val="none" w:sz="0" w:space="0" w:color="auto"/>
                    <w:right w:val="none" w:sz="0" w:space="0" w:color="auto"/>
                  </w:divBdr>
                </w:div>
              </w:divsChild>
            </w:div>
            <w:div w:id="887381577">
              <w:marLeft w:val="0"/>
              <w:marRight w:val="0"/>
              <w:marTop w:val="0"/>
              <w:marBottom w:val="0"/>
              <w:divBdr>
                <w:top w:val="none" w:sz="0" w:space="0" w:color="auto"/>
                <w:left w:val="none" w:sz="0" w:space="0" w:color="auto"/>
                <w:bottom w:val="none" w:sz="0" w:space="0" w:color="auto"/>
                <w:right w:val="none" w:sz="0" w:space="0" w:color="auto"/>
              </w:divBdr>
              <w:divsChild>
                <w:div w:id="1560289440">
                  <w:marLeft w:val="0"/>
                  <w:marRight w:val="0"/>
                  <w:marTop w:val="0"/>
                  <w:marBottom w:val="0"/>
                  <w:divBdr>
                    <w:top w:val="none" w:sz="0" w:space="0" w:color="auto"/>
                    <w:left w:val="none" w:sz="0" w:space="0" w:color="auto"/>
                    <w:bottom w:val="none" w:sz="0" w:space="0" w:color="auto"/>
                    <w:right w:val="none" w:sz="0" w:space="0" w:color="auto"/>
                  </w:divBdr>
                </w:div>
              </w:divsChild>
            </w:div>
            <w:div w:id="891961049">
              <w:marLeft w:val="0"/>
              <w:marRight w:val="0"/>
              <w:marTop w:val="0"/>
              <w:marBottom w:val="0"/>
              <w:divBdr>
                <w:top w:val="none" w:sz="0" w:space="0" w:color="auto"/>
                <w:left w:val="none" w:sz="0" w:space="0" w:color="auto"/>
                <w:bottom w:val="none" w:sz="0" w:space="0" w:color="auto"/>
                <w:right w:val="none" w:sz="0" w:space="0" w:color="auto"/>
              </w:divBdr>
              <w:divsChild>
                <w:div w:id="2125271136">
                  <w:marLeft w:val="0"/>
                  <w:marRight w:val="0"/>
                  <w:marTop w:val="0"/>
                  <w:marBottom w:val="0"/>
                  <w:divBdr>
                    <w:top w:val="none" w:sz="0" w:space="0" w:color="auto"/>
                    <w:left w:val="none" w:sz="0" w:space="0" w:color="auto"/>
                    <w:bottom w:val="none" w:sz="0" w:space="0" w:color="auto"/>
                    <w:right w:val="none" w:sz="0" w:space="0" w:color="auto"/>
                  </w:divBdr>
                </w:div>
              </w:divsChild>
            </w:div>
            <w:div w:id="947354947">
              <w:marLeft w:val="0"/>
              <w:marRight w:val="0"/>
              <w:marTop w:val="0"/>
              <w:marBottom w:val="0"/>
              <w:divBdr>
                <w:top w:val="none" w:sz="0" w:space="0" w:color="auto"/>
                <w:left w:val="none" w:sz="0" w:space="0" w:color="auto"/>
                <w:bottom w:val="none" w:sz="0" w:space="0" w:color="auto"/>
                <w:right w:val="none" w:sz="0" w:space="0" w:color="auto"/>
              </w:divBdr>
              <w:divsChild>
                <w:div w:id="1235551050">
                  <w:marLeft w:val="0"/>
                  <w:marRight w:val="0"/>
                  <w:marTop w:val="0"/>
                  <w:marBottom w:val="0"/>
                  <w:divBdr>
                    <w:top w:val="none" w:sz="0" w:space="0" w:color="auto"/>
                    <w:left w:val="none" w:sz="0" w:space="0" w:color="auto"/>
                    <w:bottom w:val="none" w:sz="0" w:space="0" w:color="auto"/>
                    <w:right w:val="none" w:sz="0" w:space="0" w:color="auto"/>
                  </w:divBdr>
                </w:div>
              </w:divsChild>
            </w:div>
            <w:div w:id="951131506">
              <w:marLeft w:val="0"/>
              <w:marRight w:val="0"/>
              <w:marTop w:val="0"/>
              <w:marBottom w:val="0"/>
              <w:divBdr>
                <w:top w:val="none" w:sz="0" w:space="0" w:color="auto"/>
                <w:left w:val="none" w:sz="0" w:space="0" w:color="auto"/>
                <w:bottom w:val="none" w:sz="0" w:space="0" w:color="auto"/>
                <w:right w:val="none" w:sz="0" w:space="0" w:color="auto"/>
              </w:divBdr>
              <w:divsChild>
                <w:div w:id="1087071637">
                  <w:marLeft w:val="0"/>
                  <w:marRight w:val="0"/>
                  <w:marTop w:val="0"/>
                  <w:marBottom w:val="0"/>
                  <w:divBdr>
                    <w:top w:val="none" w:sz="0" w:space="0" w:color="auto"/>
                    <w:left w:val="none" w:sz="0" w:space="0" w:color="auto"/>
                    <w:bottom w:val="none" w:sz="0" w:space="0" w:color="auto"/>
                    <w:right w:val="none" w:sz="0" w:space="0" w:color="auto"/>
                  </w:divBdr>
                </w:div>
              </w:divsChild>
            </w:div>
            <w:div w:id="952592798">
              <w:marLeft w:val="0"/>
              <w:marRight w:val="0"/>
              <w:marTop w:val="0"/>
              <w:marBottom w:val="0"/>
              <w:divBdr>
                <w:top w:val="none" w:sz="0" w:space="0" w:color="auto"/>
                <w:left w:val="none" w:sz="0" w:space="0" w:color="auto"/>
                <w:bottom w:val="none" w:sz="0" w:space="0" w:color="auto"/>
                <w:right w:val="none" w:sz="0" w:space="0" w:color="auto"/>
              </w:divBdr>
              <w:divsChild>
                <w:div w:id="91127475">
                  <w:marLeft w:val="0"/>
                  <w:marRight w:val="0"/>
                  <w:marTop w:val="0"/>
                  <w:marBottom w:val="0"/>
                  <w:divBdr>
                    <w:top w:val="none" w:sz="0" w:space="0" w:color="auto"/>
                    <w:left w:val="none" w:sz="0" w:space="0" w:color="auto"/>
                    <w:bottom w:val="none" w:sz="0" w:space="0" w:color="auto"/>
                    <w:right w:val="none" w:sz="0" w:space="0" w:color="auto"/>
                  </w:divBdr>
                </w:div>
              </w:divsChild>
            </w:div>
            <w:div w:id="982009237">
              <w:marLeft w:val="0"/>
              <w:marRight w:val="0"/>
              <w:marTop w:val="0"/>
              <w:marBottom w:val="0"/>
              <w:divBdr>
                <w:top w:val="none" w:sz="0" w:space="0" w:color="auto"/>
                <w:left w:val="none" w:sz="0" w:space="0" w:color="auto"/>
                <w:bottom w:val="none" w:sz="0" w:space="0" w:color="auto"/>
                <w:right w:val="none" w:sz="0" w:space="0" w:color="auto"/>
              </w:divBdr>
              <w:divsChild>
                <w:div w:id="229584484">
                  <w:marLeft w:val="0"/>
                  <w:marRight w:val="0"/>
                  <w:marTop w:val="0"/>
                  <w:marBottom w:val="0"/>
                  <w:divBdr>
                    <w:top w:val="none" w:sz="0" w:space="0" w:color="auto"/>
                    <w:left w:val="none" w:sz="0" w:space="0" w:color="auto"/>
                    <w:bottom w:val="none" w:sz="0" w:space="0" w:color="auto"/>
                    <w:right w:val="none" w:sz="0" w:space="0" w:color="auto"/>
                  </w:divBdr>
                </w:div>
              </w:divsChild>
            </w:div>
            <w:div w:id="1002469645">
              <w:marLeft w:val="0"/>
              <w:marRight w:val="0"/>
              <w:marTop w:val="0"/>
              <w:marBottom w:val="0"/>
              <w:divBdr>
                <w:top w:val="none" w:sz="0" w:space="0" w:color="auto"/>
                <w:left w:val="none" w:sz="0" w:space="0" w:color="auto"/>
                <w:bottom w:val="none" w:sz="0" w:space="0" w:color="auto"/>
                <w:right w:val="none" w:sz="0" w:space="0" w:color="auto"/>
              </w:divBdr>
              <w:divsChild>
                <w:div w:id="1889102583">
                  <w:marLeft w:val="0"/>
                  <w:marRight w:val="0"/>
                  <w:marTop w:val="0"/>
                  <w:marBottom w:val="0"/>
                  <w:divBdr>
                    <w:top w:val="none" w:sz="0" w:space="0" w:color="auto"/>
                    <w:left w:val="none" w:sz="0" w:space="0" w:color="auto"/>
                    <w:bottom w:val="none" w:sz="0" w:space="0" w:color="auto"/>
                    <w:right w:val="none" w:sz="0" w:space="0" w:color="auto"/>
                  </w:divBdr>
                </w:div>
              </w:divsChild>
            </w:div>
            <w:div w:id="1031415720">
              <w:marLeft w:val="0"/>
              <w:marRight w:val="0"/>
              <w:marTop w:val="0"/>
              <w:marBottom w:val="0"/>
              <w:divBdr>
                <w:top w:val="none" w:sz="0" w:space="0" w:color="auto"/>
                <w:left w:val="none" w:sz="0" w:space="0" w:color="auto"/>
                <w:bottom w:val="none" w:sz="0" w:space="0" w:color="auto"/>
                <w:right w:val="none" w:sz="0" w:space="0" w:color="auto"/>
              </w:divBdr>
              <w:divsChild>
                <w:div w:id="1393189466">
                  <w:marLeft w:val="0"/>
                  <w:marRight w:val="0"/>
                  <w:marTop w:val="0"/>
                  <w:marBottom w:val="0"/>
                  <w:divBdr>
                    <w:top w:val="none" w:sz="0" w:space="0" w:color="auto"/>
                    <w:left w:val="none" w:sz="0" w:space="0" w:color="auto"/>
                    <w:bottom w:val="none" w:sz="0" w:space="0" w:color="auto"/>
                    <w:right w:val="none" w:sz="0" w:space="0" w:color="auto"/>
                  </w:divBdr>
                </w:div>
              </w:divsChild>
            </w:div>
            <w:div w:id="1074089325">
              <w:marLeft w:val="0"/>
              <w:marRight w:val="0"/>
              <w:marTop w:val="0"/>
              <w:marBottom w:val="0"/>
              <w:divBdr>
                <w:top w:val="none" w:sz="0" w:space="0" w:color="auto"/>
                <w:left w:val="none" w:sz="0" w:space="0" w:color="auto"/>
                <w:bottom w:val="none" w:sz="0" w:space="0" w:color="auto"/>
                <w:right w:val="none" w:sz="0" w:space="0" w:color="auto"/>
              </w:divBdr>
              <w:divsChild>
                <w:div w:id="1745370331">
                  <w:marLeft w:val="0"/>
                  <w:marRight w:val="0"/>
                  <w:marTop w:val="0"/>
                  <w:marBottom w:val="0"/>
                  <w:divBdr>
                    <w:top w:val="none" w:sz="0" w:space="0" w:color="auto"/>
                    <w:left w:val="none" w:sz="0" w:space="0" w:color="auto"/>
                    <w:bottom w:val="none" w:sz="0" w:space="0" w:color="auto"/>
                    <w:right w:val="none" w:sz="0" w:space="0" w:color="auto"/>
                  </w:divBdr>
                </w:div>
              </w:divsChild>
            </w:div>
            <w:div w:id="1084843729">
              <w:marLeft w:val="0"/>
              <w:marRight w:val="0"/>
              <w:marTop w:val="0"/>
              <w:marBottom w:val="0"/>
              <w:divBdr>
                <w:top w:val="none" w:sz="0" w:space="0" w:color="auto"/>
                <w:left w:val="none" w:sz="0" w:space="0" w:color="auto"/>
                <w:bottom w:val="none" w:sz="0" w:space="0" w:color="auto"/>
                <w:right w:val="none" w:sz="0" w:space="0" w:color="auto"/>
              </w:divBdr>
              <w:divsChild>
                <w:div w:id="1734809523">
                  <w:marLeft w:val="0"/>
                  <w:marRight w:val="0"/>
                  <w:marTop w:val="0"/>
                  <w:marBottom w:val="0"/>
                  <w:divBdr>
                    <w:top w:val="none" w:sz="0" w:space="0" w:color="auto"/>
                    <w:left w:val="none" w:sz="0" w:space="0" w:color="auto"/>
                    <w:bottom w:val="none" w:sz="0" w:space="0" w:color="auto"/>
                    <w:right w:val="none" w:sz="0" w:space="0" w:color="auto"/>
                  </w:divBdr>
                </w:div>
              </w:divsChild>
            </w:div>
            <w:div w:id="1122117634">
              <w:marLeft w:val="0"/>
              <w:marRight w:val="0"/>
              <w:marTop w:val="0"/>
              <w:marBottom w:val="0"/>
              <w:divBdr>
                <w:top w:val="none" w:sz="0" w:space="0" w:color="auto"/>
                <w:left w:val="none" w:sz="0" w:space="0" w:color="auto"/>
                <w:bottom w:val="none" w:sz="0" w:space="0" w:color="auto"/>
                <w:right w:val="none" w:sz="0" w:space="0" w:color="auto"/>
              </w:divBdr>
              <w:divsChild>
                <w:div w:id="2104450930">
                  <w:marLeft w:val="0"/>
                  <w:marRight w:val="0"/>
                  <w:marTop w:val="0"/>
                  <w:marBottom w:val="0"/>
                  <w:divBdr>
                    <w:top w:val="none" w:sz="0" w:space="0" w:color="auto"/>
                    <w:left w:val="none" w:sz="0" w:space="0" w:color="auto"/>
                    <w:bottom w:val="none" w:sz="0" w:space="0" w:color="auto"/>
                    <w:right w:val="none" w:sz="0" w:space="0" w:color="auto"/>
                  </w:divBdr>
                </w:div>
              </w:divsChild>
            </w:div>
            <w:div w:id="1132140260">
              <w:marLeft w:val="0"/>
              <w:marRight w:val="0"/>
              <w:marTop w:val="0"/>
              <w:marBottom w:val="0"/>
              <w:divBdr>
                <w:top w:val="none" w:sz="0" w:space="0" w:color="auto"/>
                <w:left w:val="none" w:sz="0" w:space="0" w:color="auto"/>
                <w:bottom w:val="none" w:sz="0" w:space="0" w:color="auto"/>
                <w:right w:val="none" w:sz="0" w:space="0" w:color="auto"/>
              </w:divBdr>
              <w:divsChild>
                <w:div w:id="1470366739">
                  <w:marLeft w:val="0"/>
                  <w:marRight w:val="0"/>
                  <w:marTop w:val="0"/>
                  <w:marBottom w:val="0"/>
                  <w:divBdr>
                    <w:top w:val="none" w:sz="0" w:space="0" w:color="auto"/>
                    <w:left w:val="none" w:sz="0" w:space="0" w:color="auto"/>
                    <w:bottom w:val="none" w:sz="0" w:space="0" w:color="auto"/>
                    <w:right w:val="none" w:sz="0" w:space="0" w:color="auto"/>
                  </w:divBdr>
                </w:div>
              </w:divsChild>
            </w:div>
            <w:div w:id="1170171103">
              <w:marLeft w:val="0"/>
              <w:marRight w:val="0"/>
              <w:marTop w:val="0"/>
              <w:marBottom w:val="0"/>
              <w:divBdr>
                <w:top w:val="none" w:sz="0" w:space="0" w:color="auto"/>
                <w:left w:val="none" w:sz="0" w:space="0" w:color="auto"/>
                <w:bottom w:val="none" w:sz="0" w:space="0" w:color="auto"/>
                <w:right w:val="none" w:sz="0" w:space="0" w:color="auto"/>
              </w:divBdr>
              <w:divsChild>
                <w:div w:id="394399573">
                  <w:marLeft w:val="0"/>
                  <w:marRight w:val="0"/>
                  <w:marTop w:val="0"/>
                  <w:marBottom w:val="0"/>
                  <w:divBdr>
                    <w:top w:val="none" w:sz="0" w:space="0" w:color="auto"/>
                    <w:left w:val="none" w:sz="0" w:space="0" w:color="auto"/>
                    <w:bottom w:val="none" w:sz="0" w:space="0" w:color="auto"/>
                    <w:right w:val="none" w:sz="0" w:space="0" w:color="auto"/>
                  </w:divBdr>
                </w:div>
              </w:divsChild>
            </w:div>
            <w:div w:id="1171027991">
              <w:marLeft w:val="0"/>
              <w:marRight w:val="0"/>
              <w:marTop w:val="0"/>
              <w:marBottom w:val="0"/>
              <w:divBdr>
                <w:top w:val="none" w:sz="0" w:space="0" w:color="auto"/>
                <w:left w:val="none" w:sz="0" w:space="0" w:color="auto"/>
                <w:bottom w:val="none" w:sz="0" w:space="0" w:color="auto"/>
                <w:right w:val="none" w:sz="0" w:space="0" w:color="auto"/>
              </w:divBdr>
              <w:divsChild>
                <w:div w:id="359015021">
                  <w:marLeft w:val="0"/>
                  <w:marRight w:val="0"/>
                  <w:marTop w:val="0"/>
                  <w:marBottom w:val="0"/>
                  <w:divBdr>
                    <w:top w:val="none" w:sz="0" w:space="0" w:color="auto"/>
                    <w:left w:val="none" w:sz="0" w:space="0" w:color="auto"/>
                    <w:bottom w:val="none" w:sz="0" w:space="0" w:color="auto"/>
                    <w:right w:val="none" w:sz="0" w:space="0" w:color="auto"/>
                  </w:divBdr>
                </w:div>
              </w:divsChild>
            </w:div>
            <w:div w:id="1214080259">
              <w:marLeft w:val="0"/>
              <w:marRight w:val="0"/>
              <w:marTop w:val="0"/>
              <w:marBottom w:val="0"/>
              <w:divBdr>
                <w:top w:val="none" w:sz="0" w:space="0" w:color="auto"/>
                <w:left w:val="none" w:sz="0" w:space="0" w:color="auto"/>
                <w:bottom w:val="none" w:sz="0" w:space="0" w:color="auto"/>
                <w:right w:val="none" w:sz="0" w:space="0" w:color="auto"/>
              </w:divBdr>
              <w:divsChild>
                <w:div w:id="1320110347">
                  <w:marLeft w:val="0"/>
                  <w:marRight w:val="0"/>
                  <w:marTop w:val="0"/>
                  <w:marBottom w:val="0"/>
                  <w:divBdr>
                    <w:top w:val="none" w:sz="0" w:space="0" w:color="auto"/>
                    <w:left w:val="none" w:sz="0" w:space="0" w:color="auto"/>
                    <w:bottom w:val="none" w:sz="0" w:space="0" w:color="auto"/>
                    <w:right w:val="none" w:sz="0" w:space="0" w:color="auto"/>
                  </w:divBdr>
                </w:div>
              </w:divsChild>
            </w:div>
            <w:div w:id="1237127608">
              <w:marLeft w:val="0"/>
              <w:marRight w:val="0"/>
              <w:marTop w:val="0"/>
              <w:marBottom w:val="0"/>
              <w:divBdr>
                <w:top w:val="none" w:sz="0" w:space="0" w:color="auto"/>
                <w:left w:val="none" w:sz="0" w:space="0" w:color="auto"/>
                <w:bottom w:val="none" w:sz="0" w:space="0" w:color="auto"/>
                <w:right w:val="none" w:sz="0" w:space="0" w:color="auto"/>
              </w:divBdr>
              <w:divsChild>
                <w:div w:id="1030228948">
                  <w:marLeft w:val="0"/>
                  <w:marRight w:val="0"/>
                  <w:marTop w:val="0"/>
                  <w:marBottom w:val="0"/>
                  <w:divBdr>
                    <w:top w:val="none" w:sz="0" w:space="0" w:color="auto"/>
                    <w:left w:val="none" w:sz="0" w:space="0" w:color="auto"/>
                    <w:bottom w:val="none" w:sz="0" w:space="0" w:color="auto"/>
                    <w:right w:val="none" w:sz="0" w:space="0" w:color="auto"/>
                  </w:divBdr>
                </w:div>
              </w:divsChild>
            </w:div>
            <w:div w:id="1254240011">
              <w:marLeft w:val="0"/>
              <w:marRight w:val="0"/>
              <w:marTop w:val="0"/>
              <w:marBottom w:val="0"/>
              <w:divBdr>
                <w:top w:val="none" w:sz="0" w:space="0" w:color="auto"/>
                <w:left w:val="none" w:sz="0" w:space="0" w:color="auto"/>
                <w:bottom w:val="none" w:sz="0" w:space="0" w:color="auto"/>
                <w:right w:val="none" w:sz="0" w:space="0" w:color="auto"/>
              </w:divBdr>
              <w:divsChild>
                <w:div w:id="951012196">
                  <w:marLeft w:val="0"/>
                  <w:marRight w:val="0"/>
                  <w:marTop w:val="0"/>
                  <w:marBottom w:val="0"/>
                  <w:divBdr>
                    <w:top w:val="none" w:sz="0" w:space="0" w:color="auto"/>
                    <w:left w:val="none" w:sz="0" w:space="0" w:color="auto"/>
                    <w:bottom w:val="none" w:sz="0" w:space="0" w:color="auto"/>
                    <w:right w:val="none" w:sz="0" w:space="0" w:color="auto"/>
                  </w:divBdr>
                </w:div>
              </w:divsChild>
            </w:div>
            <w:div w:id="1297298364">
              <w:marLeft w:val="0"/>
              <w:marRight w:val="0"/>
              <w:marTop w:val="0"/>
              <w:marBottom w:val="0"/>
              <w:divBdr>
                <w:top w:val="none" w:sz="0" w:space="0" w:color="auto"/>
                <w:left w:val="none" w:sz="0" w:space="0" w:color="auto"/>
                <w:bottom w:val="none" w:sz="0" w:space="0" w:color="auto"/>
                <w:right w:val="none" w:sz="0" w:space="0" w:color="auto"/>
              </w:divBdr>
              <w:divsChild>
                <w:div w:id="1842430399">
                  <w:marLeft w:val="0"/>
                  <w:marRight w:val="0"/>
                  <w:marTop w:val="0"/>
                  <w:marBottom w:val="0"/>
                  <w:divBdr>
                    <w:top w:val="none" w:sz="0" w:space="0" w:color="auto"/>
                    <w:left w:val="none" w:sz="0" w:space="0" w:color="auto"/>
                    <w:bottom w:val="none" w:sz="0" w:space="0" w:color="auto"/>
                    <w:right w:val="none" w:sz="0" w:space="0" w:color="auto"/>
                  </w:divBdr>
                </w:div>
              </w:divsChild>
            </w:div>
            <w:div w:id="1308776915">
              <w:marLeft w:val="0"/>
              <w:marRight w:val="0"/>
              <w:marTop w:val="0"/>
              <w:marBottom w:val="0"/>
              <w:divBdr>
                <w:top w:val="none" w:sz="0" w:space="0" w:color="auto"/>
                <w:left w:val="none" w:sz="0" w:space="0" w:color="auto"/>
                <w:bottom w:val="none" w:sz="0" w:space="0" w:color="auto"/>
                <w:right w:val="none" w:sz="0" w:space="0" w:color="auto"/>
              </w:divBdr>
              <w:divsChild>
                <w:div w:id="2055348208">
                  <w:marLeft w:val="0"/>
                  <w:marRight w:val="0"/>
                  <w:marTop w:val="0"/>
                  <w:marBottom w:val="0"/>
                  <w:divBdr>
                    <w:top w:val="none" w:sz="0" w:space="0" w:color="auto"/>
                    <w:left w:val="none" w:sz="0" w:space="0" w:color="auto"/>
                    <w:bottom w:val="none" w:sz="0" w:space="0" w:color="auto"/>
                    <w:right w:val="none" w:sz="0" w:space="0" w:color="auto"/>
                  </w:divBdr>
                </w:div>
              </w:divsChild>
            </w:div>
            <w:div w:id="1326855251">
              <w:marLeft w:val="0"/>
              <w:marRight w:val="0"/>
              <w:marTop w:val="0"/>
              <w:marBottom w:val="0"/>
              <w:divBdr>
                <w:top w:val="none" w:sz="0" w:space="0" w:color="auto"/>
                <w:left w:val="none" w:sz="0" w:space="0" w:color="auto"/>
                <w:bottom w:val="none" w:sz="0" w:space="0" w:color="auto"/>
                <w:right w:val="none" w:sz="0" w:space="0" w:color="auto"/>
              </w:divBdr>
              <w:divsChild>
                <w:div w:id="994185813">
                  <w:marLeft w:val="0"/>
                  <w:marRight w:val="0"/>
                  <w:marTop w:val="0"/>
                  <w:marBottom w:val="0"/>
                  <w:divBdr>
                    <w:top w:val="none" w:sz="0" w:space="0" w:color="auto"/>
                    <w:left w:val="none" w:sz="0" w:space="0" w:color="auto"/>
                    <w:bottom w:val="none" w:sz="0" w:space="0" w:color="auto"/>
                    <w:right w:val="none" w:sz="0" w:space="0" w:color="auto"/>
                  </w:divBdr>
                </w:div>
              </w:divsChild>
            </w:div>
            <w:div w:id="1345203808">
              <w:marLeft w:val="0"/>
              <w:marRight w:val="0"/>
              <w:marTop w:val="0"/>
              <w:marBottom w:val="0"/>
              <w:divBdr>
                <w:top w:val="none" w:sz="0" w:space="0" w:color="auto"/>
                <w:left w:val="none" w:sz="0" w:space="0" w:color="auto"/>
                <w:bottom w:val="none" w:sz="0" w:space="0" w:color="auto"/>
                <w:right w:val="none" w:sz="0" w:space="0" w:color="auto"/>
              </w:divBdr>
              <w:divsChild>
                <w:div w:id="1541478667">
                  <w:marLeft w:val="0"/>
                  <w:marRight w:val="0"/>
                  <w:marTop w:val="0"/>
                  <w:marBottom w:val="0"/>
                  <w:divBdr>
                    <w:top w:val="none" w:sz="0" w:space="0" w:color="auto"/>
                    <w:left w:val="none" w:sz="0" w:space="0" w:color="auto"/>
                    <w:bottom w:val="none" w:sz="0" w:space="0" w:color="auto"/>
                    <w:right w:val="none" w:sz="0" w:space="0" w:color="auto"/>
                  </w:divBdr>
                </w:div>
              </w:divsChild>
            </w:div>
            <w:div w:id="1357536333">
              <w:marLeft w:val="0"/>
              <w:marRight w:val="0"/>
              <w:marTop w:val="0"/>
              <w:marBottom w:val="0"/>
              <w:divBdr>
                <w:top w:val="none" w:sz="0" w:space="0" w:color="auto"/>
                <w:left w:val="none" w:sz="0" w:space="0" w:color="auto"/>
                <w:bottom w:val="none" w:sz="0" w:space="0" w:color="auto"/>
                <w:right w:val="none" w:sz="0" w:space="0" w:color="auto"/>
              </w:divBdr>
              <w:divsChild>
                <w:div w:id="468474191">
                  <w:marLeft w:val="0"/>
                  <w:marRight w:val="0"/>
                  <w:marTop w:val="0"/>
                  <w:marBottom w:val="0"/>
                  <w:divBdr>
                    <w:top w:val="none" w:sz="0" w:space="0" w:color="auto"/>
                    <w:left w:val="none" w:sz="0" w:space="0" w:color="auto"/>
                    <w:bottom w:val="none" w:sz="0" w:space="0" w:color="auto"/>
                    <w:right w:val="none" w:sz="0" w:space="0" w:color="auto"/>
                  </w:divBdr>
                </w:div>
              </w:divsChild>
            </w:div>
            <w:div w:id="1403260234">
              <w:marLeft w:val="0"/>
              <w:marRight w:val="0"/>
              <w:marTop w:val="0"/>
              <w:marBottom w:val="0"/>
              <w:divBdr>
                <w:top w:val="none" w:sz="0" w:space="0" w:color="auto"/>
                <w:left w:val="none" w:sz="0" w:space="0" w:color="auto"/>
                <w:bottom w:val="none" w:sz="0" w:space="0" w:color="auto"/>
                <w:right w:val="none" w:sz="0" w:space="0" w:color="auto"/>
              </w:divBdr>
              <w:divsChild>
                <w:div w:id="1126855850">
                  <w:marLeft w:val="0"/>
                  <w:marRight w:val="0"/>
                  <w:marTop w:val="0"/>
                  <w:marBottom w:val="0"/>
                  <w:divBdr>
                    <w:top w:val="none" w:sz="0" w:space="0" w:color="auto"/>
                    <w:left w:val="none" w:sz="0" w:space="0" w:color="auto"/>
                    <w:bottom w:val="none" w:sz="0" w:space="0" w:color="auto"/>
                    <w:right w:val="none" w:sz="0" w:space="0" w:color="auto"/>
                  </w:divBdr>
                </w:div>
              </w:divsChild>
            </w:div>
            <w:div w:id="1462502647">
              <w:marLeft w:val="0"/>
              <w:marRight w:val="0"/>
              <w:marTop w:val="0"/>
              <w:marBottom w:val="0"/>
              <w:divBdr>
                <w:top w:val="none" w:sz="0" w:space="0" w:color="auto"/>
                <w:left w:val="none" w:sz="0" w:space="0" w:color="auto"/>
                <w:bottom w:val="none" w:sz="0" w:space="0" w:color="auto"/>
                <w:right w:val="none" w:sz="0" w:space="0" w:color="auto"/>
              </w:divBdr>
              <w:divsChild>
                <w:div w:id="1696611655">
                  <w:marLeft w:val="0"/>
                  <w:marRight w:val="0"/>
                  <w:marTop w:val="0"/>
                  <w:marBottom w:val="0"/>
                  <w:divBdr>
                    <w:top w:val="none" w:sz="0" w:space="0" w:color="auto"/>
                    <w:left w:val="none" w:sz="0" w:space="0" w:color="auto"/>
                    <w:bottom w:val="none" w:sz="0" w:space="0" w:color="auto"/>
                    <w:right w:val="none" w:sz="0" w:space="0" w:color="auto"/>
                  </w:divBdr>
                </w:div>
              </w:divsChild>
            </w:div>
            <w:div w:id="1489788765">
              <w:marLeft w:val="0"/>
              <w:marRight w:val="0"/>
              <w:marTop w:val="0"/>
              <w:marBottom w:val="0"/>
              <w:divBdr>
                <w:top w:val="none" w:sz="0" w:space="0" w:color="auto"/>
                <w:left w:val="none" w:sz="0" w:space="0" w:color="auto"/>
                <w:bottom w:val="none" w:sz="0" w:space="0" w:color="auto"/>
                <w:right w:val="none" w:sz="0" w:space="0" w:color="auto"/>
              </w:divBdr>
              <w:divsChild>
                <w:div w:id="402684408">
                  <w:marLeft w:val="0"/>
                  <w:marRight w:val="0"/>
                  <w:marTop w:val="0"/>
                  <w:marBottom w:val="0"/>
                  <w:divBdr>
                    <w:top w:val="none" w:sz="0" w:space="0" w:color="auto"/>
                    <w:left w:val="none" w:sz="0" w:space="0" w:color="auto"/>
                    <w:bottom w:val="none" w:sz="0" w:space="0" w:color="auto"/>
                    <w:right w:val="none" w:sz="0" w:space="0" w:color="auto"/>
                  </w:divBdr>
                </w:div>
              </w:divsChild>
            </w:div>
            <w:div w:id="1494952820">
              <w:marLeft w:val="0"/>
              <w:marRight w:val="0"/>
              <w:marTop w:val="0"/>
              <w:marBottom w:val="0"/>
              <w:divBdr>
                <w:top w:val="none" w:sz="0" w:space="0" w:color="auto"/>
                <w:left w:val="none" w:sz="0" w:space="0" w:color="auto"/>
                <w:bottom w:val="none" w:sz="0" w:space="0" w:color="auto"/>
                <w:right w:val="none" w:sz="0" w:space="0" w:color="auto"/>
              </w:divBdr>
              <w:divsChild>
                <w:div w:id="216091402">
                  <w:marLeft w:val="0"/>
                  <w:marRight w:val="0"/>
                  <w:marTop w:val="0"/>
                  <w:marBottom w:val="0"/>
                  <w:divBdr>
                    <w:top w:val="none" w:sz="0" w:space="0" w:color="auto"/>
                    <w:left w:val="none" w:sz="0" w:space="0" w:color="auto"/>
                    <w:bottom w:val="none" w:sz="0" w:space="0" w:color="auto"/>
                    <w:right w:val="none" w:sz="0" w:space="0" w:color="auto"/>
                  </w:divBdr>
                </w:div>
              </w:divsChild>
            </w:div>
            <w:div w:id="1544712536">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
              </w:divsChild>
            </w:div>
            <w:div w:id="1547913423">
              <w:marLeft w:val="0"/>
              <w:marRight w:val="0"/>
              <w:marTop w:val="0"/>
              <w:marBottom w:val="0"/>
              <w:divBdr>
                <w:top w:val="none" w:sz="0" w:space="0" w:color="auto"/>
                <w:left w:val="none" w:sz="0" w:space="0" w:color="auto"/>
                <w:bottom w:val="none" w:sz="0" w:space="0" w:color="auto"/>
                <w:right w:val="none" w:sz="0" w:space="0" w:color="auto"/>
              </w:divBdr>
              <w:divsChild>
                <w:div w:id="93987514">
                  <w:marLeft w:val="0"/>
                  <w:marRight w:val="0"/>
                  <w:marTop w:val="0"/>
                  <w:marBottom w:val="0"/>
                  <w:divBdr>
                    <w:top w:val="none" w:sz="0" w:space="0" w:color="auto"/>
                    <w:left w:val="none" w:sz="0" w:space="0" w:color="auto"/>
                    <w:bottom w:val="none" w:sz="0" w:space="0" w:color="auto"/>
                    <w:right w:val="none" w:sz="0" w:space="0" w:color="auto"/>
                  </w:divBdr>
                </w:div>
              </w:divsChild>
            </w:div>
            <w:div w:id="1566717319">
              <w:marLeft w:val="0"/>
              <w:marRight w:val="0"/>
              <w:marTop w:val="0"/>
              <w:marBottom w:val="0"/>
              <w:divBdr>
                <w:top w:val="none" w:sz="0" w:space="0" w:color="auto"/>
                <w:left w:val="none" w:sz="0" w:space="0" w:color="auto"/>
                <w:bottom w:val="none" w:sz="0" w:space="0" w:color="auto"/>
                <w:right w:val="none" w:sz="0" w:space="0" w:color="auto"/>
              </w:divBdr>
              <w:divsChild>
                <w:div w:id="444815285">
                  <w:marLeft w:val="0"/>
                  <w:marRight w:val="0"/>
                  <w:marTop w:val="0"/>
                  <w:marBottom w:val="0"/>
                  <w:divBdr>
                    <w:top w:val="none" w:sz="0" w:space="0" w:color="auto"/>
                    <w:left w:val="none" w:sz="0" w:space="0" w:color="auto"/>
                    <w:bottom w:val="none" w:sz="0" w:space="0" w:color="auto"/>
                    <w:right w:val="none" w:sz="0" w:space="0" w:color="auto"/>
                  </w:divBdr>
                </w:div>
              </w:divsChild>
            </w:div>
            <w:div w:id="1574660389">
              <w:marLeft w:val="0"/>
              <w:marRight w:val="0"/>
              <w:marTop w:val="0"/>
              <w:marBottom w:val="0"/>
              <w:divBdr>
                <w:top w:val="none" w:sz="0" w:space="0" w:color="auto"/>
                <w:left w:val="none" w:sz="0" w:space="0" w:color="auto"/>
                <w:bottom w:val="none" w:sz="0" w:space="0" w:color="auto"/>
                <w:right w:val="none" w:sz="0" w:space="0" w:color="auto"/>
              </w:divBdr>
              <w:divsChild>
                <w:div w:id="885064506">
                  <w:marLeft w:val="0"/>
                  <w:marRight w:val="0"/>
                  <w:marTop w:val="0"/>
                  <w:marBottom w:val="0"/>
                  <w:divBdr>
                    <w:top w:val="none" w:sz="0" w:space="0" w:color="auto"/>
                    <w:left w:val="none" w:sz="0" w:space="0" w:color="auto"/>
                    <w:bottom w:val="none" w:sz="0" w:space="0" w:color="auto"/>
                    <w:right w:val="none" w:sz="0" w:space="0" w:color="auto"/>
                  </w:divBdr>
                </w:div>
              </w:divsChild>
            </w:div>
            <w:div w:id="1643119814">
              <w:marLeft w:val="0"/>
              <w:marRight w:val="0"/>
              <w:marTop w:val="0"/>
              <w:marBottom w:val="0"/>
              <w:divBdr>
                <w:top w:val="none" w:sz="0" w:space="0" w:color="auto"/>
                <w:left w:val="none" w:sz="0" w:space="0" w:color="auto"/>
                <w:bottom w:val="none" w:sz="0" w:space="0" w:color="auto"/>
                <w:right w:val="none" w:sz="0" w:space="0" w:color="auto"/>
              </w:divBdr>
              <w:divsChild>
                <w:div w:id="569466272">
                  <w:marLeft w:val="0"/>
                  <w:marRight w:val="0"/>
                  <w:marTop w:val="0"/>
                  <w:marBottom w:val="0"/>
                  <w:divBdr>
                    <w:top w:val="none" w:sz="0" w:space="0" w:color="auto"/>
                    <w:left w:val="none" w:sz="0" w:space="0" w:color="auto"/>
                    <w:bottom w:val="none" w:sz="0" w:space="0" w:color="auto"/>
                    <w:right w:val="none" w:sz="0" w:space="0" w:color="auto"/>
                  </w:divBdr>
                </w:div>
              </w:divsChild>
            </w:div>
            <w:div w:id="1664234762">
              <w:marLeft w:val="0"/>
              <w:marRight w:val="0"/>
              <w:marTop w:val="0"/>
              <w:marBottom w:val="0"/>
              <w:divBdr>
                <w:top w:val="none" w:sz="0" w:space="0" w:color="auto"/>
                <w:left w:val="none" w:sz="0" w:space="0" w:color="auto"/>
                <w:bottom w:val="none" w:sz="0" w:space="0" w:color="auto"/>
                <w:right w:val="none" w:sz="0" w:space="0" w:color="auto"/>
              </w:divBdr>
              <w:divsChild>
                <w:div w:id="1526867686">
                  <w:marLeft w:val="0"/>
                  <w:marRight w:val="0"/>
                  <w:marTop w:val="0"/>
                  <w:marBottom w:val="0"/>
                  <w:divBdr>
                    <w:top w:val="none" w:sz="0" w:space="0" w:color="auto"/>
                    <w:left w:val="none" w:sz="0" w:space="0" w:color="auto"/>
                    <w:bottom w:val="none" w:sz="0" w:space="0" w:color="auto"/>
                    <w:right w:val="none" w:sz="0" w:space="0" w:color="auto"/>
                  </w:divBdr>
                </w:div>
              </w:divsChild>
            </w:div>
            <w:div w:id="1676882002">
              <w:marLeft w:val="0"/>
              <w:marRight w:val="0"/>
              <w:marTop w:val="0"/>
              <w:marBottom w:val="0"/>
              <w:divBdr>
                <w:top w:val="none" w:sz="0" w:space="0" w:color="auto"/>
                <w:left w:val="none" w:sz="0" w:space="0" w:color="auto"/>
                <w:bottom w:val="none" w:sz="0" w:space="0" w:color="auto"/>
                <w:right w:val="none" w:sz="0" w:space="0" w:color="auto"/>
              </w:divBdr>
              <w:divsChild>
                <w:div w:id="912542768">
                  <w:marLeft w:val="0"/>
                  <w:marRight w:val="0"/>
                  <w:marTop w:val="0"/>
                  <w:marBottom w:val="0"/>
                  <w:divBdr>
                    <w:top w:val="none" w:sz="0" w:space="0" w:color="auto"/>
                    <w:left w:val="none" w:sz="0" w:space="0" w:color="auto"/>
                    <w:bottom w:val="none" w:sz="0" w:space="0" w:color="auto"/>
                    <w:right w:val="none" w:sz="0" w:space="0" w:color="auto"/>
                  </w:divBdr>
                </w:div>
              </w:divsChild>
            </w:div>
            <w:div w:id="1698463622">
              <w:marLeft w:val="0"/>
              <w:marRight w:val="0"/>
              <w:marTop w:val="0"/>
              <w:marBottom w:val="0"/>
              <w:divBdr>
                <w:top w:val="none" w:sz="0" w:space="0" w:color="auto"/>
                <w:left w:val="none" w:sz="0" w:space="0" w:color="auto"/>
                <w:bottom w:val="none" w:sz="0" w:space="0" w:color="auto"/>
                <w:right w:val="none" w:sz="0" w:space="0" w:color="auto"/>
              </w:divBdr>
              <w:divsChild>
                <w:div w:id="831994606">
                  <w:marLeft w:val="0"/>
                  <w:marRight w:val="0"/>
                  <w:marTop w:val="0"/>
                  <w:marBottom w:val="0"/>
                  <w:divBdr>
                    <w:top w:val="none" w:sz="0" w:space="0" w:color="auto"/>
                    <w:left w:val="none" w:sz="0" w:space="0" w:color="auto"/>
                    <w:bottom w:val="none" w:sz="0" w:space="0" w:color="auto"/>
                    <w:right w:val="none" w:sz="0" w:space="0" w:color="auto"/>
                  </w:divBdr>
                </w:div>
              </w:divsChild>
            </w:div>
            <w:div w:id="1762407040">
              <w:marLeft w:val="0"/>
              <w:marRight w:val="0"/>
              <w:marTop w:val="0"/>
              <w:marBottom w:val="0"/>
              <w:divBdr>
                <w:top w:val="none" w:sz="0" w:space="0" w:color="auto"/>
                <w:left w:val="none" w:sz="0" w:space="0" w:color="auto"/>
                <w:bottom w:val="none" w:sz="0" w:space="0" w:color="auto"/>
                <w:right w:val="none" w:sz="0" w:space="0" w:color="auto"/>
              </w:divBdr>
              <w:divsChild>
                <w:div w:id="624166445">
                  <w:marLeft w:val="0"/>
                  <w:marRight w:val="0"/>
                  <w:marTop w:val="0"/>
                  <w:marBottom w:val="0"/>
                  <w:divBdr>
                    <w:top w:val="none" w:sz="0" w:space="0" w:color="auto"/>
                    <w:left w:val="none" w:sz="0" w:space="0" w:color="auto"/>
                    <w:bottom w:val="none" w:sz="0" w:space="0" w:color="auto"/>
                    <w:right w:val="none" w:sz="0" w:space="0" w:color="auto"/>
                  </w:divBdr>
                </w:div>
              </w:divsChild>
            </w:div>
            <w:div w:id="1786998542">
              <w:marLeft w:val="0"/>
              <w:marRight w:val="0"/>
              <w:marTop w:val="0"/>
              <w:marBottom w:val="0"/>
              <w:divBdr>
                <w:top w:val="none" w:sz="0" w:space="0" w:color="auto"/>
                <w:left w:val="none" w:sz="0" w:space="0" w:color="auto"/>
                <w:bottom w:val="none" w:sz="0" w:space="0" w:color="auto"/>
                <w:right w:val="none" w:sz="0" w:space="0" w:color="auto"/>
              </w:divBdr>
              <w:divsChild>
                <w:div w:id="1906329464">
                  <w:marLeft w:val="0"/>
                  <w:marRight w:val="0"/>
                  <w:marTop w:val="0"/>
                  <w:marBottom w:val="0"/>
                  <w:divBdr>
                    <w:top w:val="none" w:sz="0" w:space="0" w:color="auto"/>
                    <w:left w:val="none" w:sz="0" w:space="0" w:color="auto"/>
                    <w:bottom w:val="none" w:sz="0" w:space="0" w:color="auto"/>
                    <w:right w:val="none" w:sz="0" w:space="0" w:color="auto"/>
                  </w:divBdr>
                </w:div>
              </w:divsChild>
            </w:div>
            <w:div w:id="1800151460">
              <w:marLeft w:val="0"/>
              <w:marRight w:val="0"/>
              <w:marTop w:val="0"/>
              <w:marBottom w:val="0"/>
              <w:divBdr>
                <w:top w:val="none" w:sz="0" w:space="0" w:color="auto"/>
                <w:left w:val="none" w:sz="0" w:space="0" w:color="auto"/>
                <w:bottom w:val="none" w:sz="0" w:space="0" w:color="auto"/>
                <w:right w:val="none" w:sz="0" w:space="0" w:color="auto"/>
              </w:divBdr>
              <w:divsChild>
                <w:div w:id="1542404309">
                  <w:marLeft w:val="0"/>
                  <w:marRight w:val="0"/>
                  <w:marTop w:val="0"/>
                  <w:marBottom w:val="0"/>
                  <w:divBdr>
                    <w:top w:val="none" w:sz="0" w:space="0" w:color="auto"/>
                    <w:left w:val="none" w:sz="0" w:space="0" w:color="auto"/>
                    <w:bottom w:val="none" w:sz="0" w:space="0" w:color="auto"/>
                    <w:right w:val="none" w:sz="0" w:space="0" w:color="auto"/>
                  </w:divBdr>
                </w:div>
              </w:divsChild>
            </w:div>
            <w:div w:id="1804883372">
              <w:marLeft w:val="0"/>
              <w:marRight w:val="0"/>
              <w:marTop w:val="0"/>
              <w:marBottom w:val="0"/>
              <w:divBdr>
                <w:top w:val="none" w:sz="0" w:space="0" w:color="auto"/>
                <w:left w:val="none" w:sz="0" w:space="0" w:color="auto"/>
                <w:bottom w:val="none" w:sz="0" w:space="0" w:color="auto"/>
                <w:right w:val="none" w:sz="0" w:space="0" w:color="auto"/>
              </w:divBdr>
              <w:divsChild>
                <w:div w:id="838468344">
                  <w:marLeft w:val="0"/>
                  <w:marRight w:val="0"/>
                  <w:marTop w:val="0"/>
                  <w:marBottom w:val="0"/>
                  <w:divBdr>
                    <w:top w:val="none" w:sz="0" w:space="0" w:color="auto"/>
                    <w:left w:val="none" w:sz="0" w:space="0" w:color="auto"/>
                    <w:bottom w:val="none" w:sz="0" w:space="0" w:color="auto"/>
                    <w:right w:val="none" w:sz="0" w:space="0" w:color="auto"/>
                  </w:divBdr>
                </w:div>
              </w:divsChild>
            </w:div>
            <w:div w:id="1820074785">
              <w:marLeft w:val="0"/>
              <w:marRight w:val="0"/>
              <w:marTop w:val="0"/>
              <w:marBottom w:val="0"/>
              <w:divBdr>
                <w:top w:val="none" w:sz="0" w:space="0" w:color="auto"/>
                <w:left w:val="none" w:sz="0" w:space="0" w:color="auto"/>
                <w:bottom w:val="none" w:sz="0" w:space="0" w:color="auto"/>
                <w:right w:val="none" w:sz="0" w:space="0" w:color="auto"/>
              </w:divBdr>
              <w:divsChild>
                <w:div w:id="54278708">
                  <w:marLeft w:val="0"/>
                  <w:marRight w:val="0"/>
                  <w:marTop w:val="0"/>
                  <w:marBottom w:val="0"/>
                  <w:divBdr>
                    <w:top w:val="none" w:sz="0" w:space="0" w:color="auto"/>
                    <w:left w:val="none" w:sz="0" w:space="0" w:color="auto"/>
                    <w:bottom w:val="none" w:sz="0" w:space="0" w:color="auto"/>
                    <w:right w:val="none" w:sz="0" w:space="0" w:color="auto"/>
                  </w:divBdr>
                </w:div>
              </w:divsChild>
            </w:div>
            <w:div w:id="1879852665">
              <w:marLeft w:val="0"/>
              <w:marRight w:val="0"/>
              <w:marTop w:val="0"/>
              <w:marBottom w:val="0"/>
              <w:divBdr>
                <w:top w:val="none" w:sz="0" w:space="0" w:color="auto"/>
                <w:left w:val="none" w:sz="0" w:space="0" w:color="auto"/>
                <w:bottom w:val="none" w:sz="0" w:space="0" w:color="auto"/>
                <w:right w:val="none" w:sz="0" w:space="0" w:color="auto"/>
              </w:divBdr>
              <w:divsChild>
                <w:div w:id="1563055850">
                  <w:marLeft w:val="0"/>
                  <w:marRight w:val="0"/>
                  <w:marTop w:val="0"/>
                  <w:marBottom w:val="0"/>
                  <w:divBdr>
                    <w:top w:val="none" w:sz="0" w:space="0" w:color="auto"/>
                    <w:left w:val="none" w:sz="0" w:space="0" w:color="auto"/>
                    <w:bottom w:val="none" w:sz="0" w:space="0" w:color="auto"/>
                    <w:right w:val="none" w:sz="0" w:space="0" w:color="auto"/>
                  </w:divBdr>
                </w:div>
              </w:divsChild>
            </w:div>
            <w:div w:id="1910774384">
              <w:marLeft w:val="0"/>
              <w:marRight w:val="0"/>
              <w:marTop w:val="0"/>
              <w:marBottom w:val="0"/>
              <w:divBdr>
                <w:top w:val="none" w:sz="0" w:space="0" w:color="auto"/>
                <w:left w:val="none" w:sz="0" w:space="0" w:color="auto"/>
                <w:bottom w:val="none" w:sz="0" w:space="0" w:color="auto"/>
                <w:right w:val="none" w:sz="0" w:space="0" w:color="auto"/>
              </w:divBdr>
              <w:divsChild>
                <w:div w:id="2111318225">
                  <w:marLeft w:val="0"/>
                  <w:marRight w:val="0"/>
                  <w:marTop w:val="0"/>
                  <w:marBottom w:val="0"/>
                  <w:divBdr>
                    <w:top w:val="none" w:sz="0" w:space="0" w:color="auto"/>
                    <w:left w:val="none" w:sz="0" w:space="0" w:color="auto"/>
                    <w:bottom w:val="none" w:sz="0" w:space="0" w:color="auto"/>
                    <w:right w:val="none" w:sz="0" w:space="0" w:color="auto"/>
                  </w:divBdr>
                </w:div>
              </w:divsChild>
            </w:div>
            <w:div w:id="1947076342">
              <w:marLeft w:val="0"/>
              <w:marRight w:val="0"/>
              <w:marTop w:val="0"/>
              <w:marBottom w:val="0"/>
              <w:divBdr>
                <w:top w:val="none" w:sz="0" w:space="0" w:color="auto"/>
                <w:left w:val="none" w:sz="0" w:space="0" w:color="auto"/>
                <w:bottom w:val="none" w:sz="0" w:space="0" w:color="auto"/>
                <w:right w:val="none" w:sz="0" w:space="0" w:color="auto"/>
              </w:divBdr>
              <w:divsChild>
                <w:div w:id="393430451">
                  <w:marLeft w:val="0"/>
                  <w:marRight w:val="0"/>
                  <w:marTop w:val="0"/>
                  <w:marBottom w:val="0"/>
                  <w:divBdr>
                    <w:top w:val="none" w:sz="0" w:space="0" w:color="auto"/>
                    <w:left w:val="none" w:sz="0" w:space="0" w:color="auto"/>
                    <w:bottom w:val="none" w:sz="0" w:space="0" w:color="auto"/>
                    <w:right w:val="none" w:sz="0" w:space="0" w:color="auto"/>
                  </w:divBdr>
                </w:div>
              </w:divsChild>
            </w:div>
            <w:div w:id="1990017391">
              <w:marLeft w:val="0"/>
              <w:marRight w:val="0"/>
              <w:marTop w:val="0"/>
              <w:marBottom w:val="0"/>
              <w:divBdr>
                <w:top w:val="none" w:sz="0" w:space="0" w:color="auto"/>
                <w:left w:val="none" w:sz="0" w:space="0" w:color="auto"/>
                <w:bottom w:val="none" w:sz="0" w:space="0" w:color="auto"/>
                <w:right w:val="none" w:sz="0" w:space="0" w:color="auto"/>
              </w:divBdr>
              <w:divsChild>
                <w:div w:id="1506477553">
                  <w:marLeft w:val="0"/>
                  <w:marRight w:val="0"/>
                  <w:marTop w:val="0"/>
                  <w:marBottom w:val="0"/>
                  <w:divBdr>
                    <w:top w:val="none" w:sz="0" w:space="0" w:color="auto"/>
                    <w:left w:val="none" w:sz="0" w:space="0" w:color="auto"/>
                    <w:bottom w:val="none" w:sz="0" w:space="0" w:color="auto"/>
                    <w:right w:val="none" w:sz="0" w:space="0" w:color="auto"/>
                  </w:divBdr>
                </w:div>
              </w:divsChild>
            </w:div>
            <w:div w:id="2000116871">
              <w:marLeft w:val="0"/>
              <w:marRight w:val="0"/>
              <w:marTop w:val="0"/>
              <w:marBottom w:val="0"/>
              <w:divBdr>
                <w:top w:val="none" w:sz="0" w:space="0" w:color="auto"/>
                <w:left w:val="none" w:sz="0" w:space="0" w:color="auto"/>
                <w:bottom w:val="none" w:sz="0" w:space="0" w:color="auto"/>
                <w:right w:val="none" w:sz="0" w:space="0" w:color="auto"/>
              </w:divBdr>
              <w:divsChild>
                <w:div w:id="1748501354">
                  <w:marLeft w:val="0"/>
                  <w:marRight w:val="0"/>
                  <w:marTop w:val="0"/>
                  <w:marBottom w:val="0"/>
                  <w:divBdr>
                    <w:top w:val="none" w:sz="0" w:space="0" w:color="auto"/>
                    <w:left w:val="none" w:sz="0" w:space="0" w:color="auto"/>
                    <w:bottom w:val="none" w:sz="0" w:space="0" w:color="auto"/>
                    <w:right w:val="none" w:sz="0" w:space="0" w:color="auto"/>
                  </w:divBdr>
                </w:div>
              </w:divsChild>
            </w:div>
            <w:div w:id="2057657323">
              <w:marLeft w:val="0"/>
              <w:marRight w:val="0"/>
              <w:marTop w:val="0"/>
              <w:marBottom w:val="0"/>
              <w:divBdr>
                <w:top w:val="none" w:sz="0" w:space="0" w:color="auto"/>
                <w:left w:val="none" w:sz="0" w:space="0" w:color="auto"/>
                <w:bottom w:val="none" w:sz="0" w:space="0" w:color="auto"/>
                <w:right w:val="none" w:sz="0" w:space="0" w:color="auto"/>
              </w:divBdr>
              <w:divsChild>
                <w:div w:id="669866957">
                  <w:marLeft w:val="0"/>
                  <w:marRight w:val="0"/>
                  <w:marTop w:val="0"/>
                  <w:marBottom w:val="0"/>
                  <w:divBdr>
                    <w:top w:val="none" w:sz="0" w:space="0" w:color="auto"/>
                    <w:left w:val="none" w:sz="0" w:space="0" w:color="auto"/>
                    <w:bottom w:val="none" w:sz="0" w:space="0" w:color="auto"/>
                    <w:right w:val="none" w:sz="0" w:space="0" w:color="auto"/>
                  </w:divBdr>
                </w:div>
              </w:divsChild>
            </w:div>
            <w:div w:id="2060007959">
              <w:marLeft w:val="0"/>
              <w:marRight w:val="0"/>
              <w:marTop w:val="0"/>
              <w:marBottom w:val="0"/>
              <w:divBdr>
                <w:top w:val="none" w:sz="0" w:space="0" w:color="auto"/>
                <w:left w:val="none" w:sz="0" w:space="0" w:color="auto"/>
                <w:bottom w:val="none" w:sz="0" w:space="0" w:color="auto"/>
                <w:right w:val="none" w:sz="0" w:space="0" w:color="auto"/>
              </w:divBdr>
              <w:divsChild>
                <w:div w:id="959803003">
                  <w:marLeft w:val="0"/>
                  <w:marRight w:val="0"/>
                  <w:marTop w:val="0"/>
                  <w:marBottom w:val="0"/>
                  <w:divBdr>
                    <w:top w:val="none" w:sz="0" w:space="0" w:color="auto"/>
                    <w:left w:val="none" w:sz="0" w:space="0" w:color="auto"/>
                    <w:bottom w:val="none" w:sz="0" w:space="0" w:color="auto"/>
                    <w:right w:val="none" w:sz="0" w:space="0" w:color="auto"/>
                  </w:divBdr>
                </w:div>
              </w:divsChild>
            </w:div>
            <w:div w:id="2061514125">
              <w:marLeft w:val="0"/>
              <w:marRight w:val="0"/>
              <w:marTop w:val="0"/>
              <w:marBottom w:val="0"/>
              <w:divBdr>
                <w:top w:val="none" w:sz="0" w:space="0" w:color="auto"/>
                <w:left w:val="none" w:sz="0" w:space="0" w:color="auto"/>
                <w:bottom w:val="none" w:sz="0" w:space="0" w:color="auto"/>
                <w:right w:val="none" w:sz="0" w:space="0" w:color="auto"/>
              </w:divBdr>
              <w:divsChild>
                <w:div w:id="1553812472">
                  <w:marLeft w:val="0"/>
                  <w:marRight w:val="0"/>
                  <w:marTop w:val="0"/>
                  <w:marBottom w:val="0"/>
                  <w:divBdr>
                    <w:top w:val="none" w:sz="0" w:space="0" w:color="auto"/>
                    <w:left w:val="none" w:sz="0" w:space="0" w:color="auto"/>
                    <w:bottom w:val="none" w:sz="0" w:space="0" w:color="auto"/>
                    <w:right w:val="none" w:sz="0" w:space="0" w:color="auto"/>
                  </w:divBdr>
                </w:div>
              </w:divsChild>
            </w:div>
            <w:div w:id="2063480105">
              <w:marLeft w:val="0"/>
              <w:marRight w:val="0"/>
              <w:marTop w:val="0"/>
              <w:marBottom w:val="0"/>
              <w:divBdr>
                <w:top w:val="none" w:sz="0" w:space="0" w:color="auto"/>
                <w:left w:val="none" w:sz="0" w:space="0" w:color="auto"/>
                <w:bottom w:val="none" w:sz="0" w:space="0" w:color="auto"/>
                <w:right w:val="none" w:sz="0" w:space="0" w:color="auto"/>
              </w:divBdr>
              <w:divsChild>
                <w:div w:id="2028285254">
                  <w:marLeft w:val="0"/>
                  <w:marRight w:val="0"/>
                  <w:marTop w:val="0"/>
                  <w:marBottom w:val="0"/>
                  <w:divBdr>
                    <w:top w:val="none" w:sz="0" w:space="0" w:color="auto"/>
                    <w:left w:val="none" w:sz="0" w:space="0" w:color="auto"/>
                    <w:bottom w:val="none" w:sz="0" w:space="0" w:color="auto"/>
                    <w:right w:val="none" w:sz="0" w:space="0" w:color="auto"/>
                  </w:divBdr>
                </w:div>
              </w:divsChild>
            </w:div>
            <w:div w:id="2112234293">
              <w:marLeft w:val="0"/>
              <w:marRight w:val="0"/>
              <w:marTop w:val="0"/>
              <w:marBottom w:val="0"/>
              <w:divBdr>
                <w:top w:val="none" w:sz="0" w:space="0" w:color="auto"/>
                <w:left w:val="none" w:sz="0" w:space="0" w:color="auto"/>
                <w:bottom w:val="none" w:sz="0" w:space="0" w:color="auto"/>
                <w:right w:val="none" w:sz="0" w:space="0" w:color="auto"/>
              </w:divBdr>
              <w:divsChild>
                <w:div w:id="820922293">
                  <w:marLeft w:val="0"/>
                  <w:marRight w:val="0"/>
                  <w:marTop w:val="0"/>
                  <w:marBottom w:val="0"/>
                  <w:divBdr>
                    <w:top w:val="none" w:sz="0" w:space="0" w:color="auto"/>
                    <w:left w:val="none" w:sz="0" w:space="0" w:color="auto"/>
                    <w:bottom w:val="none" w:sz="0" w:space="0" w:color="auto"/>
                    <w:right w:val="none" w:sz="0" w:space="0" w:color="auto"/>
                  </w:divBdr>
                </w:div>
              </w:divsChild>
            </w:div>
            <w:div w:id="2117172923">
              <w:marLeft w:val="0"/>
              <w:marRight w:val="0"/>
              <w:marTop w:val="0"/>
              <w:marBottom w:val="0"/>
              <w:divBdr>
                <w:top w:val="none" w:sz="0" w:space="0" w:color="auto"/>
                <w:left w:val="none" w:sz="0" w:space="0" w:color="auto"/>
                <w:bottom w:val="none" w:sz="0" w:space="0" w:color="auto"/>
                <w:right w:val="none" w:sz="0" w:space="0" w:color="auto"/>
              </w:divBdr>
              <w:divsChild>
                <w:div w:id="11808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86414">
          <w:marLeft w:val="0"/>
          <w:marRight w:val="0"/>
          <w:marTop w:val="0"/>
          <w:marBottom w:val="0"/>
          <w:divBdr>
            <w:top w:val="none" w:sz="0" w:space="0" w:color="auto"/>
            <w:left w:val="none" w:sz="0" w:space="0" w:color="auto"/>
            <w:bottom w:val="none" w:sz="0" w:space="0" w:color="auto"/>
            <w:right w:val="none" w:sz="0" w:space="0" w:color="auto"/>
          </w:divBdr>
        </w:div>
        <w:div w:id="1017536076">
          <w:marLeft w:val="0"/>
          <w:marRight w:val="0"/>
          <w:marTop w:val="0"/>
          <w:marBottom w:val="0"/>
          <w:divBdr>
            <w:top w:val="none" w:sz="0" w:space="0" w:color="auto"/>
            <w:left w:val="none" w:sz="0" w:space="0" w:color="auto"/>
            <w:bottom w:val="none" w:sz="0" w:space="0" w:color="auto"/>
            <w:right w:val="none" w:sz="0" w:space="0" w:color="auto"/>
          </w:divBdr>
        </w:div>
        <w:div w:id="1023022066">
          <w:marLeft w:val="0"/>
          <w:marRight w:val="0"/>
          <w:marTop w:val="0"/>
          <w:marBottom w:val="0"/>
          <w:divBdr>
            <w:top w:val="none" w:sz="0" w:space="0" w:color="auto"/>
            <w:left w:val="none" w:sz="0" w:space="0" w:color="auto"/>
            <w:bottom w:val="none" w:sz="0" w:space="0" w:color="auto"/>
            <w:right w:val="none" w:sz="0" w:space="0" w:color="auto"/>
          </w:divBdr>
        </w:div>
        <w:div w:id="1040280535">
          <w:marLeft w:val="0"/>
          <w:marRight w:val="0"/>
          <w:marTop w:val="0"/>
          <w:marBottom w:val="0"/>
          <w:divBdr>
            <w:top w:val="none" w:sz="0" w:space="0" w:color="auto"/>
            <w:left w:val="none" w:sz="0" w:space="0" w:color="auto"/>
            <w:bottom w:val="none" w:sz="0" w:space="0" w:color="auto"/>
            <w:right w:val="none" w:sz="0" w:space="0" w:color="auto"/>
          </w:divBdr>
        </w:div>
        <w:div w:id="1053384473">
          <w:marLeft w:val="0"/>
          <w:marRight w:val="0"/>
          <w:marTop w:val="0"/>
          <w:marBottom w:val="0"/>
          <w:divBdr>
            <w:top w:val="none" w:sz="0" w:space="0" w:color="auto"/>
            <w:left w:val="none" w:sz="0" w:space="0" w:color="auto"/>
            <w:bottom w:val="none" w:sz="0" w:space="0" w:color="auto"/>
            <w:right w:val="none" w:sz="0" w:space="0" w:color="auto"/>
          </w:divBdr>
        </w:div>
        <w:div w:id="1062949091">
          <w:marLeft w:val="0"/>
          <w:marRight w:val="0"/>
          <w:marTop w:val="0"/>
          <w:marBottom w:val="0"/>
          <w:divBdr>
            <w:top w:val="none" w:sz="0" w:space="0" w:color="auto"/>
            <w:left w:val="none" w:sz="0" w:space="0" w:color="auto"/>
            <w:bottom w:val="none" w:sz="0" w:space="0" w:color="auto"/>
            <w:right w:val="none" w:sz="0" w:space="0" w:color="auto"/>
          </w:divBdr>
        </w:div>
        <w:div w:id="1070616572">
          <w:marLeft w:val="0"/>
          <w:marRight w:val="0"/>
          <w:marTop w:val="0"/>
          <w:marBottom w:val="0"/>
          <w:divBdr>
            <w:top w:val="none" w:sz="0" w:space="0" w:color="auto"/>
            <w:left w:val="none" w:sz="0" w:space="0" w:color="auto"/>
            <w:bottom w:val="none" w:sz="0" w:space="0" w:color="auto"/>
            <w:right w:val="none" w:sz="0" w:space="0" w:color="auto"/>
          </w:divBdr>
        </w:div>
        <w:div w:id="1071535578">
          <w:marLeft w:val="-75"/>
          <w:marRight w:val="0"/>
          <w:marTop w:val="30"/>
          <w:marBottom w:val="30"/>
          <w:divBdr>
            <w:top w:val="none" w:sz="0" w:space="0" w:color="auto"/>
            <w:left w:val="none" w:sz="0" w:space="0" w:color="auto"/>
            <w:bottom w:val="none" w:sz="0" w:space="0" w:color="auto"/>
            <w:right w:val="none" w:sz="0" w:space="0" w:color="auto"/>
          </w:divBdr>
          <w:divsChild>
            <w:div w:id="68163095">
              <w:marLeft w:val="0"/>
              <w:marRight w:val="0"/>
              <w:marTop w:val="0"/>
              <w:marBottom w:val="0"/>
              <w:divBdr>
                <w:top w:val="none" w:sz="0" w:space="0" w:color="auto"/>
                <w:left w:val="none" w:sz="0" w:space="0" w:color="auto"/>
                <w:bottom w:val="none" w:sz="0" w:space="0" w:color="auto"/>
                <w:right w:val="none" w:sz="0" w:space="0" w:color="auto"/>
              </w:divBdr>
              <w:divsChild>
                <w:div w:id="743572076">
                  <w:marLeft w:val="0"/>
                  <w:marRight w:val="0"/>
                  <w:marTop w:val="0"/>
                  <w:marBottom w:val="0"/>
                  <w:divBdr>
                    <w:top w:val="none" w:sz="0" w:space="0" w:color="auto"/>
                    <w:left w:val="none" w:sz="0" w:space="0" w:color="auto"/>
                    <w:bottom w:val="none" w:sz="0" w:space="0" w:color="auto"/>
                    <w:right w:val="none" w:sz="0" w:space="0" w:color="auto"/>
                  </w:divBdr>
                </w:div>
              </w:divsChild>
            </w:div>
            <w:div w:id="80958108">
              <w:marLeft w:val="0"/>
              <w:marRight w:val="0"/>
              <w:marTop w:val="0"/>
              <w:marBottom w:val="0"/>
              <w:divBdr>
                <w:top w:val="none" w:sz="0" w:space="0" w:color="auto"/>
                <w:left w:val="none" w:sz="0" w:space="0" w:color="auto"/>
                <w:bottom w:val="none" w:sz="0" w:space="0" w:color="auto"/>
                <w:right w:val="none" w:sz="0" w:space="0" w:color="auto"/>
              </w:divBdr>
              <w:divsChild>
                <w:div w:id="541796221">
                  <w:marLeft w:val="0"/>
                  <w:marRight w:val="0"/>
                  <w:marTop w:val="0"/>
                  <w:marBottom w:val="0"/>
                  <w:divBdr>
                    <w:top w:val="none" w:sz="0" w:space="0" w:color="auto"/>
                    <w:left w:val="none" w:sz="0" w:space="0" w:color="auto"/>
                    <w:bottom w:val="none" w:sz="0" w:space="0" w:color="auto"/>
                    <w:right w:val="none" w:sz="0" w:space="0" w:color="auto"/>
                  </w:divBdr>
                </w:div>
              </w:divsChild>
            </w:div>
            <w:div w:id="104427002">
              <w:marLeft w:val="0"/>
              <w:marRight w:val="0"/>
              <w:marTop w:val="0"/>
              <w:marBottom w:val="0"/>
              <w:divBdr>
                <w:top w:val="none" w:sz="0" w:space="0" w:color="auto"/>
                <w:left w:val="none" w:sz="0" w:space="0" w:color="auto"/>
                <w:bottom w:val="none" w:sz="0" w:space="0" w:color="auto"/>
                <w:right w:val="none" w:sz="0" w:space="0" w:color="auto"/>
              </w:divBdr>
              <w:divsChild>
                <w:div w:id="1895501995">
                  <w:marLeft w:val="0"/>
                  <w:marRight w:val="0"/>
                  <w:marTop w:val="0"/>
                  <w:marBottom w:val="0"/>
                  <w:divBdr>
                    <w:top w:val="none" w:sz="0" w:space="0" w:color="auto"/>
                    <w:left w:val="none" w:sz="0" w:space="0" w:color="auto"/>
                    <w:bottom w:val="none" w:sz="0" w:space="0" w:color="auto"/>
                    <w:right w:val="none" w:sz="0" w:space="0" w:color="auto"/>
                  </w:divBdr>
                </w:div>
              </w:divsChild>
            </w:div>
            <w:div w:id="112410332">
              <w:marLeft w:val="0"/>
              <w:marRight w:val="0"/>
              <w:marTop w:val="0"/>
              <w:marBottom w:val="0"/>
              <w:divBdr>
                <w:top w:val="none" w:sz="0" w:space="0" w:color="auto"/>
                <w:left w:val="none" w:sz="0" w:space="0" w:color="auto"/>
                <w:bottom w:val="none" w:sz="0" w:space="0" w:color="auto"/>
                <w:right w:val="none" w:sz="0" w:space="0" w:color="auto"/>
              </w:divBdr>
              <w:divsChild>
                <w:div w:id="845555374">
                  <w:marLeft w:val="0"/>
                  <w:marRight w:val="0"/>
                  <w:marTop w:val="0"/>
                  <w:marBottom w:val="0"/>
                  <w:divBdr>
                    <w:top w:val="none" w:sz="0" w:space="0" w:color="auto"/>
                    <w:left w:val="none" w:sz="0" w:space="0" w:color="auto"/>
                    <w:bottom w:val="none" w:sz="0" w:space="0" w:color="auto"/>
                    <w:right w:val="none" w:sz="0" w:space="0" w:color="auto"/>
                  </w:divBdr>
                </w:div>
              </w:divsChild>
            </w:div>
            <w:div w:id="121581824">
              <w:marLeft w:val="0"/>
              <w:marRight w:val="0"/>
              <w:marTop w:val="0"/>
              <w:marBottom w:val="0"/>
              <w:divBdr>
                <w:top w:val="none" w:sz="0" w:space="0" w:color="auto"/>
                <w:left w:val="none" w:sz="0" w:space="0" w:color="auto"/>
                <w:bottom w:val="none" w:sz="0" w:space="0" w:color="auto"/>
                <w:right w:val="none" w:sz="0" w:space="0" w:color="auto"/>
              </w:divBdr>
              <w:divsChild>
                <w:div w:id="1916892205">
                  <w:marLeft w:val="0"/>
                  <w:marRight w:val="0"/>
                  <w:marTop w:val="0"/>
                  <w:marBottom w:val="0"/>
                  <w:divBdr>
                    <w:top w:val="none" w:sz="0" w:space="0" w:color="auto"/>
                    <w:left w:val="none" w:sz="0" w:space="0" w:color="auto"/>
                    <w:bottom w:val="none" w:sz="0" w:space="0" w:color="auto"/>
                    <w:right w:val="none" w:sz="0" w:space="0" w:color="auto"/>
                  </w:divBdr>
                </w:div>
              </w:divsChild>
            </w:div>
            <w:div w:id="179126076">
              <w:marLeft w:val="0"/>
              <w:marRight w:val="0"/>
              <w:marTop w:val="0"/>
              <w:marBottom w:val="0"/>
              <w:divBdr>
                <w:top w:val="none" w:sz="0" w:space="0" w:color="auto"/>
                <w:left w:val="none" w:sz="0" w:space="0" w:color="auto"/>
                <w:bottom w:val="none" w:sz="0" w:space="0" w:color="auto"/>
                <w:right w:val="none" w:sz="0" w:space="0" w:color="auto"/>
              </w:divBdr>
              <w:divsChild>
                <w:div w:id="2009672484">
                  <w:marLeft w:val="0"/>
                  <w:marRight w:val="0"/>
                  <w:marTop w:val="0"/>
                  <w:marBottom w:val="0"/>
                  <w:divBdr>
                    <w:top w:val="none" w:sz="0" w:space="0" w:color="auto"/>
                    <w:left w:val="none" w:sz="0" w:space="0" w:color="auto"/>
                    <w:bottom w:val="none" w:sz="0" w:space="0" w:color="auto"/>
                    <w:right w:val="none" w:sz="0" w:space="0" w:color="auto"/>
                  </w:divBdr>
                </w:div>
              </w:divsChild>
            </w:div>
            <w:div w:id="232350670">
              <w:marLeft w:val="0"/>
              <w:marRight w:val="0"/>
              <w:marTop w:val="0"/>
              <w:marBottom w:val="0"/>
              <w:divBdr>
                <w:top w:val="none" w:sz="0" w:space="0" w:color="auto"/>
                <w:left w:val="none" w:sz="0" w:space="0" w:color="auto"/>
                <w:bottom w:val="none" w:sz="0" w:space="0" w:color="auto"/>
                <w:right w:val="none" w:sz="0" w:space="0" w:color="auto"/>
              </w:divBdr>
              <w:divsChild>
                <w:div w:id="763503308">
                  <w:marLeft w:val="0"/>
                  <w:marRight w:val="0"/>
                  <w:marTop w:val="0"/>
                  <w:marBottom w:val="0"/>
                  <w:divBdr>
                    <w:top w:val="none" w:sz="0" w:space="0" w:color="auto"/>
                    <w:left w:val="none" w:sz="0" w:space="0" w:color="auto"/>
                    <w:bottom w:val="none" w:sz="0" w:space="0" w:color="auto"/>
                    <w:right w:val="none" w:sz="0" w:space="0" w:color="auto"/>
                  </w:divBdr>
                </w:div>
              </w:divsChild>
            </w:div>
            <w:div w:id="253444234">
              <w:marLeft w:val="0"/>
              <w:marRight w:val="0"/>
              <w:marTop w:val="0"/>
              <w:marBottom w:val="0"/>
              <w:divBdr>
                <w:top w:val="none" w:sz="0" w:space="0" w:color="auto"/>
                <w:left w:val="none" w:sz="0" w:space="0" w:color="auto"/>
                <w:bottom w:val="none" w:sz="0" w:space="0" w:color="auto"/>
                <w:right w:val="none" w:sz="0" w:space="0" w:color="auto"/>
              </w:divBdr>
              <w:divsChild>
                <w:div w:id="2085688609">
                  <w:marLeft w:val="0"/>
                  <w:marRight w:val="0"/>
                  <w:marTop w:val="0"/>
                  <w:marBottom w:val="0"/>
                  <w:divBdr>
                    <w:top w:val="none" w:sz="0" w:space="0" w:color="auto"/>
                    <w:left w:val="none" w:sz="0" w:space="0" w:color="auto"/>
                    <w:bottom w:val="none" w:sz="0" w:space="0" w:color="auto"/>
                    <w:right w:val="none" w:sz="0" w:space="0" w:color="auto"/>
                  </w:divBdr>
                </w:div>
              </w:divsChild>
            </w:div>
            <w:div w:id="276958901">
              <w:marLeft w:val="0"/>
              <w:marRight w:val="0"/>
              <w:marTop w:val="0"/>
              <w:marBottom w:val="0"/>
              <w:divBdr>
                <w:top w:val="none" w:sz="0" w:space="0" w:color="auto"/>
                <w:left w:val="none" w:sz="0" w:space="0" w:color="auto"/>
                <w:bottom w:val="none" w:sz="0" w:space="0" w:color="auto"/>
                <w:right w:val="none" w:sz="0" w:space="0" w:color="auto"/>
              </w:divBdr>
              <w:divsChild>
                <w:div w:id="1199507297">
                  <w:marLeft w:val="0"/>
                  <w:marRight w:val="0"/>
                  <w:marTop w:val="0"/>
                  <w:marBottom w:val="0"/>
                  <w:divBdr>
                    <w:top w:val="none" w:sz="0" w:space="0" w:color="auto"/>
                    <w:left w:val="none" w:sz="0" w:space="0" w:color="auto"/>
                    <w:bottom w:val="none" w:sz="0" w:space="0" w:color="auto"/>
                    <w:right w:val="none" w:sz="0" w:space="0" w:color="auto"/>
                  </w:divBdr>
                </w:div>
              </w:divsChild>
            </w:div>
            <w:div w:id="368604224">
              <w:marLeft w:val="0"/>
              <w:marRight w:val="0"/>
              <w:marTop w:val="0"/>
              <w:marBottom w:val="0"/>
              <w:divBdr>
                <w:top w:val="none" w:sz="0" w:space="0" w:color="auto"/>
                <w:left w:val="none" w:sz="0" w:space="0" w:color="auto"/>
                <w:bottom w:val="none" w:sz="0" w:space="0" w:color="auto"/>
                <w:right w:val="none" w:sz="0" w:space="0" w:color="auto"/>
              </w:divBdr>
              <w:divsChild>
                <w:div w:id="228153274">
                  <w:marLeft w:val="0"/>
                  <w:marRight w:val="0"/>
                  <w:marTop w:val="0"/>
                  <w:marBottom w:val="0"/>
                  <w:divBdr>
                    <w:top w:val="none" w:sz="0" w:space="0" w:color="auto"/>
                    <w:left w:val="none" w:sz="0" w:space="0" w:color="auto"/>
                    <w:bottom w:val="none" w:sz="0" w:space="0" w:color="auto"/>
                    <w:right w:val="none" w:sz="0" w:space="0" w:color="auto"/>
                  </w:divBdr>
                </w:div>
              </w:divsChild>
            </w:div>
            <w:div w:id="376466793">
              <w:marLeft w:val="0"/>
              <w:marRight w:val="0"/>
              <w:marTop w:val="0"/>
              <w:marBottom w:val="0"/>
              <w:divBdr>
                <w:top w:val="none" w:sz="0" w:space="0" w:color="auto"/>
                <w:left w:val="none" w:sz="0" w:space="0" w:color="auto"/>
                <w:bottom w:val="none" w:sz="0" w:space="0" w:color="auto"/>
                <w:right w:val="none" w:sz="0" w:space="0" w:color="auto"/>
              </w:divBdr>
              <w:divsChild>
                <w:div w:id="47269273">
                  <w:marLeft w:val="0"/>
                  <w:marRight w:val="0"/>
                  <w:marTop w:val="0"/>
                  <w:marBottom w:val="0"/>
                  <w:divBdr>
                    <w:top w:val="none" w:sz="0" w:space="0" w:color="auto"/>
                    <w:left w:val="none" w:sz="0" w:space="0" w:color="auto"/>
                    <w:bottom w:val="none" w:sz="0" w:space="0" w:color="auto"/>
                    <w:right w:val="none" w:sz="0" w:space="0" w:color="auto"/>
                  </w:divBdr>
                </w:div>
              </w:divsChild>
            </w:div>
            <w:div w:id="381297845">
              <w:marLeft w:val="0"/>
              <w:marRight w:val="0"/>
              <w:marTop w:val="0"/>
              <w:marBottom w:val="0"/>
              <w:divBdr>
                <w:top w:val="none" w:sz="0" w:space="0" w:color="auto"/>
                <w:left w:val="none" w:sz="0" w:space="0" w:color="auto"/>
                <w:bottom w:val="none" w:sz="0" w:space="0" w:color="auto"/>
                <w:right w:val="none" w:sz="0" w:space="0" w:color="auto"/>
              </w:divBdr>
              <w:divsChild>
                <w:div w:id="1915702975">
                  <w:marLeft w:val="0"/>
                  <w:marRight w:val="0"/>
                  <w:marTop w:val="0"/>
                  <w:marBottom w:val="0"/>
                  <w:divBdr>
                    <w:top w:val="none" w:sz="0" w:space="0" w:color="auto"/>
                    <w:left w:val="none" w:sz="0" w:space="0" w:color="auto"/>
                    <w:bottom w:val="none" w:sz="0" w:space="0" w:color="auto"/>
                    <w:right w:val="none" w:sz="0" w:space="0" w:color="auto"/>
                  </w:divBdr>
                </w:div>
              </w:divsChild>
            </w:div>
            <w:div w:id="408771400">
              <w:marLeft w:val="0"/>
              <w:marRight w:val="0"/>
              <w:marTop w:val="0"/>
              <w:marBottom w:val="0"/>
              <w:divBdr>
                <w:top w:val="none" w:sz="0" w:space="0" w:color="auto"/>
                <w:left w:val="none" w:sz="0" w:space="0" w:color="auto"/>
                <w:bottom w:val="none" w:sz="0" w:space="0" w:color="auto"/>
                <w:right w:val="none" w:sz="0" w:space="0" w:color="auto"/>
              </w:divBdr>
              <w:divsChild>
                <w:div w:id="1017660141">
                  <w:marLeft w:val="0"/>
                  <w:marRight w:val="0"/>
                  <w:marTop w:val="0"/>
                  <w:marBottom w:val="0"/>
                  <w:divBdr>
                    <w:top w:val="none" w:sz="0" w:space="0" w:color="auto"/>
                    <w:left w:val="none" w:sz="0" w:space="0" w:color="auto"/>
                    <w:bottom w:val="none" w:sz="0" w:space="0" w:color="auto"/>
                    <w:right w:val="none" w:sz="0" w:space="0" w:color="auto"/>
                  </w:divBdr>
                </w:div>
              </w:divsChild>
            </w:div>
            <w:div w:id="445200839">
              <w:marLeft w:val="0"/>
              <w:marRight w:val="0"/>
              <w:marTop w:val="0"/>
              <w:marBottom w:val="0"/>
              <w:divBdr>
                <w:top w:val="none" w:sz="0" w:space="0" w:color="auto"/>
                <w:left w:val="none" w:sz="0" w:space="0" w:color="auto"/>
                <w:bottom w:val="none" w:sz="0" w:space="0" w:color="auto"/>
                <w:right w:val="none" w:sz="0" w:space="0" w:color="auto"/>
              </w:divBdr>
              <w:divsChild>
                <w:div w:id="1133668977">
                  <w:marLeft w:val="0"/>
                  <w:marRight w:val="0"/>
                  <w:marTop w:val="0"/>
                  <w:marBottom w:val="0"/>
                  <w:divBdr>
                    <w:top w:val="none" w:sz="0" w:space="0" w:color="auto"/>
                    <w:left w:val="none" w:sz="0" w:space="0" w:color="auto"/>
                    <w:bottom w:val="none" w:sz="0" w:space="0" w:color="auto"/>
                    <w:right w:val="none" w:sz="0" w:space="0" w:color="auto"/>
                  </w:divBdr>
                </w:div>
              </w:divsChild>
            </w:div>
            <w:div w:id="509108163">
              <w:marLeft w:val="0"/>
              <w:marRight w:val="0"/>
              <w:marTop w:val="0"/>
              <w:marBottom w:val="0"/>
              <w:divBdr>
                <w:top w:val="none" w:sz="0" w:space="0" w:color="auto"/>
                <w:left w:val="none" w:sz="0" w:space="0" w:color="auto"/>
                <w:bottom w:val="none" w:sz="0" w:space="0" w:color="auto"/>
                <w:right w:val="none" w:sz="0" w:space="0" w:color="auto"/>
              </w:divBdr>
              <w:divsChild>
                <w:div w:id="623120072">
                  <w:marLeft w:val="0"/>
                  <w:marRight w:val="0"/>
                  <w:marTop w:val="0"/>
                  <w:marBottom w:val="0"/>
                  <w:divBdr>
                    <w:top w:val="none" w:sz="0" w:space="0" w:color="auto"/>
                    <w:left w:val="none" w:sz="0" w:space="0" w:color="auto"/>
                    <w:bottom w:val="none" w:sz="0" w:space="0" w:color="auto"/>
                    <w:right w:val="none" w:sz="0" w:space="0" w:color="auto"/>
                  </w:divBdr>
                </w:div>
              </w:divsChild>
            </w:div>
            <w:div w:id="563106823">
              <w:marLeft w:val="0"/>
              <w:marRight w:val="0"/>
              <w:marTop w:val="0"/>
              <w:marBottom w:val="0"/>
              <w:divBdr>
                <w:top w:val="none" w:sz="0" w:space="0" w:color="auto"/>
                <w:left w:val="none" w:sz="0" w:space="0" w:color="auto"/>
                <w:bottom w:val="none" w:sz="0" w:space="0" w:color="auto"/>
                <w:right w:val="none" w:sz="0" w:space="0" w:color="auto"/>
              </w:divBdr>
              <w:divsChild>
                <w:div w:id="1878463724">
                  <w:marLeft w:val="0"/>
                  <w:marRight w:val="0"/>
                  <w:marTop w:val="0"/>
                  <w:marBottom w:val="0"/>
                  <w:divBdr>
                    <w:top w:val="none" w:sz="0" w:space="0" w:color="auto"/>
                    <w:left w:val="none" w:sz="0" w:space="0" w:color="auto"/>
                    <w:bottom w:val="none" w:sz="0" w:space="0" w:color="auto"/>
                    <w:right w:val="none" w:sz="0" w:space="0" w:color="auto"/>
                  </w:divBdr>
                </w:div>
              </w:divsChild>
            </w:div>
            <w:div w:id="608003299">
              <w:marLeft w:val="0"/>
              <w:marRight w:val="0"/>
              <w:marTop w:val="0"/>
              <w:marBottom w:val="0"/>
              <w:divBdr>
                <w:top w:val="none" w:sz="0" w:space="0" w:color="auto"/>
                <w:left w:val="none" w:sz="0" w:space="0" w:color="auto"/>
                <w:bottom w:val="none" w:sz="0" w:space="0" w:color="auto"/>
                <w:right w:val="none" w:sz="0" w:space="0" w:color="auto"/>
              </w:divBdr>
              <w:divsChild>
                <w:div w:id="834803758">
                  <w:marLeft w:val="0"/>
                  <w:marRight w:val="0"/>
                  <w:marTop w:val="0"/>
                  <w:marBottom w:val="0"/>
                  <w:divBdr>
                    <w:top w:val="none" w:sz="0" w:space="0" w:color="auto"/>
                    <w:left w:val="none" w:sz="0" w:space="0" w:color="auto"/>
                    <w:bottom w:val="none" w:sz="0" w:space="0" w:color="auto"/>
                    <w:right w:val="none" w:sz="0" w:space="0" w:color="auto"/>
                  </w:divBdr>
                </w:div>
              </w:divsChild>
            </w:div>
            <w:div w:id="677730893">
              <w:marLeft w:val="0"/>
              <w:marRight w:val="0"/>
              <w:marTop w:val="0"/>
              <w:marBottom w:val="0"/>
              <w:divBdr>
                <w:top w:val="none" w:sz="0" w:space="0" w:color="auto"/>
                <w:left w:val="none" w:sz="0" w:space="0" w:color="auto"/>
                <w:bottom w:val="none" w:sz="0" w:space="0" w:color="auto"/>
                <w:right w:val="none" w:sz="0" w:space="0" w:color="auto"/>
              </w:divBdr>
              <w:divsChild>
                <w:div w:id="880745889">
                  <w:marLeft w:val="0"/>
                  <w:marRight w:val="0"/>
                  <w:marTop w:val="0"/>
                  <w:marBottom w:val="0"/>
                  <w:divBdr>
                    <w:top w:val="none" w:sz="0" w:space="0" w:color="auto"/>
                    <w:left w:val="none" w:sz="0" w:space="0" w:color="auto"/>
                    <w:bottom w:val="none" w:sz="0" w:space="0" w:color="auto"/>
                    <w:right w:val="none" w:sz="0" w:space="0" w:color="auto"/>
                  </w:divBdr>
                </w:div>
              </w:divsChild>
            </w:div>
            <w:div w:id="684864821">
              <w:marLeft w:val="0"/>
              <w:marRight w:val="0"/>
              <w:marTop w:val="0"/>
              <w:marBottom w:val="0"/>
              <w:divBdr>
                <w:top w:val="none" w:sz="0" w:space="0" w:color="auto"/>
                <w:left w:val="none" w:sz="0" w:space="0" w:color="auto"/>
                <w:bottom w:val="none" w:sz="0" w:space="0" w:color="auto"/>
                <w:right w:val="none" w:sz="0" w:space="0" w:color="auto"/>
              </w:divBdr>
              <w:divsChild>
                <w:div w:id="756906290">
                  <w:marLeft w:val="0"/>
                  <w:marRight w:val="0"/>
                  <w:marTop w:val="0"/>
                  <w:marBottom w:val="0"/>
                  <w:divBdr>
                    <w:top w:val="none" w:sz="0" w:space="0" w:color="auto"/>
                    <w:left w:val="none" w:sz="0" w:space="0" w:color="auto"/>
                    <w:bottom w:val="none" w:sz="0" w:space="0" w:color="auto"/>
                    <w:right w:val="none" w:sz="0" w:space="0" w:color="auto"/>
                  </w:divBdr>
                </w:div>
              </w:divsChild>
            </w:div>
            <w:div w:id="696739658">
              <w:marLeft w:val="0"/>
              <w:marRight w:val="0"/>
              <w:marTop w:val="0"/>
              <w:marBottom w:val="0"/>
              <w:divBdr>
                <w:top w:val="none" w:sz="0" w:space="0" w:color="auto"/>
                <w:left w:val="none" w:sz="0" w:space="0" w:color="auto"/>
                <w:bottom w:val="none" w:sz="0" w:space="0" w:color="auto"/>
                <w:right w:val="none" w:sz="0" w:space="0" w:color="auto"/>
              </w:divBdr>
              <w:divsChild>
                <w:div w:id="1204754271">
                  <w:marLeft w:val="0"/>
                  <w:marRight w:val="0"/>
                  <w:marTop w:val="0"/>
                  <w:marBottom w:val="0"/>
                  <w:divBdr>
                    <w:top w:val="none" w:sz="0" w:space="0" w:color="auto"/>
                    <w:left w:val="none" w:sz="0" w:space="0" w:color="auto"/>
                    <w:bottom w:val="none" w:sz="0" w:space="0" w:color="auto"/>
                    <w:right w:val="none" w:sz="0" w:space="0" w:color="auto"/>
                  </w:divBdr>
                </w:div>
              </w:divsChild>
            </w:div>
            <w:div w:id="761419161">
              <w:marLeft w:val="0"/>
              <w:marRight w:val="0"/>
              <w:marTop w:val="0"/>
              <w:marBottom w:val="0"/>
              <w:divBdr>
                <w:top w:val="none" w:sz="0" w:space="0" w:color="auto"/>
                <w:left w:val="none" w:sz="0" w:space="0" w:color="auto"/>
                <w:bottom w:val="none" w:sz="0" w:space="0" w:color="auto"/>
                <w:right w:val="none" w:sz="0" w:space="0" w:color="auto"/>
              </w:divBdr>
              <w:divsChild>
                <w:div w:id="467625926">
                  <w:marLeft w:val="0"/>
                  <w:marRight w:val="0"/>
                  <w:marTop w:val="0"/>
                  <w:marBottom w:val="0"/>
                  <w:divBdr>
                    <w:top w:val="none" w:sz="0" w:space="0" w:color="auto"/>
                    <w:left w:val="none" w:sz="0" w:space="0" w:color="auto"/>
                    <w:bottom w:val="none" w:sz="0" w:space="0" w:color="auto"/>
                    <w:right w:val="none" w:sz="0" w:space="0" w:color="auto"/>
                  </w:divBdr>
                </w:div>
              </w:divsChild>
            </w:div>
            <w:div w:id="761606550">
              <w:marLeft w:val="0"/>
              <w:marRight w:val="0"/>
              <w:marTop w:val="0"/>
              <w:marBottom w:val="0"/>
              <w:divBdr>
                <w:top w:val="none" w:sz="0" w:space="0" w:color="auto"/>
                <w:left w:val="none" w:sz="0" w:space="0" w:color="auto"/>
                <w:bottom w:val="none" w:sz="0" w:space="0" w:color="auto"/>
                <w:right w:val="none" w:sz="0" w:space="0" w:color="auto"/>
              </w:divBdr>
              <w:divsChild>
                <w:div w:id="377164098">
                  <w:marLeft w:val="0"/>
                  <w:marRight w:val="0"/>
                  <w:marTop w:val="0"/>
                  <w:marBottom w:val="0"/>
                  <w:divBdr>
                    <w:top w:val="none" w:sz="0" w:space="0" w:color="auto"/>
                    <w:left w:val="none" w:sz="0" w:space="0" w:color="auto"/>
                    <w:bottom w:val="none" w:sz="0" w:space="0" w:color="auto"/>
                    <w:right w:val="none" w:sz="0" w:space="0" w:color="auto"/>
                  </w:divBdr>
                </w:div>
              </w:divsChild>
            </w:div>
            <w:div w:id="821385419">
              <w:marLeft w:val="0"/>
              <w:marRight w:val="0"/>
              <w:marTop w:val="0"/>
              <w:marBottom w:val="0"/>
              <w:divBdr>
                <w:top w:val="none" w:sz="0" w:space="0" w:color="auto"/>
                <w:left w:val="none" w:sz="0" w:space="0" w:color="auto"/>
                <w:bottom w:val="none" w:sz="0" w:space="0" w:color="auto"/>
                <w:right w:val="none" w:sz="0" w:space="0" w:color="auto"/>
              </w:divBdr>
              <w:divsChild>
                <w:div w:id="953049873">
                  <w:marLeft w:val="0"/>
                  <w:marRight w:val="0"/>
                  <w:marTop w:val="0"/>
                  <w:marBottom w:val="0"/>
                  <w:divBdr>
                    <w:top w:val="none" w:sz="0" w:space="0" w:color="auto"/>
                    <w:left w:val="none" w:sz="0" w:space="0" w:color="auto"/>
                    <w:bottom w:val="none" w:sz="0" w:space="0" w:color="auto"/>
                    <w:right w:val="none" w:sz="0" w:space="0" w:color="auto"/>
                  </w:divBdr>
                </w:div>
              </w:divsChild>
            </w:div>
            <w:div w:id="935207041">
              <w:marLeft w:val="0"/>
              <w:marRight w:val="0"/>
              <w:marTop w:val="0"/>
              <w:marBottom w:val="0"/>
              <w:divBdr>
                <w:top w:val="none" w:sz="0" w:space="0" w:color="auto"/>
                <w:left w:val="none" w:sz="0" w:space="0" w:color="auto"/>
                <w:bottom w:val="none" w:sz="0" w:space="0" w:color="auto"/>
                <w:right w:val="none" w:sz="0" w:space="0" w:color="auto"/>
              </w:divBdr>
              <w:divsChild>
                <w:div w:id="417680364">
                  <w:marLeft w:val="0"/>
                  <w:marRight w:val="0"/>
                  <w:marTop w:val="0"/>
                  <w:marBottom w:val="0"/>
                  <w:divBdr>
                    <w:top w:val="none" w:sz="0" w:space="0" w:color="auto"/>
                    <w:left w:val="none" w:sz="0" w:space="0" w:color="auto"/>
                    <w:bottom w:val="none" w:sz="0" w:space="0" w:color="auto"/>
                    <w:right w:val="none" w:sz="0" w:space="0" w:color="auto"/>
                  </w:divBdr>
                </w:div>
              </w:divsChild>
            </w:div>
            <w:div w:id="970860434">
              <w:marLeft w:val="0"/>
              <w:marRight w:val="0"/>
              <w:marTop w:val="0"/>
              <w:marBottom w:val="0"/>
              <w:divBdr>
                <w:top w:val="none" w:sz="0" w:space="0" w:color="auto"/>
                <w:left w:val="none" w:sz="0" w:space="0" w:color="auto"/>
                <w:bottom w:val="none" w:sz="0" w:space="0" w:color="auto"/>
                <w:right w:val="none" w:sz="0" w:space="0" w:color="auto"/>
              </w:divBdr>
              <w:divsChild>
                <w:div w:id="6560054">
                  <w:marLeft w:val="0"/>
                  <w:marRight w:val="0"/>
                  <w:marTop w:val="0"/>
                  <w:marBottom w:val="0"/>
                  <w:divBdr>
                    <w:top w:val="none" w:sz="0" w:space="0" w:color="auto"/>
                    <w:left w:val="none" w:sz="0" w:space="0" w:color="auto"/>
                    <w:bottom w:val="none" w:sz="0" w:space="0" w:color="auto"/>
                    <w:right w:val="none" w:sz="0" w:space="0" w:color="auto"/>
                  </w:divBdr>
                </w:div>
              </w:divsChild>
            </w:div>
            <w:div w:id="984092559">
              <w:marLeft w:val="0"/>
              <w:marRight w:val="0"/>
              <w:marTop w:val="0"/>
              <w:marBottom w:val="0"/>
              <w:divBdr>
                <w:top w:val="none" w:sz="0" w:space="0" w:color="auto"/>
                <w:left w:val="none" w:sz="0" w:space="0" w:color="auto"/>
                <w:bottom w:val="none" w:sz="0" w:space="0" w:color="auto"/>
                <w:right w:val="none" w:sz="0" w:space="0" w:color="auto"/>
              </w:divBdr>
              <w:divsChild>
                <w:div w:id="1653944845">
                  <w:marLeft w:val="0"/>
                  <w:marRight w:val="0"/>
                  <w:marTop w:val="0"/>
                  <w:marBottom w:val="0"/>
                  <w:divBdr>
                    <w:top w:val="none" w:sz="0" w:space="0" w:color="auto"/>
                    <w:left w:val="none" w:sz="0" w:space="0" w:color="auto"/>
                    <w:bottom w:val="none" w:sz="0" w:space="0" w:color="auto"/>
                    <w:right w:val="none" w:sz="0" w:space="0" w:color="auto"/>
                  </w:divBdr>
                </w:div>
              </w:divsChild>
            </w:div>
            <w:div w:id="1006791537">
              <w:marLeft w:val="0"/>
              <w:marRight w:val="0"/>
              <w:marTop w:val="0"/>
              <w:marBottom w:val="0"/>
              <w:divBdr>
                <w:top w:val="none" w:sz="0" w:space="0" w:color="auto"/>
                <w:left w:val="none" w:sz="0" w:space="0" w:color="auto"/>
                <w:bottom w:val="none" w:sz="0" w:space="0" w:color="auto"/>
                <w:right w:val="none" w:sz="0" w:space="0" w:color="auto"/>
              </w:divBdr>
              <w:divsChild>
                <w:div w:id="1747798419">
                  <w:marLeft w:val="0"/>
                  <w:marRight w:val="0"/>
                  <w:marTop w:val="0"/>
                  <w:marBottom w:val="0"/>
                  <w:divBdr>
                    <w:top w:val="none" w:sz="0" w:space="0" w:color="auto"/>
                    <w:left w:val="none" w:sz="0" w:space="0" w:color="auto"/>
                    <w:bottom w:val="none" w:sz="0" w:space="0" w:color="auto"/>
                    <w:right w:val="none" w:sz="0" w:space="0" w:color="auto"/>
                  </w:divBdr>
                </w:div>
              </w:divsChild>
            </w:div>
            <w:div w:id="1211306305">
              <w:marLeft w:val="0"/>
              <w:marRight w:val="0"/>
              <w:marTop w:val="0"/>
              <w:marBottom w:val="0"/>
              <w:divBdr>
                <w:top w:val="none" w:sz="0" w:space="0" w:color="auto"/>
                <w:left w:val="none" w:sz="0" w:space="0" w:color="auto"/>
                <w:bottom w:val="none" w:sz="0" w:space="0" w:color="auto"/>
                <w:right w:val="none" w:sz="0" w:space="0" w:color="auto"/>
              </w:divBdr>
              <w:divsChild>
                <w:div w:id="1893998556">
                  <w:marLeft w:val="0"/>
                  <w:marRight w:val="0"/>
                  <w:marTop w:val="0"/>
                  <w:marBottom w:val="0"/>
                  <w:divBdr>
                    <w:top w:val="none" w:sz="0" w:space="0" w:color="auto"/>
                    <w:left w:val="none" w:sz="0" w:space="0" w:color="auto"/>
                    <w:bottom w:val="none" w:sz="0" w:space="0" w:color="auto"/>
                    <w:right w:val="none" w:sz="0" w:space="0" w:color="auto"/>
                  </w:divBdr>
                </w:div>
              </w:divsChild>
            </w:div>
            <w:div w:id="1257248623">
              <w:marLeft w:val="0"/>
              <w:marRight w:val="0"/>
              <w:marTop w:val="0"/>
              <w:marBottom w:val="0"/>
              <w:divBdr>
                <w:top w:val="none" w:sz="0" w:space="0" w:color="auto"/>
                <w:left w:val="none" w:sz="0" w:space="0" w:color="auto"/>
                <w:bottom w:val="none" w:sz="0" w:space="0" w:color="auto"/>
                <w:right w:val="none" w:sz="0" w:space="0" w:color="auto"/>
              </w:divBdr>
              <w:divsChild>
                <w:div w:id="598682365">
                  <w:marLeft w:val="0"/>
                  <w:marRight w:val="0"/>
                  <w:marTop w:val="0"/>
                  <w:marBottom w:val="0"/>
                  <w:divBdr>
                    <w:top w:val="none" w:sz="0" w:space="0" w:color="auto"/>
                    <w:left w:val="none" w:sz="0" w:space="0" w:color="auto"/>
                    <w:bottom w:val="none" w:sz="0" w:space="0" w:color="auto"/>
                    <w:right w:val="none" w:sz="0" w:space="0" w:color="auto"/>
                  </w:divBdr>
                </w:div>
              </w:divsChild>
            </w:div>
            <w:div w:id="1308509207">
              <w:marLeft w:val="0"/>
              <w:marRight w:val="0"/>
              <w:marTop w:val="0"/>
              <w:marBottom w:val="0"/>
              <w:divBdr>
                <w:top w:val="none" w:sz="0" w:space="0" w:color="auto"/>
                <w:left w:val="none" w:sz="0" w:space="0" w:color="auto"/>
                <w:bottom w:val="none" w:sz="0" w:space="0" w:color="auto"/>
                <w:right w:val="none" w:sz="0" w:space="0" w:color="auto"/>
              </w:divBdr>
              <w:divsChild>
                <w:div w:id="1441216795">
                  <w:marLeft w:val="0"/>
                  <w:marRight w:val="0"/>
                  <w:marTop w:val="0"/>
                  <w:marBottom w:val="0"/>
                  <w:divBdr>
                    <w:top w:val="none" w:sz="0" w:space="0" w:color="auto"/>
                    <w:left w:val="none" w:sz="0" w:space="0" w:color="auto"/>
                    <w:bottom w:val="none" w:sz="0" w:space="0" w:color="auto"/>
                    <w:right w:val="none" w:sz="0" w:space="0" w:color="auto"/>
                  </w:divBdr>
                </w:div>
              </w:divsChild>
            </w:div>
            <w:div w:id="1312952673">
              <w:marLeft w:val="0"/>
              <w:marRight w:val="0"/>
              <w:marTop w:val="0"/>
              <w:marBottom w:val="0"/>
              <w:divBdr>
                <w:top w:val="none" w:sz="0" w:space="0" w:color="auto"/>
                <w:left w:val="none" w:sz="0" w:space="0" w:color="auto"/>
                <w:bottom w:val="none" w:sz="0" w:space="0" w:color="auto"/>
                <w:right w:val="none" w:sz="0" w:space="0" w:color="auto"/>
              </w:divBdr>
              <w:divsChild>
                <w:div w:id="697656549">
                  <w:marLeft w:val="0"/>
                  <w:marRight w:val="0"/>
                  <w:marTop w:val="0"/>
                  <w:marBottom w:val="0"/>
                  <w:divBdr>
                    <w:top w:val="none" w:sz="0" w:space="0" w:color="auto"/>
                    <w:left w:val="none" w:sz="0" w:space="0" w:color="auto"/>
                    <w:bottom w:val="none" w:sz="0" w:space="0" w:color="auto"/>
                    <w:right w:val="none" w:sz="0" w:space="0" w:color="auto"/>
                  </w:divBdr>
                </w:div>
              </w:divsChild>
            </w:div>
            <w:div w:id="1392079258">
              <w:marLeft w:val="0"/>
              <w:marRight w:val="0"/>
              <w:marTop w:val="0"/>
              <w:marBottom w:val="0"/>
              <w:divBdr>
                <w:top w:val="none" w:sz="0" w:space="0" w:color="auto"/>
                <w:left w:val="none" w:sz="0" w:space="0" w:color="auto"/>
                <w:bottom w:val="none" w:sz="0" w:space="0" w:color="auto"/>
                <w:right w:val="none" w:sz="0" w:space="0" w:color="auto"/>
              </w:divBdr>
              <w:divsChild>
                <w:div w:id="1368024246">
                  <w:marLeft w:val="0"/>
                  <w:marRight w:val="0"/>
                  <w:marTop w:val="0"/>
                  <w:marBottom w:val="0"/>
                  <w:divBdr>
                    <w:top w:val="none" w:sz="0" w:space="0" w:color="auto"/>
                    <w:left w:val="none" w:sz="0" w:space="0" w:color="auto"/>
                    <w:bottom w:val="none" w:sz="0" w:space="0" w:color="auto"/>
                    <w:right w:val="none" w:sz="0" w:space="0" w:color="auto"/>
                  </w:divBdr>
                </w:div>
              </w:divsChild>
            </w:div>
            <w:div w:id="1397434892">
              <w:marLeft w:val="0"/>
              <w:marRight w:val="0"/>
              <w:marTop w:val="0"/>
              <w:marBottom w:val="0"/>
              <w:divBdr>
                <w:top w:val="none" w:sz="0" w:space="0" w:color="auto"/>
                <w:left w:val="none" w:sz="0" w:space="0" w:color="auto"/>
                <w:bottom w:val="none" w:sz="0" w:space="0" w:color="auto"/>
                <w:right w:val="none" w:sz="0" w:space="0" w:color="auto"/>
              </w:divBdr>
              <w:divsChild>
                <w:div w:id="1214275740">
                  <w:marLeft w:val="0"/>
                  <w:marRight w:val="0"/>
                  <w:marTop w:val="0"/>
                  <w:marBottom w:val="0"/>
                  <w:divBdr>
                    <w:top w:val="none" w:sz="0" w:space="0" w:color="auto"/>
                    <w:left w:val="none" w:sz="0" w:space="0" w:color="auto"/>
                    <w:bottom w:val="none" w:sz="0" w:space="0" w:color="auto"/>
                    <w:right w:val="none" w:sz="0" w:space="0" w:color="auto"/>
                  </w:divBdr>
                </w:div>
              </w:divsChild>
            </w:div>
            <w:div w:id="1418209724">
              <w:marLeft w:val="0"/>
              <w:marRight w:val="0"/>
              <w:marTop w:val="0"/>
              <w:marBottom w:val="0"/>
              <w:divBdr>
                <w:top w:val="none" w:sz="0" w:space="0" w:color="auto"/>
                <w:left w:val="none" w:sz="0" w:space="0" w:color="auto"/>
                <w:bottom w:val="none" w:sz="0" w:space="0" w:color="auto"/>
                <w:right w:val="none" w:sz="0" w:space="0" w:color="auto"/>
              </w:divBdr>
              <w:divsChild>
                <w:div w:id="898131967">
                  <w:marLeft w:val="0"/>
                  <w:marRight w:val="0"/>
                  <w:marTop w:val="0"/>
                  <w:marBottom w:val="0"/>
                  <w:divBdr>
                    <w:top w:val="none" w:sz="0" w:space="0" w:color="auto"/>
                    <w:left w:val="none" w:sz="0" w:space="0" w:color="auto"/>
                    <w:bottom w:val="none" w:sz="0" w:space="0" w:color="auto"/>
                    <w:right w:val="none" w:sz="0" w:space="0" w:color="auto"/>
                  </w:divBdr>
                </w:div>
              </w:divsChild>
            </w:div>
            <w:div w:id="1430156134">
              <w:marLeft w:val="0"/>
              <w:marRight w:val="0"/>
              <w:marTop w:val="0"/>
              <w:marBottom w:val="0"/>
              <w:divBdr>
                <w:top w:val="none" w:sz="0" w:space="0" w:color="auto"/>
                <w:left w:val="none" w:sz="0" w:space="0" w:color="auto"/>
                <w:bottom w:val="none" w:sz="0" w:space="0" w:color="auto"/>
                <w:right w:val="none" w:sz="0" w:space="0" w:color="auto"/>
              </w:divBdr>
              <w:divsChild>
                <w:div w:id="2110809477">
                  <w:marLeft w:val="0"/>
                  <w:marRight w:val="0"/>
                  <w:marTop w:val="0"/>
                  <w:marBottom w:val="0"/>
                  <w:divBdr>
                    <w:top w:val="none" w:sz="0" w:space="0" w:color="auto"/>
                    <w:left w:val="none" w:sz="0" w:space="0" w:color="auto"/>
                    <w:bottom w:val="none" w:sz="0" w:space="0" w:color="auto"/>
                    <w:right w:val="none" w:sz="0" w:space="0" w:color="auto"/>
                  </w:divBdr>
                </w:div>
              </w:divsChild>
            </w:div>
            <w:div w:id="1452742283">
              <w:marLeft w:val="0"/>
              <w:marRight w:val="0"/>
              <w:marTop w:val="0"/>
              <w:marBottom w:val="0"/>
              <w:divBdr>
                <w:top w:val="none" w:sz="0" w:space="0" w:color="auto"/>
                <w:left w:val="none" w:sz="0" w:space="0" w:color="auto"/>
                <w:bottom w:val="none" w:sz="0" w:space="0" w:color="auto"/>
                <w:right w:val="none" w:sz="0" w:space="0" w:color="auto"/>
              </w:divBdr>
              <w:divsChild>
                <w:div w:id="295570018">
                  <w:marLeft w:val="0"/>
                  <w:marRight w:val="0"/>
                  <w:marTop w:val="0"/>
                  <w:marBottom w:val="0"/>
                  <w:divBdr>
                    <w:top w:val="none" w:sz="0" w:space="0" w:color="auto"/>
                    <w:left w:val="none" w:sz="0" w:space="0" w:color="auto"/>
                    <w:bottom w:val="none" w:sz="0" w:space="0" w:color="auto"/>
                    <w:right w:val="none" w:sz="0" w:space="0" w:color="auto"/>
                  </w:divBdr>
                </w:div>
                <w:div w:id="470906945">
                  <w:marLeft w:val="0"/>
                  <w:marRight w:val="0"/>
                  <w:marTop w:val="0"/>
                  <w:marBottom w:val="0"/>
                  <w:divBdr>
                    <w:top w:val="none" w:sz="0" w:space="0" w:color="auto"/>
                    <w:left w:val="none" w:sz="0" w:space="0" w:color="auto"/>
                    <w:bottom w:val="none" w:sz="0" w:space="0" w:color="auto"/>
                    <w:right w:val="none" w:sz="0" w:space="0" w:color="auto"/>
                  </w:divBdr>
                </w:div>
              </w:divsChild>
            </w:div>
            <w:div w:id="1459058565">
              <w:marLeft w:val="0"/>
              <w:marRight w:val="0"/>
              <w:marTop w:val="0"/>
              <w:marBottom w:val="0"/>
              <w:divBdr>
                <w:top w:val="none" w:sz="0" w:space="0" w:color="auto"/>
                <w:left w:val="none" w:sz="0" w:space="0" w:color="auto"/>
                <w:bottom w:val="none" w:sz="0" w:space="0" w:color="auto"/>
                <w:right w:val="none" w:sz="0" w:space="0" w:color="auto"/>
              </w:divBdr>
              <w:divsChild>
                <w:div w:id="244345515">
                  <w:marLeft w:val="0"/>
                  <w:marRight w:val="0"/>
                  <w:marTop w:val="0"/>
                  <w:marBottom w:val="0"/>
                  <w:divBdr>
                    <w:top w:val="none" w:sz="0" w:space="0" w:color="auto"/>
                    <w:left w:val="none" w:sz="0" w:space="0" w:color="auto"/>
                    <w:bottom w:val="none" w:sz="0" w:space="0" w:color="auto"/>
                    <w:right w:val="none" w:sz="0" w:space="0" w:color="auto"/>
                  </w:divBdr>
                </w:div>
              </w:divsChild>
            </w:div>
            <w:div w:id="1507750170">
              <w:marLeft w:val="0"/>
              <w:marRight w:val="0"/>
              <w:marTop w:val="0"/>
              <w:marBottom w:val="0"/>
              <w:divBdr>
                <w:top w:val="none" w:sz="0" w:space="0" w:color="auto"/>
                <w:left w:val="none" w:sz="0" w:space="0" w:color="auto"/>
                <w:bottom w:val="none" w:sz="0" w:space="0" w:color="auto"/>
                <w:right w:val="none" w:sz="0" w:space="0" w:color="auto"/>
              </w:divBdr>
              <w:divsChild>
                <w:div w:id="173109018">
                  <w:marLeft w:val="0"/>
                  <w:marRight w:val="0"/>
                  <w:marTop w:val="0"/>
                  <w:marBottom w:val="0"/>
                  <w:divBdr>
                    <w:top w:val="none" w:sz="0" w:space="0" w:color="auto"/>
                    <w:left w:val="none" w:sz="0" w:space="0" w:color="auto"/>
                    <w:bottom w:val="none" w:sz="0" w:space="0" w:color="auto"/>
                    <w:right w:val="none" w:sz="0" w:space="0" w:color="auto"/>
                  </w:divBdr>
                </w:div>
              </w:divsChild>
            </w:div>
            <w:div w:id="1534340744">
              <w:marLeft w:val="0"/>
              <w:marRight w:val="0"/>
              <w:marTop w:val="0"/>
              <w:marBottom w:val="0"/>
              <w:divBdr>
                <w:top w:val="none" w:sz="0" w:space="0" w:color="auto"/>
                <w:left w:val="none" w:sz="0" w:space="0" w:color="auto"/>
                <w:bottom w:val="none" w:sz="0" w:space="0" w:color="auto"/>
                <w:right w:val="none" w:sz="0" w:space="0" w:color="auto"/>
              </w:divBdr>
              <w:divsChild>
                <w:div w:id="1261717528">
                  <w:marLeft w:val="0"/>
                  <w:marRight w:val="0"/>
                  <w:marTop w:val="0"/>
                  <w:marBottom w:val="0"/>
                  <w:divBdr>
                    <w:top w:val="none" w:sz="0" w:space="0" w:color="auto"/>
                    <w:left w:val="none" w:sz="0" w:space="0" w:color="auto"/>
                    <w:bottom w:val="none" w:sz="0" w:space="0" w:color="auto"/>
                    <w:right w:val="none" w:sz="0" w:space="0" w:color="auto"/>
                  </w:divBdr>
                </w:div>
              </w:divsChild>
            </w:div>
            <w:div w:id="1611158111">
              <w:marLeft w:val="0"/>
              <w:marRight w:val="0"/>
              <w:marTop w:val="0"/>
              <w:marBottom w:val="0"/>
              <w:divBdr>
                <w:top w:val="none" w:sz="0" w:space="0" w:color="auto"/>
                <w:left w:val="none" w:sz="0" w:space="0" w:color="auto"/>
                <w:bottom w:val="none" w:sz="0" w:space="0" w:color="auto"/>
                <w:right w:val="none" w:sz="0" w:space="0" w:color="auto"/>
              </w:divBdr>
              <w:divsChild>
                <w:div w:id="936254285">
                  <w:marLeft w:val="0"/>
                  <w:marRight w:val="0"/>
                  <w:marTop w:val="0"/>
                  <w:marBottom w:val="0"/>
                  <w:divBdr>
                    <w:top w:val="none" w:sz="0" w:space="0" w:color="auto"/>
                    <w:left w:val="none" w:sz="0" w:space="0" w:color="auto"/>
                    <w:bottom w:val="none" w:sz="0" w:space="0" w:color="auto"/>
                    <w:right w:val="none" w:sz="0" w:space="0" w:color="auto"/>
                  </w:divBdr>
                </w:div>
              </w:divsChild>
            </w:div>
            <w:div w:id="1652712723">
              <w:marLeft w:val="0"/>
              <w:marRight w:val="0"/>
              <w:marTop w:val="0"/>
              <w:marBottom w:val="0"/>
              <w:divBdr>
                <w:top w:val="none" w:sz="0" w:space="0" w:color="auto"/>
                <w:left w:val="none" w:sz="0" w:space="0" w:color="auto"/>
                <w:bottom w:val="none" w:sz="0" w:space="0" w:color="auto"/>
                <w:right w:val="none" w:sz="0" w:space="0" w:color="auto"/>
              </w:divBdr>
              <w:divsChild>
                <w:div w:id="432481422">
                  <w:marLeft w:val="0"/>
                  <w:marRight w:val="0"/>
                  <w:marTop w:val="0"/>
                  <w:marBottom w:val="0"/>
                  <w:divBdr>
                    <w:top w:val="none" w:sz="0" w:space="0" w:color="auto"/>
                    <w:left w:val="none" w:sz="0" w:space="0" w:color="auto"/>
                    <w:bottom w:val="none" w:sz="0" w:space="0" w:color="auto"/>
                    <w:right w:val="none" w:sz="0" w:space="0" w:color="auto"/>
                  </w:divBdr>
                </w:div>
              </w:divsChild>
            </w:div>
            <w:div w:id="1658604270">
              <w:marLeft w:val="0"/>
              <w:marRight w:val="0"/>
              <w:marTop w:val="0"/>
              <w:marBottom w:val="0"/>
              <w:divBdr>
                <w:top w:val="none" w:sz="0" w:space="0" w:color="auto"/>
                <w:left w:val="none" w:sz="0" w:space="0" w:color="auto"/>
                <w:bottom w:val="none" w:sz="0" w:space="0" w:color="auto"/>
                <w:right w:val="none" w:sz="0" w:space="0" w:color="auto"/>
              </w:divBdr>
              <w:divsChild>
                <w:div w:id="1005937049">
                  <w:marLeft w:val="0"/>
                  <w:marRight w:val="0"/>
                  <w:marTop w:val="0"/>
                  <w:marBottom w:val="0"/>
                  <w:divBdr>
                    <w:top w:val="none" w:sz="0" w:space="0" w:color="auto"/>
                    <w:left w:val="none" w:sz="0" w:space="0" w:color="auto"/>
                    <w:bottom w:val="none" w:sz="0" w:space="0" w:color="auto"/>
                    <w:right w:val="none" w:sz="0" w:space="0" w:color="auto"/>
                  </w:divBdr>
                </w:div>
              </w:divsChild>
            </w:div>
            <w:div w:id="1685672113">
              <w:marLeft w:val="0"/>
              <w:marRight w:val="0"/>
              <w:marTop w:val="0"/>
              <w:marBottom w:val="0"/>
              <w:divBdr>
                <w:top w:val="none" w:sz="0" w:space="0" w:color="auto"/>
                <w:left w:val="none" w:sz="0" w:space="0" w:color="auto"/>
                <w:bottom w:val="none" w:sz="0" w:space="0" w:color="auto"/>
                <w:right w:val="none" w:sz="0" w:space="0" w:color="auto"/>
              </w:divBdr>
              <w:divsChild>
                <w:div w:id="1110467927">
                  <w:marLeft w:val="0"/>
                  <w:marRight w:val="0"/>
                  <w:marTop w:val="0"/>
                  <w:marBottom w:val="0"/>
                  <w:divBdr>
                    <w:top w:val="none" w:sz="0" w:space="0" w:color="auto"/>
                    <w:left w:val="none" w:sz="0" w:space="0" w:color="auto"/>
                    <w:bottom w:val="none" w:sz="0" w:space="0" w:color="auto"/>
                    <w:right w:val="none" w:sz="0" w:space="0" w:color="auto"/>
                  </w:divBdr>
                </w:div>
              </w:divsChild>
            </w:div>
            <w:div w:id="1694257498">
              <w:marLeft w:val="0"/>
              <w:marRight w:val="0"/>
              <w:marTop w:val="0"/>
              <w:marBottom w:val="0"/>
              <w:divBdr>
                <w:top w:val="none" w:sz="0" w:space="0" w:color="auto"/>
                <w:left w:val="none" w:sz="0" w:space="0" w:color="auto"/>
                <w:bottom w:val="none" w:sz="0" w:space="0" w:color="auto"/>
                <w:right w:val="none" w:sz="0" w:space="0" w:color="auto"/>
              </w:divBdr>
              <w:divsChild>
                <w:div w:id="497578888">
                  <w:marLeft w:val="0"/>
                  <w:marRight w:val="0"/>
                  <w:marTop w:val="0"/>
                  <w:marBottom w:val="0"/>
                  <w:divBdr>
                    <w:top w:val="none" w:sz="0" w:space="0" w:color="auto"/>
                    <w:left w:val="none" w:sz="0" w:space="0" w:color="auto"/>
                    <w:bottom w:val="none" w:sz="0" w:space="0" w:color="auto"/>
                    <w:right w:val="none" w:sz="0" w:space="0" w:color="auto"/>
                  </w:divBdr>
                </w:div>
              </w:divsChild>
            </w:div>
            <w:div w:id="1744062843">
              <w:marLeft w:val="0"/>
              <w:marRight w:val="0"/>
              <w:marTop w:val="0"/>
              <w:marBottom w:val="0"/>
              <w:divBdr>
                <w:top w:val="none" w:sz="0" w:space="0" w:color="auto"/>
                <w:left w:val="none" w:sz="0" w:space="0" w:color="auto"/>
                <w:bottom w:val="none" w:sz="0" w:space="0" w:color="auto"/>
                <w:right w:val="none" w:sz="0" w:space="0" w:color="auto"/>
              </w:divBdr>
              <w:divsChild>
                <w:div w:id="968319726">
                  <w:marLeft w:val="0"/>
                  <w:marRight w:val="0"/>
                  <w:marTop w:val="0"/>
                  <w:marBottom w:val="0"/>
                  <w:divBdr>
                    <w:top w:val="none" w:sz="0" w:space="0" w:color="auto"/>
                    <w:left w:val="none" w:sz="0" w:space="0" w:color="auto"/>
                    <w:bottom w:val="none" w:sz="0" w:space="0" w:color="auto"/>
                    <w:right w:val="none" w:sz="0" w:space="0" w:color="auto"/>
                  </w:divBdr>
                </w:div>
              </w:divsChild>
            </w:div>
            <w:div w:id="1753430668">
              <w:marLeft w:val="0"/>
              <w:marRight w:val="0"/>
              <w:marTop w:val="0"/>
              <w:marBottom w:val="0"/>
              <w:divBdr>
                <w:top w:val="none" w:sz="0" w:space="0" w:color="auto"/>
                <w:left w:val="none" w:sz="0" w:space="0" w:color="auto"/>
                <w:bottom w:val="none" w:sz="0" w:space="0" w:color="auto"/>
                <w:right w:val="none" w:sz="0" w:space="0" w:color="auto"/>
              </w:divBdr>
              <w:divsChild>
                <w:div w:id="1209219085">
                  <w:marLeft w:val="0"/>
                  <w:marRight w:val="0"/>
                  <w:marTop w:val="0"/>
                  <w:marBottom w:val="0"/>
                  <w:divBdr>
                    <w:top w:val="none" w:sz="0" w:space="0" w:color="auto"/>
                    <w:left w:val="none" w:sz="0" w:space="0" w:color="auto"/>
                    <w:bottom w:val="none" w:sz="0" w:space="0" w:color="auto"/>
                    <w:right w:val="none" w:sz="0" w:space="0" w:color="auto"/>
                  </w:divBdr>
                </w:div>
              </w:divsChild>
            </w:div>
            <w:div w:id="1763984947">
              <w:marLeft w:val="0"/>
              <w:marRight w:val="0"/>
              <w:marTop w:val="0"/>
              <w:marBottom w:val="0"/>
              <w:divBdr>
                <w:top w:val="none" w:sz="0" w:space="0" w:color="auto"/>
                <w:left w:val="none" w:sz="0" w:space="0" w:color="auto"/>
                <w:bottom w:val="none" w:sz="0" w:space="0" w:color="auto"/>
                <w:right w:val="none" w:sz="0" w:space="0" w:color="auto"/>
              </w:divBdr>
              <w:divsChild>
                <w:div w:id="1855992755">
                  <w:marLeft w:val="0"/>
                  <w:marRight w:val="0"/>
                  <w:marTop w:val="0"/>
                  <w:marBottom w:val="0"/>
                  <w:divBdr>
                    <w:top w:val="none" w:sz="0" w:space="0" w:color="auto"/>
                    <w:left w:val="none" w:sz="0" w:space="0" w:color="auto"/>
                    <w:bottom w:val="none" w:sz="0" w:space="0" w:color="auto"/>
                    <w:right w:val="none" w:sz="0" w:space="0" w:color="auto"/>
                  </w:divBdr>
                </w:div>
              </w:divsChild>
            </w:div>
            <w:div w:id="1854299483">
              <w:marLeft w:val="0"/>
              <w:marRight w:val="0"/>
              <w:marTop w:val="0"/>
              <w:marBottom w:val="0"/>
              <w:divBdr>
                <w:top w:val="none" w:sz="0" w:space="0" w:color="auto"/>
                <w:left w:val="none" w:sz="0" w:space="0" w:color="auto"/>
                <w:bottom w:val="none" w:sz="0" w:space="0" w:color="auto"/>
                <w:right w:val="none" w:sz="0" w:space="0" w:color="auto"/>
              </w:divBdr>
              <w:divsChild>
                <w:div w:id="298995850">
                  <w:marLeft w:val="0"/>
                  <w:marRight w:val="0"/>
                  <w:marTop w:val="0"/>
                  <w:marBottom w:val="0"/>
                  <w:divBdr>
                    <w:top w:val="none" w:sz="0" w:space="0" w:color="auto"/>
                    <w:left w:val="none" w:sz="0" w:space="0" w:color="auto"/>
                    <w:bottom w:val="none" w:sz="0" w:space="0" w:color="auto"/>
                    <w:right w:val="none" w:sz="0" w:space="0" w:color="auto"/>
                  </w:divBdr>
                </w:div>
              </w:divsChild>
            </w:div>
            <w:div w:id="1877498175">
              <w:marLeft w:val="0"/>
              <w:marRight w:val="0"/>
              <w:marTop w:val="0"/>
              <w:marBottom w:val="0"/>
              <w:divBdr>
                <w:top w:val="none" w:sz="0" w:space="0" w:color="auto"/>
                <w:left w:val="none" w:sz="0" w:space="0" w:color="auto"/>
                <w:bottom w:val="none" w:sz="0" w:space="0" w:color="auto"/>
                <w:right w:val="none" w:sz="0" w:space="0" w:color="auto"/>
              </w:divBdr>
              <w:divsChild>
                <w:div w:id="1983342712">
                  <w:marLeft w:val="0"/>
                  <w:marRight w:val="0"/>
                  <w:marTop w:val="0"/>
                  <w:marBottom w:val="0"/>
                  <w:divBdr>
                    <w:top w:val="none" w:sz="0" w:space="0" w:color="auto"/>
                    <w:left w:val="none" w:sz="0" w:space="0" w:color="auto"/>
                    <w:bottom w:val="none" w:sz="0" w:space="0" w:color="auto"/>
                    <w:right w:val="none" w:sz="0" w:space="0" w:color="auto"/>
                  </w:divBdr>
                </w:div>
              </w:divsChild>
            </w:div>
            <w:div w:id="1913005820">
              <w:marLeft w:val="0"/>
              <w:marRight w:val="0"/>
              <w:marTop w:val="0"/>
              <w:marBottom w:val="0"/>
              <w:divBdr>
                <w:top w:val="none" w:sz="0" w:space="0" w:color="auto"/>
                <w:left w:val="none" w:sz="0" w:space="0" w:color="auto"/>
                <w:bottom w:val="none" w:sz="0" w:space="0" w:color="auto"/>
                <w:right w:val="none" w:sz="0" w:space="0" w:color="auto"/>
              </w:divBdr>
              <w:divsChild>
                <w:div w:id="244925908">
                  <w:marLeft w:val="0"/>
                  <w:marRight w:val="0"/>
                  <w:marTop w:val="0"/>
                  <w:marBottom w:val="0"/>
                  <w:divBdr>
                    <w:top w:val="none" w:sz="0" w:space="0" w:color="auto"/>
                    <w:left w:val="none" w:sz="0" w:space="0" w:color="auto"/>
                    <w:bottom w:val="none" w:sz="0" w:space="0" w:color="auto"/>
                    <w:right w:val="none" w:sz="0" w:space="0" w:color="auto"/>
                  </w:divBdr>
                </w:div>
              </w:divsChild>
            </w:div>
            <w:div w:id="1957251168">
              <w:marLeft w:val="0"/>
              <w:marRight w:val="0"/>
              <w:marTop w:val="0"/>
              <w:marBottom w:val="0"/>
              <w:divBdr>
                <w:top w:val="none" w:sz="0" w:space="0" w:color="auto"/>
                <w:left w:val="none" w:sz="0" w:space="0" w:color="auto"/>
                <w:bottom w:val="none" w:sz="0" w:space="0" w:color="auto"/>
                <w:right w:val="none" w:sz="0" w:space="0" w:color="auto"/>
              </w:divBdr>
              <w:divsChild>
                <w:div w:id="590624543">
                  <w:marLeft w:val="0"/>
                  <w:marRight w:val="0"/>
                  <w:marTop w:val="0"/>
                  <w:marBottom w:val="0"/>
                  <w:divBdr>
                    <w:top w:val="none" w:sz="0" w:space="0" w:color="auto"/>
                    <w:left w:val="none" w:sz="0" w:space="0" w:color="auto"/>
                    <w:bottom w:val="none" w:sz="0" w:space="0" w:color="auto"/>
                    <w:right w:val="none" w:sz="0" w:space="0" w:color="auto"/>
                  </w:divBdr>
                </w:div>
                <w:div w:id="1053625535">
                  <w:marLeft w:val="0"/>
                  <w:marRight w:val="0"/>
                  <w:marTop w:val="0"/>
                  <w:marBottom w:val="0"/>
                  <w:divBdr>
                    <w:top w:val="none" w:sz="0" w:space="0" w:color="auto"/>
                    <w:left w:val="none" w:sz="0" w:space="0" w:color="auto"/>
                    <w:bottom w:val="none" w:sz="0" w:space="0" w:color="auto"/>
                    <w:right w:val="none" w:sz="0" w:space="0" w:color="auto"/>
                  </w:divBdr>
                </w:div>
              </w:divsChild>
            </w:div>
            <w:div w:id="1963926756">
              <w:marLeft w:val="0"/>
              <w:marRight w:val="0"/>
              <w:marTop w:val="0"/>
              <w:marBottom w:val="0"/>
              <w:divBdr>
                <w:top w:val="none" w:sz="0" w:space="0" w:color="auto"/>
                <w:left w:val="none" w:sz="0" w:space="0" w:color="auto"/>
                <w:bottom w:val="none" w:sz="0" w:space="0" w:color="auto"/>
                <w:right w:val="none" w:sz="0" w:space="0" w:color="auto"/>
              </w:divBdr>
              <w:divsChild>
                <w:div w:id="198321324">
                  <w:marLeft w:val="0"/>
                  <w:marRight w:val="0"/>
                  <w:marTop w:val="0"/>
                  <w:marBottom w:val="0"/>
                  <w:divBdr>
                    <w:top w:val="none" w:sz="0" w:space="0" w:color="auto"/>
                    <w:left w:val="none" w:sz="0" w:space="0" w:color="auto"/>
                    <w:bottom w:val="none" w:sz="0" w:space="0" w:color="auto"/>
                    <w:right w:val="none" w:sz="0" w:space="0" w:color="auto"/>
                  </w:divBdr>
                </w:div>
              </w:divsChild>
            </w:div>
            <w:div w:id="2033678456">
              <w:marLeft w:val="0"/>
              <w:marRight w:val="0"/>
              <w:marTop w:val="0"/>
              <w:marBottom w:val="0"/>
              <w:divBdr>
                <w:top w:val="none" w:sz="0" w:space="0" w:color="auto"/>
                <w:left w:val="none" w:sz="0" w:space="0" w:color="auto"/>
                <w:bottom w:val="none" w:sz="0" w:space="0" w:color="auto"/>
                <w:right w:val="none" w:sz="0" w:space="0" w:color="auto"/>
              </w:divBdr>
              <w:divsChild>
                <w:div w:id="47727290">
                  <w:marLeft w:val="0"/>
                  <w:marRight w:val="0"/>
                  <w:marTop w:val="0"/>
                  <w:marBottom w:val="0"/>
                  <w:divBdr>
                    <w:top w:val="none" w:sz="0" w:space="0" w:color="auto"/>
                    <w:left w:val="none" w:sz="0" w:space="0" w:color="auto"/>
                    <w:bottom w:val="none" w:sz="0" w:space="0" w:color="auto"/>
                    <w:right w:val="none" w:sz="0" w:space="0" w:color="auto"/>
                  </w:divBdr>
                </w:div>
              </w:divsChild>
            </w:div>
            <w:div w:id="2100638454">
              <w:marLeft w:val="0"/>
              <w:marRight w:val="0"/>
              <w:marTop w:val="0"/>
              <w:marBottom w:val="0"/>
              <w:divBdr>
                <w:top w:val="none" w:sz="0" w:space="0" w:color="auto"/>
                <w:left w:val="none" w:sz="0" w:space="0" w:color="auto"/>
                <w:bottom w:val="none" w:sz="0" w:space="0" w:color="auto"/>
                <w:right w:val="none" w:sz="0" w:space="0" w:color="auto"/>
              </w:divBdr>
              <w:divsChild>
                <w:div w:id="9611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9735">
          <w:marLeft w:val="0"/>
          <w:marRight w:val="0"/>
          <w:marTop w:val="0"/>
          <w:marBottom w:val="0"/>
          <w:divBdr>
            <w:top w:val="none" w:sz="0" w:space="0" w:color="auto"/>
            <w:left w:val="none" w:sz="0" w:space="0" w:color="auto"/>
            <w:bottom w:val="none" w:sz="0" w:space="0" w:color="auto"/>
            <w:right w:val="none" w:sz="0" w:space="0" w:color="auto"/>
          </w:divBdr>
        </w:div>
        <w:div w:id="1096556140">
          <w:marLeft w:val="-75"/>
          <w:marRight w:val="0"/>
          <w:marTop w:val="30"/>
          <w:marBottom w:val="30"/>
          <w:divBdr>
            <w:top w:val="none" w:sz="0" w:space="0" w:color="auto"/>
            <w:left w:val="none" w:sz="0" w:space="0" w:color="auto"/>
            <w:bottom w:val="none" w:sz="0" w:space="0" w:color="auto"/>
            <w:right w:val="none" w:sz="0" w:space="0" w:color="auto"/>
          </w:divBdr>
          <w:divsChild>
            <w:div w:id="38628660">
              <w:marLeft w:val="0"/>
              <w:marRight w:val="0"/>
              <w:marTop w:val="0"/>
              <w:marBottom w:val="0"/>
              <w:divBdr>
                <w:top w:val="none" w:sz="0" w:space="0" w:color="auto"/>
                <w:left w:val="none" w:sz="0" w:space="0" w:color="auto"/>
                <w:bottom w:val="none" w:sz="0" w:space="0" w:color="auto"/>
                <w:right w:val="none" w:sz="0" w:space="0" w:color="auto"/>
              </w:divBdr>
              <w:divsChild>
                <w:div w:id="669525555">
                  <w:marLeft w:val="0"/>
                  <w:marRight w:val="0"/>
                  <w:marTop w:val="0"/>
                  <w:marBottom w:val="0"/>
                  <w:divBdr>
                    <w:top w:val="none" w:sz="0" w:space="0" w:color="auto"/>
                    <w:left w:val="none" w:sz="0" w:space="0" w:color="auto"/>
                    <w:bottom w:val="none" w:sz="0" w:space="0" w:color="auto"/>
                    <w:right w:val="none" w:sz="0" w:space="0" w:color="auto"/>
                  </w:divBdr>
                </w:div>
              </w:divsChild>
            </w:div>
            <w:div w:id="59717495">
              <w:marLeft w:val="0"/>
              <w:marRight w:val="0"/>
              <w:marTop w:val="0"/>
              <w:marBottom w:val="0"/>
              <w:divBdr>
                <w:top w:val="none" w:sz="0" w:space="0" w:color="auto"/>
                <w:left w:val="none" w:sz="0" w:space="0" w:color="auto"/>
                <w:bottom w:val="none" w:sz="0" w:space="0" w:color="auto"/>
                <w:right w:val="none" w:sz="0" w:space="0" w:color="auto"/>
              </w:divBdr>
              <w:divsChild>
                <w:div w:id="216825098">
                  <w:marLeft w:val="0"/>
                  <w:marRight w:val="0"/>
                  <w:marTop w:val="0"/>
                  <w:marBottom w:val="0"/>
                  <w:divBdr>
                    <w:top w:val="none" w:sz="0" w:space="0" w:color="auto"/>
                    <w:left w:val="none" w:sz="0" w:space="0" w:color="auto"/>
                    <w:bottom w:val="none" w:sz="0" w:space="0" w:color="auto"/>
                    <w:right w:val="none" w:sz="0" w:space="0" w:color="auto"/>
                  </w:divBdr>
                </w:div>
              </w:divsChild>
            </w:div>
            <w:div w:id="90321895">
              <w:marLeft w:val="0"/>
              <w:marRight w:val="0"/>
              <w:marTop w:val="0"/>
              <w:marBottom w:val="0"/>
              <w:divBdr>
                <w:top w:val="none" w:sz="0" w:space="0" w:color="auto"/>
                <w:left w:val="none" w:sz="0" w:space="0" w:color="auto"/>
                <w:bottom w:val="none" w:sz="0" w:space="0" w:color="auto"/>
                <w:right w:val="none" w:sz="0" w:space="0" w:color="auto"/>
              </w:divBdr>
              <w:divsChild>
                <w:div w:id="245726400">
                  <w:marLeft w:val="0"/>
                  <w:marRight w:val="0"/>
                  <w:marTop w:val="0"/>
                  <w:marBottom w:val="0"/>
                  <w:divBdr>
                    <w:top w:val="none" w:sz="0" w:space="0" w:color="auto"/>
                    <w:left w:val="none" w:sz="0" w:space="0" w:color="auto"/>
                    <w:bottom w:val="none" w:sz="0" w:space="0" w:color="auto"/>
                    <w:right w:val="none" w:sz="0" w:space="0" w:color="auto"/>
                  </w:divBdr>
                </w:div>
              </w:divsChild>
            </w:div>
            <w:div w:id="139733865">
              <w:marLeft w:val="0"/>
              <w:marRight w:val="0"/>
              <w:marTop w:val="0"/>
              <w:marBottom w:val="0"/>
              <w:divBdr>
                <w:top w:val="none" w:sz="0" w:space="0" w:color="auto"/>
                <w:left w:val="none" w:sz="0" w:space="0" w:color="auto"/>
                <w:bottom w:val="none" w:sz="0" w:space="0" w:color="auto"/>
                <w:right w:val="none" w:sz="0" w:space="0" w:color="auto"/>
              </w:divBdr>
              <w:divsChild>
                <w:div w:id="1046755435">
                  <w:marLeft w:val="0"/>
                  <w:marRight w:val="0"/>
                  <w:marTop w:val="0"/>
                  <w:marBottom w:val="0"/>
                  <w:divBdr>
                    <w:top w:val="none" w:sz="0" w:space="0" w:color="auto"/>
                    <w:left w:val="none" w:sz="0" w:space="0" w:color="auto"/>
                    <w:bottom w:val="none" w:sz="0" w:space="0" w:color="auto"/>
                    <w:right w:val="none" w:sz="0" w:space="0" w:color="auto"/>
                  </w:divBdr>
                </w:div>
              </w:divsChild>
            </w:div>
            <w:div w:id="154565582">
              <w:marLeft w:val="0"/>
              <w:marRight w:val="0"/>
              <w:marTop w:val="0"/>
              <w:marBottom w:val="0"/>
              <w:divBdr>
                <w:top w:val="none" w:sz="0" w:space="0" w:color="auto"/>
                <w:left w:val="none" w:sz="0" w:space="0" w:color="auto"/>
                <w:bottom w:val="none" w:sz="0" w:space="0" w:color="auto"/>
                <w:right w:val="none" w:sz="0" w:space="0" w:color="auto"/>
              </w:divBdr>
              <w:divsChild>
                <w:div w:id="512308421">
                  <w:marLeft w:val="0"/>
                  <w:marRight w:val="0"/>
                  <w:marTop w:val="0"/>
                  <w:marBottom w:val="0"/>
                  <w:divBdr>
                    <w:top w:val="none" w:sz="0" w:space="0" w:color="auto"/>
                    <w:left w:val="none" w:sz="0" w:space="0" w:color="auto"/>
                    <w:bottom w:val="none" w:sz="0" w:space="0" w:color="auto"/>
                    <w:right w:val="none" w:sz="0" w:space="0" w:color="auto"/>
                  </w:divBdr>
                </w:div>
              </w:divsChild>
            </w:div>
            <w:div w:id="155656068">
              <w:marLeft w:val="0"/>
              <w:marRight w:val="0"/>
              <w:marTop w:val="0"/>
              <w:marBottom w:val="0"/>
              <w:divBdr>
                <w:top w:val="none" w:sz="0" w:space="0" w:color="auto"/>
                <w:left w:val="none" w:sz="0" w:space="0" w:color="auto"/>
                <w:bottom w:val="none" w:sz="0" w:space="0" w:color="auto"/>
                <w:right w:val="none" w:sz="0" w:space="0" w:color="auto"/>
              </w:divBdr>
              <w:divsChild>
                <w:div w:id="526869474">
                  <w:marLeft w:val="0"/>
                  <w:marRight w:val="0"/>
                  <w:marTop w:val="0"/>
                  <w:marBottom w:val="0"/>
                  <w:divBdr>
                    <w:top w:val="none" w:sz="0" w:space="0" w:color="auto"/>
                    <w:left w:val="none" w:sz="0" w:space="0" w:color="auto"/>
                    <w:bottom w:val="none" w:sz="0" w:space="0" w:color="auto"/>
                    <w:right w:val="none" w:sz="0" w:space="0" w:color="auto"/>
                  </w:divBdr>
                </w:div>
              </w:divsChild>
            </w:div>
            <w:div w:id="318268805">
              <w:marLeft w:val="0"/>
              <w:marRight w:val="0"/>
              <w:marTop w:val="0"/>
              <w:marBottom w:val="0"/>
              <w:divBdr>
                <w:top w:val="none" w:sz="0" w:space="0" w:color="auto"/>
                <w:left w:val="none" w:sz="0" w:space="0" w:color="auto"/>
                <w:bottom w:val="none" w:sz="0" w:space="0" w:color="auto"/>
                <w:right w:val="none" w:sz="0" w:space="0" w:color="auto"/>
              </w:divBdr>
              <w:divsChild>
                <w:div w:id="317078049">
                  <w:marLeft w:val="0"/>
                  <w:marRight w:val="0"/>
                  <w:marTop w:val="0"/>
                  <w:marBottom w:val="0"/>
                  <w:divBdr>
                    <w:top w:val="none" w:sz="0" w:space="0" w:color="auto"/>
                    <w:left w:val="none" w:sz="0" w:space="0" w:color="auto"/>
                    <w:bottom w:val="none" w:sz="0" w:space="0" w:color="auto"/>
                    <w:right w:val="none" w:sz="0" w:space="0" w:color="auto"/>
                  </w:divBdr>
                </w:div>
              </w:divsChild>
            </w:div>
            <w:div w:id="328294807">
              <w:marLeft w:val="0"/>
              <w:marRight w:val="0"/>
              <w:marTop w:val="0"/>
              <w:marBottom w:val="0"/>
              <w:divBdr>
                <w:top w:val="none" w:sz="0" w:space="0" w:color="auto"/>
                <w:left w:val="none" w:sz="0" w:space="0" w:color="auto"/>
                <w:bottom w:val="none" w:sz="0" w:space="0" w:color="auto"/>
                <w:right w:val="none" w:sz="0" w:space="0" w:color="auto"/>
              </w:divBdr>
              <w:divsChild>
                <w:div w:id="246424706">
                  <w:marLeft w:val="0"/>
                  <w:marRight w:val="0"/>
                  <w:marTop w:val="0"/>
                  <w:marBottom w:val="0"/>
                  <w:divBdr>
                    <w:top w:val="none" w:sz="0" w:space="0" w:color="auto"/>
                    <w:left w:val="none" w:sz="0" w:space="0" w:color="auto"/>
                    <w:bottom w:val="none" w:sz="0" w:space="0" w:color="auto"/>
                    <w:right w:val="none" w:sz="0" w:space="0" w:color="auto"/>
                  </w:divBdr>
                </w:div>
              </w:divsChild>
            </w:div>
            <w:div w:id="411777759">
              <w:marLeft w:val="0"/>
              <w:marRight w:val="0"/>
              <w:marTop w:val="0"/>
              <w:marBottom w:val="0"/>
              <w:divBdr>
                <w:top w:val="none" w:sz="0" w:space="0" w:color="auto"/>
                <w:left w:val="none" w:sz="0" w:space="0" w:color="auto"/>
                <w:bottom w:val="none" w:sz="0" w:space="0" w:color="auto"/>
                <w:right w:val="none" w:sz="0" w:space="0" w:color="auto"/>
              </w:divBdr>
              <w:divsChild>
                <w:div w:id="1253665243">
                  <w:marLeft w:val="0"/>
                  <w:marRight w:val="0"/>
                  <w:marTop w:val="0"/>
                  <w:marBottom w:val="0"/>
                  <w:divBdr>
                    <w:top w:val="none" w:sz="0" w:space="0" w:color="auto"/>
                    <w:left w:val="none" w:sz="0" w:space="0" w:color="auto"/>
                    <w:bottom w:val="none" w:sz="0" w:space="0" w:color="auto"/>
                    <w:right w:val="none" w:sz="0" w:space="0" w:color="auto"/>
                  </w:divBdr>
                </w:div>
              </w:divsChild>
            </w:div>
            <w:div w:id="412050281">
              <w:marLeft w:val="0"/>
              <w:marRight w:val="0"/>
              <w:marTop w:val="0"/>
              <w:marBottom w:val="0"/>
              <w:divBdr>
                <w:top w:val="none" w:sz="0" w:space="0" w:color="auto"/>
                <w:left w:val="none" w:sz="0" w:space="0" w:color="auto"/>
                <w:bottom w:val="none" w:sz="0" w:space="0" w:color="auto"/>
                <w:right w:val="none" w:sz="0" w:space="0" w:color="auto"/>
              </w:divBdr>
              <w:divsChild>
                <w:div w:id="2119248859">
                  <w:marLeft w:val="0"/>
                  <w:marRight w:val="0"/>
                  <w:marTop w:val="0"/>
                  <w:marBottom w:val="0"/>
                  <w:divBdr>
                    <w:top w:val="none" w:sz="0" w:space="0" w:color="auto"/>
                    <w:left w:val="none" w:sz="0" w:space="0" w:color="auto"/>
                    <w:bottom w:val="none" w:sz="0" w:space="0" w:color="auto"/>
                    <w:right w:val="none" w:sz="0" w:space="0" w:color="auto"/>
                  </w:divBdr>
                </w:div>
              </w:divsChild>
            </w:div>
            <w:div w:id="418865733">
              <w:marLeft w:val="0"/>
              <w:marRight w:val="0"/>
              <w:marTop w:val="0"/>
              <w:marBottom w:val="0"/>
              <w:divBdr>
                <w:top w:val="none" w:sz="0" w:space="0" w:color="auto"/>
                <w:left w:val="none" w:sz="0" w:space="0" w:color="auto"/>
                <w:bottom w:val="none" w:sz="0" w:space="0" w:color="auto"/>
                <w:right w:val="none" w:sz="0" w:space="0" w:color="auto"/>
              </w:divBdr>
              <w:divsChild>
                <w:div w:id="1110322300">
                  <w:marLeft w:val="0"/>
                  <w:marRight w:val="0"/>
                  <w:marTop w:val="0"/>
                  <w:marBottom w:val="0"/>
                  <w:divBdr>
                    <w:top w:val="none" w:sz="0" w:space="0" w:color="auto"/>
                    <w:left w:val="none" w:sz="0" w:space="0" w:color="auto"/>
                    <w:bottom w:val="none" w:sz="0" w:space="0" w:color="auto"/>
                    <w:right w:val="none" w:sz="0" w:space="0" w:color="auto"/>
                  </w:divBdr>
                </w:div>
              </w:divsChild>
            </w:div>
            <w:div w:id="487868010">
              <w:marLeft w:val="0"/>
              <w:marRight w:val="0"/>
              <w:marTop w:val="0"/>
              <w:marBottom w:val="0"/>
              <w:divBdr>
                <w:top w:val="none" w:sz="0" w:space="0" w:color="auto"/>
                <w:left w:val="none" w:sz="0" w:space="0" w:color="auto"/>
                <w:bottom w:val="none" w:sz="0" w:space="0" w:color="auto"/>
                <w:right w:val="none" w:sz="0" w:space="0" w:color="auto"/>
              </w:divBdr>
              <w:divsChild>
                <w:div w:id="1291060338">
                  <w:marLeft w:val="0"/>
                  <w:marRight w:val="0"/>
                  <w:marTop w:val="0"/>
                  <w:marBottom w:val="0"/>
                  <w:divBdr>
                    <w:top w:val="none" w:sz="0" w:space="0" w:color="auto"/>
                    <w:left w:val="none" w:sz="0" w:space="0" w:color="auto"/>
                    <w:bottom w:val="none" w:sz="0" w:space="0" w:color="auto"/>
                    <w:right w:val="none" w:sz="0" w:space="0" w:color="auto"/>
                  </w:divBdr>
                </w:div>
              </w:divsChild>
            </w:div>
            <w:div w:id="659891033">
              <w:marLeft w:val="0"/>
              <w:marRight w:val="0"/>
              <w:marTop w:val="0"/>
              <w:marBottom w:val="0"/>
              <w:divBdr>
                <w:top w:val="none" w:sz="0" w:space="0" w:color="auto"/>
                <w:left w:val="none" w:sz="0" w:space="0" w:color="auto"/>
                <w:bottom w:val="none" w:sz="0" w:space="0" w:color="auto"/>
                <w:right w:val="none" w:sz="0" w:space="0" w:color="auto"/>
              </w:divBdr>
              <w:divsChild>
                <w:div w:id="1603297885">
                  <w:marLeft w:val="0"/>
                  <w:marRight w:val="0"/>
                  <w:marTop w:val="0"/>
                  <w:marBottom w:val="0"/>
                  <w:divBdr>
                    <w:top w:val="none" w:sz="0" w:space="0" w:color="auto"/>
                    <w:left w:val="none" w:sz="0" w:space="0" w:color="auto"/>
                    <w:bottom w:val="none" w:sz="0" w:space="0" w:color="auto"/>
                    <w:right w:val="none" w:sz="0" w:space="0" w:color="auto"/>
                  </w:divBdr>
                </w:div>
              </w:divsChild>
            </w:div>
            <w:div w:id="702562495">
              <w:marLeft w:val="0"/>
              <w:marRight w:val="0"/>
              <w:marTop w:val="0"/>
              <w:marBottom w:val="0"/>
              <w:divBdr>
                <w:top w:val="none" w:sz="0" w:space="0" w:color="auto"/>
                <w:left w:val="none" w:sz="0" w:space="0" w:color="auto"/>
                <w:bottom w:val="none" w:sz="0" w:space="0" w:color="auto"/>
                <w:right w:val="none" w:sz="0" w:space="0" w:color="auto"/>
              </w:divBdr>
              <w:divsChild>
                <w:div w:id="1677001976">
                  <w:marLeft w:val="0"/>
                  <w:marRight w:val="0"/>
                  <w:marTop w:val="0"/>
                  <w:marBottom w:val="0"/>
                  <w:divBdr>
                    <w:top w:val="none" w:sz="0" w:space="0" w:color="auto"/>
                    <w:left w:val="none" w:sz="0" w:space="0" w:color="auto"/>
                    <w:bottom w:val="none" w:sz="0" w:space="0" w:color="auto"/>
                    <w:right w:val="none" w:sz="0" w:space="0" w:color="auto"/>
                  </w:divBdr>
                </w:div>
              </w:divsChild>
            </w:div>
            <w:div w:id="745804816">
              <w:marLeft w:val="0"/>
              <w:marRight w:val="0"/>
              <w:marTop w:val="0"/>
              <w:marBottom w:val="0"/>
              <w:divBdr>
                <w:top w:val="none" w:sz="0" w:space="0" w:color="auto"/>
                <w:left w:val="none" w:sz="0" w:space="0" w:color="auto"/>
                <w:bottom w:val="none" w:sz="0" w:space="0" w:color="auto"/>
                <w:right w:val="none" w:sz="0" w:space="0" w:color="auto"/>
              </w:divBdr>
              <w:divsChild>
                <w:div w:id="742875854">
                  <w:marLeft w:val="0"/>
                  <w:marRight w:val="0"/>
                  <w:marTop w:val="0"/>
                  <w:marBottom w:val="0"/>
                  <w:divBdr>
                    <w:top w:val="none" w:sz="0" w:space="0" w:color="auto"/>
                    <w:left w:val="none" w:sz="0" w:space="0" w:color="auto"/>
                    <w:bottom w:val="none" w:sz="0" w:space="0" w:color="auto"/>
                    <w:right w:val="none" w:sz="0" w:space="0" w:color="auto"/>
                  </w:divBdr>
                </w:div>
              </w:divsChild>
            </w:div>
            <w:div w:id="770128064">
              <w:marLeft w:val="0"/>
              <w:marRight w:val="0"/>
              <w:marTop w:val="0"/>
              <w:marBottom w:val="0"/>
              <w:divBdr>
                <w:top w:val="none" w:sz="0" w:space="0" w:color="auto"/>
                <w:left w:val="none" w:sz="0" w:space="0" w:color="auto"/>
                <w:bottom w:val="none" w:sz="0" w:space="0" w:color="auto"/>
                <w:right w:val="none" w:sz="0" w:space="0" w:color="auto"/>
              </w:divBdr>
              <w:divsChild>
                <w:div w:id="1046685747">
                  <w:marLeft w:val="0"/>
                  <w:marRight w:val="0"/>
                  <w:marTop w:val="0"/>
                  <w:marBottom w:val="0"/>
                  <w:divBdr>
                    <w:top w:val="none" w:sz="0" w:space="0" w:color="auto"/>
                    <w:left w:val="none" w:sz="0" w:space="0" w:color="auto"/>
                    <w:bottom w:val="none" w:sz="0" w:space="0" w:color="auto"/>
                    <w:right w:val="none" w:sz="0" w:space="0" w:color="auto"/>
                  </w:divBdr>
                </w:div>
              </w:divsChild>
            </w:div>
            <w:div w:id="815339261">
              <w:marLeft w:val="0"/>
              <w:marRight w:val="0"/>
              <w:marTop w:val="0"/>
              <w:marBottom w:val="0"/>
              <w:divBdr>
                <w:top w:val="none" w:sz="0" w:space="0" w:color="auto"/>
                <w:left w:val="none" w:sz="0" w:space="0" w:color="auto"/>
                <w:bottom w:val="none" w:sz="0" w:space="0" w:color="auto"/>
                <w:right w:val="none" w:sz="0" w:space="0" w:color="auto"/>
              </w:divBdr>
              <w:divsChild>
                <w:div w:id="62146616">
                  <w:marLeft w:val="0"/>
                  <w:marRight w:val="0"/>
                  <w:marTop w:val="0"/>
                  <w:marBottom w:val="0"/>
                  <w:divBdr>
                    <w:top w:val="none" w:sz="0" w:space="0" w:color="auto"/>
                    <w:left w:val="none" w:sz="0" w:space="0" w:color="auto"/>
                    <w:bottom w:val="none" w:sz="0" w:space="0" w:color="auto"/>
                    <w:right w:val="none" w:sz="0" w:space="0" w:color="auto"/>
                  </w:divBdr>
                </w:div>
              </w:divsChild>
            </w:div>
            <w:div w:id="888880328">
              <w:marLeft w:val="0"/>
              <w:marRight w:val="0"/>
              <w:marTop w:val="0"/>
              <w:marBottom w:val="0"/>
              <w:divBdr>
                <w:top w:val="none" w:sz="0" w:space="0" w:color="auto"/>
                <w:left w:val="none" w:sz="0" w:space="0" w:color="auto"/>
                <w:bottom w:val="none" w:sz="0" w:space="0" w:color="auto"/>
                <w:right w:val="none" w:sz="0" w:space="0" w:color="auto"/>
              </w:divBdr>
              <w:divsChild>
                <w:div w:id="1828477332">
                  <w:marLeft w:val="0"/>
                  <w:marRight w:val="0"/>
                  <w:marTop w:val="0"/>
                  <w:marBottom w:val="0"/>
                  <w:divBdr>
                    <w:top w:val="none" w:sz="0" w:space="0" w:color="auto"/>
                    <w:left w:val="none" w:sz="0" w:space="0" w:color="auto"/>
                    <w:bottom w:val="none" w:sz="0" w:space="0" w:color="auto"/>
                    <w:right w:val="none" w:sz="0" w:space="0" w:color="auto"/>
                  </w:divBdr>
                </w:div>
              </w:divsChild>
            </w:div>
            <w:div w:id="894852539">
              <w:marLeft w:val="0"/>
              <w:marRight w:val="0"/>
              <w:marTop w:val="0"/>
              <w:marBottom w:val="0"/>
              <w:divBdr>
                <w:top w:val="none" w:sz="0" w:space="0" w:color="auto"/>
                <w:left w:val="none" w:sz="0" w:space="0" w:color="auto"/>
                <w:bottom w:val="none" w:sz="0" w:space="0" w:color="auto"/>
                <w:right w:val="none" w:sz="0" w:space="0" w:color="auto"/>
              </w:divBdr>
              <w:divsChild>
                <w:div w:id="237449401">
                  <w:marLeft w:val="0"/>
                  <w:marRight w:val="0"/>
                  <w:marTop w:val="0"/>
                  <w:marBottom w:val="0"/>
                  <w:divBdr>
                    <w:top w:val="none" w:sz="0" w:space="0" w:color="auto"/>
                    <w:left w:val="none" w:sz="0" w:space="0" w:color="auto"/>
                    <w:bottom w:val="none" w:sz="0" w:space="0" w:color="auto"/>
                    <w:right w:val="none" w:sz="0" w:space="0" w:color="auto"/>
                  </w:divBdr>
                </w:div>
              </w:divsChild>
            </w:div>
            <w:div w:id="1054698430">
              <w:marLeft w:val="0"/>
              <w:marRight w:val="0"/>
              <w:marTop w:val="0"/>
              <w:marBottom w:val="0"/>
              <w:divBdr>
                <w:top w:val="none" w:sz="0" w:space="0" w:color="auto"/>
                <w:left w:val="none" w:sz="0" w:space="0" w:color="auto"/>
                <w:bottom w:val="none" w:sz="0" w:space="0" w:color="auto"/>
                <w:right w:val="none" w:sz="0" w:space="0" w:color="auto"/>
              </w:divBdr>
              <w:divsChild>
                <w:div w:id="1015694763">
                  <w:marLeft w:val="0"/>
                  <w:marRight w:val="0"/>
                  <w:marTop w:val="0"/>
                  <w:marBottom w:val="0"/>
                  <w:divBdr>
                    <w:top w:val="none" w:sz="0" w:space="0" w:color="auto"/>
                    <w:left w:val="none" w:sz="0" w:space="0" w:color="auto"/>
                    <w:bottom w:val="none" w:sz="0" w:space="0" w:color="auto"/>
                    <w:right w:val="none" w:sz="0" w:space="0" w:color="auto"/>
                  </w:divBdr>
                </w:div>
              </w:divsChild>
            </w:div>
            <w:div w:id="1148936065">
              <w:marLeft w:val="0"/>
              <w:marRight w:val="0"/>
              <w:marTop w:val="0"/>
              <w:marBottom w:val="0"/>
              <w:divBdr>
                <w:top w:val="none" w:sz="0" w:space="0" w:color="auto"/>
                <w:left w:val="none" w:sz="0" w:space="0" w:color="auto"/>
                <w:bottom w:val="none" w:sz="0" w:space="0" w:color="auto"/>
                <w:right w:val="none" w:sz="0" w:space="0" w:color="auto"/>
              </w:divBdr>
              <w:divsChild>
                <w:div w:id="1863124557">
                  <w:marLeft w:val="0"/>
                  <w:marRight w:val="0"/>
                  <w:marTop w:val="0"/>
                  <w:marBottom w:val="0"/>
                  <w:divBdr>
                    <w:top w:val="none" w:sz="0" w:space="0" w:color="auto"/>
                    <w:left w:val="none" w:sz="0" w:space="0" w:color="auto"/>
                    <w:bottom w:val="none" w:sz="0" w:space="0" w:color="auto"/>
                    <w:right w:val="none" w:sz="0" w:space="0" w:color="auto"/>
                  </w:divBdr>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sChild>
                <w:div w:id="83380661">
                  <w:marLeft w:val="0"/>
                  <w:marRight w:val="0"/>
                  <w:marTop w:val="0"/>
                  <w:marBottom w:val="0"/>
                  <w:divBdr>
                    <w:top w:val="none" w:sz="0" w:space="0" w:color="auto"/>
                    <w:left w:val="none" w:sz="0" w:space="0" w:color="auto"/>
                    <w:bottom w:val="none" w:sz="0" w:space="0" w:color="auto"/>
                    <w:right w:val="none" w:sz="0" w:space="0" w:color="auto"/>
                  </w:divBdr>
                </w:div>
              </w:divsChild>
            </w:div>
            <w:div w:id="1345937757">
              <w:marLeft w:val="0"/>
              <w:marRight w:val="0"/>
              <w:marTop w:val="0"/>
              <w:marBottom w:val="0"/>
              <w:divBdr>
                <w:top w:val="none" w:sz="0" w:space="0" w:color="auto"/>
                <w:left w:val="none" w:sz="0" w:space="0" w:color="auto"/>
                <w:bottom w:val="none" w:sz="0" w:space="0" w:color="auto"/>
                <w:right w:val="none" w:sz="0" w:space="0" w:color="auto"/>
              </w:divBdr>
              <w:divsChild>
                <w:div w:id="1241283568">
                  <w:marLeft w:val="0"/>
                  <w:marRight w:val="0"/>
                  <w:marTop w:val="0"/>
                  <w:marBottom w:val="0"/>
                  <w:divBdr>
                    <w:top w:val="none" w:sz="0" w:space="0" w:color="auto"/>
                    <w:left w:val="none" w:sz="0" w:space="0" w:color="auto"/>
                    <w:bottom w:val="none" w:sz="0" w:space="0" w:color="auto"/>
                    <w:right w:val="none" w:sz="0" w:space="0" w:color="auto"/>
                  </w:divBdr>
                </w:div>
              </w:divsChild>
            </w:div>
            <w:div w:id="1394962684">
              <w:marLeft w:val="0"/>
              <w:marRight w:val="0"/>
              <w:marTop w:val="0"/>
              <w:marBottom w:val="0"/>
              <w:divBdr>
                <w:top w:val="none" w:sz="0" w:space="0" w:color="auto"/>
                <w:left w:val="none" w:sz="0" w:space="0" w:color="auto"/>
                <w:bottom w:val="none" w:sz="0" w:space="0" w:color="auto"/>
                <w:right w:val="none" w:sz="0" w:space="0" w:color="auto"/>
              </w:divBdr>
              <w:divsChild>
                <w:div w:id="1986004117">
                  <w:marLeft w:val="0"/>
                  <w:marRight w:val="0"/>
                  <w:marTop w:val="0"/>
                  <w:marBottom w:val="0"/>
                  <w:divBdr>
                    <w:top w:val="none" w:sz="0" w:space="0" w:color="auto"/>
                    <w:left w:val="none" w:sz="0" w:space="0" w:color="auto"/>
                    <w:bottom w:val="none" w:sz="0" w:space="0" w:color="auto"/>
                    <w:right w:val="none" w:sz="0" w:space="0" w:color="auto"/>
                  </w:divBdr>
                </w:div>
              </w:divsChild>
            </w:div>
            <w:div w:id="1473673926">
              <w:marLeft w:val="0"/>
              <w:marRight w:val="0"/>
              <w:marTop w:val="0"/>
              <w:marBottom w:val="0"/>
              <w:divBdr>
                <w:top w:val="none" w:sz="0" w:space="0" w:color="auto"/>
                <w:left w:val="none" w:sz="0" w:space="0" w:color="auto"/>
                <w:bottom w:val="none" w:sz="0" w:space="0" w:color="auto"/>
                <w:right w:val="none" w:sz="0" w:space="0" w:color="auto"/>
              </w:divBdr>
              <w:divsChild>
                <w:div w:id="455375005">
                  <w:marLeft w:val="0"/>
                  <w:marRight w:val="0"/>
                  <w:marTop w:val="0"/>
                  <w:marBottom w:val="0"/>
                  <w:divBdr>
                    <w:top w:val="none" w:sz="0" w:space="0" w:color="auto"/>
                    <w:left w:val="none" w:sz="0" w:space="0" w:color="auto"/>
                    <w:bottom w:val="none" w:sz="0" w:space="0" w:color="auto"/>
                    <w:right w:val="none" w:sz="0" w:space="0" w:color="auto"/>
                  </w:divBdr>
                </w:div>
              </w:divsChild>
            </w:div>
            <w:div w:id="1499686527">
              <w:marLeft w:val="0"/>
              <w:marRight w:val="0"/>
              <w:marTop w:val="0"/>
              <w:marBottom w:val="0"/>
              <w:divBdr>
                <w:top w:val="none" w:sz="0" w:space="0" w:color="auto"/>
                <w:left w:val="none" w:sz="0" w:space="0" w:color="auto"/>
                <w:bottom w:val="none" w:sz="0" w:space="0" w:color="auto"/>
                <w:right w:val="none" w:sz="0" w:space="0" w:color="auto"/>
              </w:divBdr>
              <w:divsChild>
                <w:div w:id="469173094">
                  <w:marLeft w:val="0"/>
                  <w:marRight w:val="0"/>
                  <w:marTop w:val="0"/>
                  <w:marBottom w:val="0"/>
                  <w:divBdr>
                    <w:top w:val="none" w:sz="0" w:space="0" w:color="auto"/>
                    <w:left w:val="none" w:sz="0" w:space="0" w:color="auto"/>
                    <w:bottom w:val="none" w:sz="0" w:space="0" w:color="auto"/>
                    <w:right w:val="none" w:sz="0" w:space="0" w:color="auto"/>
                  </w:divBdr>
                </w:div>
              </w:divsChild>
            </w:div>
            <w:div w:id="1557667580">
              <w:marLeft w:val="0"/>
              <w:marRight w:val="0"/>
              <w:marTop w:val="0"/>
              <w:marBottom w:val="0"/>
              <w:divBdr>
                <w:top w:val="none" w:sz="0" w:space="0" w:color="auto"/>
                <w:left w:val="none" w:sz="0" w:space="0" w:color="auto"/>
                <w:bottom w:val="none" w:sz="0" w:space="0" w:color="auto"/>
                <w:right w:val="none" w:sz="0" w:space="0" w:color="auto"/>
              </w:divBdr>
              <w:divsChild>
                <w:div w:id="13384994">
                  <w:marLeft w:val="0"/>
                  <w:marRight w:val="0"/>
                  <w:marTop w:val="0"/>
                  <w:marBottom w:val="0"/>
                  <w:divBdr>
                    <w:top w:val="none" w:sz="0" w:space="0" w:color="auto"/>
                    <w:left w:val="none" w:sz="0" w:space="0" w:color="auto"/>
                    <w:bottom w:val="none" w:sz="0" w:space="0" w:color="auto"/>
                    <w:right w:val="none" w:sz="0" w:space="0" w:color="auto"/>
                  </w:divBdr>
                </w:div>
              </w:divsChild>
            </w:div>
            <w:div w:id="1685282838">
              <w:marLeft w:val="0"/>
              <w:marRight w:val="0"/>
              <w:marTop w:val="0"/>
              <w:marBottom w:val="0"/>
              <w:divBdr>
                <w:top w:val="none" w:sz="0" w:space="0" w:color="auto"/>
                <w:left w:val="none" w:sz="0" w:space="0" w:color="auto"/>
                <w:bottom w:val="none" w:sz="0" w:space="0" w:color="auto"/>
                <w:right w:val="none" w:sz="0" w:space="0" w:color="auto"/>
              </w:divBdr>
              <w:divsChild>
                <w:div w:id="282226785">
                  <w:marLeft w:val="0"/>
                  <w:marRight w:val="0"/>
                  <w:marTop w:val="0"/>
                  <w:marBottom w:val="0"/>
                  <w:divBdr>
                    <w:top w:val="none" w:sz="0" w:space="0" w:color="auto"/>
                    <w:left w:val="none" w:sz="0" w:space="0" w:color="auto"/>
                    <w:bottom w:val="none" w:sz="0" w:space="0" w:color="auto"/>
                    <w:right w:val="none" w:sz="0" w:space="0" w:color="auto"/>
                  </w:divBdr>
                </w:div>
              </w:divsChild>
            </w:div>
            <w:div w:id="1915780214">
              <w:marLeft w:val="0"/>
              <w:marRight w:val="0"/>
              <w:marTop w:val="0"/>
              <w:marBottom w:val="0"/>
              <w:divBdr>
                <w:top w:val="none" w:sz="0" w:space="0" w:color="auto"/>
                <w:left w:val="none" w:sz="0" w:space="0" w:color="auto"/>
                <w:bottom w:val="none" w:sz="0" w:space="0" w:color="auto"/>
                <w:right w:val="none" w:sz="0" w:space="0" w:color="auto"/>
              </w:divBdr>
              <w:divsChild>
                <w:div w:id="551766511">
                  <w:marLeft w:val="0"/>
                  <w:marRight w:val="0"/>
                  <w:marTop w:val="0"/>
                  <w:marBottom w:val="0"/>
                  <w:divBdr>
                    <w:top w:val="none" w:sz="0" w:space="0" w:color="auto"/>
                    <w:left w:val="none" w:sz="0" w:space="0" w:color="auto"/>
                    <w:bottom w:val="none" w:sz="0" w:space="0" w:color="auto"/>
                    <w:right w:val="none" w:sz="0" w:space="0" w:color="auto"/>
                  </w:divBdr>
                </w:div>
              </w:divsChild>
            </w:div>
            <w:div w:id="1930888280">
              <w:marLeft w:val="0"/>
              <w:marRight w:val="0"/>
              <w:marTop w:val="0"/>
              <w:marBottom w:val="0"/>
              <w:divBdr>
                <w:top w:val="none" w:sz="0" w:space="0" w:color="auto"/>
                <w:left w:val="none" w:sz="0" w:space="0" w:color="auto"/>
                <w:bottom w:val="none" w:sz="0" w:space="0" w:color="auto"/>
                <w:right w:val="none" w:sz="0" w:space="0" w:color="auto"/>
              </w:divBdr>
              <w:divsChild>
                <w:div w:id="1108238105">
                  <w:marLeft w:val="0"/>
                  <w:marRight w:val="0"/>
                  <w:marTop w:val="0"/>
                  <w:marBottom w:val="0"/>
                  <w:divBdr>
                    <w:top w:val="none" w:sz="0" w:space="0" w:color="auto"/>
                    <w:left w:val="none" w:sz="0" w:space="0" w:color="auto"/>
                    <w:bottom w:val="none" w:sz="0" w:space="0" w:color="auto"/>
                    <w:right w:val="none" w:sz="0" w:space="0" w:color="auto"/>
                  </w:divBdr>
                </w:div>
              </w:divsChild>
            </w:div>
            <w:div w:id="1942446789">
              <w:marLeft w:val="0"/>
              <w:marRight w:val="0"/>
              <w:marTop w:val="0"/>
              <w:marBottom w:val="0"/>
              <w:divBdr>
                <w:top w:val="none" w:sz="0" w:space="0" w:color="auto"/>
                <w:left w:val="none" w:sz="0" w:space="0" w:color="auto"/>
                <w:bottom w:val="none" w:sz="0" w:space="0" w:color="auto"/>
                <w:right w:val="none" w:sz="0" w:space="0" w:color="auto"/>
              </w:divBdr>
              <w:divsChild>
                <w:div w:id="65498616">
                  <w:marLeft w:val="0"/>
                  <w:marRight w:val="0"/>
                  <w:marTop w:val="0"/>
                  <w:marBottom w:val="0"/>
                  <w:divBdr>
                    <w:top w:val="none" w:sz="0" w:space="0" w:color="auto"/>
                    <w:left w:val="none" w:sz="0" w:space="0" w:color="auto"/>
                    <w:bottom w:val="none" w:sz="0" w:space="0" w:color="auto"/>
                    <w:right w:val="none" w:sz="0" w:space="0" w:color="auto"/>
                  </w:divBdr>
                </w:div>
              </w:divsChild>
            </w:div>
            <w:div w:id="1961298030">
              <w:marLeft w:val="0"/>
              <w:marRight w:val="0"/>
              <w:marTop w:val="0"/>
              <w:marBottom w:val="0"/>
              <w:divBdr>
                <w:top w:val="none" w:sz="0" w:space="0" w:color="auto"/>
                <w:left w:val="none" w:sz="0" w:space="0" w:color="auto"/>
                <w:bottom w:val="none" w:sz="0" w:space="0" w:color="auto"/>
                <w:right w:val="none" w:sz="0" w:space="0" w:color="auto"/>
              </w:divBdr>
              <w:divsChild>
                <w:div w:id="766534793">
                  <w:marLeft w:val="0"/>
                  <w:marRight w:val="0"/>
                  <w:marTop w:val="0"/>
                  <w:marBottom w:val="0"/>
                  <w:divBdr>
                    <w:top w:val="none" w:sz="0" w:space="0" w:color="auto"/>
                    <w:left w:val="none" w:sz="0" w:space="0" w:color="auto"/>
                    <w:bottom w:val="none" w:sz="0" w:space="0" w:color="auto"/>
                    <w:right w:val="none" w:sz="0" w:space="0" w:color="auto"/>
                  </w:divBdr>
                </w:div>
              </w:divsChild>
            </w:div>
            <w:div w:id="1995143064">
              <w:marLeft w:val="0"/>
              <w:marRight w:val="0"/>
              <w:marTop w:val="0"/>
              <w:marBottom w:val="0"/>
              <w:divBdr>
                <w:top w:val="none" w:sz="0" w:space="0" w:color="auto"/>
                <w:left w:val="none" w:sz="0" w:space="0" w:color="auto"/>
                <w:bottom w:val="none" w:sz="0" w:space="0" w:color="auto"/>
                <w:right w:val="none" w:sz="0" w:space="0" w:color="auto"/>
              </w:divBdr>
              <w:divsChild>
                <w:div w:id="1071267824">
                  <w:marLeft w:val="0"/>
                  <w:marRight w:val="0"/>
                  <w:marTop w:val="0"/>
                  <w:marBottom w:val="0"/>
                  <w:divBdr>
                    <w:top w:val="none" w:sz="0" w:space="0" w:color="auto"/>
                    <w:left w:val="none" w:sz="0" w:space="0" w:color="auto"/>
                    <w:bottom w:val="none" w:sz="0" w:space="0" w:color="auto"/>
                    <w:right w:val="none" w:sz="0" w:space="0" w:color="auto"/>
                  </w:divBdr>
                </w:div>
              </w:divsChild>
            </w:div>
            <w:div w:id="2059818778">
              <w:marLeft w:val="0"/>
              <w:marRight w:val="0"/>
              <w:marTop w:val="0"/>
              <w:marBottom w:val="0"/>
              <w:divBdr>
                <w:top w:val="none" w:sz="0" w:space="0" w:color="auto"/>
                <w:left w:val="none" w:sz="0" w:space="0" w:color="auto"/>
                <w:bottom w:val="none" w:sz="0" w:space="0" w:color="auto"/>
                <w:right w:val="none" w:sz="0" w:space="0" w:color="auto"/>
              </w:divBdr>
              <w:divsChild>
                <w:div w:id="479999593">
                  <w:marLeft w:val="0"/>
                  <w:marRight w:val="0"/>
                  <w:marTop w:val="0"/>
                  <w:marBottom w:val="0"/>
                  <w:divBdr>
                    <w:top w:val="none" w:sz="0" w:space="0" w:color="auto"/>
                    <w:left w:val="none" w:sz="0" w:space="0" w:color="auto"/>
                    <w:bottom w:val="none" w:sz="0" w:space="0" w:color="auto"/>
                    <w:right w:val="none" w:sz="0" w:space="0" w:color="auto"/>
                  </w:divBdr>
                </w:div>
              </w:divsChild>
            </w:div>
            <w:div w:id="2090074582">
              <w:marLeft w:val="0"/>
              <w:marRight w:val="0"/>
              <w:marTop w:val="0"/>
              <w:marBottom w:val="0"/>
              <w:divBdr>
                <w:top w:val="none" w:sz="0" w:space="0" w:color="auto"/>
                <w:left w:val="none" w:sz="0" w:space="0" w:color="auto"/>
                <w:bottom w:val="none" w:sz="0" w:space="0" w:color="auto"/>
                <w:right w:val="none" w:sz="0" w:space="0" w:color="auto"/>
              </w:divBdr>
              <w:divsChild>
                <w:div w:id="1806659435">
                  <w:marLeft w:val="0"/>
                  <w:marRight w:val="0"/>
                  <w:marTop w:val="0"/>
                  <w:marBottom w:val="0"/>
                  <w:divBdr>
                    <w:top w:val="none" w:sz="0" w:space="0" w:color="auto"/>
                    <w:left w:val="none" w:sz="0" w:space="0" w:color="auto"/>
                    <w:bottom w:val="none" w:sz="0" w:space="0" w:color="auto"/>
                    <w:right w:val="none" w:sz="0" w:space="0" w:color="auto"/>
                  </w:divBdr>
                </w:div>
              </w:divsChild>
            </w:div>
            <w:div w:id="2129348921">
              <w:marLeft w:val="0"/>
              <w:marRight w:val="0"/>
              <w:marTop w:val="0"/>
              <w:marBottom w:val="0"/>
              <w:divBdr>
                <w:top w:val="none" w:sz="0" w:space="0" w:color="auto"/>
                <w:left w:val="none" w:sz="0" w:space="0" w:color="auto"/>
                <w:bottom w:val="none" w:sz="0" w:space="0" w:color="auto"/>
                <w:right w:val="none" w:sz="0" w:space="0" w:color="auto"/>
              </w:divBdr>
              <w:divsChild>
                <w:div w:id="20560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74954">
          <w:marLeft w:val="0"/>
          <w:marRight w:val="0"/>
          <w:marTop w:val="0"/>
          <w:marBottom w:val="0"/>
          <w:divBdr>
            <w:top w:val="none" w:sz="0" w:space="0" w:color="auto"/>
            <w:left w:val="none" w:sz="0" w:space="0" w:color="auto"/>
            <w:bottom w:val="none" w:sz="0" w:space="0" w:color="auto"/>
            <w:right w:val="none" w:sz="0" w:space="0" w:color="auto"/>
          </w:divBdr>
        </w:div>
        <w:div w:id="1101493661">
          <w:marLeft w:val="0"/>
          <w:marRight w:val="0"/>
          <w:marTop w:val="0"/>
          <w:marBottom w:val="0"/>
          <w:divBdr>
            <w:top w:val="none" w:sz="0" w:space="0" w:color="auto"/>
            <w:left w:val="none" w:sz="0" w:space="0" w:color="auto"/>
            <w:bottom w:val="none" w:sz="0" w:space="0" w:color="auto"/>
            <w:right w:val="none" w:sz="0" w:space="0" w:color="auto"/>
          </w:divBdr>
        </w:div>
        <w:div w:id="1112438148">
          <w:marLeft w:val="0"/>
          <w:marRight w:val="0"/>
          <w:marTop w:val="0"/>
          <w:marBottom w:val="0"/>
          <w:divBdr>
            <w:top w:val="none" w:sz="0" w:space="0" w:color="auto"/>
            <w:left w:val="none" w:sz="0" w:space="0" w:color="auto"/>
            <w:bottom w:val="none" w:sz="0" w:space="0" w:color="auto"/>
            <w:right w:val="none" w:sz="0" w:space="0" w:color="auto"/>
          </w:divBdr>
        </w:div>
        <w:div w:id="1120147136">
          <w:marLeft w:val="0"/>
          <w:marRight w:val="0"/>
          <w:marTop w:val="0"/>
          <w:marBottom w:val="0"/>
          <w:divBdr>
            <w:top w:val="none" w:sz="0" w:space="0" w:color="auto"/>
            <w:left w:val="none" w:sz="0" w:space="0" w:color="auto"/>
            <w:bottom w:val="none" w:sz="0" w:space="0" w:color="auto"/>
            <w:right w:val="none" w:sz="0" w:space="0" w:color="auto"/>
          </w:divBdr>
        </w:div>
        <w:div w:id="1144854228">
          <w:marLeft w:val="-75"/>
          <w:marRight w:val="0"/>
          <w:marTop w:val="30"/>
          <w:marBottom w:val="30"/>
          <w:divBdr>
            <w:top w:val="none" w:sz="0" w:space="0" w:color="auto"/>
            <w:left w:val="none" w:sz="0" w:space="0" w:color="auto"/>
            <w:bottom w:val="none" w:sz="0" w:space="0" w:color="auto"/>
            <w:right w:val="none" w:sz="0" w:space="0" w:color="auto"/>
          </w:divBdr>
          <w:divsChild>
            <w:div w:id="140777180">
              <w:marLeft w:val="0"/>
              <w:marRight w:val="0"/>
              <w:marTop w:val="0"/>
              <w:marBottom w:val="0"/>
              <w:divBdr>
                <w:top w:val="none" w:sz="0" w:space="0" w:color="auto"/>
                <w:left w:val="none" w:sz="0" w:space="0" w:color="auto"/>
                <w:bottom w:val="none" w:sz="0" w:space="0" w:color="auto"/>
                <w:right w:val="none" w:sz="0" w:space="0" w:color="auto"/>
              </w:divBdr>
              <w:divsChild>
                <w:div w:id="1683434232">
                  <w:marLeft w:val="0"/>
                  <w:marRight w:val="0"/>
                  <w:marTop w:val="0"/>
                  <w:marBottom w:val="0"/>
                  <w:divBdr>
                    <w:top w:val="none" w:sz="0" w:space="0" w:color="auto"/>
                    <w:left w:val="none" w:sz="0" w:space="0" w:color="auto"/>
                    <w:bottom w:val="none" w:sz="0" w:space="0" w:color="auto"/>
                    <w:right w:val="none" w:sz="0" w:space="0" w:color="auto"/>
                  </w:divBdr>
                </w:div>
              </w:divsChild>
            </w:div>
            <w:div w:id="188182449">
              <w:marLeft w:val="0"/>
              <w:marRight w:val="0"/>
              <w:marTop w:val="0"/>
              <w:marBottom w:val="0"/>
              <w:divBdr>
                <w:top w:val="none" w:sz="0" w:space="0" w:color="auto"/>
                <w:left w:val="none" w:sz="0" w:space="0" w:color="auto"/>
                <w:bottom w:val="none" w:sz="0" w:space="0" w:color="auto"/>
                <w:right w:val="none" w:sz="0" w:space="0" w:color="auto"/>
              </w:divBdr>
              <w:divsChild>
                <w:div w:id="2075658437">
                  <w:marLeft w:val="0"/>
                  <w:marRight w:val="0"/>
                  <w:marTop w:val="0"/>
                  <w:marBottom w:val="0"/>
                  <w:divBdr>
                    <w:top w:val="none" w:sz="0" w:space="0" w:color="auto"/>
                    <w:left w:val="none" w:sz="0" w:space="0" w:color="auto"/>
                    <w:bottom w:val="none" w:sz="0" w:space="0" w:color="auto"/>
                    <w:right w:val="none" w:sz="0" w:space="0" w:color="auto"/>
                  </w:divBdr>
                </w:div>
              </w:divsChild>
            </w:div>
            <w:div w:id="198474096">
              <w:marLeft w:val="0"/>
              <w:marRight w:val="0"/>
              <w:marTop w:val="0"/>
              <w:marBottom w:val="0"/>
              <w:divBdr>
                <w:top w:val="none" w:sz="0" w:space="0" w:color="auto"/>
                <w:left w:val="none" w:sz="0" w:space="0" w:color="auto"/>
                <w:bottom w:val="none" w:sz="0" w:space="0" w:color="auto"/>
                <w:right w:val="none" w:sz="0" w:space="0" w:color="auto"/>
              </w:divBdr>
              <w:divsChild>
                <w:div w:id="1185560740">
                  <w:marLeft w:val="0"/>
                  <w:marRight w:val="0"/>
                  <w:marTop w:val="0"/>
                  <w:marBottom w:val="0"/>
                  <w:divBdr>
                    <w:top w:val="none" w:sz="0" w:space="0" w:color="auto"/>
                    <w:left w:val="none" w:sz="0" w:space="0" w:color="auto"/>
                    <w:bottom w:val="none" w:sz="0" w:space="0" w:color="auto"/>
                    <w:right w:val="none" w:sz="0" w:space="0" w:color="auto"/>
                  </w:divBdr>
                </w:div>
              </w:divsChild>
            </w:div>
            <w:div w:id="198980182">
              <w:marLeft w:val="0"/>
              <w:marRight w:val="0"/>
              <w:marTop w:val="0"/>
              <w:marBottom w:val="0"/>
              <w:divBdr>
                <w:top w:val="none" w:sz="0" w:space="0" w:color="auto"/>
                <w:left w:val="none" w:sz="0" w:space="0" w:color="auto"/>
                <w:bottom w:val="none" w:sz="0" w:space="0" w:color="auto"/>
                <w:right w:val="none" w:sz="0" w:space="0" w:color="auto"/>
              </w:divBdr>
              <w:divsChild>
                <w:div w:id="842936460">
                  <w:marLeft w:val="0"/>
                  <w:marRight w:val="0"/>
                  <w:marTop w:val="0"/>
                  <w:marBottom w:val="0"/>
                  <w:divBdr>
                    <w:top w:val="none" w:sz="0" w:space="0" w:color="auto"/>
                    <w:left w:val="none" w:sz="0" w:space="0" w:color="auto"/>
                    <w:bottom w:val="none" w:sz="0" w:space="0" w:color="auto"/>
                    <w:right w:val="none" w:sz="0" w:space="0" w:color="auto"/>
                  </w:divBdr>
                </w:div>
              </w:divsChild>
            </w:div>
            <w:div w:id="225915330">
              <w:marLeft w:val="0"/>
              <w:marRight w:val="0"/>
              <w:marTop w:val="0"/>
              <w:marBottom w:val="0"/>
              <w:divBdr>
                <w:top w:val="none" w:sz="0" w:space="0" w:color="auto"/>
                <w:left w:val="none" w:sz="0" w:space="0" w:color="auto"/>
                <w:bottom w:val="none" w:sz="0" w:space="0" w:color="auto"/>
                <w:right w:val="none" w:sz="0" w:space="0" w:color="auto"/>
              </w:divBdr>
              <w:divsChild>
                <w:div w:id="724714878">
                  <w:marLeft w:val="0"/>
                  <w:marRight w:val="0"/>
                  <w:marTop w:val="0"/>
                  <w:marBottom w:val="0"/>
                  <w:divBdr>
                    <w:top w:val="none" w:sz="0" w:space="0" w:color="auto"/>
                    <w:left w:val="none" w:sz="0" w:space="0" w:color="auto"/>
                    <w:bottom w:val="none" w:sz="0" w:space="0" w:color="auto"/>
                    <w:right w:val="none" w:sz="0" w:space="0" w:color="auto"/>
                  </w:divBdr>
                </w:div>
              </w:divsChild>
            </w:div>
            <w:div w:id="261453950">
              <w:marLeft w:val="0"/>
              <w:marRight w:val="0"/>
              <w:marTop w:val="0"/>
              <w:marBottom w:val="0"/>
              <w:divBdr>
                <w:top w:val="none" w:sz="0" w:space="0" w:color="auto"/>
                <w:left w:val="none" w:sz="0" w:space="0" w:color="auto"/>
                <w:bottom w:val="none" w:sz="0" w:space="0" w:color="auto"/>
                <w:right w:val="none" w:sz="0" w:space="0" w:color="auto"/>
              </w:divBdr>
              <w:divsChild>
                <w:div w:id="2066368267">
                  <w:marLeft w:val="0"/>
                  <w:marRight w:val="0"/>
                  <w:marTop w:val="0"/>
                  <w:marBottom w:val="0"/>
                  <w:divBdr>
                    <w:top w:val="none" w:sz="0" w:space="0" w:color="auto"/>
                    <w:left w:val="none" w:sz="0" w:space="0" w:color="auto"/>
                    <w:bottom w:val="none" w:sz="0" w:space="0" w:color="auto"/>
                    <w:right w:val="none" w:sz="0" w:space="0" w:color="auto"/>
                  </w:divBdr>
                </w:div>
              </w:divsChild>
            </w:div>
            <w:div w:id="277378763">
              <w:marLeft w:val="0"/>
              <w:marRight w:val="0"/>
              <w:marTop w:val="0"/>
              <w:marBottom w:val="0"/>
              <w:divBdr>
                <w:top w:val="none" w:sz="0" w:space="0" w:color="auto"/>
                <w:left w:val="none" w:sz="0" w:space="0" w:color="auto"/>
                <w:bottom w:val="none" w:sz="0" w:space="0" w:color="auto"/>
                <w:right w:val="none" w:sz="0" w:space="0" w:color="auto"/>
              </w:divBdr>
              <w:divsChild>
                <w:div w:id="1561357200">
                  <w:marLeft w:val="0"/>
                  <w:marRight w:val="0"/>
                  <w:marTop w:val="0"/>
                  <w:marBottom w:val="0"/>
                  <w:divBdr>
                    <w:top w:val="none" w:sz="0" w:space="0" w:color="auto"/>
                    <w:left w:val="none" w:sz="0" w:space="0" w:color="auto"/>
                    <w:bottom w:val="none" w:sz="0" w:space="0" w:color="auto"/>
                    <w:right w:val="none" w:sz="0" w:space="0" w:color="auto"/>
                  </w:divBdr>
                </w:div>
              </w:divsChild>
            </w:div>
            <w:div w:id="282657382">
              <w:marLeft w:val="0"/>
              <w:marRight w:val="0"/>
              <w:marTop w:val="0"/>
              <w:marBottom w:val="0"/>
              <w:divBdr>
                <w:top w:val="none" w:sz="0" w:space="0" w:color="auto"/>
                <w:left w:val="none" w:sz="0" w:space="0" w:color="auto"/>
                <w:bottom w:val="none" w:sz="0" w:space="0" w:color="auto"/>
                <w:right w:val="none" w:sz="0" w:space="0" w:color="auto"/>
              </w:divBdr>
              <w:divsChild>
                <w:div w:id="1465928546">
                  <w:marLeft w:val="0"/>
                  <w:marRight w:val="0"/>
                  <w:marTop w:val="0"/>
                  <w:marBottom w:val="0"/>
                  <w:divBdr>
                    <w:top w:val="none" w:sz="0" w:space="0" w:color="auto"/>
                    <w:left w:val="none" w:sz="0" w:space="0" w:color="auto"/>
                    <w:bottom w:val="none" w:sz="0" w:space="0" w:color="auto"/>
                    <w:right w:val="none" w:sz="0" w:space="0" w:color="auto"/>
                  </w:divBdr>
                </w:div>
              </w:divsChild>
            </w:div>
            <w:div w:id="287399028">
              <w:marLeft w:val="0"/>
              <w:marRight w:val="0"/>
              <w:marTop w:val="0"/>
              <w:marBottom w:val="0"/>
              <w:divBdr>
                <w:top w:val="none" w:sz="0" w:space="0" w:color="auto"/>
                <w:left w:val="none" w:sz="0" w:space="0" w:color="auto"/>
                <w:bottom w:val="none" w:sz="0" w:space="0" w:color="auto"/>
                <w:right w:val="none" w:sz="0" w:space="0" w:color="auto"/>
              </w:divBdr>
              <w:divsChild>
                <w:div w:id="1309477839">
                  <w:marLeft w:val="0"/>
                  <w:marRight w:val="0"/>
                  <w:marTop w:val="0"/>
                  <w:marBottom w:val="0"/>
                  <w:divBdr>
                    <w:top w:val="none" w:sz="0" w:space="0" w:color="auto"/>
                    <w:left w:val="none" w:sz="0" w:space="0" w:color="auto"/>
                    <w:bottom w:val="none" w:sz="0" w:space="0" w:color="auto"/>
                    <w:right w:val="none" w:sz="0" w:space="0" w:color="auto"/>
                  </w:divBdr>
                </w:div>
              </w:divsChild>
            </w:div>
            <w:div w:id="300229665">
              <w:marLeft w:val="0"/>
              <w:marRight w:val="0"/>
              <w:marTop w:val="0"/>
              <w:marBottom w:val="0"/>
              <w:divBdr>
                <w:top w:val="none" w:sz="0" w:space="0" w:color="auto"/>
                <w:left w:val="none" w:sz="0" w:space="0" w:color="auto"/>
                <w:bottom w:val="none" w:sz="0" w:space="0" w:color="auto"/>
                <w:right w:val="none" w:sz="0" w:space="0" w:color="auto"/>
              </w:divBdr>
              <w:divsChild>
                <w:div w:id="1891719608">
                  <w:marLeft w:val="0"/>
                  <w:marRight w:val="0"/>
                  <w:marTop w:val="0"/>
                  <w:marBottom w:val="0"/>
                  <w:divBdr>
                    <w:top w:val="none" w:sz="0" w:space="0" w:color="auto"/>
                    <w:left w:val="none" w:sz="0" w:space="0" w:color="auto"/>
                    <w:bottom w:val="none" w:sz="0" w:space="0" w:color="auto"/>
                    <w:right w:val="none" w:sz="0" w:space="0" w:color="auto"/>
                  </w:divBdr>
                </w:div>
              </w:divsChild>
            </w:div>
            <w:div w:id="399836392">
              <w:marLeft w:val="0"/>
              <w:marRight w:val="0"/>
              <w:marTop w:val="0"/>
              <w:marBottom w:val="0"/>
              <w:divBdr>
                <w:top w:val="none" w:sz="0" w:space="0" w:color="auto"/>
                <w:left w:val="none" w:sz="0" w:space="0" w:color="auto"/>
                <w:bottom w:val="none" w:sz="0" w:space="0" w:color="auto"/>
                <w:right w:val="none" w:sz="0" w:space="0" w:color="auto"/>
              </w:divBdr>
              <w:divsChild>
                <w:div w:id="1791243792">
                  <w:marLeft w:val="0"/>
                  <w:marRight w:val="0"/>
                  <w:marTop w:val="0"/>
                  <w:marBottom w:val="0"/>
                  <w:divBdr>
                    <w:top w:val="none" w:sz="0" w:space="0" w:color="auto"/>
                    <w:left w:val="none" w:sz="0" w:space="0" w:color="auto"/>
                    <w:bottom w:val="none" w:sz="0" w:space="0" w:color="auto"/>
                    <w:right w:val="none" w:sz="0" w:space="0" w:color="auto"/>
                  </w:divBdr>
                </w:div>
              </w:divsChild>
            </w:div>
            <w:div w:id="401760340">
              <w:marLeft w:val="0"/>
              <w:marRight w:val="0"/>
              <w:marTop w:val="0"/>
              <w:marBottom w:val="0"/>
              <w:divBdr>
                <w:top w:val="none" w:sz="0" w:space="0" w:color="auto"/>
                <w:left w:val="none" w:sz="0" w:space="0" w:color="auto"/>
                <w:bottom w:val="none" w:sz="0" w:space="0" w:color="auto"/>
                <w:right w:val="none" w:sz="0" w:space="0" w:color="auto"/>
              </w:divBdr>
              <w:divsChild>
                <w:div w:id="1427265249">
                  <w:marLeft w:val="0"/>
                  <w:marRight w:val="0"/>
                  <w:marTop w:val="0"/>
                  <w:marBottom w:val="0"/>
                  <w:divBdr>
                    <w:top w:val="none" w:sz="0" w:space="0" w:color="auto"/>
                    <w:left w:val="none" w:sz="0" w:space="0" w:color="auto"/>
                    <w:bottom w:val="none" w:sz="0" w:space="0" w:color="auto"/>
                    <w:right w:val="none" w:sz="0" w:space="0" w:color="auto"/>
                  </w:divBdr>
                </w:div>
              </w:divsChild>
            </w:div>
            <w:div w:id="429084747">
              <w:marLeft w:val="0"/>
              <w:marRight w:val="0"/>
              <w:marTop w:val="0"/>
              <w:marBottom w:val="0"/>
              <w:divBdr>
                <w:top w:val="none" w:sz="0" w:space="0" w:color="auto"/>
                <w:left w:val="none" w:sz="0" w:space="0" w:color="auto"/>
                <w:bottom w:val="none" w:sz="0" w:space="0" w:color="auto"/>
                <w:right w:val="none" w:sz="0" w:space="0" w:color="auto"/>
              </w:divBdr>
              <w:divsChild>
                <w:div w:id="1985157025">
                  <w:marLeft w:val="0"/>
                  <w:marRight w:val="0"/>
                  <w:marTop w:val="0"/>
                  <w:marBottom w:val="0"/>
                  <w:divBdr>
                    <w:top w:val="none" w:sz="0" w:space="0" w:color="auto"/>
                    <w:left w:val="none" w:sz="0" w:space="0" w:color="auto"/>
                    <w:bottom w:val="none" w:sz="0" w:space="0" w:color="auto"/>
                    <w:right w:val="none" w:sz="0" w:space="0" w:color="auto"/>
                  </w:divBdr>
                </w:div>
              </w:divsChild>
            </w:div>
            <w:div w:id="444009081">
              <w:marLeft w:val="0"/>
              <w:marRight w:val="0"/>
              <w:marTop w:val="0"/>
              <w:marBottom w:val="0"/>
              <w:divBdr>
                <w:top w:val="none" w:sz="0" w:space="0" w:color="auto"/>
                <w:left w:val="none" w:sz="0" w:space="0" w:color="auto"/>
                <w:bottom w:val="none" w:sz="0" w:space="0" w:color="auto"/>
                <w:right w:val="none" w:sz="0" w:space="0" w:color="auto"/>
              </w:divBdr>
              <w:divsChild>
                <w:div w:id="92748745">
                  <w:marLeft w:val="0"/>
                  <w:marRight w:val="0"/>
                  <w:marTop w:val="0"/>
                  <w:marBottom w:val="0"/>
                  <w:divBdr>
                    <w:top w:val="none" w:sz="0" w:space="0" w:color="auto"/>
                    <w:left w:val="none" w:sz="0" w:space="0" w:color="auto"/>
                    <w:bottom w:val="none" w:sz="0" w:space="0" w:color="auto"/>
                    <w:right w:val="none" w:sz="0" w:space="0" w:color="auto"/>
                  </w:divBdr>
                </w:div>
              </w:divsChild>
            </w:div>
            <w:div w:id="570505398">
              <w:marLeft w:val="0"/>
              <w:marRight w:val="0"/>
              <w:marTop w:val="0"/>
              <w:marBottom w:val="0"/>
              <w:divBdr>
                <w:top w:val="none" w:sz="0" w:space="0" w:color="auto"/>
                <w:left w:val="none" w:sz="0" w:space="0" w:color="auto"/>
                <w:bottom w:val="none" w:sz="0" w:space="0" w:color="auto"/>
                <w:right w:val="none" w:sz="0" w:space="0" w:color="auto"/>
              </w:divBdr>
              <w:divsChild>
                <w:div w:id="1489787768">
                  <w:marLeft w:val="0"/>
                  <w:marRight w:val="0"/>
                  <w:marTop w:val="0"/>
                  <w:marBottom w:val="0"/>
                  <w:divBdr>
                    <w:top w:val="none" w:sz="0" w:space="0" w:color="auto"/>
                    <w:left w:val="none" w:sz="0" w:space="0" w:color="auto"/>
                    <w:bottom w:val="none" w:sz="0" w:space="0" w:color="auto"/>
                    <w:right w:val="none" w:sz="0" w:space="0" w:color="auto"/>
                  </w:divBdr>
                </w:div>
              </w:divsChild>
            </w:div>
            <w:div w:id="703015977">
              <w:marLeft w:val="0"/>
              <w:marRight w:val="0"/>
              <w:marTop w:val="0"/>
              <w:marBottom w:val="0"/>
              <w:divBdr>
                <w:top w:val="none" w:sz="0" w:space="0" w:color="auto"/>
                <w:left w:val="none" w:sz="0" w:space="0" w:color="auto"/>
                <w:bottom w:val="none" w:sz="0" w:space="0" w:color="auto"/>
                <w:right w:val="none" w:sz="0" w:space="0" w:color="auto"/>
              </w:divBdr>
              <w:divsChild>
                <w:div w:id="1421562994">
                  <w:marLeft w:val="0"/>
                  <w:marRight w:val="0"/>
                  <w:marTop w:val="0"/>
                  <w:marBottom w:val="0"/>
                  <w:divBdr>
                    <w:top w:val="none" w:sz="0" w:space="0" w:color="auto"/>
                    <w:left w:val="none" w:sz="0" w:space="0" w:color="auto"/>
                    <w:bottom w:val="none" w:sz="0" w:space="0" w:color="auto"/>
                    <w:right w:val="none" w:sz="0" w:space="0" w:color="auto"/>
                  </w:divBdr>
                </w:div>
              </w:divsChild>
            </w:div>
            <w:div w:id="755328106">
              <w:marLeft w:val="0"/>
              <w:marRight w:val="0"/>
              <w:marTop w:val="0"/>
              <w:marBottom w:val="0"/>
              <w:divBdr>
                <w:top w:val="none" w:sz="0" w:space="0" w:color="auto"/>
                <w:left w:val="none" w:sz="0" w:space="0" w:color="auto"/>
                <w:bottom w:val="none" w:sz="0" w:space="0" w:color="auto"/>
                <w:right w:val="none" w:sz="0" w:space="0" w:color="auto"/>
              </w:divBdr>
              <w:divsChild>
                <w:div w:id="151146669">
                  <w:marLeft w:val="0"/>
                  <w:marRight w:val="0"/>
                  <w:marTop w:val="0"/>
                  <w:marBottom w:val="0"/>
                  <w:divBdr>
                    <w:top w:val="none" w:sz="0" w:space="0" w:color="auto"/>
                    <w:left w:val="none" w:sz="0" w:space="0" w:color="auto"/>
                    <w:bottom w:val="none" w:sz="0" w:space="0" w:color="auto"/>
                    <w:right w:val="none" w:sz="0" w:space="0" w:color="auto"/>
                  </w:divBdr>
                </w:div>
              </w:divsChild>
            </w:div>
            <w:div w:id="761023737">
              <w:marLeft w:val="0"/>
              <w:marRight w:val="0"/>
              <w:marTop w:val="0"/>
              <w:marBottom w:val="0"/>
              <w:divBdr>
                <w:top w:val="none" w:sz="0" w:space="0" w:color="auto"/>
                <w:left w:val="none" w:sz="0" w:space="0" w:color="auto"/>
                <w:bottom w:val="none" w:sz="0" w:space="0" w:color="auto"/>
                <w:right w:val="none" w:sz="0" w:space="0" w:color="auto"/>
              </w:divBdr>
              <w:divsChild>
                <w:div w:id="1430734641">
                  <w:marLeft w:val="0"/>
                  <w:marRight w:val="0"/>
                  <w:marTop w:val="0"/>
                  <w:marBottom w:val="0"/>
                  <w:divBdr>
                    <w:top w:val="none" w:sz="0" w:space="0" w:color="auto"/>
                    <w:left w:val="none" w:sz="0" w:space="0" w:color="auto"/>
                    <w:bottom w:val="none" w:sz="0" w:space="0" w:color="auto"/>
                    <w:right w:val="none" w:sz="0" w:space="0" w:color="auto"/>
                  </w:divBdr>
                </w:div>
              </w:divsChild>
            </w:div>
            <w:div w:id="776287880">
              <w:marLeft w:val="0"/>
              <w:marRight w:val="0"/>
              <w:marTop w:val="0"/>
              <w:marBottom w:val="0"/>
              <w:divBdr>
                <w:top w:val="none" w:sz="0" w:space="0" w:color="auto"/>
                <w:left w:val="none" w:sz="0" w:space="0" w:color="auto"/>
                <w:bottom w:val="none" w:sz="0" w:space="0" w:color="auto"/>
                <w:right w:val="none" w:sz="0" w:space="0" w:color="auto"/>
              </w:divBdr>
              <w:divsChild>
                <w:div w:id="913273975">
                  <w:marLeft w:val="0"/>
                  <w:marRight w:val="0"/>
                  <w:marTop w:val="0"/>
                  <w:marBottom w:val="0"/>
                  <w:divBdr>
                    <w:top w:val="none" w:sz="0" w:space="0" w:color="auto"/>
                    <w:left w:val="none" w:sz="0" w:space="0" w:color="auto"/>
                    <w:bottom w:val="none" w:sz="0" w:space="0" w:color="auto"/>
                    <w:right w:val="none" w:sz="0" w:space="0" w:color="auto"/>
                  </w:divBdr>
                </w:div>
              </w:divsChild>
            </w:div>
            <w:div w:id="933980237">
              <w:marLeft w:val="0"/>
              <w:marRight w:val="0"/>
              <w:marTop w:val="0"/>
              <w:marBottom w:val="0"/>
              <w:divBdr>
                <w:top w:val="none" w:sz="0" w:space="0" w:color="auto"/>
                <w:left w:val="none" w:sz="0" w:space="0" w:color="auto"/>
                <w:bottom w:val="none" w:sz="0" w:space="0" w:color="auto"/>
                <w:right w:val="none" w:sz="0" w:space="0" w:color="auto"/>
              </w:divBdr>
              <w:divsChild>
                <w:div w:id="261569545">
                  <w:marLeft w:val="0"/>
                  <w:marRight w:val="0"/>
                  <w:marTop w:val="0"/>
                  <w:marBottom w:val="0"/>
                  <w:divBdr>
                    <w:top w:val="none" w:sz="0" w:space="0" w:color="auto"/>
                    <w:left w:val="none" w:sz="0" w:space="0" w:color="auto"/>
                    <w:bottom w:val="none" w:sz="0" w:space="0" w:color="auto"/>
                    <w:right w:val="none" w:sz="0" w:space="0" w:color="auto"/>
                  </w:divBdr>
                </w:div>
              </w:divsChild>
            </w:div>
            <w:div w:id="1007757729">
              <w:marLeft w:val="0"/>
              <w:marRight w:val="0"/>
              <w:marTop w:val="0"/>
              <w:marBottom w:val="0"/>
              <w:divBdr>
                <w:top w:val="none" w:sz="0" w:space="0" w:color="auto"/>
                <w:left w:val="none" w:sz="0" w:space="0" w:color="auto"/>
                <w:bottom w:val="none" w:sz="0" w:space="0" w:color="auto"/>
                <w:right w:val="none" w:sz="0" w:space="0" w:color="auto"/>
              </w:divBdr>
              <w:divsChild>
                <w:div w:id="104539170">
                  <w:marLeft w:val="0"/>
                  <w:marRight w:val="0"/>
                  <w:marTop w:val="0"/>
                  <w:marBottom w:val="0"/>
                  <w:divBdr>
                    <w:top w:val="none" w:sz="0" w:space="0" w:color="auto"/>
                    <w:left w:val="none" w:sz="0" w:space="0" w:color="auto"/>
                    <w:bottom w:val="none" w:sz="0" w:space="0" w:color="auto"/>
                    <w:right w:val="none" w:sz="0" w:space="0" w:color="auto"/>
                  </w:divBdr>
                </w:div>
              </w:divsChild>
            </w:div>
            <w:div w:id="1057514754">
              <w:marLeft w:val="0"/>
              <w:marRight w:val="0"/>
              <w:marTop w:val="0"/>
              <w:marBottom w:val="0"/>
              <w:divBdr>
                <w:top w:val="none" w:sz="0" w:space="0" w:color="auto"/>
                <w:left w:val="none" w:sz="0" w:space="0" w:color="auto"/>
                <w:bottom w:val="none" w:sz="0" w:space="0" w:color="auto"/>
                <w:right w:val="none" w:sz="0" w:space="0" w:color="auto"/>
              </w:divBdr>
              <w:divsChild>
                <w:div w:id="1712924947">
                  <w:marLeft w:val="0"/>
                  <w:marRight w:val="0"/>
                  <w:marTop w:val="0"/>
                  <w:marBottom w:val="0"/>
                  <w:divBdr>
                    <w:top w:val="none" w:sz="0" w:space="0" w:color="auto"/>
                    <w:left w:val="none" w:sz="0" w:space="0" w:color="auto"/>
                    <w:bottom w:val="none" w:sz="0" w:space="0" w:color="auto"/>
                    <w:right w:val="none" w:sz="0" w:space="0" w:color="auto"/>
                  </w:divBdr>
                </w:div>
              </w:divsChild>
            </w:div>
            <w:div w:id="1063680555">
              <w:marLeft w:val="0"/>
              <w:marRight w:val="0"/>
              <w:marTop w:val="0"/>
              <w:marBottom w:val="0"/>
              <w:divBdr>
                <w:top w:val="none" w:sz="0" w:space="0" w:color="auto"/>
                <w:left w:val="none" w:sz="0" w:space="0" w:color="auto"/>
                <w:bottom w:val="none" w:sz="0" w:space="0" w:color="auto"/>
                <w:right w:val="none" w:sz="0" w:space="0" w:color="auto"/>
              </w:divBdr>
              <w:divsChild>
                <w:div w:id="1913463035">
                  <w:marLeft w:val="0"/>
                  <w:marRight w:val="0"/>
                  <w:marTop w:val="0"/>
                  <w:marBottom w:val="0"/>
                  <w:divBdr>
                    <w:top w:val="none" w:sz="0" w:space="0" w:color="auto"/>
                    <w:left w:val="none" w:sz="0" w:space="0" w:color="auto"/>
                    <w:bottom w:val="none" w:sz="0" w:space="0" w:color="auto"/>
                    <w:right w:val="none" w:sz="0" w:space="0" w:color="auto"/>
                  </w:divBdr>
                </w:div>
              </w:divsChild>
            </w:div>
            <w:div w:id="1159804320">
              <w:marLeft w:val="0"/>
              <w:marRight w:val="0"/>
              <w:marTop w:val="0"/>
              <w:marBottom w:val="0"/>
              <w:divBdr>
                <w:top w:val="none" w:sz="0" w:space="0" w:color="auto"/>
                <w:left w:val="none" w:sz="0" w:space="0" w:color="auto"/>
                <w:bottom w:val="none" w:sz="0" w:space="0" w:color="auto"/>
                <w:right w:val="none" w:sz="0" w:space="0" w:color="auto"/>
              </w:divBdr>
              <w:divsChild>
                <w:div w:id="226499528">
                  <w:marLeft w:val="0"/>
                  <w:marRight w:val="0"/>
                  <w:marTop w:val="0"/>
                  <w:marBottom w:val="0"/>
                  <w:divBdr>
                    <w:top w:val="none" w:sz="0" w:space="0" w:color="auto"/>
                    <w:left w:val="none" w:sz="0" w:space="0" w:color="auto"/>
                    <w:bottom w:val="none" w:sz="0" w:space="0" w:color="auto"/>
                    <w:right w:val="none" w:sz="0" w:space="0" w:color="auto"/>
                  </w:divBdr>
                </w:div>
              </w:divsChild>
            </w:div>
            <w:div w:id="1187911843">
              <w:marLeft w:val="0"/>
              <w:marRight w:val="0"/>
              <w:marTop w:val="0"/>
              <w:marBottom w:val="0"/>
              <w:divBdr>
                <w:top w:val="none" w:sz="0" w:space="0" w:color="auto"/>
                <w:left w:val="none" w:sz="0" w:space="0" w:color="auto"/>
                <w:bottom w:val="none" w:sz="0" w:space="0" w:color="auto"/>
                <w:right w:val="none" w:sz="0" w:space="0" w:color="auto"/>
              </w:divBdr>
              <w:divsChild>
                <w:div w:id="319776560">
                  <w:marLeft w:val="0"/>
                  <w:marRight w:val="0"/>
                  <w:marTop w:val="0"/>
                  <w:marBottom w:val="0"/>
                  <w:divBdr>
                    <w:top w:val="none" w:sz="0" w:space="0" w:color="auto"/>
                    <w:left w:val="none" w:sz="0" w:space="0" w:color="auto"/>
                    <w:bottom w:val="none" w:sz="0" w:space="0" w:color="auto"/>
                    <w:right w:val="none" w:sz="0" w:space="0" w:color="auto"/>
                  </w:divBdr>
                </w:div>
              </w:divsChild>
            </w:div>
            <w:div w:id="1204560453">
              <w:marLeft w:val="0"/>
              <w:marRight w:val="0"/>
              <w:marTop w:val="0"/>
              <w:marBottom w:val="0"/>
              <w:divBdr>
                <w:top w:val="none" w:sz="0" w:space="0" w:color="auto"/>
                <w:left w:val="none" w:sz="0" w:space="0" w:color="auto"/>
                <w:bottom w:val="none" w:sz="0" w:space="0" w:color="auto"/>
                <w:right w:val="none" w:sz="0" w:space="0" w:color="auto"/>
              </w:divBdr>
              <w:divsChild>
                <w:div w:id="933128608">
                  <w:marLeft w:val="0"/>
                  <w:marRight w:val="0"/>
                  <w:marTop w:val="0"/>
                  <w:marBottom w:val="0"/>
                  <w:divBdr>
                    <w:top w:val="none" w:sz="0" w:space="0" w:color="auto"/>
                    <w:left w:val="none" w:sz="0" w:space="0" w:color="auto"/>
                    <w:bottom w:val="none" w:sz="0" w:space="0" w:color="auto"/>
                    <w:right w:val="none" w:sz="0" w:space="0" w:color="auto"/>
                  </w:divBdr>
                </w:div>
              </w:divsChild>
            </w:div>
            <w:div w:id="1228801285">
              <w:marLeft w:val="0"/>
              <w:marRight w:val="0"/>
              <w:marTop w:val="0"/>
              <w:marBottom w:val="0"/>
              <w:divBdr>
                <w:top w:val="none" w:sz="0" w:space="0" w:color="auto"/>
                <w:left w:val="none" w:sz="0" w:space="0" w:color="auto"/>
                <w:bottom w:val="none" w:sz="0" w:space="0" w:color="auto"/>
                <w:right w:val="none" w:sz="0" w:space="0" w:color="auto"/>
              </w:divBdr>
              <w:divsChild>
                <w:div w:id="1129200843">
                  <w:marLeft w:val="0"/>
                  <w:marRight w:val="0"/>
                  <w:marTop w:val="0"/>
                  <w:marBottom w:val="0"/>
                  <w:divBdr>
                    <w:top w:val="none" w:sz="0" w:space="0" w:color="auto"/>
                    <w:left w:val="none" w:sz="0" w:space="0" w:color="auto"/>
                    <w:bottom w:val="none" w:sz="0" w:space="0" w:color="auto"/>
                    <w:right w:val="none" w:sz="0" w:space="0" w:color="auto"/>
                  </w:divBdr>
                </w:div>
              </w:divsChild>
            </w:div>
            <w:div w:id="1230843738">
              <w:marLeft w:val="0"/>
              <w:marRight w:val="0"/>
              <w:marTop w:val="0"/>
              <w:marBottom w:val="0"/>
              <w:divBdr>
                <w:top w:val="none" w:sz="0" w:space="0" w:color="auto"/>
                <w:left w:val="none" w:sz="0" w:space="0" w:color="auto"/>
                <w:bottom w:val="none" w:sz="0" w:space="0" w:color="auto"/>
                <w:right w:val="none" w:sz="0" w:space="0" w:color="auto"/>
              </w:divBdr>
              <w:divsChild>
                <w:div w:id="294603743">
                  <w:marLeft w:val="0"/>
                  <w:marRight w:val="0"/>
                  <w:marTop w:val="0"/>
                  <w:marBottom w:val="0"/>
                  <w:divBdr>
                    <w:top w:val="none" w:sz="0" w:space="0" w:color="auto"/>
                    <w:left w:val="none" w:sz="0" w:space="0" w:color="auto"/>
                    <w:bottom w:val="none" w:sz="0" w:space="0" w:color="auto"/>
                    <w:right w:val="none" w:sz="0" w:space="0" w:color="auto"/>
                  </w:divBdr>
                </w:div>
              </w:divsChild>
            </w:div>
            <w:div w:id="1242329255">
              <w:marLeft w:val="0"/>
              <w:marRight w:val="0"/>
              <w:marTop w:val="0"/>
              <w:marBottom w:val="0"/>
              <w:divBdr>
                <w:top w:val="none" w:sz="0" w:space="0" w:color="auto"/>
                <w:left w:val="none" w:sz="0" w:space="0" w:color="auto"/>
                <w:bottom w:val="none" w:sz="0" w:space="0" w:color="auto"/>
                <w:right w:val="none" w:sz="0" w:space="0" w:color="auto"/>
              </w:divBdr>
              <w:divsChild>
                <w:div w:id="2125342685">
                  <w:marLeft w:val="0"/>
                  <w:marRight w:val="0"/>
                  <w:marTop w:val="0"/>
                  <w:marBottom w:val="0"/>
                  <w:divBdr>
                    <w:top w:val="none" w:sz="0" w:space="0" w:color="auto"/>
                    <w:left w:val="none" w:sz="0" w:space="0" w:color="auto"/>
                    <w:bottom w:val="none" w:sz="0" w:space="0" w:color="auto"/>
                    <w:right w:val="none" w:sz="0" w:space="0" w:color="auto"/>
                  </w:divBdr>
                </w:div>
              </w:divsChild>
            </w:div>
            <w:div w:id="1264994973">
              <w:marLeft w:val="0"/>
              <w:marRight w:val="0"/>
              <w:marTop w:val="0"/>
              <w:marBottom w:val="0"/>
              <w:divBdr>
                <w:top w:val="none" w:sz="0" w:space="0" w:color="auto"/>
                <w:left w:val="none" w:sz="0" w:space="0" w:color="auto"/>
                <w:bottom w:val="none" w:sz="0" w:space="0" w:color="auto"/>
                <w:right w:val="none" w:sz="0" w:space="0" w:color="auto"/>
              </w:divBdr>
              <w:divsChild>
                <w:div w:id="149836557">
                  <w:marLeft w:val="0"/>
                  <w:marRight w:val="0"/>
                  <w:marTop w:val="0"/>
                  <w:marBottom w:val="0"/>
                  <w:divBdr>
                    <w:top w:val="none" w:sz="0" w:space="0" w:color="auto"/>
                    <w:left w:val="none" w:sz="0" w:space="0" w:color="auto"/>
                    <w:bottom w:val="none" w:sz="0" w:space="0" w:color="auto"/>
                    <w:right w:val="none" w:sz="0" w:space="0" w:color="auto"/>
                  </w:divBdr>
                </w:div>
              </w:divsChild>
            </w:div>
            <w:div w:id="1280332722">
              <w:marLeft w:val="0"/>
              <w:marRight w:val="0"/>
              <w:marTop w:val="0"/>
              <w:marBottom w:val="0"/>
              <w:divBdr>
                <w:top w:val="none" w:sz="0" w:space="0" w:color="auto"/>
                <w:left w:val="none" w:sz="0" w:space="0" w:color="auto"/>
                <w:bottom w:val="none" w:sz="0" w:space="0" w:color="auto"/>
                <w:right w:val="none" w:sz="0" w:space="0" w:color="auto"/>
              </w:divBdr>
              <w:divsChild>
                <w:div w:id="547769208">
                  <w:marLeft w:val="0"/>
                  <w:marRight w:val="0"/>
                  <w:marTop w:val="0"/>
                  <w:marBottom w:val="0"/>
                  <w:divBdr>
                    <w:top w:val="none" w:sz="0" w:space="0" w:color="auto"/>
                    <w:left w:val="none" w:sz="0" w:space="0" w:color="auto"/>
                    <w:bottom w:val="none" w:sz="0" w:space="0" w:color="auto"/>
                    <w:right w:val="none" w:sz="0" w:space="0" w:color="auto"/>
                  </w:divBdr>
                </w:div>
              </w:divsChild>
            </w:div>
            <w:div w:id="1284577995">
              <w:marLeft w:val="0"/>
              <w:marRight w:val="0"/>
              <w:marTop w:val="0"/>
              <w:marBottom w:val="0"/>
              <w:divBdr>
                <w:top w:val="none" w:sz="0" w:space="0" w:color="auto"/>
                <w:left w:val="none" w:sz="0" w:space="0" w:color="auto"/>
                <w:bottom w:val="none" w:sz="0" w:space="0" w:color="auto"/>
                <w:right w:val="none" w:sz="0" w:space="0" w:color="auto"/>
              </w:divBdr>
              <w:divsChild>
                <w:div w:id="2052221458">
                  <w:marLeft w:val="0"/>
                  <w:marRight w:val="0"/>
                  <w:marTop w:val="0"/>
                  <w:marBottom w:val="0"/>
                  <w:divBdr>
                    <w:top w:val="none" w:sz="0" w:space="0" w:color="auto"/>
                    <w:left w:val="none" w:sz="0" w:space="0" w:color="auto"/>
                    <w:bottom w:val="none" w:sz="0" w:space="0" w:color="auto"/>
                    <w:right w:val="none" w:sz="0" w:space="0" w:color="auto"/>
                  </w:divBdr>
                </w:div>
              </w:divsChild>
            </w:div>
            <w:div w:id="1313681672">
              <w:marLeft w:val="0"/>
              <w:marRight w:val="0"/>
              <w:marTop w:val="0"/>
              <w:marBottom w:val="0"/>
              <w:divBdr>
                <w:top w:val="none" w:sz="0" w:space="0" w:color="auto"/>
                <w:left w:val="none" w:sz="0" w:space="0" w:color="auto"/>
                <w:bottom w:val="none" w:sz="0" w:space="0" w:color="auto"/>
                <w:right w:val="none" w:sz="0" w:space="0" w:color="auto"/>
              </w:divBdr>
              <w:divsChild>
                <w:div w:id="1990014204">
                  <w:marLeft w:val="0"/>
                  <w:marRight w:val="0"/>
                  <w:marTop w:val="0"/>
                  <w:marBottom w:val="0"/>
                  <w:divBdr>
                    <w:top w:val="none" w:sz="0" w:space="0" w:color="auto"/>
                    <w:left w:val="none" w:sz="0" w:space="0" w:color="auto"/>
                    <w:bottom w:val="none" w:sz="0" w:space="0" w:color="auto"/>
                    <w:right w:val="none" w:sz="0" w:space="0" w:color="auto"/>
                  </w:divBdr>
                </w:div>
              </w:divsChild>
            </w:div>
            <w:div w:id="1365329766">
              <w:marLeft w:val="0"/>
              <w:marRight w:val="0"/>
              <w:marTop w:val="0"/>
              <w:marBottom w:val="0"/>
              <w:divBdr>
                <w:top w:val="none" w:sz="0" w:space="0" w:color="auto"/>
                <w:left w:val="none" w:sz="0" w:space="0" w:color="auto"/>
                <w:bottom w:val="none" w:sz="0" w:space="0" w:color="auto"/>
                <w:right w:val="none" w:sz="0" w:space="0" w:color="auto"/>
              </w:divBdr>
              <w:divsChild>
                <w:div w:id="1228301818">
                  <w:marLeft w:val="0"/>
                  <w:marRight w:val="0"/>
                  <w:marTop w:val="0"/>
                  <w:marBottom w:val="0"/>
                  <w:divBdr>
                    <w:top w:val="none" w:sz="0" w:space="0" w:color="auto"/>
                    <w:left w:val="none" w:sz="0" w:space="0" w:color="auto"/>
                    <w:bottom w:val="none" w:sz="0" w:space="0" w:color="auto"/>
                    <w:right w:val="none" w:sz="0" w:space="0" w:color="auto"/>
                  </w:divBdr>
                </w:div>
              </w:divsChild>
            </w:div>
            <w:div w:id="1477063385">
              <w:marLeft w:val="0"/>
              <w:marRight w:val="0"/>
              <w:marTop w:val="0"/>
              <w:marBottom w:val="0"/>
              <w:divBdr>
                <w:top w:val="none" w:sz="0" w:space="0" w:color="auto"/>
                <w:left w:val="none" w:sz="0" w:space="0" w:color="auto"/>
                <w:bottom w:val="none" w:sz="0" w:space="0" w:color="auto"/>
                <w:right w:val="none" w:sz="0" w:space="0" w:color="auto"/>
              </w:divBdr>
              <w:divsChild>
                <w:div w:id="952908923">
                  <w:marLeft w:val="0"/>
                  <w:marRight w:val="0"/>
                  <w:marTop w:val="0"/>
                  <w:marBottom w:val="0"/>
                  <w:divBdr>
                    <w:top w:val="none" w:sz="0" w:space="0" w:color="auto"/>
                    <w:left w:val="none" w:sz="0" w:space="0" w:color="auto"/>
                    <w:bottom w:val="none" w:sz="0" w:space="0" w:color="auto"/>
                    <w:right w:val="none" w:sz="0" w:space="0" w:color="auto"/>
                  </w:divBdr>
                </w:div>
              </w:divsChild>
            </w:div>
            <w:div w:id="1479306077">
              <w:marLeft w:val="0"/>
              <w:marRight w:val="0"/>
              <w:marTop w:val="0"/>
              <w:marBottom w:val="0"/>
              <w:divBdr>
                <w:top w:val="none" w:sz="0" w:space="0" w:color="auto"/>
                <w:left w:val="none" w:sz="0" w:space="0" w:color="auto"/>
                <w:bottom w:val="none" w:sz="0" w:space="0" w:color="auto"/>
                <w:right w:val="none" w:sz="0" w:space="0" w:color="auto"/>
              </w:divBdr>
              <w:divsChild>
                <w:div w:id="1307665284">
                  <w:marLeft w:val="0"/>
                  <w:marRight w:val="0"/>
                  <w:marTop w:val="0"/>
                  <w:marBottom w:val="0"/>
                  <w:divBdr>
                    <w:top w:val="none" w:sz="0" w:space="0" w:color="auto"/>
                    <w:left w:val="none" w:sz="0" w:space="0" w:color="auto"/>
                    <w:bottom w:val="none" w:sz="0" w:space="0" w:color="auto"/>
                    <w:right w:val="none" w:sz="0" w:space="0" w:color="auto"/>
                  </w:divBdr>
                </w:div>
              </w:divsChild>
            </w:div>
            <w:div w:id="1483043888">
              <w:marLeft w:val="0"/>
              <w:marRight w:val="0"/>
              <w:marTop w:val="0"/>
              <w:marBottom w:val="0"/>
              <w:divBdr>
                <w:top w:val="none" w:sz="0" w:space="0" w:color="auto"/>
                <w:left w:val="none" w:sz="0" w:space="0" w:color="auto"/>
                <w:bottom w:val="none" w:sz="0" w:space="0" w:color="auto"/>
                <w:right w:val="none" w:sz="0" w:space="0" w:color="auto"/>
              </w:divBdr>
              <w:divsChild>
                <w:div w:id="181019786">
                  <w:marLeft w:val="0"/>
                  <w:marRight w:val="0"/>
                  <w:marTop w:val="0"/>
                  <w:marBottom w:val="0"/>
                  <w:divBdr>
                    <w:top w:val="none" w:sz="0" w:space="0" w:color="auto"/>
                    <w:left w:val="none" w:sz="0" w:space="0" w:color="auto"/>
                    <w:bottom w:val="none" w:sz="0" w:space="0" w:color="auto"/>
                    <w:right w:val="none" w:sz="0" w:space="0" w:color="auto"/>
                  </w:divBdr>
                </w:div>
              </w:divsChild>
            </w:div>
            <w:div w:id="1612476043">
              <w:marLeft w:val="0"/>
              <w:marRight w:val="0"/>
              <w:marTop w:val="0"/>
              <w:marBottom w:val="0"/>
              <w:divBdr>
                <w:top w:val="none" w:sz="0" w:space="0" w:color="auto"/>
                <w:left w:val="none" w:sz="0" w:space="0" w:color="auto"/>
                <w:bottom w:val="none" w:sz="0" w:space="0" w:color="auto"/>
                <w:right w:val="none" w:sz="0" w:space="0" w:color="auto"/>
              </w:divBdr>
              <w:divsChild>
                <w:div w:id="723875704">
                  <w:marLeft w:val="0"/>
                  <w:marRight w:val="0"/>
                  <w:marTop w:val="0"/>
                  <w:marBottom w:val="0"/>
                  <w:divBdr>
                    <w:top w:val="none" w:sz="0" w:space="0" w:color="auto"/>
                    <w:left w:val="none" w:sz="0" w:space="0" w:color="auto"/>
                    <w:bottom w:val="none" w:sz="0" w:space="0" w:color="auto"/>
                    <w:right w:val="none" w:sz="0" w:space="0" w:color="auto"/>
                  </w:divBdr>
                </w:div>
              </w:divsChild>
            </w:div>
            <w:div w:id="1658608319">
              <w:marLeft w:val="0"/>
              <w:marRight w:val="0"/>
              <w:marTop w:val="0"/>
              <w:marBottom w:val="0"/>
              <w:divBdr>
                <w:top w:val="none" w:sz="0" w:space="0" w:color="auto"/>
                <w:left w:val="none" w:sz="0" w:space="0" w:color="auto"/>
                <w:bottom w:val="none" w:sz="0" w:space="0" w:color="auto"/>
                <w:right w:val="none" w:sz="0" w:space="0" w:color="auto"/>
              </w:divBdr>
              <w:divsChild>
                <w:div w:id="1382366725">
                  <w:marLeft w:val="0"/>
                  <w:marRight w:val="0"/>
                  <w:marTop w:val="0"/>
                  <w:marBottom w:val="0"/>
                  <w:divBdr>
                    <w:top w:val="none" w:sz="0" w:space="0" w:color="auto"/>
                    <w:left w:val="none" w:sz="0" w:space="0" w:color="auto"/>
                    <w:bottom w:val="none" w:sz="0" w:space="0" w:color="auto"/>
                    <w:right w:val="none" w:sz="0" w:space="0" w:color="auto"/>
                  </w:divBdr>
                </w:div>
              </w:divsChild>
            </w:div>
            <w:div w:id="1697534915">
              <w:marLeft w:val="0"/>
              <w:marRight w:val="0"/>
              <w:marTop w:val="0"/>
              <w:marBottom w:val="0"/>
              <w:divBdr>
                <w:top w:val="none" w:sz="0" w:space="0" w:color="auto"/>
                <w:left w:val="none" w:sz="0" w:space="0" w:color="auto"/>
                <w:bottom w:val="none" w:sz="0" w:space="0" w:color="auto"/>
                <w:right w:val="none" w:sz="0" w:space="0" w:color="auto"/>
              </w:divBdr>
              <w:divsChild>
                <w:div w:id="989597673">
                  <w:marLeft w:val="0"/>
                  <w:marRight w:val="0"/>
                  <w:marTop w:val="0"/>
                  <w:marBottom w:val="0"/>
                  <w:divBdr>
                    <w:top w:val="none" w:sz="0" w:space="0" w:color="auto"/>
                    <w:left w:val="none" w:sz="0" w:space="0" w:color="auto"/>
                    <w:bottom w:val="none" w:sz="0" w:space="0" w:color="auto"/>
                    <w:right w:val="none" w:sz="0" w:space="0" w:color="auto"/>
                  </w:divBdr>
                </w:div>
              </w:divsChild>
            </w:div>
            <w:div w:id="1712420587">
              <w:marLeft w:val="0"/>
              <w:marRight w:val="0"/>
              <w:marTop w:val="0"/>
              <w:marBottom w:val="0"/>
              <w:divBdr>
                <w:top w:val="none" w:sz="0" w:space="0" w:color="auto"/>
                <w:left w:val="none" w:sz="0" w:space="0" w:color="auto"/>
                <w:bottom w:val="none" w:sz="0" w:space="0" w:color="auto"/>
                <w:right w:val="none" w:sz="0" w:space="0" w:color="auto"/>
              </w:divBdr>
              <w:divsChild>
                <w:div w:id="678124716">
                  <w:marLeft w:val="0"/>
                  <w:marRight w:val="0"/>
                  <w:marTop w:val="0"/>
                  <w:marBottom w:val="0"/>
                  <w:divBdr>
                    <w:top w:val="none" w:sz="0" w:space="0" w:color="auto"/>
                    <w:left w:val="none" w:sz="0" w:space="0" w:color="auto"/>
                    <w:bottom w:val="none" w:sz="0" w:space="0" w:color="auto"/>
                    <w:right w:val="none" w:sz="0" w:space="0" w:color="auto"/>
                  </w:divBdr>
                </w:div>
              </w:divsChild>
            </w:div>
            <w:div w:id="1732734405">
              <w:marLeft w:val="0"/>
              <w:marRight w:val="0"/>
              <w:marTop w:val="0"/>
              <w:marBottom w:val="0"/>
              <w:divBdr>
                <w:top w:val="none" w:sz="0" w:space="0" w:color="auto"/>
                <w:left w:val="none" w:sz="0" w:space="0" w:color="auto"/>
                <w:bottom w:val="none" w:sz="0" w:space="0" w:color="auto"/>
                <w:right w:val="none" w:sz="0" w:space="0" w:color="auto"/>
              </w:divBdr>
              <w:divsChild>
                <w:div w:id="1788619208">
                  <w:marLeft w:val="0"/>
                  <w:marRight w:val="0"/>
                  <w:marTop w:val="0"/>
                  <w:marBottom w:val="0"/>
                  <w:divBdr>
                    <w:top w:val="none" w:sz="0" w:space="0" w:color="auto"/>
                    <w:left w:val="none" w:sz="0" w:space="0" w:color="auto"/>
                    <w:bottom w:val="none" w:sz="0" w:space="0" w:color="auto"/>
                    <w:right w:val="none" w:sz="0" w:space="0" w:color="auto"/>
                  </w:divBdr>
                </w:div>
              </w:divsChild>
            </w:div>
            <w:div w:id="1774207614">
              <w:marLeft w:val="0"/>
              <w:marRight w:val="0"/>
              <w:marTop w:val="0"/>
              <w:marBottom w:val="0"/>
              <w:divBdr>
                <w:top w:val="none" w:sz="0" w:space="0" w:color="auto"/>
                <w:left w:val="none" w:sz="0" w:space="0" w:color="auto"/>
                <w:bottom w:val="none" w:sz="0" w:space="0" w:color="auto"/>
                <w:right w:val="none" w:sz="0" w:space="0" w:color="auto"/>
              </w:divBdr>
              <w:divsChild>
                <w:div w:id="689454187">
                  <w:marLeft w:val="0"/>
                  <w:marRight w:val="0"/>
                  <w:marTop w:val="0"/>
                  <w:marBottom w:val="0"/>
                  <w:divBdr>
                    <w:top w:val="none" w:sz="0" w:space="0" w:color="auto"/>
                    <w:left w:val="none" w:sz="0" w:space="0" w:color="auto"/>
                    <w:bottom w:val="none" w:sz="0" w:space="0" w:color="auto"/>
                    <w:right w:val="none" w:sz="0" w:space="0" w:color="auto"/>
                  </w:divBdr>
                </w:div>
              </w:divsChild>
            </w:div>
            <w:div w:id="1823618628">
              <w:marLeft w:val="0"/>
              <w:marRight w:val="0"/>
              <w:marTop w:val="0"/>
              <w:marBottom w:val="0"/>
              <w:divBdr>
                <w:top w:val="none" w:sz="0" w:space="0" w:color="auto"/>
                <w:left w:val="none" w:sz="0" w:space="0" w:color="auto"/>
                <w:bottom w:val="none" w:sz="0" w:space="0" w:color="auto"/>
                <w:right w:val="none" w:sz="0" w:space="0" w:color="auto"/>
              </w:divBdr>
              <w:divsChild>
                <w:div w:id="555702468">
                  <w:marLeft w:val="0"/>
                  <w:marRight w:val="0"/>
                  <w:marTop w:val="0"/>
                  <w:marBottom w:val="0"/>
                  <w:divBdr>
                    <w:top w:val="none" w:sz="0" w:space="0" w:color="auto"/>
                    <w:left w:val="none" w:sz="0" w:space="0" w:color="auto"/>
                    <w:bottom w:val="none" w:sz="0" w:space="0" w:color="auto"/>
                    <w:right w:val="none" w:sz="0" w:space="0" w:color="auto"/>
                  </w:divBdr>
                </w:div>
              </w:divsChild>
            </w:div>
            <w:div w:id="1843812300">
              <w:marLeft w:val="0"/>
              <w:marRight w:val="0"/>
              <w:marTop w:val="0"/>
              <w:marBottom w:val="0"/>
              <w:divBdr>
                <w:top w:val="none" w:sz="0" w:space="0" w:color="auto"/>
                <w:left w:val="none" w:sz="0" w:space="0" w:color="auto"/>
                <w:bottom w:val="none" w:sz="0" w:space="0" w:color="auto"/>
                <w:right w:val="none" w:sz="0" w:space="0" w:color="auto"/>
              </w:divBdr>
              <w:divsChild>
                <w:div w:id="1648630101">
                  <w:marLeft w:val="0"/>
                  <w:marRight w:val="0"/>
                  <w:marTop w:val="0"/>
                  <w:marBottom w:val="0"/>
                  <w:divBdr>
                    <w:top w:val="none" w:sz="0" w:space="0" w:color="auto"/>
                    <w:left w:val="none" w:sz="0" w:space="0" w:color="auto"/>
                    <w:bottom w:val="none" w:sz="0" w:space="0" w:color="auto"/>
                    <w:right w:val="none" w:sz="0" w:space="0" w:color="auto"/>
                  </w:divBdr>
                </w:div>
              </w:divsChild>
            </w:div>
            <w:div w:id="1909606390">
              <w:marLeft w:val="0"/>
              <w:marRight w:val="0"/>
              <w:marTop w:val="0"/>
              <w:marBottom w:val="0"/>
              <w:divBdr>
                <w:top w:val="none" w:sz="0" w:space="0" w:color="auto"/>
                <w:left w:val="none" w:sz="0" w:space="0" w:color="auto"/>
                <w:bottom w:val="none" w:sz="0" w:space="0" w:color="auto"/>
                <w:right w:val="none" w:sz="0" w:space="0" w:color="auto"/>
              </w:divBdr>
              <w:divsChild>
                <w:div w:id="659577135">
                  <w:marLeft w:val="0"/>
                  <w:marRight w:val="0"/>
                  <w:marTop w:val="0"/>
                  <w:marBottom w:val="0"/>
                  <w:divBdr>
                    <w:top w:val="none" w:sz="0" w:space="0" w:color="auto"/>
                    <w:left w:val="none" w:sz="0" w:space="0" w:color="auto"/>
                    <w:bottom w:val="none" w:sz="0" w:space="0" w:color="auto"/>
                    <w:right w:val="none" w:sz="0" w:space="0" w:color="auto"/>
                  </w:divBdr>
                </w:div>
              </w:divsChild>
            </w:div>
            <w:div w:id="1959410534">
              <w:marLeft w:val="0"/>
              <w:marRight w:val="0"/>
              <w:marTop w:val="0"/>
              <w:marBottom w:val="0"/>
              <w:divBdr>
                <w:top w:val="none" w:sz="0" w:space="0" w:color="auto"/>
                <w:left w:val="none" w:sz="0" w:space="0" w:color="auto"/>
                <w:bottom w:val="none" w:sz="0" w:space="0" w:color="auto"/>
                <w:right w:val="none" w:sz="0" w:space="0" w:color="auto"/>
              </w:divBdr>
              <w:divsChild>
                <w:div w:id="1208839055">
                  <w:marLeft w:val="0"/>
                  <w:marRight w:val="0"/>
                  <w:marTop w:val="0"/>
                  <w:marBottom w:val="0"/>
                  <w:divBdr>
                    <w:top w:val="none" w:sz="0" w:space="0" w:color="auto"/>
                    <w:left w:val="none" w:sz="0" w:space="0" w:color="auto"/>
                    <w:bottom w:val="none" w:sz="0" w:space="0" w:color="auto"/>
                    <w:right w:val="none" w:sz="0" w:space="0" w:color="auto"/>
                  </w:divBdr>
                </w:div>
              </w:divsChild>
            </w:div>
            <w:div w:id="2080399828">
              <w:marLeft w:val="0"/>
              <w:marRight w:val="0"/>
              <w:marTop w:val="0"/>
              <w:marBottom w:val="0"/>
              <w:divBdr>
                <w:top w:val="none" w:sz="0" w:space="0" w:color="auto"/>
                <w:left w:val="none" w:sz="0" w:space="0" w:color="auto"/>
                <w:bottom w:val="none" w:sz="0" w:space="0" w:color="auto"/>
                <w:right w:val="none" w:sz="0" w:space="0" w:color="auto"/>
              </w:divBdr>
              <w:divsChild>
                <w:div w:id="1746412723">
                  <w:marLeft w:val="0"/>
                  <w:marRight w:val="0"/>
                  <w:marTop w:val="0"/>
                  <w:marBottom w:val="0"/>
                  <w:divBdr>
                    <w:top w:val="none" w:sz="0" w:space="0" w:color="auto"/>
                    <w:left w:val="none" w:sz="0" w:space="0" w:color="auto"/>
                    <w:bottom w:val="none" w:sz="0" w:space="0" w:color="auto"/>
                    <w:right w:val="none" w:sz="0" w:space="0" w:color="auto"/>
                  </w:divBdr>
                </w:div>
              </w:divsChild>
            </w:div>
            <w:div w:id="2095318696">
              <w:marLeft w:val="0"/>
              <w:marRight w:val="0"/>
              <w:marTop w:val="0"/>
              <w:marBottom w:val="0"/>
              <w:divBdr>
                <w:top w:val="none" w:sz="0" w:space="0" w:color="auto"/>
                <w:left w:val="none" w:sz="0" w:space="0" w:color="auto"/>
                <w:bottom w:val="none" w:sz="0" w:space="0" w:color="auto"/>
                <w:right w:val="none" w:sz="0" w:space="0" w:color="auto"/>
              </w:divBdr>
              <w:divsChild>
                <w:div w:id="814952191">
                  <w:marLeft w:val="0"/>
                  <w:marRight w:val="0"/>
                  <w:marTop w:val="0"/>
                  <w:marBottom w:val="0"/>
                  <w:divBdr>
                    <w:top w:val="none" w:sz="0" w:space="0" w:color="auto"/>
                    <w:left w:val="none" w:sz="0" w:space="0" w:color="auto"/>
                    <w:bottom w:val="none" w:sz="0" w:space="0" w:color="auto"/>
                    <w:right w:val="none" w:sz="0" w:space="0" w:color="auto"/>
                  </w:divBdr>
                </w:div>
              </w:divsChild>
            </w:div>
            <w:div w:id="2113353578">
              <w:marLeft w:val="0"/>
              <w:marRight w:val="0"/>
              <w:marTop w:val="0"/>
              <w:marBottom w:val="0"/>
              <w:divBdr>
                <w:top w:val="none" w:sz="0" w:space="0" w:color="auto"/>
                <w:left w:val="none" w:sz="0" w:space="0" w:color="auto"/>
                <w:bottom w:val="none" w:sz="0" w:space="0" w:color="auto"/>
                <w:right w:val="none" w:sz="0" w:space="0" w:color="auto"/>
              </w:divBdr>
              <w:divsChild>
                <w:div w:id="1788968191">
                  <w:marLeft w:val="0"/>
                  <w:marRight w:val="0"/>
                  <w:marTop w:val="0"/>
                  <w:marBottom w:val="0"/>
                  <w:divBdr>
                    <w:top w:val="none" w:sz="0" w:space="0" w:color="auto"/>
                    <w:left w:val="none" w:sz="0" w:space="0" w:color="auto"/>
                    <w:bottom w:val="none" w:sz="0" w:space="0" w:color="auto"/>
                    <w:right w:val="none" w:sz="0" w:space="0" w:color="auto"/>
                  </w:divBdr>
                </w:div>
              </w:divsChild>
            </w:div>
            <w:div w:id="2134904953">
              <w:marLeft w:val="0"/>
              <w:marRight w:val="0"/>
              <w:marTop w:val="0"/>
              <w:marBottom w:val="0"/>
              <w:divBdr>
                <w:top w:val="none" w:sz="0" w:space="0" w:color="auto"/>
                <w:left w:val="none" w:sz="0" w:space="0" w:color="auto"/>
                <w:bottom w:val="none" w:sz="0" w:space="0" w:color="auto"/>
                <w:right w:val="none" w:sz="0" w:space="0" w:color="auto"/>
              </w:divBdr>
              <w:divsChild>
                <w:div w:id="16878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67887">
          <w:marLeft w:val="0"/>
          <w:marRight w:val="0"/>
          <w:marTop w:val="0"/>
          <w:marBottom w:val="0"/>
          <w:divBdr>
            <w:top w:val="none" w:sz="0" w:space="0" w:color="auto"/>
            <w:left w:val="none" w:sz="0" w:space="0" w:color="auto"/>
            <w:bottom w:val="none" w:sz="0" w:space="0" w:color="auto"/>
            <w:right w:val="none" w:sz="0" w:space="0" w:color="auto"/>
          </w:divBdr>
        </w:div>
        <w:div w:id="1149787929">
          <w:marLeft w:val="0"/>
          <w:marRight w:val="0"/>
          <w:marTop w:val="0"/>
          <w:marBottom w:val="0"/>
          <w:divBdr>
            <w:top w:val="none" w:sz="0" w:space="0" w:color="auto"/>
            <w:left w:val="none" w:sz="0" w:space="0" w:color="auto"/>
            <w:bottom w:val="none" w:sz="0" w:space="0" w:color="auto"/>
            <w:right w:val="none" w:sz="0" w:space="0" w:color="auto"/>
          </w:divBdr>
        </w:div>
        <w:div w:id="1168669261">
          <w:marLeft w:val="0"/>
          <w:marRight w:val="0"/>
          <w:marTop w:val="0"/>
          <w:marBottom w:val="0"/>
          <w:divBdr>
            <w:top w:val="none" w:sz="0" w:space="0" w:color="auto"/>
            <w:left w:val="none" w:sz="0" w:space="0" w:color="auto"/>
            <w:bottom w:val="none" w:sz="0" w:space="0" w:color="auto"/>
            <w:right w:val="none" w:sz="0" w:space="0" w:color="auto"/>
          </w:divBdr>
        </w:div>
        <w:div w:id="1173060642">
          <w:marLeft w:val="0"/>
          <w:marRight w:val="0"/>
          <w:marTop w:val="0"/>
          <w:marBottom w:val="0"/>
          <w:divBdr>
            <w:top w:val="none" w:sz="0" w:space="0" w:color="auto"/>
            <w:left w:val="none" w:sz="0" w:space="0" w:color="auto"/>
            <w:bottom w:val="none" w:sz="0" w:space="0" w:color="auto"/>
            <w:right w:val="none" w:sz="0" w:space="0" w:color="auto"/>
          </w:divBdr>
        </w:div>
        <w:div w:id="1235239541">
          <w:marLeft w:val="0"/>
          <w:marRight w:val="0"/>
          <w:marTop w:val="0"/>
          <w:marBottom w:val="0"/>
          <w:divBdr>
            <w:top w:val="none" w:sz="0" w:space="0" w:color="auto"/>
            <w:left w:val="none" w:sz="0" w:space="0" w:color="auto"/>
            <w:bottom w:val="none" w:sz="0" w:space="0" w:color="auto"/>
            <w:right w:val="none" w:sz="0" w:space="0" w:color="auto"/>
          </w:divBdr>
        </w:div>
        <w:div w:id="1248542957">
          <w:marLeft w:val="0"/>
          <w:marRight w:val="0"/>
          <w:marTop w:val="0"/>
          <w:marBottom w:val="0"/>
          <w:divBdr>
            <w:top w:val="none" w:sz="0" w:space="0" w:color="auto"/>
            <w:left w:val="none" w:sz="0" w:space="0" w:color="auto"/>
            <w:bottom w:val="none" w:sz="0" w:space="0" w:color="auto"/>
            <w:right w:val="none" w:sz="0" w:space="0" w:color="auto"/>
          </w:divBdr>
        </w:div>
        <w:div w:id="1262450440">
          <w:marLeft w:val="0"/>
          <w:marRight w:val="0"/>
          <w:marTop w:val="0"/>
          <w:marBottom w:val="0"/>
          <w:divBdr>
            <w:top w:val="none" w:sz="0" w:space="0" w:color="auto"/>
            <w:left w:val="none" w:sz="0" w:space="0" w:color="auto"/>
            <w:bottom w:val="none" w:sz="0" w:space="0" w:color="auto"/>
            <w:right w:val="none" w:sz="0" w:space="0" w:color="auto"/>
          </w:divBdr>
        </w:div>
        <w:div w:id="1271430747">
          <w:marLeft w:val="0"/>
          <w:marRight w:val="0"/>
          <w:marTop w:val="0"/>
          <w:marBottom w:val="0"/>
          <w:divBdr>
            <w:top w:val="none" w:sz="0" w:space="0" w:color="auto"/>
            <w:left w:val="none" w:sz="0" w:space="0" w:color="auto"/>
            <w:bottom w:val="none" w:sz="0" w:space="0" w:color="auto"/>
            <w:right w:val="none" w:sz="0" w:space="0" w:color="auto"/>
          </w:divBdr>
        </w:div>
        <w:div w:id="1272978550">
          <w:marLeft w:val="0"/>
          <w:marRight w:val="0"/>
          <w:marTop w:val="0"/>
          <w:marBottom w:val="0"/>
          <w:divBdr>
            <w:top w:val="none" w:sz="0" w:space="0" w:color="auto"/>
            <w:left w:val="none" w:sz="0" w:space="0" w:color="auto"/>
            <w:bottom w:val="none" w:sz="0" w:space="0" w:color="auto"/>
            <w:right w:val="none" w:sz="0" w:space="0" w:color="auto"/>
          </w:divBdr>
        </w:div>
        <w:div w:id="1274050960">
          <w:marLeft w:val="0"/>
          <w:marRight w:val="0"/>
          <w:marTop w:val="0"/>
          <w:marBottom w:val="0"/>
          <w:divBdr>
            <w:top w:val="none" w:sz="0" w:space="0" w:color="auto"/>
            <w:left w:val="none" w:sz="0" w:space="0" w:color="auto"/>
            <w:bottom w:val="none" w:sz="0" w:space="0" w:color="auto"/>
            <w:right w:val="none" w:sz="0" w:space="0" w:color="auto"/>
          </w:divBdr>
        </w:div>
        <w:div w:id="1302924640">
          <w:marLeft w:val="0"/>
          <w:marRight w:val="0"/>
          <w:marTop w:val="0"/>
          <w:marBottom w:val="0"/>
          <w:divBdr>
            <w:top w:val="none" w:sz="0" w:space="0" w:color="auto"/>
            <w:left w:val="none" w:sz="0" w:space="0" w:color="auto"/>
            <w:bottom w:val="none" w:sz="0" w:space="0" w:color="auto"/>
            <w:right w:val="none" w:sz="0" w:space="0" w:color="auto"/>
          </w:divBdr>
        </w:div>
        <w:div w:id="1329136609">
          <w:marLeft w:val="0"/>
          <w:marRight w:val="0"/>
          <w:marTop w:val="0"/>
          <w:marBottom w:val="0"/>
          <w:divBdr>
            <w:top w:val="none" w:sz="0" w:space="0" w:color="auto"/>
            <w:left w:val="none" w:sz="0" w:space="0" w:color="auto"/>
            <w:bottom w:val="none" w:sz="0" w:space="0" w:color="auto"/>
            <w:right w:val="none" w:sz="0" w:space="0" w:color="auto"/>
          </w:divBdr>
        </w:div>
        <w:div w:id="1335261382">
          <w:marLeft w:val="0"/>
          <w:marRight w:val="0"/>
          <w:marTop w:val="0"/>
          <w:marBottom w:val="0"/>
          <w:divBdr>
            <w:top w:val="none" w:sz="0" w:space="0" w:color="auto"/>
            <w:left w:val="none" w:sz="0" w:space="0" w:color="auto"/>
            <w:bottom w:val="none" w:sz="0" w:space="0" w:color="auto"/>
            <w:right w:val="none" w:sz="0" w:space="0" w:color="auto"/>
          </w:divBdr>
        </w:div>
        <w:div w:id="1335380220">
          <w:marLeft w:val="0"/>
          <w:marRight w:val="0"/>
          <w:marTop w:val="0"/>
          <w:marBottom w:val="0"/>
          <w:divBdr>
            <w:top w:val="none" w:sz="0" w:space="0" w:color="auto"/>
            <w:left w:val="none" w:sz="0" w:space="0" w:color="auto"/>
            <w:bottom w:val="none" w:sz="0" w:space="0" w:color="auto"/>
            <w:right w:val="none" w:sz="0" w:space="0" w:color="auto"/>
          </w:divBdr>
        </w:div>
        <w:div w:id="1373533366">
          <w:marLeft w:val="0"/>
          <w:marRight w:val="0"/>
          <w:marTop w:val="0"/>
          <w:marBottom w:val="0"/>
          <w:divBdr>
            <w:top w:val="none" w:sz="0" w:space="0" w:color="auto"/>
            <w:left w:val="none" w:sz="0" w:space="0" w:color="auto"/>
            <w:bottom w:val="none" w:sz="0" w:space="0" w:color="auto"/>
            <w:right w:val="none" w:sz="0" w:space="0" w:color="auto"/>
          </w:divBdr>
        </w:div>
        <w:div w:id="1437210536">
          <w:marLeft w:val="0"/>
          <w:marRight w:val="0"/>
          <w:marTop w:val="0"/>
          <w:marBottom w:val="0"/>
          <w:divBdr>
            <w:top w:val="none" w:sz="0" w:space="0" w:color="auto"/>
            <w:left w:val="none" w:sz="0" w:space="0" w:color="auto"/>
            <w:bottom w:val="none" w:sz="0" w:space="0" w:color="auto"/>
            <w:right w:val="none" w:sz="0" w:space="0" w:color="auto"/>
          </w:divBdr>
        </w:div>
        <w:div w:id="1446583313">
          <w:marLeft w:val="0"/>
          <w:marRight w:val="0"/>
          <w:marTop w:val="0"/>
          <w:marBottom w:val="0"/>
          <w:divBdr>
            <w:top w:val="none" w:sz="0" w:space="0" w:color="auto"/>
            <w:left w:val="none" w:sz="0" w:space="0" w:color="auto"/>
            <w:bottom w:val="none" w:sz="0" w:space="0" w:color="auto"/>
            <w:right w:val="none" w:sz="0" w:space="0" w:color="auto"/>
          </w:divBdr>
        </w:div>
        <w:div w:id="1460294132">
          <w:marLeft w:val="0"/>
          <w:marRight w:val="0"/>
          <w:marTop w:val="0"/>
          <w:marBottom w:val="0"/>
          <w:divBdr>
            <w:top w:val="none" w:sz="0" w:space="0" w:color="auto"/>
            <w:left w:val="none" w:sz="0" w:space="0" w:color="auto"/>
            <w:bottom w:val="none" w:sz="0" w:space="0" w:color="auto"/>
            <w:right w:val="none" w:sz="0" w:space="0" w:color="auto"/>
          </w:divBdr>
        </w:div>
        <w:div w:id="1517773263">
          <w:marLeft w:val="0"/>
          <w:marRight w:val="0"/>
          <w:marTop w:val="0"/>
          <w:marBottom w:val="0"/>
          <w:divBdr>
            <w:top w:val="none" w:sz="0" w:space="0" w:color="auto"/>
            <w:left w:val="none" w:sz="0" w:space="0" w:color="auto"/>
            <w:bottom w:val="none" w:sz="0" w:space="0" w:color="auto"/>
            <w:right w:val="none" w:sz="0" w:space="0" w:color="auto"/>
          </w:divBdr>
        </w:div>
        <w:div w:id="1542479100">
          <w:marLeft w:val="0"/>
          <w:marRight w:val="0"/>
          <w:marTop w:val="0"/>
          <w:marBottom w:val="0"/>
          <w:divBdr>
            <w:top w:val="none" w:sz="0" w:space="0" w:color="auto"/>
            <w:left w:val="none" w:sz="0" w:space="0" w:color="auto"/>
            <w:bottom w:val="none" w:sz="0" w:space="0" w:color="auto"/>
            <w:right w:val="none" w:sz="0" w:space="0" w:color="auto"/>
          </w:divBdr>
        </w:div>
        <w:div w:id="1543708448">
          <w:marLeft w:val="0"/>
          <w:marRight w:val="0"/>
          <w:marTop w:val="0"/>
          <w:marBottom w:val="0"/>
          <w:divBdr>
            <w:top w:val="none" w:sz="0" w:space="0" w:color="auto"/>
            <w:left w:val="none" w:sz="0" w:space="0" w:color="auto"/>
            <w:bottom w:val="none" w:sz="0" w:space="0" w:color="auto"/>
            <w:right w:val="none" w:sz="0" w:space="0" w:color="auto"/>
          </w:divBdr>
        </w:div>
        <w:div w:id="1557011724">
          <w:marLeft w:val="0"/>
          <w:marRight w:val="0"/>
          <w:marTop w:val="0"/>
          <w:marBottom w:val="0"/>
          <w:divBdr>
            <w:top w:val="none" w:sz="0" w:space="0" w:color="auto"/>
            <w:left w:val="none" w:sz="0" w:space="0" w:color="auto"/>
            <w:bottom w:val="none" w:sz="0" w:space="0" w:color="auto"/>
            <w:right w:val="none" w:sz="0" w:space="0" w:color="auto"/>
          </w:divBdr>
        </w:div>
        <w:div w:id="1592156888">
          <w:marLeft w:val="0"/>
          <w:marRight w:val="0"/>
          <w:marTop w:val="0"/>
          <w:marBottom w:val="0"/>
          <w:divBdr>
            <w:top w:val="none" w:sz="0" w:space="0" w:color="auto"/>
            <w:left w:val="none" w:sz="0" w:space="0" w:color="auto"/>
            <w:bottom w:val="none" w:sz="0" w:space="0" w:color="auto"/>
            <w:right w:val="none" w:sz="0" w:space="0" w:color="auto"/>
          </w:divBdr>
        </w:div>
        <w:div w:id="1601260496">
          <w:marLeft w:val="0"/>
          <w:marRight w:val="0"/>
          <w:marTop w:val="0"/>
          <w:marBottom w:val="0"/>
          <w:divBdr>
            <w:top w:val="none" w:sz="0" w:space="0" w:color="auto"/>
            <w:left w:val="none" w:sz="0" w:space="0" w:color="auto"/>
            <w:bottom w:val="none" w:sz="0" w:space="0" w:color="auto"/>
            <w:right w:val="none" w:sz="0" w:space="0" w:color="auto"/>
          </w:divBdr>
        </w:div>
        <w:div w:id="1614747778">
          <w:marLeft w:val="0"/>
          <w:marRight w:val="0"/>
          <w:marTop w:val="0"/>
          <w:marBottom w:val="0"/>
          <w:divBdr>
            <w:top w:val="none" w:sz="0" w:space="0" w:color="auto"/>
            <w:left w:val="none" w:sz="0" w:space="0" w:color="auto"/>
            <w:bottom w:val="none" w:sz="0" w:space="0" w:color="auto"/>
            <w:right w:val="none" w:sz="0" w:space="0" w:color="auto"/>
          </w:divBdr>
        </w:div>
        <w:div w:id="1644652744">
          <w:marLeft w:val="-75"/>
          <w:marRight w:val="0"/>
          <w:marTop w:val="30"/>
          <w:marBottom w:val="30"/>
          <w:divBdr>
            <w:top w:val="none" w:sz="0" w:space="0" w:color="auto"/>
            <w:left w:val="none" w:sz="0" w:space="0" w:color="auto"/>
            <w:bottom w:val="none" w:sz="0" w:space="0" w:color="auto"/>
            <w:right w:val="none" w:sz="0" w:space="0" w:color="auto"/>
          </w:divBdr>
          <w:divsChild>
            <w:div w:id="130179021">
              <w:marLeft w:val="0"/>
              <w:marRight w:val="0"/>
              <w:marTop w:val="0"/>
              <w:marBottom w:val="0"/>
              <w:divBdr>
                <w:top w:val="none" w:sz="0" w:space="0" w:color="auto"/>
                <w:left w:val="none" w:sz="0" w:space="0" w:color="auto"/>
                <w:bottom w:val="none" w:sz="0" w:space="0" w:color="auto"/>
                <w:right w:val="none" w:sz="0" w:space="0" w:color="auto"/>
              </w:divBdr>
              <w:divsChild>
                <w:div w:id="86736341">
                  <w:marLeft w:val="0"/>
                  <w:marRight w:val="0"/>
                  <w:marTop w:val="0"/>
                  <w:marBottom w:val="0"/>
                  <w:divBdr>
                    <w:top w:val="none" w:sz="0" w:space="0" w:color="auto"/>
                    <w:left w:val="none" w:sz="0" w:space="0" w:color="auto"/>
                    <w:bottom w:val="none" w:sz="0" w:space="0" w:color="auto"/>
                    <w:right w:val="none" w:sz="0" w:space="0" w:color="auto"/>
                  </w:divBdr>
                </w:div>
              </w:divsChild>
            </w:div>
            <w:div w:id="212667077">
              <w:marLeft w:val="0"/>
              <w:marRight w:val="0"/>
              <w:marTop w:val="0"/>
              <w:marBottom w:val="0"/>
              <w:divBdr>
                <w:top w:val="none" w:sz="0" w:space="0" w:color="auto"/>
                <w:left w:val="none" w:sz="0" w:space="0" w:color="auto"/>
                <w:bottom w:val="none" w:sz="0" w:space="0" w:color="auto"/>
                <w:right w:val="none" w:sz="0" w:space="0" w:color="auto"/>
              </w:divBdr>
              <w:divsChild>
                <w:div w:id="1300570975">
                  <w:marLeft w:val="0"/>
                  <w:marRight w:val="0"/>
                  <w:marTop w:val="0"/>
                  <w:marBottom w:val="0"/>
                  <w:divBdr>
                    <w:top w:val="none" w:sz="0" w:space="0" w:color="auto"/>
                    <w:left w:val="none" w:sz="0" w:space="0" w:color="auto"/>
                    <w:bottom w:val="none" w:sz="0" w:space="0" w:color="auto"/>
                    <w:right w:val="none" w:sz="0" w:space="0" w:color="auto"/>
                  </w:divBdr>
                </w:div>
              </w:divsChild>
            </w:div>
            <w:div w:id="317617915">
              <w:marLeft w:val="0"/>
              <w:marRight w:val="0"/>
              <w:marTop w:val="0"/>
              <w:marBottom w:val="0"/>
              <w:divBdr>
                <w:top w:val="none" w:sz="0" w:space="0" w:color="auto"/>
                <w:left w:val="none" w:sz="0" w:space="0" w:color="auto"/>
                <w:bottom w:val="none" w:sz="0" w:space="0" w:color="auto"/>
                <w:right w:val="none" w:sz="0" w:space="0" w:color="auto"/>
              </w:divBdr>
              <w:divsChild>
                <w:div w:id="1514227113">
                  <w:marLeft w:val="0"/>
                  <w:marRight w:val="0"/>
                  <w:marTop w:val="0"/>
                  <w:marBottom w:val="0"/>
                  <w:divBdr>
                    <w:top w:val="none" w:sz="0" w:space="0" w:color="auto"/>
                    <w:left w:val="none" w:sz="0" w:space="0" w:color="auto"/>
                    <w:bottom w:val="none" w:sz="0" w:space="0" w:color="auto"/>
                    <w:right w:val="none" w:sz="0" w:space="0" w:color="auto"/>
                  </w:divBdr>
                </w:div>
              </w:divsChild>
            </w:div>
            <w:div w:id="604311484">
              <w:marLeft w:val="0"/>
              <w:marRight w:val="0"/>
              <w:marTop w:val="0"/>
              <w:marBottom w:val="0"/>
              <w:divBdr>
                <w:top w:val="none" w:sz="0" w:space="0" w:color="auto"/>
                <w:left w:val="none" w:sz="0" w:space="0" w:color="auto"/>
                <w:bottom w:val="none" w:sz="0" w:space="0" w:color="auto"/>
                <w:right w:val="none" w:sz="0" w:space="0" w:color="auto"/>
              </w:divBdr>
              <w:divsChild>
                <w:div w:id="500121328">
                  <w:marLeft w:val="0"/>
                  <w:marRight w:val="0"/>
                  <w:marTop w:val="0"/>
                  <w:marBottom w:val="0"/>
                  <w:divBdr>
                    <w:top w:val="none" w:sz="0" w:space="0" w:color="auto"/>
                    <w:left w:val="none" w:sz="0" w:space="0" w:color="auto"/>
                    <w:bottom w:val="none" w:sz="0" w:space="0" w:color="auto"/>
                    <w:right w:val="none" w:sz="0" w:space="0" w:color="auto"/>
                  </w:divBdr>
                </w:div>
              </w:divsChild>
            </w:div>
            <w:div w:id="665860616">
              <w:marLeft w:val="0"/>
              <w:marRight w:val="0"/>
              <w:marTop w:val="0"/>
              <w:marBottom w:val="0"/>
              <w:divBdr>
                <w:top w:val="none" w:sz="0" w:space="0" w:color="auto"/>
                <w:left w:val="none" w:sz="0" w:space="0" w:color="auto"/>
                <w:bottom w:val="none" w:sz="0" w:space="0" w:color="auto"/>
                <w:right w:val="none" w:sz="0" w:space="0" w:color="auto"/>
              </w:divBdr>
              <w:divsChild>
                <w:div w:id="641235480">
                  <w:marLeft w:val="0"/>
                  <w:marRight w:val="0"/>
                  <w:marTop w:val="0"/>
                  <w:marBottom w:val="0"/>
                  <w:divBdr>
                    <w:top w:val="none" w:sz="0" w:space="0" w:color="auto"/>
                    <w:left w:val="none" w:sz="0" w:space="0" w:color="auto"/>
                    <w:bottom w:val="none" w:sz="0" w:space="0" w:color="auto"/>
                    <w:right w:val="none" w:sz="0" w:space="0" w:color="auto"/>
                  </w:divBdr>
                </w:div>
              </w:divsChild>
            </w:div>
            <w:div w:id="864102579">
              <w:marLeft w:val="0"/>
              <w:marRight w:val="0"/>
              <w:marTop w:val="0"/>
              <w:marBottom w:val="0"/>
              <w:divBdr>
                <w:top w:val="none" w:sz="0" w:space="0" w:color="auto"/>
                <w:left w:val="none" w:sz="0" w:space="0" w:color="auto"/>
                <w:bottom w:val="none" w:sz="0" w:space="0" w:color="auto"/>
                <w:right w:val="none" w:sz="0" w:space="0" w:color="auto"/>
              </w:divBdr>
              <w:divsChild>
                <w:div w:id="144471743">
                  <w:marLeft w:val="0"/>
                  <w:marRight w:val="0"/>
                  <w:marTop w:val="0"/>
                  <w:marBottom w:val="0"/>
                  <w:divBdr>
                    <w:top w:val="none" w:sz="0" w:space="0" w:color="auto"/>
                    <w:left w:val="none" w:sz="0" w:space="0" w:color="auto"/>
                    <w:bottom w:val="none" w:sz="0" w:space="0" w:color="auto"/>
                    <w:right w:val="none" w:sz="0" w:space="0" w:color="auto"/>
                  </w:divBdr>
                </w:div>
              </w:divsChild>
            </w:div>
            <w:div w:id="926769617">
              <w:marLeft w:val="0"/>
              <w:marRight w:val="0"/>
              <w:marTop w:val="0"/>
              <w:marBottom w:val="0"/>
              <w:divBdr>
                <w:top w:val="none" w:sz="0" w:space="0" w:color="auto"/>
                <w:left w:val="none" w:sz="0" w:space="0" w:color="auto"/>
                <w:bottom w:val="none" w:sz="0" w:space="0" w:color="auto"/>
                <w:right w:val="none" w:sz="0" w:space="0" w:color="auto"/>
              </w:divBdr>
              <w:divsChild>
                <w:div w:id="361635386">
                  <w:marLeft w:val="0"/>
                  <w:marRight w:val="0"/>
                  <w:marTop w:val="0"/>
                  <w:marBottom w:val="0"/>
                  <w:divBdr>
                    <w:top w:val="none" w:sz="0" w:space="0" w:color="auto"/>
                    <w:left w:val="none" w:sz="0" w:space="0" w:color="auto"/>
                    <w:bottom w:val="none" w:sz="0" w:space="0" w:color="auto"/>
                    <w:right w:val="none" w:sz="0" w:space="0" w:color="auto"/>
                  </w:divBdr>
                </w:div>
              </w:divsChild>
            </w:div>
            <w:div w:id="1207183196">
              <w:marLeft w:val="0"/>
              <w:marRight w:val="0"/>
              <w:marTop w:val="0"/>
              <w:marBottom w:val="0"/>
              <w:divBdr>
                <w:top w:val="none" w:sz="0" w:space="0" w:color="auto"/>
                <w:left w:val="none" w:sz="0" w:space="0" w:color="auto"/>
                <w:bottom w:val="none" w:sz="0" w:space="0" w:color="auto"/>
                <w:right w:val="none" w:sz="0" w:space="0" w:color="auto"/>
              </w:divBdr>
              <w:divsChild>
                <w:div w:id="758332479">
                  <w:marLeft w:val="0"/>
                  <w:marRight w:val="0"/>
                  <w:marTop w:val="0"/>
                  <w:marBottom w:val="0"/>
                  <w:divBdr>
                    <w:top w:val="none" w:sz="0" w:space="0" w:color="auto"/>
                    <w:left w:val="none" w:sz="0" w:space="0" w:color="auto"/>
                    <w:bottom w:val="none" w:sz="0" w:space="0" w:color="auto"/>
                    <w:right w:val="none" w:sz="0" w:space="0" w:color="auto"/>
                  </w:divBdr>
                </w:div>
              </w:divsChild>
            </w:div>
            <w:div w:id="1238202378">
              <w:marLeft w:val="0"/>
              <w:marRight w:val="0"/>
              <w:marTop w:val="0"/>
              <w:marBottom w:val="0"/>
              <w:divBdr>
                <w:top w:val="none" w:sz="0" w:space="0" w:color="auto"/>
                <w:left w:val="none" w:sz="0" w:space="0" w:color="auto"/>
                <w:bottom w:val="none" w:sz="0" w:space="0" w:color="auto"/>
                <w:right w:val="none" w:sz="0" w:space="0" w:color="auto"/>
              </w:divBdr>
              <w:divsChild>
                <w:div w:id="2030525605">
                  <w:marLeft w:val="0"/>
                  <w:marRight w:val="0"/>
                  <w:marTop w:val="0"/>
                  <w:marBottom w:val="0"/>
                  <w:divBdr>
                    <w:top w:val="none" w:sz="0" w:space="0" w:color="auto"/>
                    <w:left w:val="none" w:sz="0" w:space="0" w:color="auto"/>
                    <w:bottom w:val="none" w:sz="0" w:space="0" w:color="auto"/>
                    <w:right w:val="none" w:sz="0" w:space="0" w:color="auto"/>
                  </w:divBdr>
                </w:div>
              </w:divsChild>
            </w:div>
            <w:div w:id="1504738083">
              <w:marLeft w:val="0"/>
              <w:marRight w:val="0"/>
              <w:marTop w:val="0"/>
              <w:marBottom w:val="0"/>
              <w:divBdr>
                <w:top w:val="none" w:sz="0" w:space="0" w:color="auto"/>
                <w:left w:val="none" w:sz="0" w:space="0" w:color="auto"/>
                <w:bottom w:val="none" w:sz="0" w:space="0" w:color="auto"/>
                <w:right w:val="none" w:sz="0" w:space="0" w:color="auto"/>
              </w:divBdr>
              <w:divsChild>
                <w:div w:id="822965272">
                  <w:marLeft w:val="0"/>
                  <w:marRight w:val="0"/>
                  <w:marTop w:val="0"/>
                  <w:marBottom w:val="0"/>
                  <w:divBdr>
                    <w:top w:val="none" w:sz="0" w:space="0" w:color="auto"/>
                    <w:left w:val="none" w:sz="0" w:space="0" w:color="auto"/>
                    <w:bottom w:val="none" w:sz="0" w:space="0" w:color="auto"/>
                    <w:right w:val="none" w:sz="0" w:space="0" w:color="auto"/>
                  </w:divBdr>
                </w:div>
              </w:divsChild>
            </w:div>
            <w:div w:id="1893348679">
              <w:marLeft w:val="0"/>
              <w:marRight w:val="0"/>
              <w:marTop w:val="0"/>
              <w:marBottom w:val="0"/>
              <w:divBdr>
                <w:top w:val="none" w:sz="0" w:space="0" w:color="auto"/>
                <w:left w:val="none" w:sz="0" w:space="0" w:color="auto"/>
                <w:bottom w:val="none" w:sz="0" w:space="0" w:color="auto"/>
                <w:right w:val="none" w:sz="0" w:space="0" w:color="auto"/>
              </w:divBdr>
              <w:divsChild>
                <w:div w:id="2091194856">
                  <w:marLeft w:val="0"/>
                  <w:marRight w:val="0"/>
                  <w:marTop w:val="0"/>
                  <w:marBottom w:val="0"/>
                  <w:divBdr>
                    <w:top w:val="none" w:sz="0" w:space="0" w:color="auto"/>
                    <w:left w:val="none" w:sz="0" w:space="0" w:color="auto"/>
                    <w:bottom w:val="none" w:sz="0" w:space="0" w:color="auto"/>
                    <w:right w:val="none" w:sz="0" w:space="0" w:color="auto"/>
                  </w:divBdr>
                </w:div>
              </w:divsChild>
            </w:div>
            <w:div w:id="2120639598">
              <w:marLeft w:val="0"/>
              <w:marRight w:val="0"/>
              <w:marTop w:val="0"/>
              <w:marBottom w:val="0"/>
              <w:divBdr>
                <w:top w:val="none" w:sz="0" w:space="0" w:color="auto"/>
                <w:left w:val="none" w:sz="0" w:space="0" w:color="auto"/>
                <w:bottom w:val="none" w:sz="0" w:space="0" w:color="auto"/>
                <w:right w:val="none" w:sz="0" w:space="0" w:color="auto"/>
              </w:divBdr>
              <w:divsChild>
                <w:div w:id="7281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32866">
          <w:marLeft w:val="0"/>
          <w:marRight w:val="0"/>
          <w:marTop w:val="0"/>
          <w:marBottom w:val="0"/>
          <w:divBdr>
            <w:top w:val="none" w:sz="0" w:space="0" w:color="auto"/>
            <w:left w:val="none" w:sz="0" w:space="0" w:color="auto"/>
            <w:bottom w:val="none" w:sz="0" w:space="0" w:color="auto"/>
            <w:right w:val="none" w:sz="0" w:space="0" w:color="auto"/>
          </w:divBdr>
        </w:div>
        <w:div w:id="1667856678">
          <w:marLeft w:val="0"/>
          <w:marRight w:val="0"/>
          <w:marTop w:val="0"/>
          <w:marBottom w:val="0"/>
          <w:divBdr>
            <w:top w:val="none" w:sz="0" w:space="0" w:color="auto"/>
            <w:left w:val="none" w:sz="0" w:space="0" w:color="auto"/>
            <w:bottom w:val="none" w:sz="0" w:space="0" w:color="auto"/>
            <w:right w:val="none" w:sz="0" w:space="0" w:color="auto"/>
          </w:divBdr>
        </w:div>
        <w:div w:id="1683623601">
          <w:marLeft w:val="0"/>
          <w:marRight w:val="0"/>
          <w:marTop w:val="0"/>
          <w:marBottom w:val="0"/>
          <w:divBdr>
            <w:top w:val="none" w:sz="0" w:space="0" w:color="auto"/>
            <w:left w:val="none" w:sz="0" w:space="0" w:color="auto"/>
            <w:bottom w:val="none" w:sz="0" w:space="0" w:color="auto"/>
            <w:right w:val="none" w:sz="0" w:space="0" w:color="auto"/>
          </w:divBdr>
        </w:div>
        <w:div w:id="1710257177">
          <w:marLeft w:val="0"/>
          <w:marRight w:val="0"/>
          <w:marTop w:val="0"/>
          <w:marBottom w:val="0"/>
          <w:divBdr>
            <w:top w:val="none" w:sz="0" w:space="0" w:color="auto"/>
            <w:left w:val="none" w:sz="0" w:space="0" w:color="auto"/>
            <w:bottom w:val="none" w:sz="0" w:space="0" w:color="auto"/>
            <w:right w:val="none" w:sz="0" w:space="0" w:color="auto"/>
          </w:divBdr>
        </w:div>
        <w:div w:id="1717199656">
          <w:marLeft w:val="0"/>
          <w:marRight w:val="0"/>
          <w:marTop w:val="0"/>
          <w:marBottom w:val="0"/>
          <w:divBdr>
            <w:top w:val="none" w:sz="0" w:space="0" w:color="auto"/>
            <w:left w:val="none" w:sz="0" w:space="0" w:color="auto"/>
            <w:bottom w:val="none" w:sz="0" w:space="0" w:color="auto"/>
            <w:right w:val="none" w:sz="0" w:space="0" w:color="auto"/>
          </w:divBdr>
        </w:div>
        <w:div w:id="1766657135">
          <w:marLeft w:val="0"/>
          <w:marRight w:val="0"/>
          <w:marTop w:val="0"/>
          <w:marBottom w:val="0"/>
          <w:divBdr>
            <w:top w:val="none" w:sz="0" w:space="0" w:color="auto"/>
            <w:left w:val="none" w:sz="0" w:space="0" w:color="auto"/>
            <w:bottom w:val="none" w:sz="0" w:space="0" w:color="auto"/>
            <w:right w:val="none" w:sz="0" w:space="0" w:color="auto"/>
          </w:divBdr>
        </w:div>
        <w:div w:id="1802533288">
          <w:marLeft w:val="0"/>
          <w:marRight w:val="0"/>
          <w:marTop w:val="0"/>
          <w:marBottom w:val="0"/>
          <w:divBdr>
            <w:top w:val="none" w:sz="0" w:space="0" w:color="auto"/>
            <w:left w:val="none" w:sz="0" w:space="0" w:color="auto"/>
            <w:bottom w:val="none" w:sz="0" w:space="0" w:color="auto"/>
            <w:right w:val="none" w:sz="0" w:space="0" w:color="auto"/>
          </w:divBdr>
        </w:div>
        <w:div w:id="1847942695">
          <w:marLeft w:val="0"/>
          <w:marRight w:val="0"/>
          <w:marTop w:val="0"/>
          <w:marBottom w:val="0"/>
          <w:divBdr>
            <w:top w:val="none" w:sz="0" w:space="0" w:color="auto"/>
            <w:left w:val="none" w:sz="0" w:space="0" w:color="auto"/>
            <w:bottom w:val="none" w:sz="0" w:space="0" w:color="auto"/>
            <w:right w:val="none" w:sz="0" w:space="0" w:color="auto"/>
          </w:divBdr>
        </w:div>
        <w:div w:id="1878010619">
          <w:marLeft w:val="0"/>
          <w:marRight w:val="0"/>
          <w:marTop w:val="0"/>
          <w:marBottom w:val="0"/>
          <w:divBdr>
            <w:top w:val="none" w:sz="0" w:space="0" w:color="auto"/>
            <w:left w:val="none" w:sz="0" w:space="0" w:color="auto"/>
            <w:bottom w:val="none" w:sz="0" w:space="0" w:color="auto"/>
            <w:right w:val="none" w:sz="0" w:space="0" w:color="auto"/>
          </w:divBdr>
        </w:div>
        <w:div w:id="1902598108">
          <w:marLeft w:val="0"/>
          <w:marRight w:val="0"/>
          <w:marTop w:val="0"/>
          <w:marBottom w:val="0"/>
          <w:divBdr>
            <w:top w:val="none" w:sz="0" w:space="0" w:color="auto"/>
            <w:left w:val="none" w:sz="0" w:space="0" w:color="auto"/>
            <w:bottom w:val="none" w:sz="0" w:space="0" w:color="auto"/>
            <w:right w:val="none" w:sz="0" w:space="0" w:color="auto"/>
          </w:divBdr>
        </w:div>
        <w:div w:id="1905480746">
          <w:marLeft w:val="0"/>
          <w:marRight w:val="0"/>
          <w:marTop w:val="0"/>
          <w:marBottom w:val="0"/>
          <w:divBdr>
            <w:top w:val="none" w:sz="0" w:space="0" w:color="auto"/>
            <w:left w:val="none" w:sz="0" w:space="0" w:color="auto"/>
            <w:bottom w:val="none" w:sz="0" w:space="0" w:color="auto"/>
            <w:right w:val="none" w:sz="0" w:space="0" w:color="auto"/>
          </w:divBdr>
        </w:div>
        <w:div w:id="1938096448">
          <w:marLeft w:val="0"/>
          <w:marRight w:val="0"/>
          <w:marTop w:val="0"/>
          <w:marBottom w:val="0"/>
          <w:divBdr>
            <w:top w:val="none" w:sz="0" w:space="0" w:color="auto"/>
            <w:left w:val="none" w:sz="0" w:space="0" w:color="auto"/>
            <w:bottom w:val="none" w:sz="0" w:space="0" w:color="auto"/>
            <w:right w:val="none" w:sz="0" w:space="0" w:color="auto"/>
          </w:divBdr>
        </w:div>
        <w:div w:id="1947426904">
          <w:marLeft w:val="0"/>
          <w:marRight w:val="0"/>
          <w:marTop w:val="0"/>
          <w:marBottom w:val="0"/>
          <w:divBdr>
            <w:top w:val="none" w:sz="0" w:space="0" w:color="auto"/>
            <w:left w:val="none" w:sz="0" w:space="0" w:color="auto"/>
            <w:bottom w:val="none" w:sz="0" w:space="0" w:color="auto"/>
            <w:right w:val="none" w:sz="0" w:space="0" w:color="auto"/>
          </w:divBdr>
        </w:div>
        <w:div w:id="1984844338">
          <w:marLeft w:val="0"/>
          <w:marRight w:val="0"/>
          <w:marTop w:val="0"/>
          <w:marBottom w:val="0"/>
          <w:divBdr>
            <w:top w:val="none" w:sz="0" w:space="0" w:color="auto"/>
            <w:left w:val="none" w:sz="0" w:space="0" w:color="auto"/>
            <w:bottom w:val="none" w:sz="0" w:space="0" w:color="auto"/>
            <w:right w:val="none" w:sz="0" w:space="0" w:color="auto"/>
          </w:divBdr>
        </w:div>
        <w:div w:id="2000763387">
          <w:marLeft w:val="0"/>
          <w:marRight w:val="0"/>
          <w:marTop w:val="0"/>
          <w:marBottom w:val="0"/>
          <w:divBdr>
            <w:top w:val="none" w:sz="0" w:space="0" w:color="auto"/>
            <w:left w:val="none" w:sz="0" w:space="0" w:color="auto"/>
            <w:bottom w:val="none" w:sz="0" w:space="0" w:color="auto"/>
            <w:right w:val="none" w:sz="0" w:space="0" w:color="auto"/>
          </w:divBdr>
        </w:div>
        <w:div w:id="2005471814">
          <w:marLeft w:val="0"/>
          <w:marRight w:val="0"/>
          <w:marTop w:val="0"/>
          <w:marBottom w:val="0"/>
          <w:divBdr>
            <w:top w:val="none" w:sz="0" w:space="0" w:color="auto"/>
            <w:left w:val="none" w:sz="0" w:space="0" w:color="auto"/>
            <w:bottom w:val="none" w:sz="0" w:space="0" w:color="auto"/>
            <w:right w:val="none" w:sz="0" w:space="0" w:color="auto"/>
          </w:divBdr>
        </w:div>
        <w:div w:id="2012021711">
          <w:marLeft w:val="0"/>
          <w:marRight w:val="0"/>
          <w:marTop w:val="0"/>
          <w:marBottom w:val="0"/>
          <w:divBdr>
            <w:top w:val="none" w:sz="0" w:space="0" w:color="auto"/>
            <w:left w:val="none" w:sz="0" w:space="0" w:color="auto"/>
            <w:bottom w:val="none" w:sz="0" w:space="0" w:color="auto"/>
            <w:right w:val="none" w:sz="0" w:space="0" w:color="auto"/>
          </w:divBdr>
        </w:div>
        <w:div w:id="2045399049">
          <w:marLeft w:val="0"/>
          <w:marRight w:val="0"/>
          <w:marTop w:val="0"/>
          <w:marBottom w:val="0"/>
          <w:divBdr>
            <w:top w:val="none" w:sz="0" w:space="0" w:color="auto"/>
            <w:left w:val="none" w:sz="0" w:space="0" w:color="auto"/>
            <w:bottom w:val="none" w:sz="0" w:space="0" w:color="auto"/>
            <w:right w:val="none" w:sz="0" w:space="0" w:color="auto"/>
          </w:divBdr>
        </w:div>
        <w:div w:id="2073381609">
          <w:marLeft w:val="0"/>
          <w:marRight w:val="0"/>
          <w:marTop w:val="0"/>
          <w:marBottom w:val="0"/>
          <w:divBdr>
            <w:top w:val="none" w:sz="0" w:space="0" w:color="auto"/>
            <w:left w:val="none" w:sz="0" w:space="0" w:color="auto"/>
            <w:bottom w:val="none" w:sz="0" w:space="0" w:color="auto"/>
            <w:right w:val="none" w:sz="0" w:space="0" w:color="auto"/>
          </w:divBdr>
        </w:div>
        <w:div w:id="2102795795">
          <w:marLeft w:val="0"/>
          <w:marRight w:val="0"/>
          <w:marTop w:val="0"/>
          <w:marBottom w:val="0"/>
          <w:divBdr>
            <w:top w:val="none" w:sz="0" w:space="0" w:color="auto"/>
            <w:left w:val="none" w:sz="0" w:space="0" w:color="auto"/>
            <w:bottom w:val="none" w:sz="0" w:space="0" w:color="auto"/>
            <w:right w:val="none" w:sz="0" w:space="0" w:color="auto"/>
          </w:divBdr>
        </w:div>
        <w:div w:id="2104690652">
          <w:marLeft w:val="0"/>
          <w:marRight w:val="0"/>
          <w:marTop w:val="0"/>
          <w:marBottom w:val="0"/>
          <w:divBdr>
            <w:top w:val="none" w:sz="0" w:space="0" w:color="auto"/>
            <w:left w:val="none" w:sz="0" w:space="0" w:color="auto"/>
            <w:bottom w:val="none" w:sz="0" w:space="0" w:color="auto"/>
            <w:right w:val="none" w:sz="0" w:space="0" w:color="auto"/>
          </w:divBdr>
        </w:div>
        <w:div w:id="2106414529">
          <w:marLeft w:val="0"/>
          <w:marRight w:val="0"/>
          <w:marTop w:val="0"/>
          <w:marBottom w:val="0"/>
          <w:divBdr>
            <w:top w:val="none" w:sz="0" w:space="0" w:color="auto"/>
            <w:left w:val="none" w:sz="0" w:space="0" w:color="auto"/>
            <w:bottom w:val="none" w:sz="0" w:space="0" w:color="auto"/>
            <w:right w:val="none" w:sz="0" w:space="0" w:color="auto"/>
          </w:divBdr>
        </w:div>
        <w:div w:id="2132166282">
          <w:marLeft w:val="0"/>
          <w:marRight w:val="0"/>
          <w:marTop w:val="0"/>
          <w:marBottom w:val="0"/>
          <w:divBdr>
            <w:top w:val="none" w:sz="0" w:space="0" w:color="auto"/>
            <w:left w:val="none" w:sz="0" w:space="0" w:color="auto"/>
            <w:bottom w:val="none" w:sz="0" w:space="0" w:color="auto"/>
            <w:right w:val="none" w:sz="0" w:space="0" w:color="auto"/>
          </w:divBdr>
        </w:div>
        <w:div w:id="2135557445">
          <w:marLeft w:val="0"/>
          <w:marRight w:val="0"/>
          <w:marTop w:val="0"/>
          <w:marBottom w:val="0"/>
          <w:divBdr>
            <w:top w:val="none" w:sz="0" w:space="0" w:color="auto"/>
            <w:left w:val="none" w:sz="0" w:space="0" w:color="auto"/>
            <w:bottom w:val="none" w:sz="0" w:space="0" w:color="auto"/>
            <w:right w:val="none" w:sz="0" w:space="0" w:color="auto"/>
          </w:divBdr>
        </w:div>
        <w:div w:id="2136676399">
          <w:marLeft w:val="0"/>
          <w:marRight w:val="0"/>
          <w:marTop w:val="0"/>
          <w:marBottom w:val="0"/>
          <w:divBdr>
            <w:top w:val="none" w:sz="0" w:space="0" w:color="auto"/>
            <w:left w:val="none" w:sz="0" w:space="0" w:color="auto"/>
            <w:bottom w:val="none" w:sz="0" w:space="0" w:color="auto"/>
            <w:right w:val="none" w:sz="0" w:space="0" w:color="auto"/>
          </w:divBdr>
        </w:div>
      </w:divsChild>
    </w:div>
    <w:div w:id="1049843761">
      <w:bodyDiv w:val="1"/>
      <w:marLeft w:val="0"/>
      <w:marRight w:val="0"/>
      <w:marTop w:val="0"/>
      <w:marBottom w:val="0"/>
      <w:divBdr>
        <w:top w:val="none" w:sz="0" w:space="0" w:color="auto"/>
        <w:left w:val="none" w:sz="0" w:space="0" w:color="auto"/>
        <w:bottom w:val="none" w:sz="0" w:space="0" w:color="auto"/>
        <w:right w:val="none" w:sz="0" w:space="0" w:color="auto"/>
      </w:divBdr>
      <w:divsChild>
        <w:div w:id="296842607">
          <w:marLeft w:val="0"/>
          <w:marRight w:val="0"/>
          <w:marTop w:val="0"/>
          <w:marBottom w:val="0"/>
          <w:divBdr>
            <w:top w:val="none" w:sz="0" w:space="0" w:color="auto"/>
            <w:left w:val="none" w:sz="0" w:space="0" w:color="auto"/>
            <w:bottom w:val="none" w:sz="0" w:space="0" w:color="auto"/>
            <w:right w:val="none" w:sz="0" w:space="0" w:color="auto"/>
          </w:divBdr>
        </w:div>
        <w:div w:id="668024622">
          <w:marLeft w:val="0"/>
          <w:marRight w:val="0"/>
          <w:marTop w:val="0"/>
          <w:marBottom w:val="0"/>
          <w:divBdr>
            <w:top w:val="none" w:sz="0" w:space="0" w:color="auto"/>
            <w:left w:val="none" w:sz="0" w:space="0" w:color="auto"/>
            <w:bottom w:val="none" w:sz="0" w:space="0" w:color="auto"/>
            <w:right w:val="none" w:sz="0" w:space="0" w:color="auto"/>
          </w:divBdr>
        </w:div>
        <w:div w:id="967660036">
          <w:marLeft w:val="0"/>
          <w:marRight w:val="0"/>
          <w:marTop w:val="0"/>
          <w:marBottom w:val="0"/>
          <w:divBdr>
            <w:top w:val="none" w:sz="0" w:space="0" w:color="auto"/>
            <w:left w:val="none" w:sz="0" w:space="0" w:color="auto"/>
            <w:bottom w:val="none" w:sz="0" w:space="0" w:color="auto"/>
            <w:right w:val="none" w:sz="0" w:space="0" w:color="auto"/>
          </w:divBdr>
        </w:div>
        <w:div w:id="997809073">
          <w:marLeft w:val="0"/>
          <w:marRight w:val="0"/>
          <w:marTop w:val="0"/>
          <w:marBottom w:val="0"/>
          <w:divBdr>
            <w:top w:val="none" w:sz="0" w:space="0" w:color="auto"/>
            <w:left w:val="none" w:sz="0" w:space="0" w:color="auto"/>
            <w:bottom w:val="none" w:sz="0" w:space="0" w:color="auto"/>
            <w:right w:val="none" w:sz="0" w:space="0" w:color="auto"/>
          </w:divBdr>
        </w:div>
        <w:div w:id="1297759019">
          <w:marLeft w:val="0"/>
          <w:marRight w:val="0"/>
          <w:marTop w:val="0"/>
          <w:marBottom w:val="0"/>
          <w:divBdr>
            <w:top w:val="none" w:sz="0" w:space="0" w:color="auto"/>
            <w:left w:val="none" w:sz="0" w:space="0" w:color="auto"/>
            <w:bottom w:val="none" w:sz="0" w:space="0" w:color="auto"/>
            <w:right w:val="none" w:sz="0" w:space="0" w:color="auto"/>
          </w:divBdr>
        </w:div>
        <w:div w:id="1672221035">
          <w:marLeft w:val="0"/>
          <w:marRight w:val="0"/>
          <w:marTop w:val="0"/>
          <w:marBottom w:val="0"/>
          <w:divBdr>
            <w:top w:val="none" w:sz="0" w:space="0" w:color="auto"/>
            <w:left w:val="none" w:sz="0" w:space="0" w:color="auto"/>
            <w:bottom w:val="none" w:sz="0" w:space="0" w:color="auto"/>
            <w:right w:val="none" w:sz="0" w:space="0" w:color="auto"/>
          </w:divBdr>
        </w:div>
        <w:div w:id="1825929950">
          <w:marLeft w:val="0"/>
          <w:marRight w:val="0"/>
          <w:marTop w:val="0"/>
          <w:marBottom w:val="0"/>
          <w:divBdr>
            <w:top w:val="none" w:sz="0" w:space="0" w:color="auto"/>
            <w:left w:val="none" w:sz="0" w:space="0" w:color="auto"/>
            <w:bottom w:val="none" w:sz="0" w:space="0" w:color="auto"/>
            <w:right w:val="none" w:sz="0" w:space="0" w:color="auto"/>
          </w:divBdr>
        </w:div>
      </w:divsChild>
    </w:div>
    <w:div w:id="1085419754">
      <w:bodyDiv w:val="1"/>
      <w:marLeft w:val="0"/>
      <w:marRight w:val="0"/>
      <w:marTop w:val="0"/>
      <w:marBottom w:val="0"/>
      <w:divBdr>
        <w:top w:val="none" w:sz="0" w:space="0" w:color="auto"/>
        <w:left w:val="none" w:sz="0" w:space="0" w:color="auto"/>
        <w:bottom w:val="none" w:sz="0" w:space="0" w:color="auto"/>
        <w:right w:val="none" w:sz="0" w:space="0" w:color="auto"/>
      </w:divBdr>
    </w:div>
    <w:div w:id="1121609305">
      <w:bodyDiv w:val="1"/>
      <w:marLeft w:val="0"/>
      <w:marRight w:val="0"/>
      <w:marTop w:val="0"/>
      <w:marBottom w:val="0"/>
      <w:divBdr>
        <w:top w:val="none" w:sz="0" w:space="0" w:color="auto"/>
        <w:left w:val="none" w:sz="0" w:space="0" w:color="auto"/>
        <w:bottom w:val="none" w:sz="0" w:space="0" w:color="auto"/>
        <w:right w:val="none" w:sz="0" w:space="0" w:color="auto"/>
      </w:divBdr>
    </w:div>
    <w:div w:id="1145270564">
      <w:bodyDiv w:val="1"/>
      <w:marLeft w:val="0"/>
      <w:marRight w:val="0"/>
      <w:marTop w:val="0"/>
      <w:marBottom w:val="0"/>
      <w:divBdr>
        <w:top w:val="none" w:sz="0" w:space="0" w:color="auto"/>
        <w:left w:val="none" w:sz="0" w:space="0" w:color="auto"/>
        <w:bottom w:val="none" w:sz="0" w:space="0" w:color="auto"/>
        <w:right w:val="none" w:sz="0" w:space="0" w:color="auto"/>
      </w:divBdr>
    </w:div>
    <w:div w:id="1168787825">
      <w:bodyDiv w:val="1"/>
      <w:marLeft w:val="0"/>
      <w:marRight w:val="0"/>
      <w:marTop w:val="0"/>
      <w:marBottom w:val="0"/>
      <w:divBdr>
        <w:top w:val="none" w:sz="0" w:space="0" w:color="auto"/>
        <w:left w:val="none" w:sz="0" w:space="0" w:color="auto"/>
        <w:bottom w:val="none" w:sz="0" w:space="0" w:color="auto"/>
        <w:right w:val="none" w:sz="0" w:space="0" w:color="auto"/>
      </w:divBdr>
      <w:divsChild>
        <w:div w:id="252319635">
          <w:marLeft w:val="0"/>
          <w:marRight w:val="0"/>
          <w:marTop w:val="0"/>
          <w:marBottom w:val="0"/>
          <w:divBdr>
            <w:top w:val="none" w:sz="0" w:space="0" w:color="auto"/>
            <w:left w:val="none" w:sz="0" w:space="0" w:color="auto"/>
            <w:bottom w:val="none" w:sz="0" w:space="0" w:color="auto"/>
            <w:right w:val="none" w:sz="0" w:space="0" w:color="auto"/>
          </w:divBdr>
          <w:divsChild>
            <w:div w:id="426270583">
              <w:marLeft w:val="0"/>
              <w:marRight w:val="0"/>
              <w:marTop w:val="0"/>
              <w:marBottom w:val="0"/>
              <w:divBdr>
                <w:top w:val="none" w:sz="0" w:space="0" w:color="auto"/>
                <w:left w:val="none" w:sz="0" w:space="0" w:color="auto"/>
                <w:bottom w:val="none" w:sz="0" w:space="0" w:color="auto"/>
                <w:right w:val="none" w:sz="0" w:space="0" w:color="auto"/>
              </w:divBdr>
            </w:div>
          </w:divsChild>
        </w:div>
        <w:div w:id="265617702">
          <w:marLeft w:val="0"/>
          <w:marRight w:val="0"/>
          <w:marTop w:val="0"/>
          <w:marBottom w:val="0"/>
          <w:divBdr>
            <w:top w:val="none" w:sz="0" w:space="0" w:color="auto"/>
            <w:left w:val="none" w:sz="0" w:space="0" w:color="auto"/>
            <w:bottom w:val="none" w:sz="0" w:space="0" w:color="auto"/>
            <w:right w:val="none" w:sz="0" w:space="0" w:color="auto"/>
          </w:divBdr>
          <w:divsChild>
            <w:div w:id="1618949591">
              <w:marLeft w:val="0"/>
              <w:marRight w:val="0"/>
              <w:marTop w:val="0"/>
              <w:marBottom w:val="0"/>
              <w:divBdr>
                <w:top w:val="none" w:sz="0" w:space="0" w:color="auto"/>
                <w:left w:val="none" w:sz="0" w:space="0" w:color="auto"/>
                <w:bottom w:val="none" w:sz="0" w:space="0" w:color="auto"/>
                <w:right w:val="none" w:sz="0" w:space="0" w:color="auto"/>
              </w:divBdr>
            </w:div>
          </w:divsChild>
        </w:div>
        <w:div w:id="303125376">
          <w:marLeft w:val="0"/>
          <w:marRight w:val="0"/>
          <w:marTop w:val="0"/>
          <w:marBottom w:val="0"/>
          <w:divBdr>
            <w:top w:val="none" w:sz="0" w:space="0" w:color="auto"/>
            <w:left w:val="none" w:sz="0" w:space="0" w:color="auto"/>
            <w:bottom w:val="none" w:sz="0" w:space="0" w:color="auto"/>
            <w:right w:val="none" w:sz="0" w:space="0" w:color="auto"/>
          </w:divBdr>
          <w:divsChild>
            <w:div w:id="1960641416">
              <w:marLeft w:val="0"/>
              <w:marRight w:val="0"/>
              <w:marTop w:val="0"/>
              <w:marBottom w:val="0"/>
              <w:divBdr>
                <w:top w:val="none" w:sz="0" w:space="0" w:color="auto"/>
                <w:left w:val="none" w:sz="0" w:space="0" w:color="auto"/>
                <w:bottom w:val="none" w:sz="0" w:space="0" w:color="auto"/>
                <w:right w:val="none" w:sz="0" w:space="0" w:color="auto"/>
              </w:divBdr>
            </w:div>
          </w:divsChild>
        </w:div>
        <w:div w:id="388890648">
          <w:marLeft w:val="0"/>
          <w:marRight w:val="0"/>
          <w:marTop w:val="0"/>
          <w:marBottom w:val="0"/>
          <w:divBdr>
            <w:top w:val="none" w:sz="0" w:space="0" w:color="auto"/>
            <w:left w:val="none" w:sz="0" w:space="0" w:color="auto"/>
            <w:bottom w:val="none" w:sz="0" w:space="0" w:color="auto"/>
            <w:right w:val="none" w:sz="0" w:space="0" w:color="auto"/>
          </w:divBdr>
          <w:divsChild>
            <w:div w:id="2024935933">
              <w:marLeft w:val="0"/>
              <w:marRight w:val="0"/>
              <w:marTop w:val="0"/>
              <w:marBottom w:val="0"/>
              <w:divBdr>
                <w:top w:val="none" w:sz="0" w:space="0" w:color="auto"/>
                <w:left w:val="none" w:sz="0" w:space="0" w:color="auto"/>
                <w:bottom w:val="none" w:sz="0" w:space="0" w:color="auto"/>
                <w:right w:val="none" w:sz="0" w:space="0" w:color="auto"/>
              </w:divBdr>
            </w:div>
          </w:divsChild>
        </w:div>
        <w:div w:id="416439038">
          <w:marLeft w:val="0"/>
          <w:marRight w:val="0"/>
          <w:marTop w:val="0"/>
          <w:marBottom w:val="0"/>
          <w:divBdr>
            <w:top w:val="none" w:sz="0" w:space="0" w:color="auto"/>
            <w:left w:val="none" w:sz="0" w:space="0" w:color="auto"/>
            <w:bottom w:val="none" w:sz="0" w:space="0" w:color="auto"/>
            <w:right w:val="none" w:sz="0" w:space="0" w:color="auto"/>
          </w:divBdr>
          <w:divsChild>
            <w:div w:id="336462345">
              <w:marLeft w:val="0"/>
              <w:marRight w:val="0"/>
              <w:marTop w:val="0"/>
              <w:marBottom w:val="0"/>
              <w:divBdr>
                <w:top w:val="none" w:sz="0" w:space="0" w:color="auto"/>
                <w:left w:val="none" w:sz="0" w:space="0" w:color="auto"/>
                <w:bottom w:val="none" w:sz="0" w:space="0" w:color="auto"/>
                <w:right w:val="none" w:sz="0" w:space="0" w:color="auto"/>
              </w:divBdr>
            </w:div>
          </w:divsChild>
        </w:div>
        <w:div w:id="485166324">
          <w:marLeft w:val="0"/>
          <w:marRight w:val="0"/>
          <w:marTop w:val="0"/>
          <w:marBottom w:val="0"/>
          <w:divBdr>
            <w:top w:val="none" w:sz="0" w:space="0" w:color="auto"/>
            <w:left w:val="none" w:sz="0" w:space="0" w:color="auto"/>
            <w:bottom w:val="none" w:sz="0" w:space="0" w:color="auto"/>
            <w:right w:val="none" w:sz="0" w:space="0" w:color="auto"/>
          </w:divBdr>
          <w:divsChild>
            <w:div w:id="1240091395">
              <w:marLeft w:val="0"/>
              <w:marRight w:val="0"/>
              <w:marTop w:val="0"/>
              <w:marBottom w:val="0"/>
              <w:divBdr>
                <w:top w:val="none" w:sz="0" w:space="0" w:color="auto"/>
                <w:left w:val="none" w:sz="0" w:space="0" w:color="auto"/>
                <w:bottom w:val="none" w:sz="0" w:space="0" w:color="auto"/>
                <w:right w:val="none" w:sz="0" w:space="0" w:color="auto"/>
              </w:divBdr>
            </w:div>
            <w:div w:id="1291353408">
              <w:marLeft w:val="0"/>
              <w:marRight w:val="0"/>
              <w:marTop w:val="0"/>
              <w:marBottom w:val="0"/>
              <w:divBdr>
                <w:top w:val="none" w:sz="0" w:space="0" w:color="auto"/>
                <w:left w:val="none" w:sz="0" w:space="0" w:color="auto"/>
                <w:bottom w:val="none" w:sz="0" w:space="0" w:color="auto"/>
                <w:right w:val="none" w:sz="0" w:space="0" w:color="auto"/>
              </w:divBdr>
            </w:div>
          </w:divsChild>
        </w:div>
        <w:div w:id="565603055">
          <w:marLeft w:val="0"/>
          <w:marRight w:val="0"/>
          <w:marTop w:val="0"/>
          <w:marBottom w:val="0"/>
          <w:divBdr>
            <w:top w:val="none" w:sz="0" w:space="0" w:color="auto"/>
            <w:left w:val="none" w:sz="0" w:space="0" w:color="auto"/>
            <w:bottom w:val="none" w:sz="0" w:space="0" w:color="auto"/>
            <w:right w:val="none" w:sz="0" w:space="0" w:color="auto"/>
          </w:divBdr>
          <w:divsChild>
            <w:div w:id="519011521">
              <w:marLeft w:val="0"/>
              <w:marRight w:val="0"/>
              <w:marTop w:val="0"/>
              <w:marBottom w:val="0"/>
              <w:divBdr>
                <w:top w:val="none" w:sz="0" w:space="0" w:color="auto"/>
                <w:left w:val="none" w:sz="0" w:space="0" w:color="auto"/>
                <w:bottom w:val="none" w:sz="0" w:space="0" w:color="auto"/>
                <w:right w:val="none" w:sz="0" w:space="0" w:color="auto"/>
              </w:divBdr>
            </w:div>
          </w:divsChild>
        </w:div>
        <w:div w:id="735321410">
          <w:marLeft w:val="0"/>
          <w:marRight w:val="0"/>
          <w:marTop w:val="0"/>
          <w:marBottom w:val="0"/>
          <w:divBdr>
            <w:top w:val="none" w:sz="0" w:space="0" w:color="auto"/>
            <w:left w:val="none" w:sz="0" w:space="0" w:color="auto"/>
            <w:bottom w:val="none" w:sz="0" w:space="0" w:color="auto"/>
            <w:right w:val="none" w:sz="0" w:space="0" w:color="auto"/>
          </w:divBdr>
          <w:divsChild>
            <w:div w:id="1904414499">
              <w:marLeft w:val="0"/>
              <w:marRight w:val="0"/>
              <w:marTop w:val="0"/>
              <w:marBottom w:val="0"/>
              <w:divBdr>
                <w:top w:val="none" w:sz="0" w:space="0" w:color="auto"/>
                <w:left w:val="none" w:sz="0" w:space="0" w:color="auto"/>
                <w:bottom w:val="none" w:sz="0" w:space="0" w:color="auto"/>
                <w:right w:val="none" w:sz="0" w:space="0" w:color="auto"/>
              </w:divBdr>
            </w:div>
          </w:divsChild>
        </w:div>
        <w:div w:id="778530519">
          <w:marLeft w:val="0"/>
          <w:marRight w:val="0"/>
          <w:marTop w:val="0"/>
          <w:marBottom w:val="0"/>
          <w:divBdr>
            <w:top w:val="none" w:sz="0" w:space="0" w:color="auto"/>
            <w:left w:val="none" w:sz="0" w:space="0" w:color="auto"/>
            <w:bottom w:val="none" w:sz="0" w:space="0" w:color="auto"/>
            <w:right w:val="none" w:sz="0" w:space="0" w:color="auto"/>
          </w:divBdr>
          <w:divsChild>
            <w:div w:id="50806756">
              <w:marLeft w:val="0"/>
              <w:marRight w:val="0"/>
              <w:marTop w:val="0"/>
              <w:marBottom w:val="0"/>
              <w:divBdr>
                <w:top w:val="none" w:sz="0" w:space="0" w:color="auto"/>
                <w:left w:val="none" w:sz="0" w:space="0" w:color="auto"/>
                <w:bottom w:val="none" w:sz="0" w:space="0" w:color="auto"/>
                <w:right w:val="none" w:sz="0" w:space="0" w:color="auto"/>
              </w:divBdr>
            </w:div>
            <w:div w:id="1710253957">
              <w:marLeft w:val="0"/>
              <w:marRight w:val="0"/>
              <w:marTop w:val="0"/>
              <w:marBottom w:val="0"/>
              <w:divBdr>
                <w:top w:val="none" w:sz="0" w:space="0" w:color="auto"/>
                <w:left w:val="none" w:sz="0" w:space="0" w:color="auto"/>
                <w:bottom w:val="none" w:sz="0" w:space="0" w:color="auto"/>
                <w:right w:val="none" w:sz="0" w:space="0" w:color="auto"/>
              </w:divBdr>
            </w:div>
          </w:divsChild>
        </w:div>
        <w:div w:id="850920456">
          <w:marLeft w:val="0"/>
          <w:marRight w:val="0"/>
          <w:marTop w:val="0"/>
          <w:marBottom w:val="0"/>
          <w:divBdr>
            <w:top w:val="none" w:sz="0" w:space="0" w:color="auto"/>
            <w:left w:val="none" w:sz="0" w:space="0" w:color="auto"/>
            <w:bottom w:val="none" w:sz="0" w:space="0" w:color="auto"/>
            <w:right w:val="none" w:sz="0" w:space="0" w:color="auto"/>
          </w:divBdr>
          <w:divsChild>
            <w:div w:id="1787045685">
              <w:marLeft w:val="0"/>
              <w:marRight w:val="0"/>
              <w:marTop w:val="0"/>
              <w:marBottom w:val="0"/>
              <w:divBdr>
                <w:top w:val="none" w:sz="0" w:space="0" w:color="auto"/>
                <w:left w:val="none" w:sz="0" w:space="0" w:color="auto"/>
                <w:bottom w:val="none" w:sz="0" w:space="0" w:color="auto"/>
                <w:right w:val="none" w:sz="0" w:space="0" w:color="auto"/>
              </w:divBdr>
            </w:div>
          </w:divsChild>
        </w:div>
        <w:div w:id="958412833">
          <w:marLeft w:val="0"/>
          <w:marRight w:val="0"/>
          <w:marTop w:val="0"/>
          <w:marBottom w:val="0"/>
          <w:divBdr>
            <w:top w:val="none" w:sz="0" w:space="0" w:color="auto"/>
            <w:left w:val="none" w:sz="0" w:space="0" w:color="auto"/>
            <w:bottom w:val="none" w:sz="0" w:space="0" w:color="auto"/>
            <w:right w:val="none" w:sz="0" w:space="0" w:color="auto"/>
          </w:divBdr>
          <w:divsChild>
            <w:div w:id="615719389">
              <w:marLeft w:val="0"/>
              <w:marRight w:val="0"/>
              <w:marTop w:val="0"/>
              <w:marBottom w:val="0"/>
              <w:divBdr>
                <w:top w:val="none" w:sz="0" w:space="0" w:color="auto"/>
                <w:left w:val="none" w:sz="0" w:space="0" w:color="auto"/>
                <w:bottom w:val="none" w:sz="0" w:space="0" w:color="auto"/>
                <w:right w:val="none" w:sz="0" w:space="0" w:color="auto"/>
              </w:divBdr>
            </w:div>
          </w:divsChild>
        </w:div>
        <w:div w:id="1108282067">
          <w:marLeft w:val="0"/>
          <w:marRight w:val="0"/>
          <w:marTop w:val="0"/>
          <w:marBottom w:val="0"/>
          <w:divBdr>
            <w:top w:val="none" w:sz="0" w:space="0" w:color="auto"/>
            <w:left w:val="none" w:sz="0" w:space="0" w:color="auto"/>
            <w:bottom w:val="none" w:sz="0" w:space="0" w:color="auto"/>
            <w:right w:val="none" w:sz="0" w:space="0" w:color="auto"/>
          </w:divBdr>
          <w:divsChild>
            <w:div w:id="343367618">
              <w:marLeft w:val="0"/>
              <w:marRight w:val="0"/>
              <w:marTop w:val="0"/>
              <w:marBottom w:val="0"/>
              <w:divBdr>
                <w:top w:val="none" w:sz="0" w:space="0" w:color="auto"/>
                <w:left w:val="none" w:sz="0" w:space="0" w:color="auto"/>
                <w:bottom w:val="none" w:sz="0" w:space="0" w:color="auto"/>
                <w:right w:val="none" w:sz="0" w:space="0" w:color="auto"/>
              </w:divBdr>
            </w:div>
          </w:divsChild>
        </w:div>
        <w:div w:id="1258908746">
          <w:marLeft w:val="0"/>
          <w:marRight w:val="0"/>
          <w:marTop w:val="0"/>
          <w:marBottom w:val="0"/>
          <w:divBdr>
            <w:top w:val="none" w:sz="0" w:space="0" w:color="auto"/>
            <w:left w:val="none" w:sz="0" w:space="0" w:color="auto"/>
            <w:bottom w:val="none" w:sz="0" w:space="0" w:color="auto"/>
            <w:right w:val="none" w:sz="0" w:space="0" w:color="auto"/>
          </w:divBdr>
          <w:divsChild>
            <w:div w:id="1508980111">
              <w:marLeft w:val="0"/>
              <w:marRight w:val="0"/>
              <w:marTop w:val="0"/>
              <w:marBottom w:val="0"/>
              <w:divBdr>
                <w:top w:val="none" w:sz="0" w:space="0" w:color="auto"/>
                <w:left w:val="none" w:sz="0" w:space="0" w:color="auto"/>
                <w:bottom w:val="none" w:sz="0" w:space="0" w:color="auto"/>
                <w:right w:val="none" w:sz="0" w:space="0" w:color="auto"/>
              </w:divBdr>
            </w:div>
          </w:divsChild>
        </w:div>
        <w:div w:id="1263106295">
          <w:marLeft w:val="0"/>
          <w:marRight w:val="0"/>
          <w:marTop w:val="0"/>
          <w:marBottom w:val="0"/>
          <w:divBdr>
            <w:top w:val="none" w:sz="0" w:space="0" w:color="auto"/>
            <w:left w:val="none" w:sz="0" w:space="0" w:color="auto"/>
            <w:bottom w:val="none" w:sz="0" w:space="0" w:color="auto"/>
            <w:right w:val="none" w:sz="0" w:space="0" w:color="auto"/>
          </w:divBdr>
          <w:divsChild>
            <w:div w:id="1032994572">
              <w:marLeft w:val="0"/>
              <w:marRight w:val="0"/>
              <w:marTop w:val="0"/>
              <w:marBottom w:val="0"/>
              <w:divBdr>
                <w:top w:val="none" w:sz="0" w:space="0" w:color="auto"/>
                <w:left w:val="none" w:sz="0" w:space="0" w:color="auto"/>
                <w:bottom w:val="none" w:sz="0" w:space="0" w:color="auto"/>
                <w:right w:val="none" w:sz="0" w:space="0" w:color="auto"/>
              </w:divBdr>
            </w:div>
          </w:divsChild>
        </w:div>
        <w:div w:id="1319186941">
          <w:marLeft w:val="0"/>
          <w:marRight w:val="0"/>
          <w:marTop w:val="0"/>
          <w:marBottom w:val="0"/>
          <w:divBdr>
            <w:top w:val="none" w:sz="0" w:space="0" w:color="auto"/>
            <w:left w:val="none" w:sz="0" w:space="0" w:color="auto"/>
            <w:bottom w:val="none" w:sz="0" w:space="0" w:color="auto"/>
            <w:right w:val="none" w:sz="0" w:space="0" w:color="auto"/>
          </w:divBdr>
          <w:divsChild>
            <w:div w:id="1038287193">
              <w:marLeft w:val="0"/>
              <w:marRight w:val="0"/>
              <w:marTop w:val="0"/>
              <w:marBottom w:val="0"/>
              <w:divBdr>
                <w:top w:val="none" w:sz="0" w:space="0" w:color="auto"/>
                <w:left w:val="none" w:sz="0" w:space="0" w:color="auto"/>
                <w:bottom w:val="none" w:sz="0" w:space="0" w:color="auto"/>
                <w:right w:val="none" w:sz="0" w:space="0" w:color="auto"/>
              </w:divBdr>
            </w:div>
            <w:div w:id="1265310550">
              <w:marLeft w:val="0"/>
              <w:marRight w:val="0"/>
              <w:marTop w:val="0"/>
              <w:marBottom w:val="0"/>
              <w:divBdr>
                <w:top w:val="none" w:sz="0" w:space="0" w:color="auto"/>
                <w:left w:val="none" w:sz="0" w:space="0" w:color="auto"/>
                <w:bottom w:val="none" w:sz="0" w:space="0" w:color="auto"/>
                <w:right w:val="none" w:sz="0" w:space="0" w:color="auto"/>
              </w:divBdr>
            </w:div>
          </w:divsChild>
        </w:div>
        <w:div w:id="1344477573">
          <w:marLeft w:val="0"/>
          <w:marRight w:val="0"/>
          <w:marTop w:val="0"/>
          <w:marBottom w:val="0"/>
          <w:divBdr>
            <w:top w:val="none" w:sz="0" w:space="0" w:color="auto"/>
            <w:left w:val="none" w:sz="0" w:space="0" w:color="auto"/>
            <w:bottom w:val="none" w:sz="0" w:space="0" w:color="auto"/>
            <w:right w:val="none" w:sz="0" w:space="0" w:color="auto"/>
          </w:divBdr>
          <w:divsChild>
            <w:div w:id="1677148510">
              <w:marLeft w:val="0"/>
              <w:marRight w:val="0"/>
              <w:marTop w:val="0"/>
              <w:marBottom w:val="0"/>
              <w:divBdr>
                <w:top w:val="none" w:sz="0" w:space="0" w:color="auto"/>
                <w:left w:val="none" w:sz="0" w:space="0" w:color="auto"/>
                <w:bottom w:val="none" w:sz="0" w:space="0" w:color="auto"/>
                <w:right w:val="none" w:sz="0" w:space="0" w:color="auto"/>
              </w:divBdr>
            </w:div>
          </w:divsChild>
        </w:div>
        <w:div w:id="1398170664">
          <w:marLeft w:val="0"/>
          <w:marRight w:val="0"/>
          <w:marTop w:val="0"/>
          <w:marBottom w:val="0"/>
          <w:divBdr>
            <w:top w:val="none" w:sz="0" w:space="0" w:color="auto"/>
            <w:left w:val="none" w:sz="0" w:space="0" w:color="auto"/>
            <w:bottom w:val="none" w:sz="0" w:space="0" w:color="auto"/>
            <w:right w:val="none" w:sz="0" w:space="0" w:color="auto"/>
          </w:divBdr>
          <w:divsChild>
            <w:div w:id="36242648">
              <w:marLeft w:val="0"/>
              <w:marRight w:val="0"/>
              <w:marTop w:val="0"/>
              <w:marBottom w:val="0"/>
              <w:divBdr>
                <w:top w:val="none" w:sz="0" w:space="0" w:color="auto"/>
                <w:left w:val="none" w:sz="0" w:space="0" w:color="auto"/>
                <w:bottom w:val="none" w:sz="0" w:space="0" w:color="auto"/>
                <w:right w:val="none" w:sz="0" w:space="0" w:color="auto"/>
              </w:divBdr>
            </w:div>
          </w:divsChild>
        </w:div>
        <w:div w:id="1499803278">
          <w:marLeft w:val="0"/>
          <w:marRight w:val="0"/>
          <w:marTop w:val="0"/>
          <w:marBottom w:val="0"/>
          <w:divBdr>
            <w:top w:val="none" w:sz="0" w:space="0" w:color="auto"/>
            <w:left w:val="none" w:sz="0" w:space="0" w:color="auto"/>
            <w:bottom w:val="none" w:sz="0" w:space="0" w:color="auto"/>
            <w:right w:val="none" w:sz="0" w:space="0" w:color="auto"/>
          </w:divBdr>
          <w:divsChild>
            <w:div w:id="666637149">
              <w:marLeft w:val="0"/>
              <w:marRight w:val="0"/>
              <w:marTop w:val="0"/>
              <w:marBottom w:val="0"/>
              <w:divBdr>
                <w:top w:val="none" w:sz="0" w:space="0" w:color="auto"/>
                <w:left w:val="none" w:sz="0" w:space="0" w:color="auto"/>
                <w:bottom w:val="none" w:sz="0" w:space="0" w:color="auto"/>
                <w:right w:val="none" w:sz="0" w:space="0" w:color="auto"/>
              </w:divBdr>
            </w:div>
          </w:divsChild>
        </w:div>
        <w:div w:id="1536229876">
          <w:marLeft w:val="0"/>
          <w:marRight w:val="0"/>
          <w:marTop w:val="0"/>
          <w:marBottom w:val="0"/>
          <w:divBdr>
            <w:top w:val="none" w:sz="0" w:space="0" w:color="auto"/>
            <w:left w:val="none" w:sz="0" w:space="0" w:color="auto"/>
            <w:bottom w:val="none" w:sz="0" w:space="0" w:color="auto"/>
            <w:right w:val="none" w:sz="0" w:space="0" w:color="auto"/>
          </w:divBdr>
          <w:divsChild>
            <w:div w:id="36130971">
              <w:marLeft w:val="0"/>
              <w:marRight w:val="0"/>
              <w:marTop w:val="0"/>
              <w:marBottom w:val="0"/>
              <w:divBdr>
                <w:top w:val="none" w:sz="0" w:space="0" w:color="auto"/>
                <w:left w:val="none" w:sz="0" w:space="0" w:color="auto"/>
                <w:bottom w:val="none" w:sz="0" w:space="0" w:color="auto"/>
                <w:right w:val="none" w:sz="0" w:space="0" w:color="auto"/>
              </w:divBdr>
            </w:div>
            <w:div w:id="62988677">
              <w:marLeft w:val="0"/>
              <w:marRight w:val="0"/>
              <w:marTop w:val="0"/>
              <w:marBottom w:val="0"/>
              <w:divBdr>
                <w:top w:val="none" w:sz="0" w:space="0" w:color="auto"/>
                <w:left w:val="none" w:sz="0" w:space="0" w:color="auto"/>
                <w:bottom w:val="none" w:sz="0" w:space="0" w:color="auto"/>
                <w:right w:val="none" w:sz="0" w:space="0" w:color="auto"/>
              </w:divBdr>
            </w:div>
          </w:divsChild>
        </w:div>
        <w:div w:id="1672832908">
          <w:marLeft w:val="0"/>
          <w:marRight w:val="0"/>
          <w:marTop w:val="0"/>
          <w:marBottom w:val="0"/>
          <w:divBdr>
            <w:top w:val="none" w:sz="0" w:space="0" w:color="auto"/>
            <w:left w:val="none" w:sz="0" w:space="0" w:color="auto"/>
            <w:bottom w:val="none" w:sz="0" w:space="0" w:color="auto"/>
            <w:right w:val="none" w:sz="0" w:space="0" w:color="auto"/>
          </w:divBdr>
          <w:divsChild>
            <w:div w:id="154996826">
              <w:marLeft w:val="0"/>
              <w:marRight w:val="0"/>
              <w:marTop w:val="0"/>
              <w:marBottom w:val="0"/>
              <w:divBdr>
                <w:top w:val="none" w:sz="0" w:space="0" w:color="auto"/>
                <w:left w:val="none" w:sz="0" w:space="0" w:color="auto"/>
                <w:bottom w:val="none" w:sz="0" w:space="0" w:color="auto"/>
                <w:right w:val="none" w:sz="0" w:space="0" w:color="auto"/>
              </w:divBdr>
            </w:div>
          </w:divsChild>
        </w:div>
        <w:div w:id="2034304208">
          <w:marLeft w:val="0"/>
          <w:marRight w:val="0"/>
          <w:marTop w:val="0"/>
          <w:marBottom w:val="0"/>
          <w:divBdr>
            <w:top w:val="none" w:sz="0" w:space="0" w:color="auto"/>
            <w:left w:val="none" w:sz="0" w:space="0" w:color="auto"/>
            <w:bottom w:val="none" w:sz="0" w:space="0" w:color="auto"/>
            <w:right w:val="none" w:sz="0" w:space="0" w:color="auto"/>
          </w:divBdr>
          <w:divsChild>
            <w:div w:id="149988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5891">
      <w:bodyDiv w:val="1"/>
      <w:marLeft w:val="0"/>
      <w:marRight w:val="0"/>
      <w:marTop w:val="0"/>
      <w:marBottom w:val="0"/>
      <w:divBdr>
        <w:top w:val="none" w:sz="0" w:space="0" w:color="auto"/>
        <w:left w:val="none" w:sz="0" w:space="0" w:color="auto"/>
        <w:bottom w:val="none" w:sz="0" w:space="0" w:color="auto"/>
        <w:right w:val="none" w:sz="0" w:space="0" w:color="auto"/>
      </w:divBdr>
    </w:div>
    <w:div w:id="1261793785">
      <w:bodyDiv w:val="1"/>
      <w:marLeft w:val="0"/>
      <w:marRight w:val="0"/>
      <w:marTop w:val="0"/>
      <w:marBottom w:val="0"/>
      <w:divBdr>
        <w:top w:val="none" w:sz="0" w:space="0" w:color="auto"/>
        <w:left w:val="none" w:sz="0" w:space="0" w:color="auto"/>
        <w:bottom w:val="none" w:sz="0" w:space="0" w:color="auto"/>
        <w:right w:val="none" w:sz="0" w:space="0" w:color="auto"/>
      </w:divBdr>
    </w:div>
    <w:div w:id="1286618629">
      <w:bodyDiv w:val="1"/>
      <w:marLeft w:val="0"/>
      <w:marRight w:val="0"/>
      <w:marTop w:val="0"/>
      <w:marBottom w:val="0"/>
      <w:divBdr>
        <w:top w:val="none" w:sz="0" w:space="0" w:color="auto"/>
        <w:left w:val="none" w:sz="0" w:space="0" w:color="auto"/>
        <w:bottom w:val="none" w:sz="0" w:space="0" w:color="auto"/>
        <w:right w:val="none" w:sz="0" w:space="0" w:color="auto"/>
      </w:divBdr>
      <w:divsChild>
        <w:div w:id="2559328">
          <w:marLeft w:val="0"/>
          <w:marRight w:val="0"/>
          <w:marTop w:val="0"/>
          <w:marBottom w:val="0"/>
          <w:divBdr>
            <w:top w:val="none" w:sz="0" w:space="0" w:color="auto"/>
            <w:left w:val="none" w:sz="0" w:space="0" w:color="auto"/>
            <w:bottom w:val="none" w:sz="0" w:space="0" w:color="auto"/>
            <w:right w:val="none" w:sz="0" w:space="0" w:color="auto"/>
          </w:divBdr>
          <w:divsChild>
            <w:div w:id="18163459">
              <w:marLeft w:val="0"/>
              <w:marRight w:val="0"/>
              <w:marTop w:val="0"/>
              <w:marBottom w:val="0"/>
              <w:divBdr>
                <w:top w:val="none" w:sz="0" w:space="0" w:color="auto"/>
                <w:left w:val="none" w:sz="0" w:space="0" w:color="auto"/>
                <w:bottom w:val="none" w:sz="0" w:space="0" w:color="auto"/>
                <w:right w:val="none" w:sz="0" w:space="0" w:color="auto"/>
              </w:divBdr>
            </w:div>
            <w:div w:id="66878661">
              <w:marLeft w:val="0"/>
              <w:marRight w:val="0"/>
              <w:marTop w:val="0"/>
              <w:marBottom w:val="0"/>
              <w:divBdr>
                <w:top w:val="none" w:sz="0" w:space="0" w:color="auto"/>
                <w:left w:val="none" w:sz="0" w:space="0" w:color="auto"/>
                <w:bottom w:val="none" w:sz="0" w:space="0" w:color="auto"/>
                <w:right w:val="none" w:sz="0" w:space="0" w:color="auto"/>
              </w:divBdr>
            </w:div>
            <w:div w:id="174615787">
              <w:marLeft w:val="0"/>
              <w:marRight w:val="0"/>
              <w:marTop w:val="0"/>
              <w:marBottom w:val="0"/>
              <w:divBdr>
                <w:top w:val="none" w:sz="0" w:space="0" w:color="auto"/>
                <w:left w:val="none" w:sz="0" w:space="0" w:color="auto"/>
                <w:bottom w:val="none" w:sz="0" w:space="0" w:color="auto"/>
                <w:right w:val="none" w:sz="0" w:space="0" w:color="auto"/>
              </w:divBdr>
            </w:div>
            <w:div w:id="400719046">
              <w:marLeft w:val="0"/>
              <w:marRight w:val="0"/>
              <w:marTop w:val="0"/>
              <w:marBottom w:val="0"/>
              <w:divBdr>
                <w:top w:val="none" w:sz="0" w:space="0" w:color="auto"/>
                <w:left w:val="none" w:sz="0" w:space="0" w:color="auto"/>
                <w:bottom w:val="none" w:sz="0" w:space="0" w:color="auto"/>
                <w:right w:val="none" w:sz="0" w:space="0" w:color="auto"/>
              </w:divBdr>
            </w:div>
            <w:div w:id="487132067">
              <w:marLeft w:val="0"/>
              <w:marRight w:val="0"/>
              <w:marTop w:val="0"/>
              <w:marBottom w:val="0"/>
              <w:divBdr>
                <w:top w:val="none" w:sz="0" w:space="0" w:color="auto"/>
                <w:left w:val="none" w:sz="0" w:space="0" w:color="auto"/>
                <w:bottom w:val="none" w:sz="0" w:space="0" w:color="auto"/>
                <w:right w:val="none" w:sz="0" w:space="0" w:color="auto"/>
              </w:divBdr>
            </w:div>
            <w:div w:id="584849407">
              <w:marLeft w:val="0"/>
              <w:marRight w:val="0"/>
              <w:marTop w:val="0"/>
              <w:marBottom w:val="0"/>
              <w:divBdr>
                <w:top w:val="none" w:sz="0" w:space="0" w:color="auto"/>
                <w:left w:val="none" w:sz="0" w:space="0" w:color="auto"/>
                <w:bottom w:val="none" w:sz="0" w:space="0" w:color="auto"/>
                <w:right w:val="none" w:sz="0" w:space="0" w:color="auto"/>
              </w:divBdr>
            </w:div>
            <w:div w:id="628365750">
              <w:marLeft w:val="0"/>
              <w:marRight w:val="0"/>
              <w:marTop w:val="0"/>
              <w:marBottom w:val="0"/>
              <w:divBdr>
                <w:top w:val="none" w:sz="0" w:space="0" w:color="auto"/>
                <w:left w:val="none" w:sz="0" w:space="0" w:color="auto"/>
                <w:bottom w:val="none" w:sz="0" w:space="0" w:color="auto"/>
                <w:right w:val="none" w:sz="0" w:space="0" w:color="auto"/>
              </w:divBdr>
            </w:div>
            <w:div w:id="761487760">
              <w:marLeft w:val="0"/>
              <w:marRight w:val="0"/>
              <w:marTop w:val="0"/>
              <w:marBottom w:val="0"/>
              <w:divBdr>
                <w:top w:val="none" w:sz="0" w:space="0" w:color="auto"/>
                <w:left w:val="none" w:sz="0" w:space="0" w:color="auto"/>
                <w:bottom w:val="none" w:sz="0" w:space="0" w:color="auto"/>
                <w:right w:val="none" w:sz="0" w:space="0" w:color="auto"/>
              </w:divBdr>
            </w:div>
            <w:div w:id="762605992">
              <w:marLeft w:val="0"/>
              <w:marRight w:val="0"/>
              <w:marTop w:val="0"/>
              <w:marBottom w:val="0"/>
              <w:divBdr>
                <w:top w:val="none" w:sz="0" w:space="0" w:color="auto"/>
                <w:left w:val="none" w:sz="0" w:space="0" w:color="auto"/>
                <w:bottom w:val="none" w:sz="0" w:space="0" w:color="auto"/>
                <w:right w:val="none" w:sz="0" w:space="0" w:color="auto"/>
              </w:divBdr>
            </w:div>
            <w:div w:id="804205348">
              <w:marLeft w:val="0"/>
              <w:marRight w:val="0"/>
              <w:marTop w:val="0"/>
              <w:marBottom w:val="0"/>
              <w:divBdr>
                <w:top w:val="none" w:sz="0" w:space="0" w:color="auto"/>
                <w:left w:val="none" w:sz="0" w:space="0" w:color="auto"/>
                <w:bottom w:val="none" w:sz="0" w:space="0" w:color="auto"/>
                <w:right w:val="none" w:sz="0" w:space="0" w:color="auto"/>
              </w:divBdr>
            </w:div>
            <w:div w:id="902104275">
              <w:marLeft w:val="0"/>
              <w:marRight w:val="0"/>
              <w:marTop w:val="0"/>
              <w:marBottom w:val="0"/>
              <w:divBdr>
                <w:top w:val="none" w:sz="0" w:space="0" w:color="auto"/>
                <w:left w:val="none" w:sz="0" w:space="0" w:color="auto"/>
                <w:bottom w:val="none" w:sz="0" w:space="0" w:color="auto"/>
                <w:right w:val="none" w:sz="0" w:space="0" w:color="auto"/>
              </w:divBdr>
            </w:div>
            <w:div w:id="1054354916">
              <w:marLeft w:val="0"/>
              <w:marRight w:val="0"/>
              <w:marTop w:val="0"/>
              <w:marBottom w:val="0"/>
              <w:divBdr>
                <w:top w:val="none" w:sz="0" w:space="0" w:color="auto"/>
                <w:left w:val="none" w:sz="0" w:space="0" w:color="auto"/>
                <w:bottom w:val="none" w:sz="0" w:space="0" w:color="auto"/>
                <w:right w:val="none" w:sz="0" w:space="0" w:color="auto"/>
              </w:divBdr>
            </w:div>
            <w:div w:id="1071123998">
              <w:marLeft w:val="0"/>
              <w:marRight w:val="0"/>
              <w:marTop w:val="0"/>
              <w:marBottom w:val="0"/>
              <w:divBdr>
                <w:top w:val="none" w:sz="0" w:space="0" w:color="auto"/>
                <w:left w:val="none" w:sz="0" w:space="0" w:color="auto"/>
                <w:bottom w:val="none" w:sz="0" w:space="0" w:color="auto"/>
                <w:right w:val="none" w:sz="0" w:space="0" w:color="auto"/>
              </w:divBdr>
            </w:div>
            <w:div w:id="1129125256">
              <w:marLeft w:val="0"/>
              <w:marRight w:val="0"/>
              <w:marTop w:val="0"/>
              <w:marBottom w:val="0"/>
              <w:divBdr>
                <w:top w:val="none" w:sz="0" w:space="0" w:color="auto"/>
                <w:left w:val="none" w:sz="0" w:space="0" w:color="auto"/>
                <w:bottom w:val="none" w:sz="0" w:space="0" w:color="auto"/>
                <w:right w:val="none" w:sz="0" w:space="0" w:color="auto"/>
              </w:divBdr>
            </w:div>
            <w:div w:id="1291470504">
              <w:marLeft w:val="0"/>
              <w:marRight w:val="0"/>
              <w:marTop w:val="0"/>
              <w:marBottom w:val="0"/>
              <w:divBdr>
                <w:top w:val="none" w:sz="0" w:space="0" w:color="auto"/>
                <w:left w:val="none" w:sz="0" w:space="0" w:color="auto"/>
                <w:bottom w:val="none" w:sz="0" w:space="0" w:color="auto"/>
                <w:right w:val="none" w:sz="0" w:space="0" w:color="auto"/>
              </w:divBdr>
            </w:div>
            <w:div w:id="1347094079">
              <w:marLeft w:val="0"/>
              <w:marRight w:val="0"/>
              <w:marTop w:val="0"/>
              <w:marBottom w:val="0"/>
              <w:divBdr>
                <w:top w:val="none" w:sz="0" w:space="0" w:color="auto"/>
                <w:left w:val="none" w:sz="0" w:space="0" w:color="auto"/>
                <w:bottom w:val="none" w:sz="0" w:space="0" w:color="auto"/>
                <w:right w:val="none" w:sz="0" w:space="0" w:color="auto"/>
              </w:divBdr>
            </w:div>
            <w:div w:id="1399788273">
              <w:marLeft w:val="0"/>
              <w:marRight w:val="0"/>
              <w:marTop w:val="0"/>
              <w:marBottom w:val="0"/>
              <w:divBdr>
                <w:top w:val="none" w:sz="0" w:space="0" w:color="auto"/>
                <w:left w:val="none" w:sz="0" w:space="0" w:color="auto"/>
                <w:bottom w:val="none" w:sz="0" w:space="0" w:color="auto"/>
                <w:right w:val="none" w:sz="0" w:space="0" w:color="auto"/>
              </w:divBdr>
            </w:div>
            <w:div w:id="1489445908">
              <w:marLeft w:val="0"/>
              <w:marRight w:val="0"/>
              <w:marTop w:val="0"/>
              <w:marBottom w:val="0"/>
              <w:divBdr>
                <w:top w:val="none" w:sz="0" w:space="0" w:color="auto"/>
                <w:left w:val="none" w:sz="0" w:space="0" w:color="auto"/>
                <w:bottom w:val="none" w:sz="0" w:space="0" w:color="auto"/>
                <w:right w:val="none" w:sz="0" w:space="0" w:color="auto"/>
              </w:divBdr>
            </w:div>
            <w:div w:id="1752392426">
              <w:marLeft w:val="0"/>
              <w:marRight w:val="0"/>
              <w:marTop w:val="0"/>
              <w:marBottom w:val="0"/>
              <w:divBdr>
                <w:top w:val="none" w:sz="0" w:space="0" w:color="auto"/>
                <w:left w:val="none" w:sz="0" w:space="0" w:color="auto"/>
                <w:bottom w:val="none" w:sz="0" w:space="0" w:color="auto"/>
                <w:right w:val="none" w:sz="0" w:space="0" w:color="auto"/>
              </w:divBdr>
            </w:div>
            <w:div w:id="1894148799">
              <w:marLeft w:val="0"/>
              <w:marRight w:val="0"/>
              <w:marTop w:val="0"/>
              <w:marBottom w:val="0"/>
              <w:divBdr>
                <w:top w:val="none" w:sz="0" w:space="0" w:color="auto"/>
                <w:left w:val="none" w:sz="0" w:space="0" w:color="auto"/>
                <w:bottom w:val="none" w:sz="0" w:space="0" w:color="auto"/>
                <w:right w:val="none" w:sz="0" w:space="0" w:color="auto"/>
              </w:divBdr>
            </w:div>
          </w:divsChild>
        </w:div>
        <w:div w:id="9532593">
          <w:marLeft w:val="0"/>
          <w:marRight w:val="0"/>
          <w:marTop w:val="0"/>
          <w:marBottom w:val="0"/>
          <w:divBdr>
            <w:top w:val="none" w:sz="0" w:space="0" w:color="auto"/>
            <w:left w:val="none" w:sz="0" w:space="0" w:color="auto"/>
            <w:bottom w:val="none" w:sz="0" w:space="0" w:color="auto"/>
            <w:right w:val="none" w:sz="0" w:space="0" w:color="auto"/>
          </w:divBdr>
          <w:divsChild>
            <w:div w:id="83499883">
              <w:marLeft w:val="0"/>
              <w:marRight w:val="0"/>
              <w:marTop w:val="0"/>
              <w:marBottom w:val="0"/>
              <w:divBdr>
                <w:top w:val="none" w:sz="0" w:space="0" w:color="auto"/>
                <w:left w:val="none" w:sz="0" w:space="0" w:color="auto"/>
                <w:bottom w:val="none" w:sz="0" w:space="0" w:color="auto"/>
                <w:right w:val="none" w:sz="0" w:space="0" w:color="auto"/>
              </w:divBdr>
            </w:div>
            <w:div w:id="111749096">
              <w:marLeft w:val="0"/>
              <w:marRight w:val="0"/>
              <w:marTop w:val="0"/>
              <w:marBottom w:val="0"/>
              <w:divBdr>
                <w:top w:val="none" w:sz="0" w:space="0" w:color="auto"/>
                <w:left w:val="none" w:sz="0" w:space="0" w:color="auto"/>
                <w:bottom w:val="none" w:sz="0" w:space="0" w:color="auto"/>
                <w:right w:val="none" w:sz="0" w:space="0" w:color="auto"/>
              </w:divBdr>
            </w:div>
            <w:div w:id="135610081">
              <w:marLeft w:val="0"/>
              <w:marRight w:val="0"/>
              <w:marTop w:val="0"/>
              <w:marBottom w:val="0"/>
              <w:divBdr>
                <w:top w:val="none" w:sz="0" w:space="0" w:color="auto"/>
                <w:left w:val="none" w:sz="0" w:space="0" w:color="auto"/>
                <w:bottom w:val="none" w:sz="0" w:space="0" w:color="auto"/>
                <w:right w:val="none" w:sz="0" w:space="0" w:color="auto"/>
              </w:divBdr>
            </w:div>
            <w:div w:id="280772737">
              <w:marLeft w:val="0"/>
              <w:marRight w:val="0"/>
              <w:marTop w:val="0"/>
              <w:marBottom w:val="0"/>
              <w:divBdr>
                <w:top w:val="none" w:sz="0" w:space="0" w:color="auto"/>
                <w:left w:val="none" w:sz="0" w:space="0" w:color="auto"/>
                <w:bottom w:val="none" w:sz="0" w:space="0" w:color="auto"/>
                <w:right w:val="none" w:sz="0" w:space="0" w:color="auto"/>
              </w:divBdr>
            </w:div>
            <w:div w:id="372467327">
              <w:marLeft w:val="0"/>
              <w:marRight w:val="0"/>
              <w:marTop w:val="0"/>
              <w:marBottom w:val="0"/>
              <w:divBdr>
                <w:top w:val="none" w:sz="0" w:space="0" w:color="auto"/>
                <w:left w:val="none" w:sz="0" w:space="0" w:color="auto"/>
                <w:bottom w:val="none" w:sz="0" w:space="0" w:color="auto"/>
                <w:right w:val="none" w:sz="0" w:space="0" w:color="auto"/>
              </w:divBdr>
            </w:div>
            <w:div w:id="501894606">
              <w:marLeft w:val="0"/>
              <w:marRight w:val="0"/>
              <w:marTop w:val="0"/>
              <w:marBottom w:val="0"/>
              <w:divBdr>
                <w:top w:val="none" w:sz="0" w:space="0" w:color="auto"/>
                <w:left w:val="none" w:sz="0" w:space="0" w:color="auto"/>
                <w:bottom w:val="none" w:sz="0" w:space="0" w:color="auto"/>
                <w:right w:val="none" w:sz="0" w:space="0" w:color="auto"/>
              </w:divBdr>
            </w:div>
            <w:div w:id="680813490">
              <w:marLeft w:val="0"/>
              <w:marRight w:val="0"/>
              <w:marTop w:val="0"/>
              <w:marBottom w:val="0"/>
              <w:divBdr>
                <w:top w:val="none" w:sz="0" w:space="0" w:color="auto"/>
                <w:left w:val="none" w:sz="0" w:space="0" w:color="auto"/>
                <w:bottom w:val="none" w:sz="0" w:space="0" w:color="auto"/>
                <w:right w:val="none" w:sz="0" w:space="0" w:color="auto"/>
              </w:divBdr>
            </w:div>
            <w:div w:id="698622728">
              <w:marLeft w:val="0"/>
              <w:marRight w:val="0"/>
              <w:marTop w:val="0"/>
              <w:marBottom w:val="0"/>
              <w:divBdr>
                <w:top w:val="none" w:sz="0" w:space="0" w:color="auto"/>
                <w:left w:val="none" w:sz="0" w:space="0" w:color="auto"/>
                <w:bottom w:val="none" w:sz="0" w:space="0" w:color="auto"/>
                <w:right w:val="none" w:sz="0" w:space="0" w:color="auto"/>
              </w:divBdr>
            </w:div>
            <w:div w:id="920330547">
              <w:marLeft w:val="0"/>
              <w:marRight w:val="0"/>
              <w:marTop w:val="0"/>
              <w:marBottom w:val="0"/>
              <w:divBdr>
                <w:top w:val="none" w:sz="0" w:space="0" w:color="auto"/>
                <w:left w:val="none" w:sz="0" w:space="0" w:color="auto"/>
                <w:bottom w:val="none" w:sz="0" w:space="0" w:color="auto"/>
                <w:right w:val="none" w:sz="0" w:space="0" w:color="auto"/>
              </w:divBdr>
            </w:div>
            <w:div w:id="1015152843">
              <w:marLeft w:val="0"/>
              <w:marRight w:val="0"/>
              <w:marTop w:val="0"/>
              <w:marBottom w:val="0"/>
              <w:divBdr>
                <w:top w:val="none" w:sz="0" w:space="0" w:color="auto"/>
                <w:left w:val="none" w:sz="0" w:space="0" w:color="auto"/>
                <w:bottom w:val="none" w:sz="0" w:space="0" w:color="auto"/>
                <w:right w:val="none" w:sz="0" w:space="0" w:color="auto"/>
              </w:divBdr>
            </w:div>
            <w:div w:id="1018122899">
              <w:marLeft w:val="0"/>
              <w:marRight w:val="0"/>
              <w:marTop w:val="0"/>
              <w:marBottom w:val="0"/>
              <w:divBdr>
                <w:top w:val="none" w:sz="0" w:space="0" w:color="auto"/>
                <w:left w:val="none" w:sz="0" w:space="0" w:color="auto"/>
                <w:bottom w:val="none" w:sz="0" w:space="0" w:color="auto"/>
                <w:right w:val="none" w:sz="0" w:space="0" w:color="auto"/>
              </w:divBdr>
            </w:div>
            <w:div w:id="1391803010">
              <w:marLeft w:val="0"/>
              <w:marRight w:val="0"/>
              <w:marTop w:val="0"/>
              <w:marBottom w:val="0"/>
              <w:divBdr>
                <w:top w:val="none" w:sz="0" w:space="0" w:color="auto"/>
                <w:left w:val="none" w:sz="0" w:space="0" w:color="auto"/>
                <w:bottom w:val="none" w:sz="0" w:space="0" w:color="auto"/>
                <w:right w:val="none" w:sz="0" w:space="0" w:color="auto"/>
              </w:divBdr>
            </w:div>
            <w:div w:id="1740397011">
              <w:marLeft w:val="0"/>
              <w:marRight w:val="0"/>
              <w:marTop w:val="0"/>
              <w:marBottom w:val="0"/>
              <w:divBdr>
                <w:top w:val="none" w:sz="0" w:space="0" w:color="auto"/>
                <w:left w:val="none" w:sz="0" w:space="0" w:color="auto"/>
                <w:bottom w:val="none" w:sz="0" w:space="0" w:color="auto"/>
                <w:right w:val="none" w:sz="0" w:space="0" w:color="auto"/>
              </w:divBdr>
            </w:div>
            <w:div w:id="1865708774">
              <w:marLeft w:val="0"/>
              <w:marRight w:val="0"/>
              <w:marTop w:val="0"/>
              <w:marBottom w:val="0"/>
              <w:divBdr>
                <w:top w:val="none" w:sz="0" w:space="0" w:color="auto"/>
                <w:left w:val="none" w:sz="0" w:space="0" w:color="auto"/>
                <w:bottom w:val="none" w:sz="0" w:space="0" w:color="auto"/>
                <w:right w:val="none" w:sz="0" w:space="0" w:color="auto"/>
              </w:divBdr>
            </w:div>
            <w:div w:id="1926458157">
              <w:marLeft w:val="0"/>
              <w:marRight w:val="0"/>
              <w:marTop w:val="0"/>
              <w:marBottom w:val="0"/>
              <w:divBdr>
                <w:top w:val="none" w:sz="0" w:space="0" w:color="auto"/>
                <w:left w:val="none" w:sz="0" w:space="0" w:color="auto"/>
                <w:bottom w:val="none" w:sz="0" w:space="0" w:color="auto"/>
                <w:right w:val="none" w:sz="0" w:space="0" w:color="auto"/>
              </w:divBdr>
            </w:div>
            <w:div w:id="1946963407">
              <w:marLeft w:val="0"/>
              <w:marRight w:val="0"/>
              <w:marTop w:val="0"/>
              <w:marBottom w:val="0"/>
              <w:divBdr>
                <w:top w:val="none" w:sz="0" w:space="0" w:color="auto"/>
                <w:left w:val="none" w:sz="0" w:space="0" w:color="auto"/>
                <w:bottom w:val="none" w:sz="0" w:space="0" w:color="auto"/>
                <w:right w:val="none" w:sz="0" w:space="0" w:color="auto"/>
              </w:divBdr>
            </w:div>
            <w:div w:id="1986012557">
              <w:marLeft w:val="0"/>
              <w:marRight w:val="0"/>
              <w:marTop w:val="0"/>
              <w:marBottom w:val="0"/>
              <w:divBdr>
                <w:top w:val="none" w:sz="0" w:space="0" w:color="auto"/>
                <w:left w:val="none" w:sz="0" w:space="0" w:color="auto"/>
                <w:bottom w:val="none" w:sz="0" w:space="0" w:color="auto"/>
                <w:right w:val="none" w:sz="0" w:space="0" w:color="auto"/>
              </w:divBdr>
            </w:div>
            <w:div w:id="2060208577">
              <w:marLeft w:val="0"/>
              <w:marRight w:val="0"/>
              <w:marTop w:val="0"/>
              <w:marBottom w:val="0"/>
              <w:divBdr>
                <w:top w:val="none" w:sz="0" w:space="0" w:color="auto"/>
                <w:left w:val="none" w:sz="0" w:space="0" w:color="auto"/>
                <w:bottom w:val="none" w:sz="0" w:space="0" w:color="auto"/>
                <w:right w:val="none" w:sz="0" w:space="0" w:color="auto"/>
              </w:divBdr>
            </w:div>
            <w:div w:id="2084721893">
              <w:marLeft w:val="0"/>
              <w:marRight w:val="0"/>
              <w:marTop w:val="0"/>
              <w:marBottom w:val="0"/>
              <w:divBdr>
                <w:top w:val="none" w:sz="0" w:space="0" w:color="auto"/>
                <w:left w:val="none" w:sz="0" w:space="0" w:color="auto"/>
                <w:bottom w:val="none" w:sz="0" w:space="0" w:color="auto"/>
                <w:right w:val="none" w:sz="0" w:space="0" w:color="auto"/>
              </w:divBdr>
            </w:div>
          </w:divsChild>
        </w:div>
        <w:div w:id="169679922">
          <w:marLeft w:val="0"/>
          <w:marRight w:val="0"/>
          <w:marTop w:val="0"/>
          <w:marBottom w:val="0"/>
          <w:divBdr>
            <w:top w:val="none" w:sz="0" w:space="0" w:color="auto"/>
            <w:left w:val="none" w:sz="0" w:space="0" w:color="auto"/>
            <w:bottom w:val="none" w:sz="0" w:space="0" w:color="auto"/>
            <w:right w:val="none" w:sz="0" w:space="0" w:color="auto"/>
          </w:divBdr>
        </w:div>
        <w:div w:id="907301050">
          <w:marLeft w:val="0"/>
          <w:marRight w:val="0"/>
          <w:marTop w:val="0"/>
          <w:marBottom w:val="0"/>
          <w:divBdr>
            <w:top w:val="none" w:sz="0" w:space="0" w:color="auto"/>
            <w:left w:val="none" w:sz="0" w:space="0" w:color="auto"/>
            <w:bottom w:val="none" w:sz="0" w:space="0" w:color="auto"/>
            <w:right w:val="none" w:sz="0" w:space="0" w:color="auto"/>
          </w:divBdr>
        </w:div>
      </w:divsChild>
    </w:div>
    <w:div w:id="1288468441">
      <w:bodyDiv w:val="1"/>
      <w:marLeft w:val="0"/>
      <w:marRight w:val="0"/>
      <w:marTop w:val="0"/>
      <w:marBottom w:val="0"/>
      <w:divBdr>
        <w:top w:val="none" w:sz="0" w:space="0" w:color="auto"/>
        <w:left w:val="none" w:sz="0" w:space="0" w:color="auto"/>
        <w:bottom w:val="none" w:sz="0" w:space="0" w:color="auto"/>
        <w:right w:val="none" w:sz="0" w:space="0" w:color="auto"/>
      </w:divBdr>
    </w:div>
    <w:div w:id="1336688329">
      <w:bodyDiv w:val="1"/>
      <w:marLeft w:val="0"/>
      <w:marRight w:val="0"/>
      <w:marTop w:val="0"/>
      <w:marBottom w:val="0"/>
      <w:divBdr>
        <w:top w:val="none" w:sz="0" w:space="0" w:color="auto"/>
        <w:left w:val="none" w:sz="0" w:space="0" w:color="auto"/>
        <w:bottom w:val="none" w:sz="0" w:space="0" w:color="auto"/>
        <w:right w:val="none" w:sz="0" w:space="0" w:color="auto"/>
      </w:divBdr>
    </w:div>
    <w:div w:id="1412658497">
      <w:bodyDiv w:val="1"/>
      <w:marLeft w:val="0"/>
      <w:marRight w:val="0"/>
      <w:marTop w:val="0"/>
      <w:marBottom w:val="0"/>
      <w:divBdr>
        <w:top w:val="none" w:sz="0" w:space="0" w:color="auto"/>
        <w:left w:val="none" w:sz="0" w:space="0" w:color="auto"/>
        <w:bottom w:val="none" w:sz="0" w:space="0" w:color="auto"/>
        <w:right w:val="none" w:sz="0" w:space="0" w:color="auto"/>
      </w:divBdr>
      <w:divsChild>
        <w:div w:id="357006157">
          <w:marLeft w:val="0"/>
          <w:marRight w:val="0"/>
          <w:marTop w:val="0"/>
          <w:marBottom w:val="0"/>
          <w:divBdr>
            <w:top w:val="none" w:sz="0" w:space="0" w:color="auto"/>
            <w:left w:val="none" w:sz="0" w:space="0" w:color="auto"/>
            <w:bottom w:val="none" w:sz="0" w:space="0" w:color="auto"/>
            <w:right w:val="none" w:sz="0" w:space="0" w:color="auto"/>
          </w:divBdr>
        </w:div>
        <w:div w:id="1389643680">
          <w:marLeft w:val="0"/>
          <w:marRight w:val="0"/>
          <w:marTop w:val="0"/>
          <w:marBottom w:val="0"/>
          <w:divBdr>
            <w:top w:val="none" w:sz="0" w:space="0" w:color="auto"/>
            <w:left w:val="none" w:sz="0" w:space="0" w:color="auto"/>
            <w:bottom w:val="none" w:sz="0" w:space="0" w:color="auto"/>
            <w:right w:val="none" w:sz="0" w:space="0" w:color="auto"/>
          </w:divBdr>
        </w:div>
      </w:divsChild>
    </w:div>
    <w:div w:id="1489831513">
      <w:bodyDiv w:val="1"/>
      <w:marLeft w:val="0"/>
      <w:marRight w:val="0"/>
      <w:marTop w:val="0"/>
      <w:marBottom w:val="0"/>
      <w:divBdr>
        <w:top w:val="none" w:sz="0" w:space="0" w:color="auto"/>
        <w:left w:val="none" w:sz="0" w:space="0" w:color="auto"/>
        <w:bottom w:val="none" w:sz="0" w:space="0" w:color="auto"/>
        <w:right w:val="none" w:sz="0" w:space="0" w:color="auto"/>
      </w:divBdr>
    </w:div>
    <w:div w:id="1492210777">
      <w:bodyDiv w:val="1"/>
      <w:marLeft w:val="0"/>
      <w:marRight w:val="0"/>
      <w:marTop w:val="0"/>
      <w:marBottom w:val="0"/>
      <w:divBdr>
        <w:top w:val="none" w:sz="0" w:space="0" w:color="auto"/>
        <w:left w:val="none" w:sz="0" w:space="0" w:color="auto"/>
        <w:bottom w:val="none" w:sz="0" w:space="0" w:color="auto"/>
        <w:right w:val="none" w:sz="0" w:space="0" w:color="auto"/>
      </w:divBdr>
    </w:div>
    <w:div w:id="1505776658">
      <w:bodyDiv w:val="1"/>
      <w:marLeft w:val="0"/>
      <w:marRight w:val="0"/>
      <w:marTop w:val="0"/>
      <w:marBottom w:val="0"/>
      <w:divBdr>
        <w:top w:val="none" w:sz="0" w:space="0" w:color="auto"/>
        <w:left w:val="none" w:sz="0" w:space="0" w:color="auto"/>
        <w:bottom w:val="none" w:sz="0" w:space="0" w:color="auto"/>
        <w:right w:val="none" w:sz="0" w:space="0" w:color="auto"/>
      </w:divBdr>
      <w:divsChild>
        <w:div w:id="1858234281">
          <w:marLeft w:val="0"/>
          <w:marRight w:val="0"/>
          <w:marTop w:val="0"/>
          <w:marBottom w:val="0"/>
          <w:divBdr>
            <w:top w:val="none" w:sz="0" w:space="0" w:color="auto"/>
            <w:left w:val="none" w:sz="0" w:space="0" w:color="auto"/>
            <w:bottom w:val="none" w:sz="0" w:space="0" w:color="auto"/>
            <w:right w:val="none" w:sz="0" w:space="0" w:color="auto"/>
          </w:divBdr>
        </w:div>
        <w:div w:id="1976594873">
          <w:marLeft w:val="0"/>
          <w:marRight w:val="0"/>
          <w:marTop w:val="0"/>
          <w:marBottom w:val="0"/>
          <w:divBdr>
            <w:top w:val="none" w:sz="0" w:space="0" w:color="auto"/>
            <w:left w:val="none" w:sz="0" w:space="0" w:color="auto"/>
            <w:bottom w:val="none" w:sz="0" w:space="0" w:color="auto"/>
            <w:right w:val="none" w:sz="0" w:space="0" w:color="auto"/>
          </w:divBdr>
        </w:div>
      </w:divsChild>
    </w:div>
    <w:div w:id="1521317072">
      <w:bodyDiv w:val="1"/>
      <w:marLeft w:val="0"/>
      <w:marRight w:val="0"/>
      <w:marTop w:val="0"/>
      <w:marBottom w:val="0"/>
      <w:divBdr>
        <w:top w:val="none" w:sz="0" w:space="0" w:color="auto"/>
        <w:left w:val="none" w:sz="0" w:space="0" w:color="auto"/>
        <w:bottom w:val="none" w:sz="0" w:space="0" w:color="auto"/>
        <w:right w:val="none" w:sz="0" w:space="0" w:color="auto"/>
      </w:divBdr>
    </w:div>
    <w:div w:id="1528787929">
      <w:bodyDiv w:val="1"/>
      <w:marLeft w:val="0"/>
      <w:marRight w:val="0"/>
      <w:marTop w:val="0"/>
      <w:marBottom w:val="0"/>
      <w:divBdr>
        <w:top w:val="none" w:sz="0" w:space="0" w:color="auto"/>
        <w:left w:val="none" w:sz="0" w:space="0" w:color="auto"/>
        <w:bottom w:val="none" w:sz="0" w:space="0" w:color="auto"/>
        <w:right w:val="none" w:sz="0" w:space="0" w:color="auto"/>
      </w:divBdr>
    </w:div>
    <w:div w:id="1548954673">
      <w:bodyDiv w:val="1"/>
      <w:marLeft w:val="0"/>
      <w:marRight w:val="0"/>
      <w:marTop w:val="0"/>
      <w:marBottom w:val="0"/>
      <w:divBdr>
        <w:top w:val="none" w:sz="0" w:space="0" w:color="auto"/>
        <w:left w:val="none" w:sz="0" w:space="0" w:color="auto"/>
        <w:bottom w:val="none" w:sz="0" w:space="0" w:color="auto"/>
        <w:right w:val="none" w:sz="0" w:space="0" w:color="auto"/>
      </w:divBdr>
    </w:div>
    <w:div w:id="1574198147">
      <w:bodyDiv w:val="1"/>
      <w:marLeft w:val="0"/>
      <w:marRight w:val="0"/>
      <w:marTop w:val="0"/>
      <w:marBottom w:val="0"/>
      <w:divBdr>
        <w:top w:val="none" w:sz="0" w:space="0" w:color="auto"/>
        <w:left w:val="none" w:sz="0" w:space="0" w:color="auto"/>
        <w:bottom w:val="none" w:sz="0" w:space="0" w:color="auto"/>
        <w:right w:val="none" w:sz="0" w:space="0" w:color="auto"/>
      </w:divBdr>
      <w:divsChild>
        <w:div w:id="218177583">
          <w:marLeft w:val="0"/>
          <w:marRight w:val="0"/>
          <w:marTop w:val="0"/>
          <w:marBottom w:val="0"/>
          <w:divBdr>
            <w:top w:val="none" w:sz="0" w:space="0" w:color="auto"/>
            <w:left w:val="none" w:sz="0" w:space="0" w:color="auto"/>
            <w:bottom w:val="none" w:sz="0" w:space="0" w:color="auto"/>
            <w:right w:val="none" w:sz="0" w:space="0" w:color="auto"/>
          </w:divBdr>
        </w:div>
        <w:div w:id="287668485">
          <w:marLeft w:val="0"/>
          <w:marRight w:val="0"/>
          <w:marTop w:val="0"/>
          <w:marBottom w:val="0"/>
          <w:divBdr>
            <w:top w:val="none" w:sz="0" w:space="0" w:color="auto"/>
            <w:left w:val="none" w:sz="0" w:space="0" w:color="auto"/>
            <w:bottom w:val="none" w:sz="0" w:space="0" w:color="auto"/>
            <w:right w:val="none" w:sz="0" w:space="0" w:color="auto"/>
          </w:divBdr>
        </w:div>
        <w:div w:id="347801830">
          <w:marLeft w:val="0"/>
          <w:marRight w:val="0"/>
          <w:marTop w:val="0"/>
          <w:marBottom w:val="0"/>
          <w:divBdr>
            <w:top w:val="none" w:sz="0" w:space="0" w:color="auto"/>
            <w:left w:val="none" w:sz="0" w:space="0" w:color="auto"/>
            <w:bottom w:val="none" w:sz="0" w:space="0" w:color="auto"/>
            <w:right w:val="none" w:sz="0" w:space="0" w:color="auto"/>
          </w:divBdr>
          <w:divsChild>
            <w:div w:id="1019160649">
              <w:marLeft w:val="-75"/>
              <w:marRight w:val="0"/>
              <w:marTop w:val="30"/>
              <w:marBottom w:val="30"/>
              <w:divBdr>
                <w:top w:val="none" w:sz="0" w:space="0" w:color="auto"/>
                <w:left w:val="none" w:sz="0" w:space="0" w:color="auto"/>
                <w:bottom w:val="none" w:sz="0" w:space="0" w:color="auto"/>
                <w:right w:val="none" w:sz="0" w:space="0" w:color="auto"/>
              </w:divBdr>
              <w:divsChild>
                <w:div w:id="131363976">
                  <w:marLeft w:val="0"/>
                  <w:marRight w:val="0"/>
                  <w:marTop w:val="0"/>
                  <w:marBottom w:val="0"/>
                  <w:divBdr>
                    <w:top w:val="none" w:sz="0" w:space="0" w:color="auto"/>
                    <w:left w:val="none" w:sz="0" w:space="0" w:color="auto"/>
                    <w:bottom w:val="none" w:sz="0" w:space="0" w:color="auto"/>
                    <w:right w:val="none" w:sz="0" w:space="0" w:color="auto"/>
                  </w:divBdr>
                  <w:divsChild>
                    <w:div w:id="1158688421">
                      <w:marLeft w:val="0"/>
                      <w:marRight w:val="0"/>
                      <w:marTop w:val="0"/>
                      <w:marBottom w:val="0"/>
                      <w:divBdr>
                        <w:top w:val="none" w:sz="0" w:space="0" w:color="auto"/>
                        <w:left w:val="none" w:sz="0" w:space="0" w:color="auto"/>
                        <w:bottom w:val="none" w:sz="0" w:space="0" w:color="auto"/>
                        <w:right w:val="none" w:sz="0" w:space="0" w:color="auto"/>
                      </w:divBdr>
                    </w:div>
                  </w:divsChild>
                </w:div>
                <w:div w:id="196702269">
                  <w:marLeft w:val="0"/>
                  <w:marRight w:val="0"/>
                  <w:marTop w:val="0"/>
                  <w:marBottom w:val="0"/>
                  <w:divBdr>
                    <w:top w:val="none" w:sz="0" w:space="0" w:color="auto"/>
                    <w:left w:val="none" w:sz="0" w:space="0" w:color="auto"/>
                    <w:bottom w:val="none" w:sz="0" w:space="0" w:color="auto"/>
                    <w:right w:val="none" w:sz="0" w:space="0" w:color="auto"/>
                  </w:divBdr>
                  <w:divsChild>
                    <w:div w:id="540171324">
                      <w:marLeft w:val="0"/>
                      <w:marRight w:val="0"/>
                      <w:marTop w:val="0"/>
                      <w:marBottom w:val="0"/>
                      <w:divBdr>
                        <w:top w:val="none" w:sz="0" w:space="0" w:color="auto"/>
                        <w:left w:val="none" w:sz="0" w:space="0" w:color="auto"/>
                        <w:bottom w:val="none" w:sz="0" w:space="0" w:color="auto"/>
                        <w:right w:val="none" w:sz="0" w:space="0" w:color="auto"/>
                      </w:divBdr>
                    </w:div>
                  </w:divsChild>
                </w:div>
                <w:div w:id="227152947">
                  <w:marLeft w:val="0"/>
                  <w:marRight w:val="0"/>
                  <w:marTop w:val="0"/>
                  <w:marBottom w:val="0"/>
                  <w:divBdr>
                    <w:top w:val="none" w:sz="0" w:space="0" w:color="auto"/>
                    <w:left w:val="none" w:sz="0" w:space="0" w:color="auto"/>
                    <w:bottom w:val="none" w:sz="0" w:space="0" w:color="auto"/>
                    <w:right w:val="none" w:sz="0" w:space="0" w:color="auto"/>
                  </w:divBdr>
                  <w:divsChild>
                    <w:div w:id="581720608">
                      <w:marLeft w:val="0"/>
                      <w:marRight w:val="0"/>
                      <w:marTop w:val="0"/>
                      <w:marBottom w:val="0"/>
                      <w:divBdr>
                        <w:top w:val="none" w:sz="0" w:space="0" w:color="auto"/>
                        <w:left w:val="none" w:sz="0" w:space="0" w:color="auto"/>
                        <w:bottom w:val="none" w:sz="0" w:space="0" w:color="auto"/>
                        <w:right w:val="none" w:sz="0" w:space="0" w:color="auto"/>
                      </w:divBdr>
                    </w:div>
                  </w:divsChild>
                </w:div>
                <w:div w:id="475876132">
                  <w:marLeft w:val="0"/>
                  <w:marRight w:val="0"/>
                  <w:marTop w:val="0"/>
                  <w:marBottom w:val="0"/>
                  <w:divBdr>
                    <w:top w:val="none" w:sz="0" w:space="0" w:color="auto"/>
                    <w:left w:val="none" w:sz="0" w:space="0" w:color="auto"/>
                    <w:bottom w:val="none" w:sz="0" w:space="0" w:color="auto"/>
                    <w:right w:val="none" w:sz="0" w:space="0" w:color="auto"/>
                  </w:divBdr>
                  <w:divsChild>
                    <w:div w:id="1279534183">
                      <w:marLeft w:val="0"/>
                      <w:marRight w:val="0"/>
                      <w:marTop w:val="0"/>
                      <w:marBottom w:val="0"/>
                      <w:divBdr>
                        <w:top w:val="none" w:sz="0" w:space="0" w:color="auto"/>
                        <w:left w:val="none" w:sz="0" w:space="0" w:color="auto"/>
                        <w:bottom w:val="none" w:sz="0" w:space="0" w:color="auto"/>
                        <w:right w:val="none" w:sz="0" w:space="0" w:color="auto"/>
                      </w:divBdr>
                    </w:div>
                  </w:divsChild>
                </w:div>
                <w:div w:id="621309190">
                  <w:marLeft w:val="0"/>
                  <w:marRight w:val="0"/>
                  <w:marTop w:val="0"/>
                  <w:marBottom w:val="0"/>
                  <w:divBdr>
                    <w:top w:val="none" w:sz="0" w:space="0" w:color="auto"/>
                    <w:left w:val="none" w:sz="0" w:space="0" w:color="auto"/>
                    <w:bottom w:val="none" w:sz="0" w:space="0" w:color="auto"/>
                    <w:right w:val="none" w:sz="0" w:space="0" w:color="auto"/>
                  </w:divBdr>
                  <w:divsChild>
                    <w:div w:id="187066520">
                      <w:marLeft w:val="0"/>
                      <w:marRight w:val="0"/>
                      <w:marTop w:val="0"/>
                      <w:marBottom w:val="0"/>
                      <w:divBdr>
                        <w:top w:val="none" w:sz="0" w:space="0" w:color="auto"/>
                        <w:left w:val="none" w:sz="0" w:space="0" w:color="auto"/>
                        <w:bottom w:val="none" w:sz="0" w:space="0" w:color="auto"/>
                        <w:right w:val="none" w:sz="0" w:space="0" w:color="auto"/>
                      </w:divBdr>
                    </w:div>
                  </w:divsChild>
                </w:div>
                <w:div w:id="624656058">
                  <w:marLeft w:val="0"/>
                  <w:marRight w:val="0"/>
                  <w:marTop w:val="0"/>
                  <w:marBottom w:val="0"/>
                  <w:divBdr>
                    <w:top w:val="none" w:sz="0" w:space="0" w:color="auto"/>
                    <w:left w:val="none" w:sz="0" w:space="0" w:color="auto"/>
                    <w:bottom w:val="none" w:sz="0" w:space="0" w:color="auto"/>
                    <w:right w:val="none" w:sz="0" w:space="0" w:color="auto"/>
                  </w:divBdr>
                  <w:divsChild>
                    <w:div w:id="17390753">
                      <w:marLeft w:val="0"/>
                      <w:marRight w:val="0"/>
                      <w:marTop w:val="0"/>
                      <w:marBottom w:val="0"/>
                      <w:divBdr>
                        <w:top w:val="none" w:sz="0" w:space="0" w:color="auto"/>
                        <w:left w:val="none" w:sz="0" w:space="0" w:color="auto"/>
                        <w:bottom w:val="none" w:sz="0" w:space="0" w:color="auto"/>
                        <w:right w:val="none" w:sz="0" w:space="0" w:color="auto"/>
                      </w:divBdr>
                    </w:div>
                    <w:div w:id="51118353">
                      <w:marLeft w:val="0"/>
                      <w:marRight w:val="0"/>
                      <w:marTop w:val="0"/>
                      <w:marBottom w:val="0"/>
                      <w:divBdr>
                        <w:top w:val="none" w:sz="0" w:space="0" w:color="auto"/>
                        <w:left w:val="none" w:sz="0" w:space="0" w:color="auto"/>
                        <w:bottom w:val="none" w:sz="0" w:space="0" w:color="auto"/>
                        <w:right w:val="none" w:sz="0" w:space="0" w:color="auto"/>
                      </w:divBdr>
                    </w:div>
                    <w:div w:id="618535752">
                      <w:marLeft w:val="0"/>
                      <w:marRight w:val="0"/>
                      <w:marTop w:val="0"/>
                      <w:marBottom w:val="0"/>
                      <w:divBdr>
                        <w:top w:val="none" w:sz="0" w:space="0" w:color="auto"/>
                        <w:left w:val="none" w:sz="0" w:space="0" w:color="auto"/>
                        <w:bottom w:val="none" w:sz="0" w:space="0" w:color="auto"/>
                        <w:right w:val="none" w:sz="0" w:space="0" w:color="auto"/>
                      </w:divBdr>
                    </w:div>
                    <w:div w:id="938099683">
                      <w:marLeft w:val="0"/>
                      <w:marRight w:val="0"/>
                      <w:marTop w:val="0"/>
                      <w:marBottom w:val="0"/>
                      <w:divBdr>
                        <w:top w:val="none" w:sz="0" w:space="0" w:color="auto"/>
                        <w:left w:val="none" w:sz="0" w:space="0" w:color="auto"/>
                        <w:bottom w:val="none" w:sz="0" w:space="0" w:color="auto"/>
                        <w:right w:val="none" w:sz="0" w:space="0" w:color="auto"/>
                      </w:divBdr>
                    </w:div>
                    <w:div w:id="1160266433">
                      <w:marLeft w:val="0"/>
                      <w:marRight w:val="0"/>
                      <w:marTop w:val="0"/>
                      <w:marBottom w:val="0"/>
                      <w:divBdr>
                        <w:top w:val="none" w:sz="0" w:space="0" w:color="auto"/>
                        <w:left w:val="none" w:sz="0" w:space="0" w:color="auto"/>
                        <w:bottom w:val="none" w:sz="0" w:space="0" w:color="auto"/>
                        <w:right w:val="none" w:sz="0" w:space="0" w:color="auto"/>
                      </w:divBdr>
                    </w:div>
                    <w:div w:id="1983004592">
                      <w:marLeft w:val="0"/>
                      <w:marRight w:val="0"/>
                      <w:marTop w:val="0"/>
                      <w:marBottom w:val="0"/>
                      <w:divBdr>
                        <w:top w:val="none" w:sz="0" w:space="0" w:color="auto"/>
                        <w:left w:val="none" w:sz="0" w:space="0" w:color="auto"/>
                        <w:bottom w:val="none" w:sz="0" w:space="0" w:color="auto"/>
                        <w:right w:val="none" w:sz="0" w:space="0" w:color="auto"/>
                      </w:divBdr>
                    </w:div>
                  </w:divsChild>
                </w:div>
                <w:div w:id="675112327">
                  <w:marLeft w:val="0"/>
                  <w:marRight w:val="0"/>
                  <w:marTop w:val="0"/>
                  <w:marBottom w:val="0"/>
                  <w:divBdr>
                    <w:top w:val="none" w:sz="0" w:space="0" w:color="auto"/>
                    <w:left w:val="none" w:sz="0" w:space="0" w:color="auto"/>
                    <w:bottom w:val="none" w:sz="0" w:space="0" w:color="auto"/>
                    <w:right w:val="none" w:sz="0" w:space="0" w:color="auto"/>
                  </w:divBdr>
                  <w:divsChild>
                    <w:div w:id="905184938">
                      <w:marLeft w:val="0"/>
                      <w:marRight w:val="0"/>
                      <w:marTop w:val="0"/>
                      <w:marBottom w:val="0"/>
                      <w:divBdr>
                        <w:top w:val="none" w:sz="0" w:space="0" w:color="auto"/>
                        <w:left w:val="none" w:sz="0" w:space="0" w:color="auto"/>
                        <w:bottom w:val="none" w:sz="0" w:space="0" w:color="auto"/>
                        <w:right w:val="none" w:sz="0" w:space="0" w:color="auto"/>
                      </w:divBdr>
                    </w:div>
                  </w:divsChild>
                </w:div>
                <w:div w:id="939294273">
                  <w:marLeft w:val="0"/>
                  <w:marRight w:val="0"/>
                  <w:marTop w:val="0"/>
                  <w:marBottom w:val="0"/>
                  <w:divBdr>
                    <w:top w:val="none" w:sz="0" w:space="0" w:color="auto"/>
                    <w:left w:val="none" w:sz="0" w:space="0" w:color="auto"/>
                    <w:bottom w:val="none" w:sz="0" w:space="0" w:color="auto"/>
                    <w:right w:val="none" w:sz="0" w:space="0" w:color="auto"/>
                  </w:divBdr>
                  <w:divsChild>
                    <w:div w:id="551116341">
                      <w:marLeft w:val="0"/>
                      <w:marRight w:val="0"/>
                      <w:marTop w:val="0"/>
                      <w:marBottom w:val="0"/>
                      <w:divBdr>
                        <w:top w:val="none" w:sz="0" w:space="0" w:color="auto"/>
                        <w:left w:val="none" w:sz="0" w:space="0" w:color="auto"/>
                        <w:bottom w:val="none" w:sz="0" w:space="0" w:color="auto"/>
                        <w:right w:val="none" w:sz="0" w:space="0" w:color="auto"/>
                      </w:divBdr>
                    </w:div>
                  </w:divsChild>
                </w:div>
                <w:div w:id="982735092">
                  <w:marLeft w:val="0"/>
                  <w:marRight w:val="0"/>
                  <w:marTop w:val="0"/>
                  <w:marBottom w:val="0"/>
                  <w:divBdr>
                    <w:top w:val="none" w:sz="0" w:space="0" w:color="auto"/>
                    <w:left w:val="none" w:sz="0" w:space="0" w:color="auto"/>
                    <w:bottom w:val="none" w:sz="0" w:space="0" w:color="auto"/>
                    <w:right w:val="none" w:sz="0" w:space="0" w:color="auto"/>
                  </w:divBdr>
                  <w:divsChild>
                    <w:div w:id="627201325">
                      <w:marLeft w:val="0"/>
                      <w:marRight w:val="0"/>
                      <w:marTop w:val="0"/>
                      <w:marBottom w:val="0"/>
                      <w:divBdr>
                        <w:top w:val="none" w:sz="0" w:space="0" w:color="auto"/>
                        <w:left w:val="none" w:sz="0" w:space="0" w:color="auto"/>
                        <w:bottom w:val="none" w:sz="0" w:space="0" w:color="auto"/>
                        <w:right w:val="none" w:sz="0" w:space="0" w:color="auto"/>
                      </w:divBdr>
                    </w:div>
                  </w:divsChild>
                </w:div>
                <w:div w:id="1472021412">
                  <w:marLeft w:val="0"/>
                  <w:marRight w:val="0"/>
                  <w:marTop w:val="0"/>
                  <w:marBottom w:val="0"/>
                  <w:divBdr>
                    <w:top w:val="none" w:sz="0" w:space="0" w:color="auto"/>
                    <w:left w:val="none" w:sz="0" w:space="0" w:color="auto"/>
                    <w:bottom w:val="none" w:sz="0" w:space="0" w:color="auto"/>
                    <w:right w:val="none" w:sz="0" w:space="0" w:color="auto"/>
                  </w:divBdr>
                  <w:divsChild>
                    <w:div w:id="130708280">
                      <w:marLeft w:val="0"/>
                      <w:marRight w:val="0"/>
                      <w:marTop w:val="0"/>
                      <w:marBottom w:val="0"/>
                      <w:divBdr>
                        <w:top w:val="none" w:sz="0" w:space="0" w:color="auto"/>
                        <w:left w:val="none" w:sz="0" w:space="0" w:color="auto"/>
                        <w:bottom w:val="none" w:sz="0" w:space="0" w:color="auto"/>
                        <w:right w:val="none" w:sz="0" w:space="0" w:color="auto"/>
                      </w:divBdr>
                    </w:div>
                    <w:div w:id="830683786">
                      <w:marLeft w:val="0"/>
                      <w:marRight w:val="0"/>
                      <w:marTop w:val="0"/>
                      <w:marBottom w:val="0"/>
                      <w:divBdr>
                        <w:top w:val="none" w:sz="0" w:space="0" w:color="auto"/>
                        <w:left w:val="none" w:sz="0" w:space="0" w:color="auto"/>
                        <w:bottom w:val="none" w:sz="0" w:space="0" w:color="auto"/>
                        <w:right w:val="none" w:sz="0" w:space="0" w:color="auto"/>
                      </w:divBdr>
                    </w:div>
                    <w:div w:id="953487857">
                      <w:marLeft w:val="0"/>
                      <w:marRight w:val="0"/>
                      <w:marTop w:val="0"/>
                      <w:marBottom w:val="0"/>
                      <w:divBdr>
                        <w:top w:val="none" w:sz="0" w:space="0" w:color="auto"/>
                        <w:left w:val="none" w:sz="0" w:space="0" w:color="auto"/>
                        <w:bottom w:val="none" w:sz="0" w:space="0" w:color="auto"/>
                        <w:right w:val="none" w:sz="0" w:space="0" w:color="auto"/>
                      </w:divBdr>
                    </w:div>
                    <w:div w:id="1076168619">
                      <w:marLeft w:val="0"/>
                      <w:marRight w:val="0"/>
                      <w:marTop w:val="0"/>
                      <w:marBottom w:val="0"/>
                      <w:divBdr>
                        <w:top w:val="none" w:sz="0" w:space="0" w:color="auto"/>
                        <w:left w:val="none" w:sz="0" w:space="0" w:color="auto"/>
                        <w:bottom w:val="none" w:sz="0" w:space="0" w:color="auto"/>
                        <w:right w:val="none" w:sz="0" w:space="0" w:color="auto"/>
                      </w:divBdr>
                    </w:div>
                    <w:div w:id="1722316260">
                      <w:marLeft w:val="0"/>
                      <w:marRight w:val="0"/>
                      <w:marTop w:val="0"/>
                      <w:marBottom w:val="0"/>
                      <w:divBdr>
                        <w:top w:val="none" w:sz="0" w:space="0" w:color="auto"/>
                        <w:left w:val="none" w:sz="0" w:space="0" w:color="auto"/>
                        <w:bottom w:val="none" w:sz="0" w:space="0" w:color="auto"/>
                        <w:right w:val="none" w:sz="0" w:space="0" w:color="auto"/>
                      </w:divBdr>
                    </w:div>
                  </w:divsChild>
                </w:div>
                <w:div w:id="1568881021">
                  <w:marLeft w:val="0"/>
                  <w:marRight w:val="0"/>
                  <w:marTop w:val="0"/>
                  <w:marBottom w:val="0"/>
                  <w:divBdr>
                    <w:top w:val="none" w:sz="0" w:space="0" w:color="auto"/>
                    <w:left w:val="none" w:sz="0" w:space="0" w:color="auto"/>
                    <w:bottom w:val="none" w:sz="0" w:space="0" w:color="auto"/>
                    <w:right w:val="none" w:sz="0" w:space="0" w:color="auto"/>
                  </w:divBdr>
                  <w:divsChild>
                    <w:div w:id="584846366">
                      <w:marLeft w:val="0"/>
                      <w:marRight w:val="0"/>
                      <w:marTop w:val="0"/>
                      <w:marBottom w:val="0"/>
                      <w:divBdr>
                        <w:top w:val="none" w:sz="0" w:space="0" w:color="auto"/>
                        <w:left w:val="none" w:sz="0" w:space="0" w:color="auto"/>
                        <w:bottom w:val="none" w:sz="0" w:space="0" w:color="auto"/>
                        <w:right w:val="none" w:sz="0" w:space="0" w:color="auto"/>
                      </w:divBdr>
                    </w:div>
                  </w:divsChild>
                </w:div>
                <w:div w:id="1767917595">
                  <w:marLeft w:val="0"/>
                  <w:marRight w:val="0"/>
                  <w:marTop w:val="0"/>
                  <w:marBottom w:val="0"/>
                  <w:divBdr>
                    <w:top w:val="none" w:sz="0" w:space="0" w:color="auto"/>
                    <w:left w:val="none" w:sz="0" w:space="0" w:color="auto"/>
                    <w:bottom w:val="none" w:sz="0" w:space="0" w:color="auto"/>
                    <w:right w:val="none" w:sz="0" w:space="0" w:color="auto"/>
                  </w:divBdr>
                  <w:divsChild>
                    <w:div w:id="1075469735">
                      <w:marLeft w:val="0"/>
                      <w:marRight w:val="0"/>
                      <w:marTop w:val="0"/>
                      <w:marBottom w:val="0"/>
                      <w:divBdr>
                        <w:top w:val="none" w:sz="0" w:space="0" w:color="auto"/>
                        <w:left w:val="none" w:sz="0" w:space="0" w:color="auto"/>
                        <w:bottom w:val="none" w:sz="0" w:space="0" w:color="auto"/>
                        <w:right w:val="none" w:sz="0" w:space="0" w:color="auto"/>
                      </w:divBdr>
                    </w:div>
                  </w:divsChild>
                </w:div>
                <w:div w:id="1845436733">
                  <w:marLeft w:val="0"/>
                  <w:marRight w:val="0"/>
                  <w:marTop w:val="0"/>
                  <w:marBottom w:val="0"/>
                  <w:divBdr>
                    <w:top w:val="none" w:sz="0" w:space="0" w:color="auto"/>
                    <w:left w:val="none" w:sz="0" w:space="0" w:color="auto"/>
                    <w:bottom w:val="none" w:sz="0" w:space="0" w:color="auto"/>
                    <w:right w:val="none" w:sz="0" w:space="0" w:color="auto"/>
                  </w:divBdr>
                  <w:divsChild>
                    <w:div w:id="1798798548">
                      <w:marLeft w:val="0"/>
                      <w:marRight w:val="0"/>
                      <w:marTop w:val="0"/>
                      <w:marBottom w:val="0"/>
                      <w:divBdr>
                        <w:top w:val="none" w:sz="0" w:space="0" w:color="auto"/>
                        <w:left w:val="none" w:sz="0" w:space="0" w:color="auto"/>
                        <w:bottom w:val="none" w:sz="0" w:space="0" w:color="auto"/>
                        <w:right w:val="none" w:sz="0" w:space="0" w:color="auto"/>
                      </w:divBdr>
                    </w:div>
                  </w:divsChild>
                </w:div>
                <w:div w:id="1944221745">
                  <w:marLeft w:val="0"/>
                  <w:marRight w:val="0"/>
                  <w:marTop w:val="0"/>
                  <w:marBottom w:val="0"/>
                  <w:divBdr>
                    <w:top w:val="none" w:sz="0" w:space="0" w:color="auto"/>
                    <w:left w:val="none" w:sz="0" w:space="0" w:color="auto"/>
                    <w:bottom w:val="none" w:sz="0" w:space="0" w:color="auto"/>
                    <w:right w:val="none" w:sz="0" w:space="0" w:color="auto"/>
                  </w:divBdr>
                  <w:divsChild>
                    <w:div w:id="699471496">
                      <w:marLeft w:val="0"/>
                      <w:marRight w:val="0"/>
                      <w:marTop w:val="0"/>
                      <w:marBottom w:val="0"/>
                      <w:divBdr>
                        <w:top w:val="none" w:sz="0" w:space="0" w:color="auto"/>
                        <w:left w:val="none" w:sz="0" w:space="0" w:color="auto"/>
                        <w:bottom w:val="none" w:sz="0" w:space="0" w:color="auto"/>
                        <w:right w:val="none" w:sz="0" w:space="0" w:color="auto"/>
                      </w:divBdr>
                    </w:div>
                  </w:divsChild>
                </w:div>
                <w:div w:id="1980912397">
                  <w:marLeft w:val="0"/>
                  <w:marRight w:val="0"/>
                  <w:marTop w:val="0"/>
                  <w:marBottom w:val="0"/>
                  <w:divBdr>
                    <w:top w:val="none" w:sz="0" w:space="0" w:color="auto"/>
                    <w:left w:val="none" w:sz="0" w:space="0" w:color="auto"/>
                    <w:bottom w:val="none" w:sz="0" w:space="0" w:color="auto"/>
                    <w:right w:val="none" w:sz="0" w:space="0" w:color="auto"/>
                  </w:divBdr>
                  <w:divsChild>
                    <w:div w:id="19747035">
                      <w:marLeft w:val="0"/>
                      <w:marRight w:val="0"/>
                      <w:marTop w:val="0"/>
                      <w:marBottom w:val="0"/>
                      <w:divBdr>
                        <w:top w:val="none" w:sz="0" w:space="0" w:color="auto"/>
                        <w:left w:val="none" w:sz="0" w:space="0" w:color="auto"/>
                        <w:bottom w:val="none" w:sz="0" w:space="0" w:color="auto"/>
                        <w:right w:val="none" w:sz="0" w:space="0" w:color="auto"/>
                      </w:divBdr>
                    </w:div>
                    <w:div w:id="611673330">
                      <w:marLeft w:val="0"/>
                      <w:marRight w:val="0"/>
                      <w:marTop w:val="0"/>
                      <w:marBottom w:val="0"/>
                      <w:divBdr>
                        <w:top w:val="none" w:sz="0" w:space="0" w:color="auto"/>
                        <w:left w:val="none" w:sz="0" w:space="0" w:color="auto"/>
                        <w:bottom w:val="none" w:sz="0" w:space="0" w:color="auto"/>
                        <w:right w:val="none" w:sz="0" w:space="0" w:color="auto"/>
                      </w:divBdr>
                    </w:div>
                    <w:div w:id="903561833">
                      <w:marLeft w:val="0"/>
                      <w:marRight w:val="0"/>
                      <w:marTop w:val="0"/>
                      <w:marBottom w:val="0"/>
                      <w:divBdr>
                        <w:top w:val="none" w:sz="0" w:space="0" w:color="auto"/>
                        <w:left w:val="none" w:sz="0" w:space="0" w:color="auto"/>
                        <w:bottom w:val="none" w:sz="0" w:space="0" w:color="auto"/>
                        <w:right w:val="none" w:sz="0" w:space="0" w:color="auto"/>
                      </w:divBdr>
                    </w:div>
                    <w:div w:id="1280139024">
                      <w:marLeft w:val="0"/>
                      <w:marRight w:val="0"/>
                      <w:marTop w:val="0"/>
                      <w:marBottom w:val="0"/>
                      <w:divBdr>
                        <w:top w:val="none" w:sz="0" w:space="0" w:color="auto"/>
                        <w:left w:val="none" w:sz="0" w:space="0" w:color="auto"/>
                        <w:bottom w:val="none" w:sz="0" w:space="0" w:color="auto"/>
                        <w:right w:val="none" w:sz="0" w:space="0" w:color="auto"/>
                      </w:divBdr>
                    </w:div>
                    <w:div w:id="15240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62625">
          <w:marLeft w:val="0"/>
          <w:marRight w:val="0"/>
          <w:marTop w:val="0"/>
          <w:marBottom w:val="0"/>
          <w:divBdr>
            <w:top w:val="none" w:sz="0" w:space="0" w:color="auto"/>
            <w:left w:val="none" w:sz="0" w:space="0" w:color="auto"/>
            <w:bottom w:val="none" w:sz="0" w:space="0" w:color="auto"/>
            <w:right w:val="none" w:sz="0" w:space="0" w:color="auto"/>
          </w:divBdr>
          <w:divsChild>
            <w:div w:id="100422529">
              <w:marLeft w:val="0"/>
              <w:marRight w:val="0"/>
              <w:marTop w:val="0"/>
              <w:marBottom w:val="0"/>
              <w:divBdr>
                <w:top w:val="none" w:sz="0" w:space="0" w:color="auto"/>
                <w:left w:val="none" w:sz="0" w:space="0" w:color="auto"/>
                <w:bottom w:val="none" w:sz="0" w:space="0" w:color="auto"/>
                <w:right w:val="none" w:sz="0" w:space="0" w:color="auto"/>
              </w:divBdr>
            </w:div>
            <w:div w:id="251623293">
              <w:marLeft w:val="0"/>
              <w:marRight w:val="0"/>
              <w:marTop w:val="0"/>
              <w:marBottom w:val="0"/>
              <w:divBdr>
                <w:top w:val="none" w:sz="0" w:space="0" w:color="auto"/>
                <w:left w:val="none" w:sz="0" w:space="0" w:color="auto"/>
                <w:bottom w:val="none" w:sz="0" w:space="0" w:color="auto"/>
                <w:right w:val="none" w:sz="0" w:space="0" w:color="auto"/>
              </w:divBdr>
            </w:div>
            <w:div w:id="410852723">
              <w:marLeft w:val="0"/>
              <w:marRight w:val="0"/>
              <w:marTop w:val="0"/>
              <w:marBottom w:val="0"/>
              <w:divBdr>
                <w:top w:val="none" w:sz="0" w:space="0" w:color="auto"/>
                <w:left w:val="none" w:sz="0" w:space="0" w:color="auto"/>
                <w:bottom w:val="none" w:sz="0" w:space="0" w:color="auto"/>
                <w:right w:val="none" w:sz="0" w:space="0" w:color="auto"/>
              </w:divBdr>
            </w:div>
            <w:div w:id="507332411">
              <w:marLeft w:val="0"/>
              <w:marRight w:val="0"/>
              <w:marTop w:val="0"/>
              <w:marBottom w:val="0"/>
              <w:divBdr>
                <w:top w:val="none" w:sz="0" w:space="0" w:color="auto"/>
                <w:left w:val="none" w:sz="0" w:space="0" w:color="auto"/>
                <w:bottom w:val="none" w:sz="0" w:space="0" w:color="auto"/>
                <w:right w:val="none" w:sz="0" w:space="0" w:color="auto"/>
              </w:divBdr>
            </w:div>
            <w:div w:id="521748003">
              <w:marLeft w:val="0"/>
              <w:marRight w:val="0"/>
              <w:marTop w:val="0"/>
              <w:marBottom w:val="0"/>
              <w:divBdr>
                <w:top w:val="none" w:sz="0" w:space="0" w:color="auto"/>
                <w:left w:val="none" w:sz="0" w:space="0" w:color="auto"/>
                <w:bottom w:val="none" w:sz="0" w:space="0" w:color="auto"/>
                <w:right w:val="none" w:sz="0" w:space="0" w:color="auto"/>
              </w:divBdr>
            </w:div>
            <w:div w:id="630283440">
              <w:marLeft w:val="0"/>
              <w:marRight w:val="0"/>
              <w:marTop w:val="0"/>
              <w:marBottom w:val="0"/>
              <w:divBdr>
                <w:top w:val="none" w:sz="0" w:space="0" w:color="auto"/>
                <w:left w:val="none" w:sz="0" w:space="0" w:color="auto"/>
                <w:bottom w:val="none" w:sz="0" w:space="0" w:color="auto"/>
                <w:right w:val="none" w:sz="0" w:space="0" w:color="auto"/>
              </w:divBdr>
            </w:div>
            <w:div w:id="772285832">
              <w:marLeft w:val="0"/>
              <w:marRight w:val="0"/>
              <w:marTop w:val="0"/>
              <w:marBottom w:val="0"/>
              <w:divBdr>
                <w:top w:val="none" w:sz="0" w:space="0" w:color="auto"/>
                <w:left w:val="none" w:sz="0" w:space="0" w:color="auto"/>
                <w:bottom w:val="none" w:sz="0" w:space="0" w:color="auto"/>
                <w:right w:val="none" w:sz="0" w:space="0" w:color="auto"/>
              </w:divBdr>
            </w:div>
            <w:div w:id="986325557">
              <w:marLeft w:val="0"/>
              <w:marRight w:val="0"/>
              <w:marTop w:val="0"/>
              <w:marBottom w:val="0"/>
              <w:divBdr>
                <w:top w:val="none" w:sz="0" w:space="0" w:color="auto"/>
                <w:left w:val="none" w:sz="0" w:space="0" w:color="auto"/>
                <w:bottom w:val="none" w:sz="0" w:space="0" w:color="auto"/>
                <w:right w:val="none" w:sz="0" w:space="0" w:color="auto"/>
              </w:divBdr>
            </w:div>
            <w:div w:id="1338578719">
              <w:marLeft w:val="0"/>
              <w:marRight w:val="0"/>
              <w:marTop w:val="0"/>
              <w:marBottom w:val="0"/>
              <w:divBdr>
                <w:top w:val="none" w:sz="0" w:space="0" w:color="auto"/>
                <w:left w:val="none" w:sz="0" w:space="0" w:color="auto"/>
                <w:bottom w:val="none" w:sz="0" w:space="0" w:color="auto"/>
                <w:right w:val="none" w:sz="0" w:space="0" w:color="auto"/>
              </w:divBdr>
            </w:div>
            <w:div w:id="1431658163">
              <w:marLeft w:val="0"/>
              <w:marRight w:val="0"/>
              <w:marTop w:val="0"/>
              <w:marBottom w:val="0"/>
              <w:divBdr>
                <w:top w:val="none" w:sz="0" w:space="0" w:color="auto"/>
                <w:left w:val="none" w:sz="0" w:space="0" w:color="auto"/>
                <w:bottom w:val="none" w:sz="0" w:space="0" w:color="auto"/>
                <w:right w:val="none" w:sz="0" w:space="0" w:color="auto"/>
              </w:divBdr>
            </w:div>
            <w:div w:id="1562447656">
              <w:marLeft w:val="0"/>
              <w:marRight w:val="0"/>
              <w:marTop w:val="0"/>
              <w:marBottom w:val="0"/>
              <w:divBdr>
                <w:top w:val="none" w:sz="0" w:space="0" w:color="auto"/>
                <w:left w:val="none" w:sz="0" w:space="0" w:color="auto"/>
                <w:bottom w:val="none" w:sz="0" w:space="0" w:color="auto"/>
                <w:right w:val="none" w:sz="0" w:space="0" w:color="auto"/>
              </w:divBdr>
            </w:div>
            <w:div w:id="1565599997">
              <w:marLeft w:val="0"/>
              <w:marRight w:val="0"/>
              <w:marTop w:val="0"/>
              <w:marBottom w:val="0"/>
              <w:divBdr>
                <w:top w:val="none" w:sz="0" w:space="0" w:color="auto"/>
                <w:left w:val="none" w:sz="0" w:space="0" w:color="auto"/>
                <w:bottom w:val="none" w:sz="0" w:space="0" w:color="auto"/>
                <w:right w:val="none" w:sz="0" w:space="0" w:color="auto"/>
              </w:divBdr>
            </w:div>
            <w:div w:id="1633289642">
              <w:marLeft w:val="0"/>
              <w:marRight w:val="0"/>
              <w:marTop w:val="0"/>
              <w:marBottom w:val="0"/>
              <w:divBdr>
                <w:top w:val="none" w:sz="0" w:space="0" w:color="auto"/>
                <w:left w:val="none" w:sz="0" w:space="0" w:color="auto"/>
                <w:bottom w:val="none" w:sz="0" w:space="0" w:color="auto"/>
                <w:right w:val="none" w:sz="0" w:space="0" w:color="auto"/>
              </w:divBdr>
            </w:div>
            <w:div w:id="1665009768">
              <w:marLeft w:val="0"/>
              <w:marRight w:val="0"/>
              <w:marTop w:val="0"/>
              <w:marBottom w:val="0"/>
              <w:divBdr>
                <w:top w:val="none" w:sz="0" w:space="0" w:color="auto"/>
                <w:left w:val="none" w:sz="0" w:space="0" w:color="auto"/>
                <w:bottom w:val="none" w:sz="0" w:space="0" w:color="auto"/>
                <w:right w:val="none" w:sz="0" w:space="0" w:color="auto"/>
              </w:divBdr>
            </w:div>
            <w:div w:id="1826362402">
              <w:marLeft w:val="0"/>
              <w:marRight w:val="0"/>
              <w:marTop w:val="0"/>
              <w:marBottom w:val="0"/>
              <w:divBdr>
                <w:top w:val="none" w:sz="0" w:space="0" w:color="auto"/>
                <w:left w:val="none" w:sz="0" w:space="0" w:color="auto"/>
                <w:bottom w:val="none" w:sz="0" w:space="0" w:color="auto"/>
                <w:right w:val="none" w:sz="0" w:space="0" w:color="auto"/>
              </w:divBdr>
            </w:div>
            <w:div w:id="1951011408">
              <w:marLeft w:val="0"/>
              <w:marRight w:val="0"/>
              <w:marTop w:val="0"/>
              <w:marBottom w:val="0"/>
              <w:divBdr>
                <w:top w:val="none" w:sz="0" w:space="0" w:color="auto"/>
                <w:left w:val="none" w:sz="0" w:space="0" w:color="auto"/>
                <w:bottom w:val="none" w:sz="0" w:space="0" w:color="auto"/>
                <w:right w:val="none" w:sz="0" w:space="0" w:color="auto"/>
              </w:divBdr>
            </w:div>
            <w:div w:id="1974408853">
              <w:marLeft w:val="0"/>
              <w:marRight w:val="0"/>
              <w:marTop w:val="0"/>
              <w:marBottom w:val="0"/>
              <w:divBdr>
                <w:top w:val="none" w:sz="0" w:space="0" w:color="auto"/>
                <w:left w:val="none" w:sz="0" w:space="0" w:color="auto"/>
                <w:bottom w:val="none" w:sz="0" w:space="0" w:color="auto"/>
                <w:right w:val="none" w:sz="0" w:space="0" w:color="auto"/>
              </w:divBdr>
            </w:div>
            <w:div w:id="2007593806">
              <w:marLeft w:val="0"/>
              <w:marRight w:val="0"/>
              <w:marTop w:val="0"/>
              <w:marBottom w:val="0"/>
              <w:divBdr>
                <w:top w:val="none" w:sz="0" w:space="0" w:color="auto"/>
                <w:left w:val="none" w:sz="0" w:space="0" w:color="auto"/>
                <w:bottom w:val="none" w:sz="0" w:space="0" w:color="auto"/>
                <w:right w:val="none" w:sz="0" w:space="0" w:color="auto"/>
              </w:divBdr>
            </w:div>
          </w:divsChild>
        </w:div>
        <w:div w:id="531890770">
          <w:marLeft w:val="0"/>
          <w:marRight w:val="0"/>
          <w:marTop w:val="0"/>
          <w:marBottom w:val="0"/>
          <w:divBdr>
            <w:top w:val="none" w:sz="0" w:space="0" w:color="auto"/>
            <w:left w:val="none" w:sz="0" w:space="0" w:color="auto"/>
            <w:bottom w:val="none" w:sz="0" w:space="0" w:color="auto"/>
            <w:right w:val="none" w:sz="0" w:space="0" w:color="auto"/>
          </w:divBdr>
        </w:div>
        <w:div w:id="735206903">
          <w:marLeft w:val="0"/>
          <w:marRight w:val="0"/>
          <w:marTop w:val="0"/>
          <w:marBottom w:val="0"/>
          <w:divBdr>
            <w:top w:val="none" w:sz="0" w:space="0" w:color="auto"/>
            <w:left w:val="none" w:sz="0" w:space="0" w:color="auto"/>
            <w:bottom w:val="none" w:sz="0" w:space="0" w:color="auto"/>
            <w:right w:val="none" w:sz="0" w:space="0" w:color="auto"/>
          </w:divBdr>
        </w:div>
        <w:div w:id="804739760">
          <w:marLeft w:val="0"/>
          <w:marRight w:val="0"/>
          <w:marTop w:val="0"/>
          <w:marBottom w:val="0"/>
          <w:divBdr>
            <w:top w:val="none" w:sz="0" w:space="0" w:color="auto"/>
            <w:left w:val="none" w:sz="0" w:space="0" w:color="auto"/>
            <w:bottom w:val="none" w:sz="0" w:space="0" w:color="auto"/>
            <w:right w:val="none" w:sz="0" w:space="0" w:color="auto"/>
          </w:divBdr>
          <w:divsChild>
            <w:div w:id="46298205">
              <w:marLeft w:val="0"/>
              <w:marRight w:val="0"/>
              <w:marTop w:val="0"/>
              <w:marBottom w:val="0"/>
              <w:divBdr>
                <w:top w:val="none" w:sz="0" w:space="0" w:color="auto"/>
                <w:left w:val="none" w:sz="0" w:space="0" w:color="auto"/>
                <w:bottom w:val="none" w:sz="0" w:space="0" w:color="auto"/>
                <w:right w:val="none" w:sz="0" w:space="0" w:color="auto"/>
              </w:divBdr>
            </w:div>
            <w:div w:id="131335955">
              <w:marLeft w:val="0"/>
              <w:marRight w:val="0"/>
              <w:marTop w:val="0"/>
              <w:marBottom w:val="0"/>
              <w:divBdr>
                <w:top w:val="none" w:sz="0" w:space="0" w:color="auto"/>
                <w:left w:val="none" w:sz="0" w:space="0" w:color="auto"/>
                <w:bottom w:val="none" w:sz="0" w:space="0" w:color="auto"/>
                <w:right w:val="none" w:sz="0" w:space="0" w:color="auto"/>
              </w:divBdr>
            </w:div>
            <w:div w:id="195042466">
              <w:marLeft w:val="0"/>
              <w:marRight w:val="0"/>
              <w:marTop w:val="0"/>
              <w:marBottom w:val="0"/>
              <w:divBdr>
                <w:top w:val="none" w:sz="0" w:space="0" w:color="auto"/>
                <w:left w:val="none" w:sz="0" w:space="0" w:color="auto"/>
                <w:bottom w:val="none" w:sz="0" w:space="0" w:color="auto"/>
                <w:right w:val="none" w:sz="0" w:space="0" w:color="auto"/>
              </w:divBdr>
            </w:div>
            <w:div w:id="214858611">
              <w:marLeft w:val="0"/>
              <w:marRight w:val="0"/>
              <w:marTop w:val="0"/>
              <w:marBottom w:val="0"/>
              <w:divBdr>
                <w:top w:val="none" w:sz="0" w:space="0" w:color="auto"/>
                <w:left w:val="none" w:sz="0" w:space="0" w:color="auto"/>
                <w:bottom w:val="none" w:sz="0" w:space="0" w:color="auto"/>
                <w:right w:val="none" w:sz="0" w:space="0" w:color="auto"/>
              </w:divBdr>
            </w:div>
            <w:div w:id="245119494">
              <w:marLeft w:val="0"/>
              <w:marRight w:val="0"/>
              <w:marTop w:val="0"/>
              <w:marBottom w:val="0"/>
              <w:divBdr>
                <w:top w:val="none" w:sz="0" w:space="0" w:color="auto"/>
                <w:left w:val="none" w:sz="0" w:space="0" w:color="auto"/>
                <w:bottom w:val="none" w:sz="0" w:space="0" w:color="auto"/>
                <w:right w:val="none" w:sz="0" w:space="0" w:color="auto"/>
              </w:divBdr>
            </w:div>
            <w:div w:id="248929867">
              <w:marLeft w:val="0"/>
              <w:marRight w:val="0"/>
              <w:marTop w:val="0"/>
              <w:marBottom w:val="0"/>
              <w:divBdr>
                <w:top w:val="none" w:sz="0" w:space="0" w:color="auto"/>
                <w:left w:val="none" w:sz="0" w:space="0" w:color="auto"/>
                <w:bottom w:val="none" w:sz="0" w:space="0" w:color="auto"/>
                <w:right w:val="none" w:sz="0" w:space="0" w:color="auto"/>
              </w:divBdr>
            </w:div>
            <w:div w:id="261105531">
              <w:marLeft w:val="0"/>
              <w:marRight w:val="0"/>
              <w:marTop w:val="0"/>
              <w:marBottom w:val="0"/>
              <w:divBdr>
                <w:top w:val="none" w:sz="0" w:space="0" w:color="auto"/>
                <w:left w:val="none" w:sz="0" w:space="0" w:color="auto"/>
                <w:bottom w:val="none" w:sz="0" w:space="0" w:color="auto"/>
                <w:right w:val="none" w:sz="0" w:space="0" w:color="auto"/>
              </w:divBdr>
            </w:div>
            <w:div w:id="456532376">
              <w:marLeft w:val="0"/>
              <w:marRight w:val="0"/>
              <w:marTop w:val="0"/>
              <w:marBottom w:val="0"/>
              <w:divBdr>
                <w:top w:val="none" w:sz="0" w:space="0" w:color="auto"/>
                <w:left w:val="none" w:sz="0" w:space="0" w:color="auto"/>
                <w:bottom w:val="none" w:sz="0" w:space="0" w:color="auto"/>
                <w:right w:val="none" w:sz="0" w:space="0" w:color="auto"/>
              </w:divBdr>
            </w:div>
            <w:div w:id="536085763">
              <w:marLeft w:val="0"/>
              <w:marRight w:val="0"/>
              <w:marTop w:val="0"/>
              <w:marBottom w:val="0"/>
              <w:divBdr>
                <w:top w:val="none" w:sz="0" w:space="0" w:color="auto"/>
                <w:left w:val="none" w:sz="0" w:space="0" w:color="auto"/>
                <w:bottom w:val="none" w:sz="0" w:space="0" w:color="auto"/>
                <w:right w:val="none" w:sz="0" w:space="0" w:color="auto"/>
              </w:divBdr>
            </w:div>
            <w:div w:id="556942503">
              <w:marLeft w:val="0"/>
              <w:marRight w:val="0"/>
              <w:marTop w:val="0"/>
              <w:marBottom w:val="0"/>
              <w:divBdr>
                <w:top w:val="none" w:sz="0" w:space="0" w:color="auto"/>
                <w:left w:val="none" w:sz="0" w:space="0" w:color="auto"/>
                <w:bottom w:val="none" w:sz="0" w:space="0" w:color="auto"/>
                <w:right w:val="none" w:sz="0" w:space="0" w:color="auto"/>
              </w:divBdr>
            </w:div>
            <w:div w:id="696391498">
              <w:marLeft w:val="0"/>
              <w:marRight w:val="0"/>
              <w:marTop w:val="0"/>
              <w:marBottom w:val="0"/>
              <w:divBdr>
                <w:top w:val="none" w:sz="0" w:space="0" w:color="auto"/>
                <w:left w:val="none" w:sz="0" w:space="0" w:color="auto"/>
                <w:bottom w:val="none" w:sz="0" w:space="0" w:color="auto"/>
                <w:right w:val="none" w:sz="0" w:space="0" w:color="auto"/>
              </w:divBdr>
            </w:div>
            <w:div w:id="709040711">
              <w:marLeft w:val="0"/>
              <w:marRight w:val="0"/>
              <w:marTop w:val="0"/>
              <w:marBottom w:val="0"/>
              <w:divBdr>
                <w:top w:val="none" w:sz="0" w:space="0" w:color="auto"/>
                <w:left w:val="none" w:sz="0" w:space="0" w:color="auto"/>
                <w:bottom w:val="none" w:sz="0" w:space="0" w:color="auto"/>
                <w:right w:val="none" w:sz="0" w:space="0" w:color="auto"/>
              </w:divBdr>
            </w:div>
            <w:div w:id="871646788">
              <w:marLeft w:val="0"/>
              <w:marRight w:val="0"/>
              <w:marTop w:val="0"/>
              <w:marBottom w:val="0"/>
              <w:divBdr>
                <w:top w:val="none" w:sz="0" w:space="0" w:color="auto"/>
                <w:left w:val="none" w:sz="0" w:space="0" w:color="auto"/>
                <w:bottom w:val="none" w:sz="0" w:space="0" w:color="auto"/>
                <w:right w:val="none" w:sz="0" w:space="0" w:color="auto"/>
              </w:divBdr>
            </w:div>
            <w:div w:id="1326125568">
              <w:marLeft w:val="0"/>
              <w:marRight w:val="0"/>
              <w:marTop w:val="0"/>
              <w:marBottom w:val="0"/>
              <w:divBdr>
                <w:top w:val="none" w:sz="0" w:space="0" w:color="auto"/>
                <w:left w:val="none" w:sz="0" w:space="0" w:color="auto"/>
                <w:bottom w:val="none" w:sz="0" w:space="0" w:color="auto"/>
                <w:right w:val="none" w:sz="0" w:space="0" w:color="auto"/>
              </w:divBdr>
            </w:div>
            <w:div w:id="1581451582">
              <w:marLeft w:val="0"/>
              <w:marRight w:val="0"/>
              <w:marTop w:val="0"/>
              <w:marBottom w:val="0"/>
              <w:divBdr>
                <w:top w:val="none" w:sz="0" w:space="0" w:color="auto"/>
                <w:left w:val="none" w:sz="0" w:space="0" w:color="auto"/>
                <w:bottom w:val="none" w:sz="0" w:space="0" w:color="auto"/>
                <w:right w:val="none" w:sz="0" w:space="0" w:color="auto"/>
              </w:divBdr>
            </w:div>
            <w:div w:id="1586500973">
              <w:marLeft w:val="0"/>
              <w:marRight w:val="0"/>
              <w:marTop w:val="0"/>
              <w:marBottom w:val="0"/>
              <w:divBdr>
                <w:top w:val="none" w:sz="0" w:space="0" w:color="auto"/>
                <w:left w:val="none" w:sz="0" w:space="0" w:color="auto"/>
                <w:bottom w:val="none" w:sz="0" w:space="0" w:color="auto"/>
                <w:right w:val="none" w:sz="0" w:space="0" w:color="auto"/>
              </w:divBdr>
            </w:div>
            <w:div w:id="1625303832">
              <w:marLeft w:val="0"/>
              <w:marRight w:val="0"/>
              <w:marTop w:val="0"/>
              <w:marBottom w:val="0"/>
              <w:divBdr>
                <w:top w:val="none" w:sz="0" w:space="0" w:color="auto"/>
                <w:left w:val="none" w:sz="0" w:space="0" w:color="auto"/>
                <w:bottom w:val="none" w:sz="0" w:space="0" w:color="auto"/>
                <w:right w:val="none" w:sz="0" w:space="0" w:color="auto"/>
              </w:divBdr>
            </w:div>
            <w:div w:id="1649741887">
              <w:marLeft w:val="0"/>
              <w:marRight w:val="0"/>
              <w:marTop w:val="0"/>
              <w:marBottom w:val="0"/>
              <w:divBdr>
                <w:top w:val="none" w:sz="0" w:space="0" w:color="auto"/>
                <w:left w:val="none" w:sz="0" w:space="0" w:color="auto"/>
                <w:bottom w:val="none" w:sz="0" w:space="0" w:color="auto"/>
                <w:right w:val="none" w:sz="0" w:space="0" w:color="auto"/>
              </w:divBdr>
            </w:div>
            <w:div w:id="1930961326">
              <w:marLeft w:val="0"/>
              <w:marRight w:val="0"/>
              <w:marTop w:val="0"/>
              <w:marBottom w:val="0"/>
              <w:divBdr>
                <w:top w:val="none" w:sz="0" w:space="0" w:color="auto"/>
                <w:left w:val="none" w:sz="0" w:space="0" w:color="auto"/>
                <w:bottom w:val="none" w:sz="0" w:space="0" w:color="auto"/>
                <w:right w:val="none" w:sz="0" w:space="0" w:color="auto"/>
              </w:divBdr>
            </w:div>
            <w:div w:id="2035688049">
              <w:marLeft w:val="0"/>
              <w:marRight w:val="0"/>
              <w:marTop w:val="0"/>
              <w:marBottom w:val="0"/>
              <w:divBdr>
                <w:top w:val="none" w:sz="0" w:space="0" w:color="auto"/>
                <w:left w:val="none" w:sz="0" w:space="0" w:color="auto"/>
                <w:bottom w:val="none" w:sz="0" w:space="0" w:color="auto"/>
                <w:right w:val="none" w:sz="0" w:space="0" w:color="auto"/>
              </w:divBdr>
            </w:div>
          </w:divsChild>
        </w:div>
        <w:div w:id="947586830">
          <w:marLeft w:val="0"/>
          <w:marRight w:val="0"/>
          <w:marTop w:val="0"/>
          <w:marBottom w:val="0"/>
          <w:divBdr>
            <w:top w:val="none" w:sz="0" w:space="0" w:color="auto"/>
            <w:left w:val="none" w:sz="0" w:space="0" w:color="auto"/>
            <w:bottom w:val="none" w:sz="0" w:space="0" w:color="auto"/>
            <w:right w:val="none" w:sz="0" w:space="0" w:color="auto"/>
          </w:divBdr>
        </w:div>
        <w:div w:id="977495873">
          <w:marLeft w:val="0"/>
          <w:marRight w:val="0"/>
          <w:marTop w:val="0"/>
          <w:marBottom w:val="0"/>
          <w:divBdr>
            <w:top w:val="none" w:sz="0" w:space="0" w:color="auto"/>
            <w:left w:val="none" w:sz="0" w:space="0" w:color="auto"/>
            <w:bottom w:val="none" w:sz="0" w:space="0" w:color="auto"/>
            <w:right w:val="none" w:sz="0" w:space="0" w:color="auto"/>
          </w:divBdr>
        </w:div>
        <w:div w:id="1179344239">
          <w:marLeft w:val="0"/>
          <w:marRight w:val="0"/>
          <w:marTop w:val="0"/>
          <w:marBottom w:val="0"/>
          <w:divBdr>
            <w:top w:val="none" w:sz="0" w:space="0" w:color="auto"/>
            <w:left w:val="none" w:sz="0" w:space="0" w:color="auto"/>
            <w:bottom w:val="none" w:sz="0" w:space="0" w:color="auto"/>
            <w:right w:val="none" w:sz="0" w:space="0" w:color="auto"/>
          </w:divBdr>
          <w:divsChild>
            <w:div w:id="123470683">
              <w:marLeft w:val="0"/>
              <w:marRight w:val="0"/>
              <w:marTop w:val="0"/>
              <w:marBottom w:val="0"/>
              <w:divBdr>
                <w:top w:val="none" w:sz="0" w:space="0" w:color="auto"/>
                <w:left w:val="none" w:sz="0" w:space="0" w:color="auto"/>
                <w:bottom w:val="none" w:sz="0" w:space="0" w:color="auto"/>
                <w:right w:val="none" w:sz="0" w:space="0" w:color="auto"/>
              </w:divBdr>
            </w:div>
            <w:div w:id="150758168">
              <w:marLeft w:val="0"/>
              <w:marRight w:val="0"/>
              <w:marTop w:val="0"/>
              <w:marBottom w:val="0"/>
              <w:divBdr>
                <w:top w:val="none" w:sz="0" w:space="0" w:color="auto"/>
                <w:left w:val="none" w:sz="0" w:space="0" w:color="auto"/>
                <w:bottom w:val="none" w:sz="0" w:space="0" w:color="auto"/>
                <w:right w:val="none" w:sz="0" w:space="0" w:color="auto"/>
              </w:divBdr>
            </w:div>
            <w:div w:id="154998047">
              <w:marLeft w:val="0"/>
              <w:marRight w:val="0"/>
              <w:marTop w:val="0"/>
              <w:marBottom w:val="0"/>
              <w:divBdr>
                <w:top w:val="none" w:sz="0" w:space="0" w:color="auto"/>
                <w:left w:val="none" w:sz="0" w:space="0" w:color="auto"/>
                <w:bottom w:val="none" w:sz="0" w:space="0" w:color="auto"/>
                <w:right w:val="none" w:sz="0" w:space="0" w:color="auto"/>
              </w:divBdr>
            </w:div>
            <w:div w:id="216167314">
              <w:marLeft w:val="0"/>
              <w:marRight w:val="0"/>
              <w:marTop w:val="0"/>
              <w:marBottom w:val="0"/>
              <w:divBdr>
                <w:top w:val="none" w:sz="0" w:space="0" w:color="auto"/>
                <w:left w:val="none" w:sz="0" w:space="0" w:color="auto"/>
                <w:bottom w:val="none" w:sz="0" w:space="0" w:color="auto"/>
                <w:right w:val="none" w:sz="0" w:space="0" w:color="auto"/>
              </w:divBdr>
            </w:div>
            <w:div w:id="499351102">
              <w:marLeft w:val="0"/>
              <w:marRight w:val="0"/>
              <w:marTop w:val="0"/>
              <w:marBottom w:val="0"/>
              <w:divBdr>
                <w:top w:val="none" w:sz="0" w:space="0" w:color="auto"/>
                <w:left w:val="none" w:sz="0" w:space="0" w:color="auto"/>
                <w:bottom w:val="none" w:sz="0" w:space="0" w:color="auto"/>
                <w:right w:val="none" w:sz="0" w:space="0" w:color="auto"/>
              </w:divBdr>
            </w:div>
            <w:div w:id="969822130">
              <w:marLeft w:val="0"/>
              <w:marRight w:val="0"/>
              <w:marTop w:val="0"/>
              <w:marBottom w:val="0"/>
              <w:divBdr>
                <w:top w:val="none" w:sz="0" w:space="0" w:color="auto"/>
                <w:left w:val="none" w:sz="0" w:space="0" w:color="auto"/>
                <w:bottom w:val="none" w:sz="0" w:space="0" w:color="auto"/>
                <w:right w:val="none" w:sz="0" w:space="0" w:color="auto"/>
              </w:divBdr>
            </w:div>
            <w:div w:id="973608485">
              <w:marLeft w:val="0"/>
              <w:marRight w:val="0"/>
              <w:marTop w:val="0"/>
              <w:marBottom w:val="0"/>
              <w:divBdr>
                <w:top w:val="none" w:sz="0" w:space="0" w:color="auto"/>
                <w:left w:val="none" w:sz="0" w:space="0" w:color="auto"/>
                <w:bottom w:val="none" w:sz="0" w:space="0" w:color="auto"/>
                <w:right w:val="none" w:sz="0" w:space="0" w:color="auto"/>
              </w:divBdr>
            </w:div>
            <w:div w:id="1167941369">
              <w:marLeft w:val="0"/>
              <w:marRight w:val="0"/>
              <w:marTop w:val="0"/>
              <w:marBottom w:val="0"/>
              <w:divBdr>
                <w:top w:val="none" w:sz="0" w:space="0" w:color="auto"/>
                <w:left w:val="none" w:sz="0" w:space="0" w:color="auto"/>
                <w:bottom w:val="none" w:sz="0" w:space="0" w:color="auto"/>
                <w:right w:val="none" w:sz="0" w:space="0" w:color="auto"/>
              </w:divBdr>
            </w:div>
            <w:div w:id="1194076273">
              <w:marLeft w:val="0"/>
              <w:marRight w:val="0"/>
              <w:marTop w:val="0"/>
              <w:marBottom w:val="0"/>
              <w:divBdr>
                <w:top w:val="none" w:sz="0" w:space="0" w:color="auto"/>
                <w:left w:val="none" w:sz="0" w:space="0" w:color="auto"/>
                <w:bottom w:val="none" w:sz="0" w:space="0" w:color="auto"/>
                <w:right w:val="none" w:sz="0" w:space="0" w:color="auto"/>
              </w:divBdr>
            </w:div>
            <w:div w:id="1233001182">
              <w:marLeft w:val="0"/>
              <w:marRight w:val="0"/>
              <w:marTop w:val="0"/>
              <w:marBottom w:val="0"/>
              <w:divBdr>
                <w:top w:val="none" w:sz="0" w:space="0" w:color="auto"/>
                <w:left w:val="none" w:sz="0" w:space="0" w:color="auto"/>
                <w:bottom w:val="none" w:sz="0" w:space="0" w:color="auto"/>
                <w:right w:val="none" w:sz="0" w:space="0" w:color="auto"/>
              </w:divBdr>
            </w:div>
            <w:div w:id="1326937831">
              <w:marLeft w:val="0"/>
              <w:marRight w:val="0"/>
              <w:marTop w:val="0"/>
              <w:marBottom w:val="0"/>
              <w:divBdr>
                <w:top w:val="none" w:sz="0" w:space="0" w:color="auto"/>
                <w:left w:val="none" w:sz="0" w:space="0" w:color="auto"/>
                <w:bottom w:val="none" w:sz="0" w:space="0" w:color="auto"/>
                <w:right w:val="none" w:sz="0" w:space="0" w:color="auto"/>
              </w:divBdr>
            </w:div>
            <w:div w:id="1389381740">
              <w:marLeft w:val="0"/>
              <w:marRight w:val="0"/>
              <w:marTop w:val="0"/>
              <w:marBottom w:val="0"/>
              <w:divBdr>
                <w:top w:val="none" w:sz="0" w:space="0" w:color="auto"/>
                <w:left w:val="none" w:sz="0" w:space="0" w:color="auto"/>
                <w:bottom w:val="none" w:sz="0" w:space="0" w:color="auto"/>
                <w:right w:val="none" w:sz="0" w:space="0" w:color="auto"/>
              </w:divBdr>
            </w:div>
            <w:div w:id="1458455248">
              <w:marLeft w:val="0"/>
              <w:marRight w:val="0"/>
              <w:marTop w:val="0"/>
              <w:marBottom w:val="0"/>
              <w:divBdr>
                <w:top w:val="none" w:sz="0" w:space="0" w:color="auto"/>
                <w:left w:val="none" w:sz="0" w:space="0" w:color="auto"/>
                <w:bottom w:val="none" w:sz="0" w:space="0" w:color="auto"/>
                <w:right w:val="none" w:sz="0" w:space="0" w:color="auto"/>
              </w:divBdr>
            </w:div>
            <w:div w:id="1489400169">
              <w:marLeft w:val="0"/>
              <w:marRight w:val="0"/>
              <w:marTop w:val="0"/>
              <w:marBottom w:val="0"/>
              <w:divBdr>
                <w:top w:val="none" w:sz="0" w:space="0" w:color="auto"/>
                <w:left w:val="none" w:sz="0" w:space="0" w:color="auto"/>
                <w:bottom w:val="none" w:sz="0" w:space="0" w:color="auto"/>
                <w:right w:val="none" w:sz="0" w:space="0" w:color="auto"/>
              </w:divBdr>
            </w:div>
            <w:div w:id="1626693787">
              <w:marLeft w:val="0"/>
              <w:marRight w:val="0"/>
              <w:marTop w:val="0"/>
              <w:marBottom w:val="0"/>
              <w:divBdr>
                <w:top w:val="none" w:sz="0" w:space="0" w:color="auto"/>
                <w:left w:val="none" w:sz="0" w:space="0" w:color="auto"/>
                <w:bottom w:val="none" w:sz="0" w:space="0" w:color="auto"/>
                <w:right w:val="none" w:sz="0" w:space="0" w:color="auto"/>
              </w:divBdr>
            </w:div>
            <w:div w:id="1666588936">
              <w:marLeft w:val="0"/>
              <w:marRight w:val="0"/>
              <w:marTop w:val="0"/>
              <w:marBottom w:val="0"/>
              <w:divBdr>
                <w:top w:val="none" w:sz="0" w:space="0" w:color="auto"/>
                <w:left w:val="none" w:sz="0" w:space="0" w:color="auto"/>
                <w:bottom w:val="none" w:sz="0" w:space="0" w:color="auto"/>
                <w:right w:val="none" w:sz="0" w:space="0" w:color="auto"/>
              </w:divBdr>
            </w:div>
            <w:div w:id="1800496030">
              <w:marLeft w:val="0"/>
              <w:marRight w:val="0"/>
              <w:marTop w:val="0"/>
              <w:marBottom w:val="0"/>
              <w:divBdr>
                <w:top w:val="none" w:sz="0" w:space="0" w:color="auto"/>
                <w:left w:val="none" w:sz="0" w:space="0" w:color="auto"/>
                <w:bottom w:val="none" w:sz="0" w:space="0" w:color="auto"/>
                <w:right w:val="none" w:sz="0" w:space="0" w:color="auto"/>
              </w:divBdr>
            </w:div>
            <w:div w:id="1816528784">
              <w:marLeft w:val="0"/>
              <w:marRight w:val="0"/>
              <w:marTop w:val="0"/>
              <w:marBottom w:val="0"/>
              <w:divBdr>
                <w:top w:val="none" w:sz="0" w:space="0" w:color="auto"/>
                <w:left w:val="none" w:sz="0" w:space="0" w:color="auto"/>
                <w:bottom w:val="none" w:sz="0" w:space="0" w:color="auto"/>
                <w:right w:val="none" w:sz="0" w:space="0" w:color="auto"/>
              </w:divBdr>
            </w:div>
            <w:div w:id="1876967323">
              <w:marLeft w:val="0"/>
              <w:marRight w:val="0"/>
              <w:marTop w:val="0"/>
              <w:marBottom w:val="0"/>
              <w:divBdr>
                <w:top w:val="none" w:sz="0" w:space="0" w:color="auto"/>
                <w:left w:val="none" w:sz="0" w:space="0" w:color="auto"/>
                <w:bottom w:val="none" w:sz="0" w:space="0" w:color="auto"/>
                <w:right w:val="none" w:sz="0" w:space="0" w:color="auto"/>
              </w:divBdr>
            </w:div>
            <w:div w:id="1898710959">
              <w:marLeft w:val="0"/>
              <w:marRight w:val="0"/>
              <w:marTop w:val="0"/>
              <w:marBottom w:val="0"/>
              <w:divBdr>
                <w:top w:val="none" w:sz="0" w:space="0" w:color="auto"/>
                <w:left w:val="none" w:sz="0" w:space="0" w:color="auto"/>
                <w:bottom w:val="none" w:sz="0" w:space="0" w:color="auto"/>
                <w:right w:val="none" w:sz="0" w:space="0" w:color="auto"/>
              </w:divBdr>
            </w:div>
          </w:divsChild>
        </w:div>
        <w:div w:id="1235699894">
          <w:marLeft w:val="0"/>
          <w:marRight w:val="0"/>
          <w:marTop w:val="0"/>
          <w:marBottom w:val="0"/>
          <w:divBdr>
            <w:top w:val="none" w:sz="0" w:space="0" w:color="auto"/>
            <w:left w:val="none" w:sz="0" w:space="0" w:color="auto"/>
            <w:bottom w:val="none" w:sz="0" w:space="0" w:color="auto"/>
            <w:right w:val="none" w:sz="0" w:space="0" w:color="auto"/>
          </w:divBdr>
          <w:divsChild>
            <w:div w:id="2897638">
              <w:marLeft w:val="0"/>
              <w:marRight w:val="0"/>
              <w:marTop w:val="0"/>
              <w:marBottom w:val="0"/>
              <w:divBdr>
                <w:top w:val="none" w:sz="0" w:space="0" w:color="auto"/>
                <w:left w:val="none" w:sz="0" w:space="0" w:color="auto"/>
                <w:bottom w:val="none" w:sz="0" w:space="0" w:color="auto"/>
                <w:right w:val="none" w:sz="0" w:space="0" w:color="auto"/>
              </w:divBdr>
            </w:div>
            <w:div w:id="17439304">
              <w:marLeft w:val="0"/>
              <w:marRight w:val="0"/>
              <w:marTop w:val="0"/>
              <w:marBottom w:val="0"/>
              <w:divBdr>
                <w:top w:val="none" w:sz="0" w:space="0" w:color="auto"/>
                <w:left w:val="none" w:sz="0" w:space="0" w:color="auto"/>
                <w:bottom w:val="none" w:sz="0" w:space="0" w:color="auto"/>
                <w:right w:val="none" w:sz="0" w:space="0" w:color="auto"/>
              </w:divBdr>
            </w:div>
            <w:div w:id="38088820">
              <w:marLeft w:val="0"/>
              <w:marRight w:val="0"/>
              <w:marTop w:val="0"/>
              <w:marBottom w:val="0"/>
              <w:divBdr>
                <w:top w:val="none" w:sz="0" w:space="0" w:color="auto"/>
                <w:left w:val="none" w:sz="0" w:space="0" w:color="auto"/>
                <w:bottom w:val="none" w:sz="0" w:space="0" w:color="auto"/>
                <w:right w:val="none" w:sz="0" w:space="0" w:color="auto"/>
              </w:divBdr>
            </w:div>
            <w:div w:id="73818823">
              <w:marLeft w:val="0"/>
              <w:marRight w:val="0"/>
              <w:marTop w:val="0"/>
              <w:marBottom w:val="0"/>
              <w:divBdr>
                <w:top w:val="none" w:sz="0" w:space="0" w:color="auto"/>
                <w:left w:val="none" w:sz="0" w:space="0" w:color="auto"/>
                <w:bottom w:val="none" w:sz="0" w:space="0" w:color="auto"/>
                <w:right w:val="none" w:sz="0" w:space="0" w:color="auto"/>
              </w:divBdr>
            </w:div>
            <w:div w:id="357854773">
              <w:marLeft w:val="0"/>
              <w:marRight w:val="0"/>
              <w:marTop w:val="0"/>
              <w:marBottom w:val="0"/>
              <w:divBdr>
                <w:top w:val="none" w:sz="0" w:space="0" w:color="auto"/>
                <w:left w:val="none" w:sz="0" w:space="0" w:color="auto"/>
                <w:bottom w:val="none" w:sz="0" w:space="0" w:color="auto"/>
                <w:right w:val="none" w:sz="0" w:space="0" w:color="auto"/>
              </w:divBdr>
            </w:div>
            <w:div w:id="437066022">
              <w:marLeft w:val="0"/>
              <w:marRight w:val="0"/>
              <w:marTop w:val="0"/>
              <w:marBottom w:val="0"/>
              <w:divBdr>
                <w:top w:val="none" w:sz="0" w:space="0" w:color="auto"/>
                <w:left w:val="none" w:sz="0" w:space="0" w:color="auto"/>
                <w:bottom w:val="none" w:sz="0" w:space="0" w:color="auto"/>
                <w:right w:val="none" w:sz="0" w:space="0" w:color="auto"/>
              </w:divBdr>
            </w:div>
            <w:div w:id="545604039">
              <w:marLeft w:val="0"/>
              <w:marRight w:val="0"/>
              <w:marTop w:val="0"/>
              <w:marBottom w:val="0"/>
              <w:divBdr>
                <w:top w:val="none" w:sz="0" w:space="0" w:color="auto"/>
                <w:left w:val="none" w:sz="0" w:space="0" w:color="auto"/>
                <w:bottom w:val="none" w:sz="0" w:space="0" w:color="auto"/>
                <w:right w:val="none" w:sz="0" w:space="0" w:color="auto"/>
              </w:divBdr>
            </w:div>
            <w:div w:id="688482085">
              <w:marLeft w:val="0"/>
              <w:marRight w:val="0"/>
              <w:marTop w:val="0"/>
              <w:marBottom w:val="0"/>
              <w:divBdr>
                <w:top w:val="none" w:sz="0" w:space="0" w:color="auto"/>
                <w:left w:val="none" w:sz="0" w:space="0" w:color="auto"/>
                <w:bottom w:val="none" w:sz="0" w:space="0" w:color="auto"/>
                <w:right w:val="none" w:sz="0" w:space="0" w:color="auto"/>
              </w:divBdr>
            </w:div>
            <w:div w:id="857937180">
              <w:marLeft w:val="0"/>
              <w:marRight w:val="0"/>
              <w:marTop w:val="0"/>
              <w:marBottom w:val="0"/>
              <w:divBdr>
                <w:top w:val="none" w:sz="0" w:space="0" w:color="auto"/>
                <w:left w:val="none" w:sz="0" w:space="0" w:color="auto"/>
                <w:bottom w:val="none" w:sz="0" w:space="0" w:color="auto"/>
                <w:right w:val="none" w:sz="0" w:space="0" w:color="auto"/>
              </w:divBdr>
            </w:div>
            <w:div w:id="1029793292">
              <w:marLeft w:val="0"/>
              <w:marRight w:val="0"/>
              <w:marTop w:val="0"/>
              <w:marBottom w:val="0"/>
              <w:divBdr>
                <w:top w:val="none" w:sz="0" w:space="0" w:color="auto"/>
                <w:left w:val="none" w:sz="0" w:space="0" w:color="auto"/>
                <w:bottom w:val="none" w:sz="0" w:space="0" w:color="auto"/>
                <w:right w:val="none" w:sz="0" w:space="0" w:color="auto"/>
              </w:divBdr>
            </w:div>
            <w:div w:id="1030953838">
              <w:marLeft w:val="0"/>
              <w:marRight w:val="0"/>
              <w:marTop w:val="0"/>
              <w:marBottom w:val="0"/>
              <w:divBdr>
                <w:top w:val="none" w:sz="0" w:space="0" w:color="auto"/>
                <w:left w:val="none" w:sz="0" w:space="0" w:color="auto"/>
                <w:bottom w:val="none" w:sz="0" w:space="0" w:color="auto"/>
                <w:right w:val="none" w:sz="0" w:space="0" w:color="auto"/>
              </w:divBdr>
            </w:div>
            <w:div w:id="1265263845">
              <w:marLeft w:val="0"/>
              <w:marRight w:val="0"/>
              <w:marTop w:val="0"/>
              <w:marBottom w:val="0"/>
              <w:divBdr>
                <w:top w:val="none" w:sz="0" w:space="0" w:color="auto"/>
                <w:left w:val="none" w:sz="0" w:space="0" w:color="auto"/>
                <w:bottom w:val="none" w:sz="0" w:space="0" w:color="auto"/>
                <w:right w:val="none" w:sz="0" w:space="0" w:color="auto"/>
              </w:divBdr>
            </w:div>
            <w:div w:id="1303120567">
              <w:marLeft w:val="0"/>
              <w:marRight w:val="0"/>
              <w:marTop w:val="0"/>
              <w:marBottom w:val="0"/>
              <w:divBdr>
                <w:top w:val="none" w:sz="0" w:space="0" w:color="auto"/>
                <w:left w:val="none" w:sz="0" w:space="0" w:color="auto"/>
                <w:bottom w:val="none" w:sz="0" w:space="0" w:color="auto"/>
                <w:right w:val="none" w:sz="0" w:space="0" w:color="auto"/>
              </w:divBdr>
            </w:div>
            <w:div w:id="1320884156">
              <w:marLeft w:val="0"/>
              <w:marRight w:val="0"/>
              <w:marTop w:val="0"/>
              <w:marBottom w:val="0"/>
              <w:divBdr>
                <w:top w:val="none" w:sz="0" w:space="0" w:color="auto"/>
                <w:left w:val="none" w:sz="0" w:space="0" w:color="auto"/>
                <w:bottom w:val="none" w:sz="0" w:space="0" w:color="auto"/>
                <w:right w:val="none" w:sz="0" w:space="0" w:color="auto"/>
              </w:divBdr>
            </w:div>
            <w:div w:id="1412040034">
              <w:marLeft w:val="0"/>
              <w:marRight w:val="0"/>
              <w:marTop w:val="0"/>
              <w:marBottom w:val="0"/>
              <w:divBdr>
                <w:top w:val="none" w:sz="0" w:space="0" w:color="auto"/>
                <w:left w:val="none" w:sz="0" w:space="0" w:color="auto"/>
                <w:bottom w:val="none" w:sz="0" w:space="0" w:color="auto"/>
                <w:right w:val="none" w:sz="0" w:space="0" w:color="auto"/>
              </w:divBdr>
            </w:div>
            <w:div w:id="1430928478">
              <w:marLeft w:val="0"/>
              <w:marRight w:val="0"/>
              <w:marTop w:val="0"/>
              <w:marBottom w:val="0"/>
              <w:divBdr>
                <w:top w:val="none" w:sz="0" w:space="0" w:color="auto"/>
                <w:left w:val="none" w:sz="0" w:space="0" w:color="auto"/>
                <w:bottom w:val="none" w:sz="0" w:space="0" w:color="auto"/>
                <w:right w:val="none" w:sz="0" w:space="0" w:color="auto"/>
              </w:divBdr>
            </w:div>
            <w:div w:id="1472475277">
              <w:marLeft w:val="0"/>
              <w:marRight w:val="0"/>
              <w:marTop w:val="0"/>
              <w:marBottom w:val="0"/>
              <w:divBdr>
                <w:top w:val="none" w:sz="0" w:space="0" w:color="auto"/>
                <w:left w:val="none" w:sz="0" w:space="0" w:color="auto"/>
                <w:bottom w:val="none" w:sz="0" w:space="0" w:color="auto"/>
                <w:right w:val="none" w:sz="0" w:space="0" w:color="auto"/>
              </w:divBdr>
            </w:div>
            <w:div w:id="1764954059">
              <w:marLeft w:val="0"/>
              <w:marRight w:val="0"/>
              <w:marTop w:val="0"/>
              <w:marBottom w:val="0"/>
              <w:divBdr>
                <w:top w:val="none" w:sz="0" w:space="0" w:color="auto"/>
                <w:left w:val="none" w:sz="0" w:space="0" w:color="auto"/>
                <w:bottom w:val="none" w:sz="0" w:space="0" w:color="auto"/>
                <w:right w:val="none" w:sz="0" w:space="0" w:color="auto"/>
              </w:divBdr>
            </w:div>
            <w:div w:id="1956860485">
              <w:marLeft w:val="0"/>
              <w:marRight w:val="0"/>
              <w:marTop w:val="0"/>
              <w:marBottom w:val="0"/>
              <w:divBdr>
                <w:top w:val="none" w:sz="0" w:space="0" w:color="auto"/>
                <w:left w:val="none" w:sz="0" w:space="0" w:color="auto"/>
                <w:bottom w:val="none" w:sz="0" w:space="0" w:color="auto"/>
                <w:right w:val="none" w:sz="0" w:space="0" w:color="auto"/>
              </w:divBdr>
            </w:div>
            <w:div w:id="2074617294">
              <w:marLeft w:val="0"/>
              <w:marRight w:val="0"/>
              <w:marTop w:val="0"/>
              <w:marBottom w:val="0"/>
              <w:divBdr>
                <w:top w:val="none" w:sz="0" w:space="0" w:color="auto"/>
                <w:left w:val="none" w:sz="0" w:space="0" w:color="auto"/>
                <w:bottom w:val="none" w:sz="0" w:space="0" w:color="auto"/>
                <w:right w:val="none" w:sz="0" w:space="0" w:color="auto"/>
              </w:divBdr>
            </w:div>
          </w:divsChild>
        </w:div>
        <w:div w:id="1249923532">
          <w:marLeft w:val="0"/>
          <w:marRight w:val="0"/>
          <w:marTop w:val="0"/>
          <w:marBottom w:val="0"/>
          <w:divBdr>
            <w:top w:val="none" w:sz="0" w:space="0" w:color="auto"/>
            <w:left w:val="none" w:sz="0" w:space="0" w:color="auto"/>
            <w:bottom w:val="none" w:sz="0" w:space="0" w:color="auto"/>
            <w:right w:val="none" w:sz="0" w:space="0" w:color="auto"/>
          </w:divBdr>
        </w:div>
        <w:div w:id="1615017766">
          <w:marLeft w:val="0"/>
          <w:marRight w:val="0"/>
          <w:marTop w:val="0"/>
          <w:marBottom w:val="0"/>
          <w:divBdr>
            <w:top w:val="none" w:sz="0" w:space="0" w:color="auto"/>
            <w:left w:val="none" w:sz="0" w:space="0" w:color="auto"/>
            <w:bottom w:val="none" w:sz="0" w:space="0" w:color="auto"/>
            <w:right w:val="none" w:sz="0" w:space="0" w:color="auto"/>
          </w:divBdr>
          <w:divsChild>
            <w:div w:id="185363467">
              <w:marLeft w:val="0"/>
              <w:marRight w:val="0"/>
              <w:marTop w:val="0"/>
              <w:marBottom w:val="0"/>
              <w:divBdr>
                <w:top w:val="none" w:sz="0" w:space="0" w:color="auto"/>
                <w:left w:val="none" w:sz="0" w:space="0" w:color="auto"/>
                <w:bottom w:val="none" w:sz="0" w:space="0" w:color="auto"/>
                <w:right w:val="none" w:sz="0" w:space="0" w:color="auto"/>
              </w:divBdr>
            </w:div>
            <w:div w:id="260334904">
              <w:marLeft w:val="0"/>
              <w:marRight w:val="0"/>
              <w:marTop w:val="0"/>
              <w:marBottom w:val="0"/>
              <w:divBdr>
                <w:top w:val="none" w:sz="0" w:space="0" w:color="auto"/>
                <w:left w:val="none" w:sz="0" w:space="0" w:color="auto"/>
                <w:bottom w:val="none" w:sz="0" w:space="0" w:color="auto"/>
                <w:right w:val="none" w:sz="0" w:space="0" w:color="auto"/>
              </w:divBdr>
            </w:div>
            <w:div w:id="547448318">
              <w:marLeft w:val="0"/>
              <w:marRight w:val="0"/>
              <w:marTop w:val="0"/>
              <w:marBottom w:val="0"/>
              <w:divBdr>
                <w:top w:val="none" w:sz="0" w:space="0" w:color="auto"/>
                <w:left w:val="none" w:sz="0" w:space="0" w:color="auto"/>
                <w:bottom w:val="none" w:sz="0" w:space="0" w:color="auto"/>
                <w:right w:val="none" w:sz="0" w:space="0" w:color="auto"/>
              </w:divBdr>
            </w:div>
            <w:div w:id="734088833">
              <w:marLeft w:val="0"/>
              <w:marRight w:val="0"/>
              <w:marTop w:val="0"/>
              <w:marBottom w:val="0"/>
              <w:divBdr>
                <w:top w:val="none" w:sz="0" w:space="0" w:color="auto"/>
                <w:left w:val="none" w:sz="0" w:space="0" w:color="auto"/>
                <w:bottom w:val="none" w:sz="0" w:space="0" w:color="auto"/>
                <w:right w:val="none" w:sz="0" w:space="0" w:color="auto"/>
              </w:divBdr>
            </w:div>
            <w:div w:id="753673219">
              <w:marLeft w:val="0"/>
              <w:marRight w:val="0"/>
              <w:marTop w:val="0"/>
              <w:marBottom w:val="0"/>
              <w:divBdr>
                <w:top w:val="none" w:sz="0" w:space="0" w:color="auto"/>
                <w:left w:val="none" w:sz="0" w:space="0" w:color="auto"/>
                <w:bottom w:val="none" w:sz="0" w:space="0" w:color="auto"/>
                <w:right w:val="none" w:sz="0" w:space="0" w:color="auto"/>
              </w:divBdr>
            </w:div>
            <w:div w:id="830414959">
              <w:marLeft w:val="0"/>
              <w:marRight w:val="0"/>
              <w:marTop w:val="0"/>
              <w:marBottom w:val="0"/>
              <w:divBdr>
                <w:top w:val="none" w:sz="0" w:space="0" w:color="auto"/>
                <w:left w:val="none" w:sz="0" w:space="0" w:color="auto"/>
                <w:bottom w:val="none" w:sz="0" w:space="0" w:color="auto"/>
                <w:right w:val="none" w:sz="0" w:space="0" w:color="auto"/>
              </w:divBdr>
            </w:div>
            <w:div w:id="967518009">
              <w:marLeft w:val="0"/>
              <w:marRight w:val="0"/>
              <w:marTop w:val="0"/>
              <w:marBottom w:val="0"/>
              <w:divBdr>
                <w:top w:val="none" w:sz="0" w:space="0" w:color="auto"/>
                <w:left w:val="none" w:sz="0" w:space="0" w:color="auto"/>
                <w:bottom w:val="none" w:sz="0" w:space="0" w:color="auto"/>
                <w:right w:val="none" w:sz="0" w:space="0" w:color="auto"/>
              </w:divBdr>
            </w:div>
            <w:div w:id="1164587436">
              <w:marLeft w:val="0"/>
              <w:marRight w:val="0"/>
              <w:marTop w:val="0"/>
              <w:marBottom w:val="0"/>
              <w:divBdr>
                <w:top w:val="none" w:sz="0" w:space="0" w:color="auto"/>
                <w:left w:val="none" w:sz="0" w:space="0" w:color="auto"/>
                <w:bottom w:val="none" w:sz="0" w:space="0" w:color="auto"/>
                <w:right w:val="none" w:sz="0" w:space="0" w:color="auto"/>
              </w:divBdr>
            </w:div>
            <w:div w:id="1253008410">
              <w:marLeft w:val="0"/>
              <w:marRight w:val="0"/>
              <w:marTop w:val="0"/>
              <w:marBottom w:val="0"/>
              <w:divBdr>
                <w:top w:val="none" w:sz="0" w:space="0" w:color="auto"/>
                <w:left w:val="none" w:sz="0" w:space="0" w:color="auto"/>
                <w:bottom w:val="none" w:sz="0" w:space="0" w:color="auto"/>
                <w:right w:val="none" w:sz="0" w:space="0" w:color="auto"/>
              </w:divBdr>
            </w:div>
            <w:div w:id="1278559415">
              <w:marLeft w:val="0"/>
              <w:marRight w:val="0"/>
              <w:marTop w:val="0"/>
              <w:marBottom w:val="0"/>
              <w:divBdr>
                <w:top w:val="none" w:sz="0" w:space="0" w:color="auto"/>
                <w:left w:val="none" w:sz="0" w:space="0" w:color="auto"/>
                <w:bottom w:val="none" w:sz="0" w:space="0" w:color="auto"/>
                <w:right w:val="none" w:sz="0" w:space="0" w:color="auto"/>
              </w:divBdr>
            </w:div>
            <w:div w:id="1541740425">
              <w:marLeft w:val="0"/>
              <w:marRight w:val="0"/>
              <w:marTop w:val="0"/>
              <w:marBottom w:val="0"/>
              <w:divBdr>
                <w:top w:val="none" w:sz="0" w:space="0" w:color="auto"/>
                <w:left w:val="none" w:sz="0" w:space="0" w:color="auto"/>
                <w:bottom w:val="none" w:sz="0" w:space="0" w:color="auto"/>
                <w:right w:val="none" w:sz="0" w:space="0" w:color="auto"/>
              </w:divBdr>
            </w:div>
            <w:div w:id="1564637465">
              <w:marLeft w:val="0"/>
              <w:marRight w:val="0"/>
              <w:marTop w:val="0"/>
              <w:marBottom w:val="0"/>
              <w:divBdr>
                <w:top w:val="none" w:sz="0" w:space="0" w:color="auto"/>
                <w:left w:val="none" w:sz="0" w:space="0" w:color="auto"/>
                <w:bottom w:val="none" w:sz="0" w:space="0" w:color="auto"/>
                <w:right w:val="none" w:sz="0" w:space="0" w:color="auto"/>
              </w:divBdr>
            </w:div>
            <w:div w:id="1570265257">
              <w:marLeft w:val="0"/>
              <w:marRight w:val="0"/>
              <w:marTop w:val="0"/>
              <w:marBottom w:val="0"/>
              <w:divBdr>
                <w:top w:val="none" w:sz="0" w:space="0" w:color="auto"/>
                <w:left w:val="none" w:sz="0" w:space="0" w:color="auto"/>
                <w:bottom w:val="none" w:sz="0" w:space="0" w:color="auto"/>
                <w:right w:val="none" w:sz="0" w:space="0" w:color="auto"/>
              </w:divBdr>
            </w:div>
            <w:div w:id="1620994833">
              <w:marLeft w:val="0"/>
              <w:marRight w:val="0"/>
              <w:marTop w:val="0"/>
              <w:marBottom w:val="0"/>
              <w:divBdr>
                <w:top w:val="none" w:sz="0" w:space="0" w:color="auto"/>
                <w:left w:val="none" w:sz="0" w:space="0" w:color="auto"/>
                <w:bottom w:val="none" w:sz="0" w:space="0" w:color="auto"/>
                <w:right w:val="none" w:sz="0" w:space="0" w:color="auto"/>
              </w:divBdr>
            </w:div>
            <w:div w:id="1673026656">
              <w:marLeft w:val="0"/>
              <w:marRight w:val="0"/>
              <w:marTop w:val="0"/>
              <w:marBottom w:val="0"/>
              <w:divBdr>
                <w:top w:val="none" w:sz="0" w:space="0" w:color="auto"/>
                <w:left w:val="none" w:sz="0" w:space="0" w:color="auto"/>
                <w:bottom w:val="none" w:sz="0" w:space="0" w:color="auto"/>
                <w:right w:val="none" w:sz="0" w:space="0" w:color="auto"/>
              </w:divBdr>
            </w:div>
            <w:div w:id="1790398352">
              <w:marLeft w:val="0"/>
              <w:marRight w:val="0"/>
              <w:marTop w:val="0"/>
              <w:marBottom w:val="0"/>
              <w:divBdr>
                <w:top w:val="none" w:sz="0" w:space="0" w:color="auto"/>
                <w:left w:val="none" w:sz="0" w:space="0" w:color="auto"/>
                <w:bottom w:val="none" w:sz="0" w:space="0" w:color="auto"/>
                <w:right w:val="none" w:sz="0" w:space="0" w:color="auto"/>
              </w:divBdr>
            </w:div>
            <w:div w:id="2027756349">
              <w:marLeft w:val="0"/>
              <w:marRight w:val="0"/>
              <w:marTop w:val="0"/>
              <w:marBottom w:val="0"/>
              <w:divBdr>
                <w:top w:val="none" w:sz="0" w:space="0" w:color="auto"/>
                <w:left w:val="none" w:sz="0" w:space="0" w:color="auto"/>
                <w:bottom w:val="none" w:sz="0" w:space="0" w:color="auto"/>
                <w:right w:val="none" w:sz="0" w:space="0" w:color="auto"/>
              </w:divBdr>
            </w:div>
            <w:div w:id="2105344897">
              <w:marLeft w:val="0"/>
              <w:marRight w:val="0"/>
              <w:marTop w:val="0"/>
              <w:marBottom w:val="0"/>
              <w:divBdr>
                <w:top w:val="none" w:sz="0" w:space="0" w:color="auto"/>
                <w:left w:val="none" w:sz="0" w:space="0" w:color="auto"/>
                <w:bottom w:val="none" w:sz="0" w:space="0" w:color="auto"/>
                <w:right w:val="none" w:sz="0" w:space="0" w:color="auto"/>
              </w:divBdr>
            </w:div>
            <w:div w:id="2116170134">
              <w:marLeft w:val="0"/>
              <w:marRight w:val="0"/>
              <w:marTop w:val="0"/>
              <w:marBottom w:val="0"/>
              <w:divBdr>
                <w:top w:val="none" w:sz="0" w:space="0" w:color="auto"/>
                <w:left w:val="none" w:sz="0" w:space="0" w:color="auto"/>
                <w:bottom w:val="none" w:sz="0" w:space="0" w:color="auto"/>
                <w:right w:val="none" w:sz="0" w:space="0" w:color="auto"/>
              </w:divBdr>
            </w:div>
            <w:div w:id="2127962322">
              <w:marLeft w:val="0"/>
              <w:marRight w:val="0"/>
              <w:marTop w:val="0"/>
              <w:marBottom w:val="0"/>
              <w:divBdr>
                <w:top w:val="none" w:sz="0" w:space="0" w:color="auto"/>
                <w:left w:val="none" w:sz="0" w:space="0" w:color="auto"/>
                <w:bottom w:val="none" w:sz="0" w:space="0" w:color="auto"/>
                <w:right w:val="none" w:sz="0" w:space="0" w:color="auto"/>
              </w:divBdr>
            </w:div>
          </w:divsChild>
        </w:div>
        <w:div w:id="1626689388">
          <w:marLeft w:val="0"/>
          <w:marRight w:val="0"/>
          <w:marTop w:val="0"/>
          <w:marBottom w:val="0"/>
          <w:divBdr>
            <w:top w:val="none" w:sz="0" w:space="0" w:color="auto"/>
            <w:left w:val="none" w:sz="0" w:space="0" w:color="auto"/>
            <w:bottom w:val="none" w:sz="0" w:space="0" w:color="auto"/>
            <w:right w:val="none" w:sz="0" w:space="0" w:color="auto"/>
          </w:divBdr>
          <w:divsChild>
            <w:div w:id="242187110">
              <w:marLeft w:val="0"/>
              <w:marRight w:val="0"/>
              <w:marTop w:val="0"/>
              <w:marBottom w:val="0"/>
              <w:divBdr>
                <w:top w:val="none" w:sz="0" w:space="0" w:color="auto"/>
                <w:left w:val="none" w:sz="0" w:space="0" w:color="auto"/>
                <w:bottom w:val="none" w:sz="0" w:space="0" w:color="auto"/>
                <w:right w:val="none" w:sz="0" w:space="0" w:color="auto"/>
              </w:divBdr>
            </w:div>
            <w:div w:id="244844206">
              <w:marLeft w:val="0"/>
              <w:marRight w:val="0"/>
              <w:marTop w:val="0"/>
              <w:marBottom w:val="0"/>
              <w:divBdr>
                <w:top w:val="none" w:sz="0" w:space="0" w:color="auto"/>
                <w:left w:val="none" w:sz="0" w:space="0" w:color="auto"/>
                <w:bottom w:val="none" w:sz="0" w:space="0" w:color="auto"/>
                <w:right w:val="none" w:sz="0" w:space="0" w:color="auto"/>
              </w:divBdr>
            </w:div>
            <w:div w:id="247160007">
              <w:marLeft w:val="0"/>
              <w:marRight w:val="0"/>
              <w:marTop w:val="0"/>
              <w:marBottom w:val="0"/>
              <w:divBdr>
                <w:top w:val="none" w:sz="0" w:space="0" w:color="auto"/>
                <w:left w:val="none" w:sz="0" w:space="0" w:color="auto"/>
                <w:bottom w:val="none" w:sz="0" w:space="0" w:color="auto"/>
                <w:right w:val="none" w:sz="0" w:space="0" w:color="auto"/>
              </w:divBdr>
            </w:div>
            <w:div w:id="458769415">
              <w:marLeft w:val="0"/>
              <w:marRight w:val="0"/>
              <w:marTop w:val="0"/>
              <w:marBottom w:val="0"/>
              <w:divBdr>
                <w:top w:val="none" w:sz="0" w:space="0" w:color="auto"/>
                <w:left w:val="none" w:sz="0" w:space="0" w:color="auto"/>
                <w:bottom w:val="none" w:sz="0" w:space="0" w:color="auto"/>
                <w:right w:val="none" w:sz="0" w:space="0" w:color="auto"/>
              </w:divBdr>
            </w:div>
            <w:div w:id="464852086">
              <w:marLeft w:val="0"/>
              <w:marRight w:val="0"/>
              <w:marTop w:val="0"/>
              <w:marBottom w:val="0"/>
              <w:divBdr>
                <w:top w:val="none" w:sz="0" w:space="0" w:color="auto"/>
                <w:left w:val="none" w:sz="0" w:space="0" w:color="auto"/>
                <w:bottom w:val="none" w:sz="0" w:space="0" w:color="auto"/>
                <w:right w:val="none" w:sz="0" w:space="0" w:color="auto"/>
              </w:divBdr>
            </w:div>
            <w:div w:id="612321068">
              <w:marLeft w:val="0"/>
              <w:marRight w:val="0"/>
              <w:marTop w:val="0"/>
              <w:marBottom w:val="0"/>
              <w:divBdr>
                <w:top w:val="none" w:sz="0" w:space="0" w:color="auto"/>
                <w:left w:val="none" w:sz="0" w:space="0" w:color="auto"/>
                <w:bottom w:val="none" w:sz="0" w:space="0" w:color="auto"/>
                <w:right w:val="none" w:sz="0" w:space="0" w:color="auto"/>
              </w:divBdr>
            </w:div>
            <w:div w:id="682435134">
              <w:marLeft w:val="0"/>
              <w:marRight w:val="0"/>
              <w:marTop w:val="0"/>
              <w:marBottom w:val="0"/>
              <w:divBdr>
                <w:top w:val="none" w:sz="0" w:space="0" w:color="auto"/>
                <w:left w:val="none" w:sz="0" w:space="0" w:color="auto"/>
                <w:bottom w:val="none" w:sz="0" w:space="0" w:color="auto"/>
                <w:right w:val="none" w:sz="0" w:space="0" w:color="auto"/>
              </w:divBdr>
            </w:div>
            <w:div w:id="713777879">
              <w:marLeft w:val="0"/>
              <w:marRight w:val="0"/>
              <w:marTop w:val="0"/>
              <w:marBottom w:val="0"/>
              <w:divBdr>
                <w:top w:val="none" w:sz="0" w:space="0" w:color="auto"/>
                <w:left w:val="none" w:sz="0" w:space="0" w:color="auto"/>
                <w:bottom w:val="none" w:sz="0" w:space="0" w:color="auto"/>
                <w:right w:val="none" w:sz="0" w:space="0" w:color="auto"/>
              </w:divBdr>
            </w:div>
            <w:div w:id="724137536">
              <w:marLeft w:val="0"/>
              <w:marRight w:val="0"/>
              <w:marTop w:val="0"/>
              <w:marBottom w:val="0"/>
              <w:divBdr>
                <w:top w:val="none" w:sz="0" w:space="0" w:color="auto"/>
                <w:left w:val="none" w:sz="0" w:space="0" w:color="auto"/>
                <w:bottom w:val="none" w:sz="0" w:space="0" w:color="auto"/>
                <w:right w:val="none" w:sz="0" w:space="0" w:color="auto"/>
              </w:divBdr>
            </w:div>
            <w:div w:id="827551819">
              <w:marLeft w:val="0"/>
              <w:marRight w:val="0"/>
              <w:marTop w:val="0"/>
              <w:marBottom w:val="0"/>
              <w:divBdr>
                <w:top w:val="none" w:sz="0" w:space="0" w:color="auto"/>
                <w:left w:val="none" w:sz="0" w:space="0" w:color="auto"/>
                <w:bottom w:val="none" w:sz="0" w:space="0" w:color="auto"/>
                <w:right w:val="none" w:sz="0" w:space="0" w:color="auto"/>
              </w:divBdr>
            </w:div>
            <w:div w:id="1078672991">
              <w:marLeft w:val="0"/>
              <w:marRight w:val="0"/>
              <w:marTop w:val="0"/>
              <w:marBottom w:val="0"/>
              <w:divBdr>
                <w:top w:val="none" w:sz="0" w:space="0" w:color="auto"/>
                <w:left w:val="none" w:sz="0" w:space="0" w:color="auto"/>
                <w:bottom w:val="none" w:sz="0" w:space="0" w:color="auto"/>
                <w:right w:val="none" w:sz="0" w:space="0" w:color="auto"/>
              </w:divBdr>
            </w:div>
            <w:div w:id="1146779770">
              <w:marLeft w:val="0"/>
              <w:marRight w:val="0"/>
              <w:marTop w:val="0"/>
              <w:marBottom w:val="0"/>
              <w:divBdr>
                <w:top w:val="none" w:sz="0" w:space="0" w:color="auto"/>
                <w:left w:val="none" w:sz="0" w:space="0" w:color="auto"/>
                <w:bottom w:val="none" w:sz="0" w:space="0" w:color="auto"/>
                <w:right w:val="none" w:sz="0" w:space="0" w:color="auto"/>
              </w:divBdr>
            </w:div>
            <w:div w:id="1526746974">
              <w:marLeft w:val="0"/>
              <w:marRight w:val="0"/>
              <w:marTop w:val="0"/>
              <w:marBottom w:val="0"/>
              <w:divBdr>
                <w:top w:val="none" w:sz="0" w:space="0" w:color="auto"/>
                <w:left w:val="none" w:sz="0" w:space="0" w:color="auto"/>
                <w:bottom w:val="none" w:sz="0" w:space="0" w:color="auto"/>
                <w:right w:val="none" w:sz="0" w:space="0" w:color="auto"/>
              </w:divBdr>
            </w:div>
            <w:div w:id="1602644333">
              <w:marLeft w:val="0"/>
              <w:marRight w:val="0"/>
              <w:marTop w:val="0"/>
              <w:marBottom w:val="0"/>
              <w:divBdr>
                <w:top w:val="none" w:sz="0" w:space="0" w:color="auto"/>
                <w:left w:val="none" w:sz="0" w:space="0" w:color="auto"/>
                <w:bottom w:val="none" w:sz="0" w:space="0" w:color="auto"/>
                <w:right w:val="none" w:sz="0" w:space="0" w:color="auto"/>
              </w:divBdr>
            </w:div>
            <w:div w:id="1689021339">
              <w:marLeft w:val="0"/>
              <w:marRight w:val="0"/>
              <w:marTop w:val="0"/>
              <w:marBottom w:val="0"/>
              <w:divBdr>
                <w:top w:val="none" w:sz="0" w:space="0" w:color="auto"/>
                <w:left w:val="none" w:sz="0" w:space="0" w:color="auto"/>
                <w:bottom w:val="none" w:sz="0" w:space="0" w:color="auto"/>
                <w:right w:val="none" w:sz="0" w:space="0" w:color="auto"/>
              </w:divBdr>
            </w:div>
            <w:div w:id="1840193605">
              <w:marLeft w:val="0"/>
              <w:marRight w:val="0"/>
              <w:marTop w:val="0"/>
              <w:marBottom w:val="0"/>
              <w:divBdr>
                <w:top w:val="none" w:sz="0" w:space="0" w:color="auto"/>
                <w:left w:val="none" w:sz="0" w:space="0" w:color="auto"/>
                <w:bottom w:val="none" w:sz="0" w:space="0" w:color="auto"/>
                <w:right w:val="none" w:sz="0" w:space="0" w:color="auto"/>
              </w:divBdr>
            </w:div>
            <w:div w:id="1940063529">
              <w:marLeft w:val="0"/>
              <w:marRight w:val="0"/>
              <w:marTop w:val="0"/>
              <w:marBottom w:val="0"/>
              <w:divBdr>
                <w:top w:val="none" w:sz="0" w:space="0" w:color="auto"/>
                <w:left w:val="none" w:sz="0" w:space="0" w:color="auto"/>
                <w:bottom w:val="none" w:sz="0" w:space="0" w:color="auto"/>
                <w:right w:val="none" w:sz="0" w:space="0" w:color="auto"/>
              </w:divBdr>
            </w:div>
            <w:div w:id="1992370768">
              <w:marLeft w:val="0"/>
              <w:marRight w:val="0"/>
              <w:marTop w:val="0"/>
              <w:marBottom w:val="0"/>
              <w:divBdr>
                <w:top w:val="none" w:sz="0" w:space="0" w:color="auto"/>
                <w:left w:val="none" w:sz="0" w:space="0" w:color="auto"/>
                <w:bottom w:val="none" w:sz="0" w:space="0" w:color="auto"/>
                <w:right w:val="none" w:sz="0" w:space="0" w:color="auto"/>
              </w:divBdr>
            </w:div>
            <w:div w:id="2038462204">
              <w:marLeft w:val="0"/>
              <w:marRight w:val="0"/>
              <w:marTop w:val="0"/>
              <w:marBottom w:val="0"/>
              <w:divBdr>
                <w:top w:val="none" w:sz="0" w:space="0" w:color="auto"/>
                <w:left w:val="none" w:sz="0" w:space="0" w:color="auto"/>
                <w:bottom w:val="none" w:sz="0" w:space="0" w:color="auto"/>
                <w:right w:val="none" w:sz="0" w:space="0" w:color="auto"/>
              </w:divBdr>
            </w:div>
            <w:div w:id="2140414026">
              <w:marLeft w:val="0"/>
              <w:marRight w:val="0"/>
              <w:marTop w:val="0"/>
              <w:marBottom w:val="0"/>
              <w:divBdr>
                <w:top w:val="none" w:sz="0" w:space="0" w:color="auto"/>
                <w:left w:val="none" w:sz="0" w:space="0" w:color="auto"/>
                <w:bottom w:val="none" w:sz="0" w:space="0" w:color="auto"/>
                <w:right w:val="none" w:sz="0" w:space="0" w:color="auto"/>
              </w:divBdr>
            </w:div>
          </w:divsChild>
        </w:div>
        <w:div w:id="1644844366">
          <w:marLeft w:val="0"/>
          <w:marRight w:val="0"/>
          <w:marTop w:val="0"/>
          <w:marBottom w:val="0"/>
          <w:divBdr>
            <w:top w:val="none" w:sz="0" w:space="0" w:color="auto"/>
            <w:left w:val="none" w:sz="0" w:space="0" w:color="auto"/>
            <w:bottom w:val="none" w:sz="0" w:space="0" w:color="auto"/>
            <w:right w:val="none" w:sz="0" w:space="0" w:color="auto"/>
          </w:divBdr>
          <w:divsChild>
            <w:div w:id="56636311">
              <w:marLeft w:val="0"/>
              <w:marRight w:val="0"/>
              <w:marTop w:val="0"/>
              <w:marBottom w:val="0"/>
              <w:divBdr>
                <w:top w:val="none" w:sz="0" w:space="0" w:color="auto"/>
                <w:left w:val="none" w:sz="0" w:space="0" w:color="auto"/>
                <w:bottom w:val="none" w:sz="0" w:space="0" w:color="auto"/>
                <w:right w:val="none" w:sz="0" w:space="0" w:color="auto"/>
              </w:divBdr>
            </w:div>
            <w:div w:id="298922361">
              <w:marLeft w:val="0"/>
              <w:marRight w:val="0"/>
              <w:marTop w:val="0"/>
              <w:marBottom w:val="0"/>
              <w:divBdr>
                <w:top w:val="none" w:sz="0" w:space="0" w:color="auto"/>
                <w:left w:val="none" w:sz="0" w:space="0" w:color="auto"/>
                <w:bottom w:val="none" w:sz="0" w:space="0" w:color="auto"/>
                <w:right w:val="none" w:sz="0" w:space="0" w:color="auto"/>
              </w:divBdr>
            </w:div>
            <w:div w:id="400712572">
              <w:marLeft w:val="0"/>
              <w:marRight w:val="0"/>
              <w:marTop w:val="0"/>
              <w:marBottom w:val="0"/>
              <w:divBdr>
                <w:top w:val="none" w:sz="0" w:space="0" w:color="auto"/>
                <w:left w:val="none" w:sz="0" w:space="0" w:color="auto"/>
                <w:bottom w:val="none" w:sz="0" w:space="0" w:color="auto"/>
                <w:right w:val="none" w:sz="0" w:space="0" w:color="auto"/>
              </w:divBdr>
            </w:div>
            <w:div w:id="527841787">
              <w:marLeft w:val="0"/>
              <w:marRight w:val="0"/>
              <w:marTop w:val="0"/>
              <w:marBottom w:val="0"/>
              <w:divBdr>
                <w:top w:val="none" w:sz="0" w:space="0" w:color="auto"/>
                <w:left w:val="none" w:sz="0" w:space="0" w:color="auto"/>
                <w:bottom w:val="none" w:sz="0" w:space="0" w:color="auto"/>
                <w:right w:val="none" w:sz="0" w:space="0" w:color="auto"/>
              </w:divBdr>
            </w:div>
            <w:div w:id="701174622">
              <w:marLeft w:val="0"/>
              <w:marRight w:val="0"/>
              <w:marTop w:val="0"/>
              <w:marBottom w:val="0"/>
              <w:divBdr>
                <w:top w:val="none" w:sz="0" w:space="0" w:color="auto"/>
                <w:left w:val="none" w:sz="0" w:space="0" w:color="auto"/>
                <w:bottom w:val="none" w:sz="0" w:space="0" w:color="auto"/>
                <w:right w:val="none" w:sz="0" w:space="0" w:color="auto"/>
              </w:divBdr>
            </w:div>
            <w:div w:id="801769807">
              <w:marLeft w:val="0"/>
              <w:marRight w:val="0"/>
              <w:marTop w:val="0"/>
              <w:marBottom w:val="0"/>
              <w:divBdr>
                <w:top w:val="none" w:sz="0" w:space="0" w:color="auto"/>
                <w:left w:val="none" w:sz="0" w:space="0" w:color="auto"/>
                <w:bottom w:val="none" w:sz="0" w:space="0" w:color="auto"/>
                <w:right w:val="none" w:sz="0" w:space="0" w:color="auto"/>
              </w:divBdr>
            </w:div>
            <w:div w:id="829715820">
              <w:marLeft w:val="0"/>
              <w:marRight w:val="0"/>
              <w:marTop w:val="0"/>
              <w:marBottom w:val="0"/>
              <w:divBdr>
                <w:top w:val="none" w:sz="0" w:space="0" w:color="auto"/>
                <w:left w:val="none" w:sz="0" w:space="0" w:color="auto"/>
                <w:bottom w:val="none" w:sz="0" w:space="0" w:color="auto"/>
                <w:right w:val="none" w:sz="0" w:space="0" w:color="auto"/>
              </w:divBdr>
            </w:div>
            <w:div w:id="873267838">
              <w:marLeft w:val="0"/>
              <w:marRight w:val="0"/>
              <w:marTop w:val="0"/>
              <w:marBottom w:val="0"/>
              <w:divBdr>
                <w:top w:val="none" w:sz="0" w:space="0" w:color="auto"/>
                <w:left w:val="none" w:sz="0" w:space="0" w:color="auto"/>
                <w:bottom w:val="none" w:sz="0" w:space="0" w:color="auto"/>
                <w:right w:val="none" w:sz="0" w:space="0" w:color="auto"/>
              </w:divBdr>
            </w:div>
            <w:div w:id="917861783">
              <w:marLeft w:val="0"/>
              <w:marRight w:val="0"/>
              <w:marTop w:val="0"/>
              <w:marBottom w:val="0"/>
              <w:divBdr>
                <w:top w:val="none" w:sz="0" w:space="0" w:color="auto"/>
                <w:left w:val="none" w:sz="0" w:space="0" w:color="auto"/>
                <w:bottom w:val="none" w:sz="0" w:space="0" w:color="auto"/>
                <w:right w:val="none" w:sz="0" w:space="0" w:color="auto"/>
              </w:divBdr>
            </w:div>
            <w:div w:id="945650949">
              <w:marLeft w:val="0"/>
              <w:marRight w:val="0"/>
              <w:marTop w:val="0"/>
              <w:marBottom w:val="0"/>
              <w:divBdr>
                <w:top w:val="none" w:sz="0" w:space="0" w:color="auto"/>
                <w:left w:val="none" w:sz="0" w:space="0" w:color="auto"/>
                <w:bottom w:val="none" w:sz="0" w:space="0" w:color="auto"/>
                <w:right w:val="none" w:sz="0" w:space="0" w:color="auto"/>
              </w:divBdr>
            </w:div>
            <w:div w:id="1075980583">
              <w:marLeft w:val="0"/>
              <w:marRight w:val="0"/>
              <w:marTop w:val="0"/>
              <w:marBottom w:val="0"/>
              <w:divBdr>
                <w:top w:val="none" w:sz="0" w:space="0" w:color="auto"/>
                <w:left w:val="none" w:sz="0" w:space="0" w:color="auto"/>
                <w:bottom w:val="none" w:sz="0" w:space="0" w:color="auto"/>
                <w:right w:val="none" w:sz="0" w:space="0" w:color="auto"/>
              </w:divBdr>
            </w:div>
            <w:div w:id="1111363503">
              <w:marLeft w:val="0"/>
              <w:marRight w:val="0"/>
              <w:marTop w:val="0"/>
              <w:marBottom w:val="0"/>
              <w:divBdr>
                <w:top w:val="none" w:sz="0" w:space="0" w:color="auto"/>
                <w:left w:val="none" w:sz="0" w:space="0" w:color="auto"/>
                <w:bottom w:val="none" w:sz="0" w:space="0" w:color="auto"/>
                <w:right w:val="none" w:sz="0" w:space="0" w:color="auto"/>
              </w:divBdr>
            </w:div>
            <w:div w:id="1154105496">
              <w:marLeft w:val="0"/>
              <w:marRight w:val="0"/>
              <w:marTop w:val="0"/>
              <w:marBottom w:val="0"/>
              <w:divBdr>
                <w:top w:val="none" w:sz="0" w:space="0" w:color="auto"/>
                <w:left w:val="none" w:sz="0" w:space="0" w:color="auto"/>
                <w:bottom w:val="none" w:sz="0" w:space="0" w:color="auto"/>
                <w:right w:val="none" w:sz="0" w:space="0" w:color="auto"/>
              </w:divBdr>
            </w:div>
            <w:div w:id="1346596086">
              <w:marLeft w:val="0"/>
              <w:marRight w:val="0"/>
              <w:marTop w:val="0"/>
              <w:marBottom w:val="0"/>
              <w:divBdr>
                <w:top w:val="none" w:sz="0" w:space="0" w:color="auto"/>
                <w:left w:val="none" w:sz="0" w:space="0" w:color="auto"/>
                <w:bottom w:val="none" w:sz="0" w:space="0" w:color="auto"/>
                <w:right w:val="none" w:sz="0" w:space="0" w:color="auto"/>
              </w:divBdr>
            </w:div>
            <w:div w:id="1510563242">
              <w:marLeft w:val="0"/>
              <w:marRight w:val="0"/>
              <w:marTop w:val="0"/>
              <w:marBottom w:val="0"/>
              <w:divBdr>
                <w:top w:val="none" w:sz="0" w:space="0" w:color="auto"/>
                <w:left w:val="none" w:sz="0" w:space="0" w:color="auto"/>
                <w:bottom w:val="none" w:sz="0" w:space="0" w:color="auto"/>
                <w:right w:val="none" w:sz="0" w:space="0" w:color="auto"/>
              </w:divBdr>
            </w:div>
            <w:div w:id="1531602052">
              <w:marLeft w:val="0"/>
              <w:marRight w:val="0"/>
              <w:marTop w:val="0"/>
              <w:marBottom w:val="0"/>
              <w:divBdr>
                <w:top w:val="none" w:sz="0" w:space="0" w:color="auto"/>
                <w:left w:val="none" w:sz="0" w:space="0" w:color="auto"/>
                <w:bottom w:val="none" w:sz="0" w:space="0" w:color="auto"/>
                <w:right w:val="none" w:sz="0" w:space="0" w:color="auto"/>
              </w:divBdr>
            </w:div>
            <w:div w:id="1557006442">
              <w:marLeft w:val="0"/>
              <w:marRight w:val="0"/>
              <w:marTop w:val="0"/>
              <w:marBottom w:val="0"/>
              <w:divBdr>
                <w:top w:val="none" w:sz="0" w:space="0" w:color="auto"/>
                <w:left w:val="none" w:sz="0" w:space="0" w:color="auto"/>
                <w:bottom w:val="none" w:sz="0" w:space="0" w:color="auto"/>
                <w:right w:val="none" w:sz="0" w:space="0" w:color="auto"/>
              </w:divBdr>
            </w:div>
            <w:div w:id="1574701657">
              <w:marLeft w:val="0"/>
              <w:marRight w:val="0"/>
              <w:marTop w:val="0"/>
              <w:marBottom w:val="0"/>
              <w:divBdr>
                <w:top w:val="none" w:sz="0" w:space="0" w:color="auto"/>
                <w:left w:val="none" w:sz="0" w:space="0" w:color="auto"/>
                <w:bottom w:val="none" w:sz="0" w:space="0" w:color="auto"/>
                <w:right w:val="none" w:sz="0" w:space="0" w:color="auto"/>
              </w:divBdr>
            </w:div>
            <w:div w:id="1966498265">
              <w:marLeft w:val="0"/>
              <w:marRight w:val="0"/>
              <w:marTop w:val="0"/>
              <w:marBottom w:val="0"/>
              <w:divBdr>
                <w:top w:val="none" w:sz="0" w:space="0" w:color="auto"/>
                <w:left w:val="none" w:sz="0" w:space="0" w:color="auto"/>
                <w:bottom w:val="none" w:sz="0" w:space="0" w:color="auto"/>
                <w:right w:val="none" w:sz="0" w:space="0" w:color="auto"/>
              </w:divBdr>
            </w:div>
            <w:div w:id="2013605416">
              <w:marLeft w:val="0"/>
              <w:marRight w:val="0"/>
              <w:marTop w:val="0"/>
              <w:marBottom w:val="0"/>
              <w:divBdr>
                <w:top w:val="none" w:sz="0" w:space="0" w:color="auto"/>
                <w:left w:val="none" w:sz="0" w:space="0" w:color="auto"/>
                <w:bottom w:val="none" w:sz="0" w:space="0" w:color="auto"/>
                <w:right w:val="none" w:sz="0" w:space="0" w:color="auto"/>
              </w:divBdr>
            </w:div>
          </w:divsChild>
        </w:div>
        <w:div w:id="1748069596">
          <w:marLeft w:val="0"/>
          <w:marRight w:val="0"/>
          <w:marTop w:val="0"/>
          <w:marBottom w:val="0"/>
          <w:divBdr>
            <w:top w:val="none" w:sz="0" w:space="0" w:color="auto"/>
            <w:left w:val="none" w:sz="0" w:space="0" w:color="auto"/>
            <w:bottom w:val="none" w:sz="0" w:space="0" w:color="auto"/>
            <w:right w:val="none" w:sz="0" w:space="0" w:color="auto"/>
          </w:divBdr>
        </w:div>
        <w:div w:id="1807700377">
          <w:marLeft w:val="0"/>
          <w:marRight w:val="0"/>
          <w:marTop w:val="0"/>
          <w:marBottom w:val="0"/>
          <w:divBdr>
            <w:top w:val="none" w:sz="0" w:space="0" w:color="auto"/>
            <w:left w:val="none" w:sz="0" w:space="0" w:color="auto"/>
            <w:bottom w:val="none" w:sz="0" w:space="0" w:color="auto"/>
            <w:right w:val="none" w:sz="0" w:space="0" w:color="auto"/>
          </w:divBdr>
          <w:divsChild>
            <w:div w:id="26563362">
              <w:marLeft w:val="0"/>
              <w:marRight w:val="0"/>
              <w:marTop w:val="0"/>
              <w:marBottom w:val="0"/>
              <w:divBdr>
                <w:top w:val="none" w:sz="0" w:space="0" w:color="auto"/>
                <w:left w:val="none" w:sz="0" w:space="0" w:color="auto"/>
                <w:bottom w:val="none" w:sz="0" w:space="0" w:color="auto"/>
                <w:right w:val="none" w:sz="0" w:space="0" w:color="auto"/>
              </w:divBdr>
            </w:div>
            <w:div w:id="316613557">
              <w:marLeft w:val="0"/>
              <w:marRight w:val="0"/>
              <w:marTop w:val="0"/>
              <w:marBottom w:val="0"/>
              <w:divBdr>
                <w:top w:val="none" w:sz="0" w:space="0" w:color="auto"/>
                <w:left w:val="none" w:sz="0" w:space="0" w:color="auto"/>
                <w:bottom w:val="none" w:sz="0" w:space="0" w:color="auto"/>
                <w:right w:val="none" w:sz="0" w:space="0" w:color="auto"/>
              </w:divBdr>
            </w:div>
            <w:div w:id="367728300">
              <w:marLeft w:val="0"/>
              <w:marRight w:val="0"/>
              <w:marTop w:val="0"/>
              <w:marBottom w:val="0"/>
              <w:divBdr>
                <w:top w:val="none" w:sz="0" w:space="0" w:color="auto"/>
                <w:left w:val="none" w:sz="0" w:space="0" w:color="auto"/>
                <w:bottom w:val="none" w:sz="0" w:space="0" w:color="auto"/>
                <w:right w:val="none" w:sz="0" w:space="0" w:color="auto"/>
              </w:divBdr>
            </w:div>
            <w:div w:id="503129942">
              <w:marLeft w:val="0"/>
              <w:marRight w:val="0"/>
              <w:marTop w:val="0"/>
              <w:marBottom w:val="0"/>
              <w:divBdr>
                <w:top w:val="none" w:sz="0" w:space="0" w:color="auto"/>
                <w:left w:val="none" w:sz="0" w:space="0" w:color="auto"/>
                <w:bottom w:val="none" w:sz="0" w:space="0" w:color="auto"/>
                <w:right w:val="none" w:sz="0" w:space="0" w:color="auto"/>
              </w:divBdr>
            </w:div>
            <w:div w:id="734283673">
              <w:marLeft w:val="0"/>
              <w:marRight w:val="0"/>
              <w:marTop w:val="0"/>
              <w:marBottom w:val="0"/>
              <w:divBdr>
                <w:top w:val="none" w:sz="0" w:space="0" w:color="auto"/>
                <w:left w:val="none" w:sz="0" w:space="0" w:color="auto"/>
                <w:bottom w:val="none" w:sz="0" w:space="0" w:color="auto"/>
                <w:right w:val="none" w:sz="0" w:space="0" w:color="auto"/>
              </w:divBdr>
            </w:div>
            <w:div w:id="873032500">
              <w:marLeft w:val="0"/>
              <w:marRight w:val="0"/>
              <w:marTop w:val="0"/>
              <w:marBottom w:val="0"/>
              <w:divBdr>
                <w:top w:val="none" w:sz="0" w:space="0" w:color="auto"/>
                <w:left w:val="none" w:sz="0" w:space="0" w:color="auto"/>
                <w:bottom w:val="none" w:sz="0" w:space="0" w:color="auto"/>
                <w:right w:val="none" w:sz="0" w:space="0" w:color="auto"/>
              </w:divBdr>
            </w:div>
            <w:div w:id="875316970">
              <w:marLeft w:val="0"/>
              <w:marRight w:val="0"/>
              <w:marTop w:val="0"/>
              <w:marBottom w:val="0"/>
              <w:divBdr>
                <w:top w:val="none" w:sz="0" w:space="0" w:color="auto"/>
                <w:left w:val="none" w:sz="0" w:space="0" w:color="auto"/>
                <w:bottom w:val="none" w:sz="0" w:space="0" w:color="auto"/>
                <w:right w:val="none" w:sz="0" w:space="0" w:color="auto"/>
              </w:divBdr>
            </w:div>
            <w:div w:id="917131395">
              <w:marLeft w:val="0"/>
              <w:marRight w:val="0"/>
              <w:marTop w:val="0"/>
              <w:marBottom w:val="0"/>
              <w:divBdr>
                <w:top w:val="none" w:sz="0" w:space="0" w:color="auto"/>
                <w:left w:val="none" w:sz="0" w:space="0" w:color="auto"/>
                <w:bottom w:val="none" w:sz="0" w:space="0" w:color="auto"/>
                <w:right w:val="none" w:sz="0" w:space="0" w:color="auto"/>
              </w:divBdr>
            </w:div>
            <w:div w:id="1059397311">
              <w:marLeft w:val="0"/>
              <w:marRight w:val="0"/>
              <w:marTop w:val="0"/>
              <w:marBottom w:val="0"/>
              <w:divBdr>
                <w:top w:val="none" w:sz="0" w:space="0" w:color="auto"/>
                <w:left w:val="none" w:sz="0" w:space="0" w:color="auto"/>
                <w:bottom w:val="none" w:sz="0" w:space="0" w:color="auto"/>
                <w:right w:val="none" w:sz="0" w:space="0" w:color="auto"/>
              </w:divBdr>
            </w:div>
            <w:div w:id="1217207736">
              <w:marLeft w:val="0"/>
              <w:marRight w:val="0"/>
              <w:marTop w:val="0"/>
              <w:marBottom w:val="0"/>
              <w:divBdr>
                <w:top w:val="none" w:sz="0" w:space="0" w:color="auto"/>
                <w:left w:val="none" w:sz="0" w:space="0" w:color="auto"/>
                <w:bottom w:val="none" w:sz="0" w:space="0" w:color="auto"/>
                <w:right w:val="none" w:sz="0" w:space="0" w:color="auto"/>
              </w:divBdr>
            </w:div>
            <w:div w:id="1261984146">
              <w:marLeft w:val="0"/>
              <w:marRight w:val="0"/>
              <w:marTop w:val="0"/>
              <w:marBottom w:val="0"/>
              <w:divBdr>
                <w:top w:val="none" w:sz="0" w:space="0" w:color="auto"/>
                <w:left w:val="none" w:sz="0" w:space="0" w:color="auto"/>
                <w:bottom w:val="none" w:sz="0" w:space="0" w:color="auto"/>
                <w:right w:val="none" w:sz="0" w:space="0" w:color="auto"/>
              </w:divBdr>
            </w:div>
            <w:div w:id="1488286084">
              <w:marLeft w:val="0"/>
              <w:marRight w:val="0"/>
              <w:marTop w:val="0"/>
              <w:marBottom w:val="0"/>
              <w:divBdr>
                <w:top w:val="none" w:sz="0" w:space="0" w:color="auto"/>
                <w:left w:val="none" w:sz="0" w:space="0" w:color="auto"/>
                <w:bottom w:val="none" w:sz="0" w:space="0" w:color="auto"/>
                <w:right w:val="none" w:sz="0" w:space="0" w:color="auto"/>
              </w:divBdr>
            </w:div>
            <w:div w:id="1528718961">
              <w:marLeft w:val="0"/>
              <w:marRight w:val="0"/>
              <w:marTop w:val="0"/>
              <w:marBottom w:val="0"/>
              <w:divBdr>
                <w:top w:val="none" w:sz="0" w:space="0" w:color="auto"/>
                <w:left w:val="none" w:sz="0" w:space="0" w:color="auto"/>
                <w:bottom w:val="none" w:sz="0" w:space="0" w:color="auto"/>
                <w:right w:val="none" w:sz="0" w:space="0" w:color="auto"/>
              </w:divBdr>
            </w:div>
            <w:div w:id="1585988912">
              <w:marLeft w:val="0"/>
              <w:marRight w:val="0"/>
              <w:marTop w:val="0"/>
              <w:marBottom w:val="0"/>
              <w:divBdr>
                <w:top w:val="none" w:sz="0" w:space="0" w:color="auto"/>
                <w:left w:val="none" w:sz="0" w:space="0" w:color="auto"/>
                <w:bottom w:val="none" w:sz="0" w:space="0" w:color="auto"/>
                <w:right w:val="none" w:sz="0" w:space="0" w:color="auto"/>
              </w:divBdr>
            </w:div>
            <w:div w:id="1628313501">
              <w:marLeft w:val="0"/>
              <w:marRight w:val="0"/>
              <w:marTop w:val="0"/>
              <w:marBottom w:val="0"/>
              <w:divBdr>
                <w:top w:val="none" w:sz="0" w:space="0" w:color="auto"/>
                <w:left w:val="none" w:sz="0" w:space="0" w:color="auto"/>
                <w:bottom w:val="none" w:sz="0" w:space="0" w:color="auto"/>
                <w:right w:val="none" w:sz="0" w:space="0" w:color="auto"/>
              </w:divBdr>
            </w:div>
            <w:div w:id="1659844819">
              <w:marLeft w:val="0"/>
              <w:marRight w:val="0"/>
              <w:marTop w:val="0"/>
              <w:marBottom w:val="0"/>
              <w:divBdr>
                <w:top w:val="none" w:sz="0" w:space="0" w:color="auto"/>
                <w:left w:val="none" w:sz="0" w:space="0" w:color="auto"/>
                <w:bottom w:val="none" w:sz="0" w:space="0" w:color="auto"/>
                <w:right w:val="none" w:sz="0" w:space="0" w:color="auto"/>
              </w:divBdr>
            </w:div>
            <w:div w:id="1700813682">
              <w:marLeft w:val="0"/>
              <w:marRight w:val="0"/>
              <w:marTop w:val="0"/>
              <w:marBottom w:val="0"/>
              <w:divBdr>
                <w:top w:val="none" w:sz="0" w:space="0" w:color="auto"/>
                <w:left w:val="none" w:sz="0" w:space="0" w:color="auto"/>
                <w:bottom w:val="none" w:sz="0" w:space="0" w:color="auto"/>
                <w:right w:val="none" w:sz="0" w:space="0" w:color="auto"/>
              </w:divBdr>
            </w:div>
            <w:div w:id="1754859258">
              <w:marLeft w:val="0"/>
              <w:marRight w:val="0"/>
              <w:marTop w:val="0"/>
              <w:marBottom w:val="0"/>
              <w:divBdr>
                <w:top w:val="none" w:sz="0" w:space="0" w:color="auto"/>
                <w:left w:val="none" w:sz="0" w:space="0" w:color="auto"/>
                <w:bottom w:val="none" w:sz="0" w:space="0" w:color="auto"/>
                <w:right w:val="none" w:sz="0" w:space="0" w:color="auto"/>
              </w:divBdr>
            </w:div>
            <w:div w:id="1856923919">
              <w:marLeft w:val="0"/>
              <w:marRight w:val="0"/>
              <w:marTop w:val="0"/>
              <w:marBottom w:val="0"/>
              <w:divBdr>
                <w:top w:val="none" w:sz="0" w:space="0" w:color="auto"/>
                <w:left w:val="none" w:sz="0" w:space="0" w:color="auto"/>
                <w:bottom w:val="none" w:sz="0" w:space="0" w:color="auto"/>
                <w:right w:val="none" w:sz="0" w:space="0" w:color="auto"/>
              </w:divBdr>
            </w:div>
            <w:div w:id="1921020887">
              <w:marLeft w:val="0"/>
              <w:marRight w:val="0"/>
              <w:marTop w:val="0"/>
              <w:marBottom w:val="0"/>
              <w:divBdr>
                <w:top w:val="none" w:sz="0" w:space="0" w:color="auto"/>
                <w:left w:val="none" w:sz="0" w:space="0" w:color="auto"/>
                <w:bottom w:val="none" w:sz="0" w:space="0" w:color="auto"/>
                <w:right w:val="none" w:sz="0" w:space="0" w:color="auto"/>
              </w:divBdr>
            </w:div>
          </w:divsChild>
        </w:div>
        <w:div w:id="1912036593">
          <w:marLeft w:val="0"/>
          <w:marRight w:val="0"/>
          <w:marTop w:val="0"/>
          <w:marBottom w:val="0"/>
          <w:divBdr>
            <w:top w:val="none" w:sz="0" w:space="0" w:color="auto"/>
            <w:left w:val="none" w:sz="0" w:space="0" w:color="auto"/>
            <w:bottom w:val="none" w:sz="0" w:space="0" w:color="auto"/>
            <w:right w:val="none" w:sz="0" w:space="0" w:color="auto"/>
          </w:divBdr>
        </w:div>
        <w:div w:id="1916161094">
          <w:marLeft w:val="0"/>
          <w:marRight w:val="0"/>
          <w:marTop w:val="0"/>
          <w:marBottom w:val="0"/>
          <w:divBdr>
            <w:top w:val="none" w:sz="0" w:space="0" w:color="auto"/>
            <w:left w:val="none" w:sz="0" w:space="0" w:color="auto"/>
            <w:bottom w:val="none" w:sz="0" w:space="0" w:color="auto"/>
            <w:right w:val="none" w:sz="0" w:space="0" w:color="auto"/>
          </w:divBdr>
          <w:divsChild>
            <w:div w:id="202252804">
              <w:marLeft w:val="0"/>
              <w:marRight w:val="0"/>
              <w:marTop w:val="0"/>
              <w:marBottom w:val="0"/>
              <w:divBdr>
                <w:top w:val="none" w:sz="0" w:space="0" w:color="auto"/>
                <w:left w:val="none" w:sz="0" w:space="0" w:color="auto"/>
                <w:bottom w:val="none" w:sz="0" w:space="0" w:color="auto"/>
                <w:right w:val="none" w:sz="0" w:space="0" w:color="auto"/>
              </w:divBdr>
            </w:div>
            <w:div w:id="513887112">
              <w:marLeft w:val="0"/>
              <w:marRight w:val="0"/>
              <w:marTop w:val="0"/>
              <w:marBottom w:val="0"/>
              <w:divBdr>
                <w:top w:val="none" w:sz="0" w:space="0" w:color="auto"/>
                <w:left w:val="none" w:sz="0" w:space="0" w:color="auto"/>
                <w:bottom w:val="none" w:sz="0" w:space="0" w:color="auto"/>
                <w:right w:val="none" w:sz="0" w:space="0" w:color="auto"/>
              </w:divBdr>
            </w:div>
            <w:div w:id="646517156">
              <w:marLeft w:val="0"/>
              <w:marRight w:val="0"/>
              <w:marTop w:val="0"/>
              <w:marBottom w:val="0"/>
              <w:divBdr>
                <w:top w:val="none" w:sz="0" w:space="0" w:color="auto"/>
                <w:left w:val="none" w:sz="0" w:space="0" w:color="auto"/>
                <w:bottom w:val="none" w:sz="0" w:space="0" w:color="auto"/>
                <w:right w:val="none" w:sz="0" w:space="0" w:color="auto"/>
              </w:divBdr>
            </w:div>
            <w:div w:id="812865109">
              <w:marLeft w:val="0"/>
              <w:marRight w:val="0"/>
              <w:marTop w:val="0"/>
              <w:marBottom w:val="0"/>
              <w:divBdr>
                <w:top w:val="none" w:sz="0" w:space="0" w:color="auto"/>
                <w:left w:val="none" w:sz="0" w:space="0" w:color="auto"/>
                <w:bottom w:val="none" w:sz="0" w:space="0" w:color="auto"/>
                <w:right w:val="none" w:sz="0" w:space="0" w:color="auto"/>
              </w:divBdr>
            </w:div>
            <w:div w:id="846409828">
              <w:marLeft w:val="0"/>
              <w:marRight w:val="0"/>
              <w:marTop w:val="0"/>
              <w:marBottom w:val="0"/>
              <w:divBdr>
                <w:top w:val="none" w:sz="0" w:space="0" w:color="auto"/>
                <w:left w:val="none" w:sz="0" w:space="0" w:color="auto"/>
                <w:bottom w:val="none" w:sz="0" w:space="0" w:color="auto"/>
                <w:right w:val="none" w:sz="0" w:space="0" w:color="auto"/>
              </w:divBdr>
            </w:div>
            <w:div w:id="892037189">
              <w:marLeft w:val="0"/>
              <w:marRight w:val="0"/>
              <w:marTop w:val="0"/>
              <w:marBottom w:val="0"/>
              <w:divBdr>
                <w:top w:val="none" w:sz="0" w:space="0" w:color="auto"/>
                <w:left w:val="none" w:sz="0" w:space="0" w:color="auto"/>
                <w:bottom w:val="none" w:sz="0" w:space="0" w:color="auto"/>
                <w:right w:val="none" w:sz="0" w:space="0" w:color="auto"/>
              </w:divBdr>
            </w:div>
            <w:div w:id="893196903">
              <w:marLeft w:val="0"/>
              <w:marRight w:val="0"/>
              <w:marTop w:val="0"/>
              <w:marBottom w:val="0"/>
              <w:divBdr>
                <w:top w:val="none" w:sz="0" w:space="0" w:color="auto"/>
                <w:left w:val="none" w:sz="0" w:space="0" w:color="auto"/>
                <w:bottom w:val="none" w:sz="0" w:space="0" w:color="auto"/>
                <w:right w:val="none" w:sz="0" w:space="0" w:color="auto"/>
              </w:divBdr>
            </w:div>
            <w:div w:id="961233492">
              <w:marLeft w:val="0"/>
              <w:marRight w:val="0"/>
              <w:marTop w:val="0"/>
              <w:marBottom w:val="0"/>
              <w:divBdr>
                <w:top w:val="none" w:sz="0" w:space="0" w:color="auto"/>
                <w:left w:val="none" w:sz="0" w:space="0" w:color="auto"/>
                <w:bottom w:val="none" w:sz="0" w:space="0" w:color="auto"/>
                <w:right w:val="none" w:sz="0" w:space="0" w:color="auto"/>
              </w:divBdr>
            </w:div>
            <w:div w:id="1061905793">
              <w:marLeft w:val="0"/>
              <w:marRight w:val="0"/>
              <w:marTop w:val="0"/>
              <w:marBottom w:val="0"/>
              <w:divBdr>
                <w:top w:val="none" w:sz="0" w:space="0" w:color="auto"/>
                <w:left w:val="none" w:sz="0" w:space="0" w:color="auto"/>
                <w:bottom w:val="none" w:sz="0" w:space="0" w:color="auto"/>
                <w:right w:val="none" w:sz="0" w:space="0" w:color="auto"/>
              </w:divBdr>
            </w:div>
            <w:div w:id="1066414874">
              <w:marLeft w:val="0"/>
              <w:marRight w:val="0"/>
              <w:marTop w:val="0"/>
              <w:marBottom w:val="0"/>
              <w:divBdr>
                <w:top w:val="none" w:sz="0" w:space="0" w:color="auto"/>
                <w:left w:val="none" w:sz="0" w:space="0" w:color="auto"/>
                <w:bottom w:val="none" w:sz="0" w:space="0" w:color="auto"/>
                <w:right w:val="none" w:sz="0" w:space="0" w:color="auto"/>
              </w:divBdr>
            </w:div>
            <w:div w:id="1114399883">
              <w:marLeft w:val="0"/>
              <w:marRight w:val="0"/>
              <w:marTop w:val="0"/>
              <w:marBottom w:val="0"/>
              <w:divBdr>
                <w:top w:val="none" w:sz="0" w:space="0" w:color="auto"/>
                <w:left w:val="none" w:sz="0" w:space="0" w:color="auto"/>
                <w:bottom w:val="none" w:sz="0" w:space="0" w:color="auto"/>
                <w:right w:val="none" w:sz="0" w:space="0" w:color="auto"/>
              </w:divBdr>
            </w:div>
            <w:div w:id="1169759072">
              <w:marLeft w:val="0"/>
              <w:marRight w:val="0"/>
              <w:marTop w:val="0"/>
              <w:marBottom w:val="0"/>
              <w:divBdr>
                <w:top w:val="none" w:sz="0" w:space="0" w:color="auto"/>
                <w:left w:val="none" w:sz="0" w:space="0" w:color="auto"/>
                <w:bottom w:val="none" w:sz="0" w:space="0" w:color="auto"/>
                <w:right w:val="none" w:sz="0" w:space="0" w:color="auto"/>
              </w:divBdr>
            </w:div>
            <w:div w:id="1280647219">
              <w:marLeft w:val="0"/>
              <w:marRight w:val="0"/>
              <w:marTop w:val="0"/>
              <w:marBottom w:val="0"/>
              <w:divBdr>
                <w:top w:val="none" w:sz="0" w:space="0" w:color="auto"/>
                <w:left w:val="none" w:sz="0" w:space="0" w:color="auto"/>
                <w:bottom w:val="none" w:sz="0" w:space="0" w:color="auto"/>
                <w:right w:val="none" w:sz="0" w:space="0" w:color="auto"/>
              </w:divBdr>
            </w:div>
            <w:div w:id="1405957432">
              <w:marLeft w:val="0"/>
              <w:marRight w:val="0"/>
              <w:marTop w:val="0"/>
              <w:marBottom w:val="0"/>
              <w:divBdr>
                <w:top w:val="none" w:sz="0" w:space="0" w:color="auto"/>
                <w:left w:val="none" w:sz="0" w:space="0" w:color="auto"/>
                <w:bottom w:val="none" w:sz="0" w:space="0" w:color="auto"/>
                <w:right w:val="none" w:sz="0" w:space="0" w:color="auto"/>
              </w:divBdr>
            </w:div>
            <w:div w:id="1492990459">
              <w:marLeft w:val="0"/>
              <w:marRight w:val="0"/>
              <w:marTop w:val="0"/>
              <w:marBottom w:val="0"/>
              <w:divBdr>
                <w:top w:val="none" w:sz="0" w:space="0" w:color="auto"/>
                <w:left w:val="none" w:sz="0" w:space="0" w:color="auto"/>
                <w:bottom w:val="none" w:sz="0" w:space="0" w:color="auto"/>
                <w:right w:val="none" w:sz="0" w:space="0" w:color="auto"/>
              </w:divBdr>
            </w:div>
            <w:div w:id="1586915220">
              <w:marLeft w:val="0"/>
              <w:marRight w:val="0"/>
              <w:marTop w:val="0"/>
              <w:marBottom w:val="0"/>
              <w:divBdr>
                <w:top w:val="none" w:sz="0" w:space="0" w:color="auto"/>
                <w:left w:val="none" w:sz="0" w:space="0" w:color="auto"/>
                <w:bottom w:val="none" w:sz="0" w:space="0" w:color="auto"/>
                <w:right w:val="none" w:sz="0" w:space="0" w:color="auto"/>
              </w:divBdr>
            </w:div>
            <w:div w:id="1686403853">
              <w:marLeft w:val="0"/>
              <w:marRight w:val="0"/>
              <w:marTop w:val="0"/>
              <w:marBottom w:val="0"/>
              <w:divBdr>
                <w:top w:val="none" w:sz="0" w:space="0" w:color="auto"/>
                <w:left w:val="none" w:sz="0" w:space="0" w:color="auto"/>
                <w:bottom w:val="none" w:sz="0" w:space="0" w:color="auto"/>
                <w:right w:val="none" w:sz="0" w:space="0" w:color="auto"/>
              </w:divBdr>
            </w:div>
            <w:div w:id="1954435540">
              <w:marLeft w:val="0"/>
              <w:marRight w:val="0"/>
              <w:marTop w:val="0"/>
              <w:marBottom w:val="0"/>
              <w:divBdr>
                <w:top w:val="none" w:sz="0" w:space="0" w:color="auto"/>
                <w:left w:val="none" w:sz="0" w:space="0" w:color="auto"/>
                <w:bottom w:val="none" w:sz="0" w:space="0" w:color="auto"/>
                <w:right w:val="none" w:sz="0" w:space="0" w:color="auto"/>
              </w:divBdr>
            </w:div>
            <w:div w:id="21227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90576">
      <w:bodyDiv w:val="1"/>
      <w:marLeft w:val="0"/>
      <w:marRight w:val="0"/>
      <w:marTop w:val="0"/>
      <w:marBottom w:val="0"/>
      <w:divBdr>
        <w:top w:val="none" w:sz="0" w:space="0" w:color="auto"/>
        <w:left w:val="none" w:sz="0" w:space="0" w:color="auto"/>
        <w:bottom w:val="none" w:sz="0" w:space="0" w:color="auto"/>
        <w:right w:val="none" w:sz="0" w:space="0" w:color="auto"/>
      </w:divBdr>
    </w:div>
    <w:div w:id="1670408791">
      <w:bodyDiv w:val="1"/>
      <w:marLeft w:val="0"/>
      <w:marRight w:val="0"/>
      <w:marTop w:val="0"/>
      <w:marBottom w:val="0"/>
      <w:divBdr>
        <w:top w:val="none" w:sz="0" w:space="0" w:color="auto"/>
        <w:left w:val="none" w:sz="0" w:space="0" w:color="auto"/>
        <w:bottom w:val="none" w:sz="0" w:space="0" w:color="auto"/>
        <w:right w:val="none" w:sz="0" w:space="0" w:color="auto"/>
      </w:divBdr>
    </w:div>
    <w:div w:id="1712920430">
      <w:bodyDiv w:val="1"/>
      <w:marLeft w:val="0"/>
      <w:marRight w:val="0"/>
      <w:marTop w:val="0"/>
      <w:marBottom w:val="0"/>
      <w:divBdr>
        <w:top w:val="none" w:sz="0" w:space="0" w:color="auto"/>
        <w:left w:val="none" w:sz="0" w:space="0" w:color="auto"/>
        <w:bottom w:val="none" w:sz="0" w:space="0" w:color="auto"/>
        <w:right w:val="none" w:sz="0" w:space="0" w:color="auto"/>
      </w:divBdr>
    </w:div>
    <w:div w:id="1741247183">
      <w:bodyDiv w:val="1"/>
      <w:marLeft w:val="0"/>
      <w:marRight w:val="0"/>
      <w:marTop w:val="0"/>
      <w:marBottom w:val="0"/>
      <w:divBdr>
        <w:top w:val="none" w:sz="0" w:space="0" w:color="auto"/>
        <w:left w:val="none" w:sz="0" w:space="0" w:color="auto"/>
        <w:bottom w:val="none" w:sz="0" w:space="0" w:color="auto"/>
        <w:right w:val="none" w:sz="0" w:space="0" w:color="auto"/>
      </w:divBdr>
      <w:divsChild>
        <w:div w:id="247278187">
          <w:marLeft w:val="0"/>
          <w:marRight w:val="0"/>
          <w:marTop w:val="0"/>
          <w:marBottom w:val="0"/>
          <w:divBdr>
            <w:top w:val="none" w:sz="0" w:space="0" w:color="auto"/>
            <w:left w:val="none" w:sz="0" w:space="0" w:color="auto"/>
            <w:bottom w:val="none" w:sz="0" w:space="0" w:color="auto"/>
            <w:right w:val="none" w:sz="0" w:space="0" w:color="auto"/>
          </w:divBdr>
          <w:divsChild>
            <w:div w:id="443694218">
              <w:marLeft w:val="0"/>
              <w:marRight w:val="0"/>
              <w:marTop w:val="0"/>
              <w:marBottom w:val="0"/>
              <w:divBdr>
                <w:top w:val="none" w:sz="0" w:space="0" w:color="auto"/>
                <w:left w:val="none" w:sz="0" w:space="0" w:color="auto"/>
                <w:bottom w:val="none" w:sz="0" w:space="0" w:color="auto"/>
                <w:right w:val="none" w:sz="0" w:space="0" w:color="auto"/>
              </w:divBdr>
            </w:div>
          </w:divsChild>
        </w:div>
        <w:div w:id="280456191">
          <w:marLeft w:val="0"/>
          <w:marRight w:val="0"/>
          <w:marTop w:val="0"/>
          <w:marBottom w:val="0"/>
          <w:divBdr>
            <w:top w:val="none" w:sz="0" w:space="0" w:color="auto"/>
            <w:left w:val="none" w:sz="0" w:space="0" w:color="auto"/>
            <w:bottom w:val="none" w:sz="0" w:space="0" w:color="auto"/>
            <w:right w:val="none" w:sz="0" w:space="0" w:color="auto"/>
          </w:divBdr>
          <w:divsChild>
            <w:div w:id="1701972733">
              <w:marLeft w:val="0"/>
              <w:marRight w:val="0"/>
              <w:marTop w:val="0"/>
              <w:marBottom w:val="0"/>
              <w:divBdr>
                <w:top w:val="none" w:sz="0" w:space="0" w:color="auto"/>
                <w:left w:val="none" w:sz="0" w:space="0" w:color="auto"/>
                <w:bottom w:val="none" w:sz="0" w:space="0" w:color="auto"/>
                <w:right w:val="none" w:sz="0" w:space="0" w:color="auto"/>
              </w:divBdr>
            </w:div>
          </w:divsChild>
        </w:div>
        <w:div w:id="295378859">
          <w:marLeft w:val="0"/>
          <w:marRight w:val="0"/>
          <w:marTop w:val="0"/>
          <w:marBottom w:val="0"/>
          <w:divBdr>
            <w:top w:val="none" w:sz="0" w:space="0" w:color="auto"/>
            <w:left w:val="none" w:sz="0" w:space="0" w:color="auto"/>
            <w:bottom w:val="none" w:sz="0" w:space="0" w:color="auto"/>
            <w:right w:val="none" w:sz="0" w:space="0" w:color="auto"/>
          </w:divBdr>
          <w:divsChild>
            <w:div w:id="1531335126">
              <w:marLeft w:val="0"/>
              <w:marRight w:val="0"/>
              <w:marTop w:val="0"/>
              <w:marBottom w:val="0"/>
              <w:divBdr>
                <w:top w:val="none" w:sz="0" w:space="0" w:color="auto"/>
                <w:left w:val="none" w:sz="0" w:space="0" w:color="auto"/>
                <w:bottom w:val="none" w:sz="0" w:space="0" w:color="auto"/>
                <w:right w:val="none" w:sz="0" w:space="0" w:color="auto"/>
              </w:divBdr>
            </w:div>
          </w:divsChild>
        </w:div>
        <w:div w:id="385908709">
          <w:marLeft w:val="0"/>
          <w:marRight w:val="0"/>
          <w:marTop w:val="0"/>
          <w:marBottom w:val="0"/>
          <w:divBdr>
            <w:top w:val="none" w:sz="0" w:space="0" w:color="auto"/>
            <w:left w:val="none" w:sz="0" w:space="0" w:color="auto"/>
            <w:bottom w:val="none" w:sz="0" w:space="0" w:color="auto"/>
            <w:right w:val="none" w:sz="0" w:space="0" w:color="auto"/>
          </w:divBdr>
          <w:divsChild>
            <w:div w:id="1896969885">
              <w:marLeft w:val="0"/>
              <w:marRight w:val="0"/>
              <w:marTop w:val="0"/>
              <w:marBottom w:val="0"/>
              <w:divBdr>
                <w:top w:val="none" w:sz="0" w:space="0" w:color="auto"/>
                <w:left w:val="none" w:sz="0" w:space="0" w:color="auto"/>
                <w:bottom w:val="none" w:sz="0" w:space="0" w:color="auto"/>
                <w:right w:val="none" w:sz="0" w:space="0" w:color="auto"/>
              </w:divBdr>
            </w:div>
          </w:divsChild>
        </w:div>
        <w:div w:id="592399229">
          <w:marLeft w:val="0"/>
          <w:marRight w:val="0"/>
          <w:marTop w:val="0"/>
          <w:marBottom w:val="0"/>
          <w:divBdr>
            <w:top w:val="none" w:sz="0" w:space="0" w:color="auto"/>
            <w:left w:val="none" w:sz="0" w:space="0" w:color="auto"/>
            <w:bottom w:val="none" w:sz="0" w:space="0" w:color="auto"/>
            <w:right w:val="none" w:sz="0" w:space="0" w:color="auto"/>
          </w:divBdr>
          <w:divsChild>
            <w:div w:id="880555386">
              <w:marLeft w:val="0"/>
              <w:marRight w:val="0"/>
              <w:marTop w:val="0"/>
              <w:marBottom w:val="0"/>
              <w:divBdr>
                <w:top w:val="none" w:sz="0" w:space="0" w:color="auto"/>
                <w:left w:val="none" w:sz="0" w:space="0" w:color="auto"/>
                <w:bottom w:val="none" w:sz="0" w:space="0" w:color="auto"/>
                <w:right w:val="none" w:sz="0" w:space="0" w:color="auto"/>
              </w:divBdr>
            </w:div>
          </w:divsChild>
        </w:div>
        <w:div w:id="643655231">
          <w:marLeft w:val="0"/>
          <w:marRight w:val="0"/>
          <w:marTop w:val="0"/>
          <w:marBottom w:val="0"/>
          <w:divBdr>
            <w:top w:val="none" w:sz="0" w:space="0" w:color="auto"/>
            <w:left w:val="none" w:sz="0" w:space="0" w:color="auto"/>
            <w:bottom w:val="none" w:sz="0" w:space="0" w:color="auto"/>
            <w:right w:val="none" w:sz="0" w:space="0" w:color="auto"/>
          </w:divBdr>
          <w:divsChild>
            <w:div w:id="1718703254">
              <w:marLeft w:val="0"/>
              <w:marRight w:val="0"/>
              <w:marTop w:val="0"/>
              <w:marBottom w:val="0"/>
              <w:divBdr>
                <w:top w:val="none" w:sz="0" w:space="0" w:color="auto"/>
                <w:left w:val="none" w:sz="0" w:space="0" w:color="auto"/>
                <w:bottom w:val="none" w:sz="0" w:space="0" w:color="auto"/>
                <w:right w:val="none" w:sz="0" w:space="0" w:color="auto"/>
              </w:divBdr>
            </w:div>
          </w:divsChild>
        </w:div>
        <w:div w:id="675110012">
          <w:marLeft w:val="0"/>
          <w:marRight w:val="0"/>
          <w:marTop w:val="0"/>
          <w:marBottom w:val="0"/>
          <w:divBdr>
            <w:top w:val="none" w:sz="0" w:space="0" w:color="auto"/>
            <w:left w:val="none" w:sz="0" w:space="0" w:color="auto"/>
            <w:bottom w:val="none" w:sz="0" w:space="0" w:color="auto"/>
            <w:right w:val="none" w:sz="0" w:space="0" w:color="auto"/>
          </w:divBdr>
          <w:divsChild>
            <w:div w:id="2072073119">
              <w:marLeft w:val="0"/>
              <w:marRight w:val="0"/>
              <w:marTop w:val="0"/>
              <w:marBottom w:val="0"/>
              <w:divBdr>
                <w:top w:val="none" w:sz="0" w:space="0" w:color="auto"/>
                <w:left w:val="none" w:sz="0" w:space="0" w:color="auto"/>
                <w:bottom w:val="none" w:sz="0" w:space="0" w:color="auto"/>
                <w:right w:val="none" w:sz="0" w:space="0" w:color="auto"/>
              </w:divBdr>
            </w:div>
          </w:divsChild>
        </w:div>
        <w:div w:id="680550995">
          <w:marLeft w:val="0"/>
          <w:marRight w:val="0"/>
          <w:marTop w:val="0"/>
          <w:marBottom w:val="0"/>
          <w:divBdr>
            <w:top w:val="none" w:sz="0" w:space="0" w:color="auto"/>
            <w:left w:val="none" w:sz="0" w:space="0" w:color="auto"/>
            <w:bottom w:val="none" w:sz="0" w:space="0" w:color="auto"/>
            <w:right w:val="none" w:sz="0" w:space="0" w:color="auto"/>
          </w:divBdr>
          <w:divsChild>
            <w:div w:id="991637478">
              <w:marLeft w:val="0"/>
              <w:marRight w:val="0"/>
              <w:marTop w:val="0"/>
              <w:marBottom w:val="0"/>
              <w:divBdr>
                <w:top w:val="none" w:sz="0" w:space="0" w:color="auto"/>
                <w:left w:val="none" w:sz="0" w:space="0" w:color="auto"/>
                <w:bottom w:val="none" w:sz="0" w:space="0" w:color="auto"/>
                <w:right w:val="none" w:sz="0" w:space="0" w:color="auto"/>
              </w:divBdr>
            </w:div>
            <w:div w:id="2035300114">
              <w:marLeft w:val="0"/>
              <w:marRight w:val="0"/>
              <w:marTop w:val="0"/>
              <w:marBottom w:val="0"/>
              <w:divBdr>
                <w:top w:val="none" w:sz="0" w:space="0" w:color="auto"/>
                <w:left w:val="none" w:sz="0" w:space="0" w:color="auto"/>
                <w:bottom w:val="none" w:sz="0" w:space="0" w:color="auto"/>
                <w:right w:val="none" w:sz="0" w:space="0" w:color="auto"/>
              </w:divBdr>
            </w:div>
          </w:divsChild>
        </w:div>
        <w:div w:id="690296855">
          <w:marLeft w:val="0"/>
          <w:marRight w:val="0"/>
          <w:marTop w:val="0"/>
          <w:marBottom w:val="0"/>
          <w:divBdr>
            <w:top w:val="none" w:sz="0" w:space="0" w:color="auto"/>
            <w:left w:val="none" w:sz="0" w:space="0" w:color="auto"/>
            <w:bottom w:val="none" w:sz="0" w:space="0" w:color="auto"/>
            <w:right w:val="none" w:sz="0" w:space="0" w:color="auto"/>
          </w:divBdr>
          <w:divsChild>
            <w:div w:id="1202787320">
              <w:marLeft w:val="0"/>
              <w:marRight w:val="0"/>
              <w:marTop w:val="0"/>
              <w:marBottom w:val="0"/>
              <w:divBdr>
                <w:top w:val="none" w:sz="0" w:space="0" w:color="auto"/>
                <w:left w:val="none" w:sz="0" w:space="0" w:color="auto"/>
                <w:bottom w:val="none" w:sz="0" w:space="0" w:color="auto"/>
                <w:right w:val="none" w:sz="0" w:space="0" w:color="auto"/>
              </w:divBdr>
            </w:div>
          </w:divsChild>
        </w:div>
        <w:div w:id="812524161">
          <w:marLeft w:val="0"/>
          <w:marRight w:val="0"/>
          <w:marTop w:val="0"/>
          <w:marBottom w:val="0"/>
          <w:divBdr>
            <w:top w:val="none" w:sz="0" w:space="0" w:color="auto"/>
            <w:left w:val="none" w:sz="0" w:space="0" w:color="auto"/>
            <w:bottom w:val="none" w:sz="0" w:space="0" w:color="auto"/>
            <w:right w:val="none" w:sz="0" w:space="0" w:color="auto"/>
          </w:divBdr>
          <w:divsChild>
            <w:div w:id="462771230">
              <w:marLeft w:val="0"/>
              <w:marRight w:val="0"/>
              <w:marTop w:val="0"/>
              <w:marBottom w:val="0"/>
              <w:divBdr>
                <w:top w:val="none" w:sz="0" w:space="0" w:color="auto"/>
                <w:left w:val="none" w:sz="0" w:space="0" w:color="auto"/>
                <w:bottom w:val="none" w:sz="0" w:space="0" w:color="auto"/>
                <w:right w:val="none" w:sz="0" w:space="0" w:color="auto"/>
              </w:divBdr>
            </w:div>
          </w:divsChild>
        </w:div>
        <w:div w:id="833569679">
          <w:marLeft w:val="0"/>
          <w:marRight w:val="0"/>
          <w:marTop w:val="0"/>
          <w:marBottom w:val="0"/>
          <w:divBdr>
            <w:top w:val="none" w:sz="0" w:space="0" w:color="auto"/>
            <w:left w:val="none" w:sz="0" w:space="0" w:color="auto"/>
            <w:bottom w:val="none" w:sz="0" w:space="0" w:color="auto"/>
            <w:right w:val="none" w:sz="0" w:space="0" w:color="auto"/>
          </w:divBdr>
          <w:divsChild>
            <w:div w:id="508374287">
              <w:marLeft w:val="0"/>
              <w:marRight w:val="0"/>
              <w:marTop w:val="0"/>
              <w:marBottom w:val="0"/>
              <w:divBdr>
                <w:top w:val="none" w:sz="0" w:space="0" w:color="auto"/>
                <w:left w:val="none" w:sz="0" w:space="0" w:color="auto"/>
                <w:bottom w:val="none" w:sz="0" w:space="0" w:color="auto"/>
                <w:right w:val="none" w:sz="0" w:space="0" w:color="auto"/>
              </w:divBdr>
            </w:div>
            <w:div w:id="1025210731">
              <w:marLeft w:val="0"/>
              <w:marRight w:val="0"/>
              <w:marTop w:val="0"/>
              <w:marBottom w:val="0"/>
              <w:divBdr>
                <w:top w:val="none" w:sz="0" w:space="0" w:color="auto"/>
                <w:left w:val="none" w:sz="0" w:space="0" w:color="auto"/>
                <w:bottom w:val="none" w:sz="0" w:space="0" w:color="auto"/>
                <w:right w:val="none" w:sz="0" w:space="0" w:color="auto"/>
              </w:divBdr>
            </w:div>
          </w:divsChild>
        </w:div>
        <w:div w:id="1019048258">
          <w:marLeft w:val="0"/>
          <w:marRight w:val="0"/>
          <w:marTop w:val="0"/>
          <w:marBottom w:val="0"/>
          <w:divBdr>
            <w:top w:val="none" w:sz="0" w:space="0" w:color="auto"/>
            <w:left w:val="none" w:sz="0" w:space="0" w:color="auto"/>
            <w:bottom w:val="none" w:sz="0" w:space="0" w:color="auto"/>
            <w:right w:val="none" w:sz="0" w:space="0" w:color="auto"/>
          </w:divBdr>
          <w:divsChild>
            <w:div w:id="648440972">
              <w:marLeft w:val="0"/>
              <w:marRight w:val="0"/>
              <w:marTop w:val="0"/>
              <w:marBottom w:val="0"/>
              <w:divBdr>
                <w:top w:val="none" w:sz="0" w:space="0" w:color="auto"/>
                <w:left w:val="none" w:sz="0" w:space="0" w:color="auto"/>
                <w:bottom w:val="none" w:sz="0" w:space="0" w:color="auto"/>
                <w:right w:val="none" w:sz="0" w:space="0" w:color="auto"/>
              </w:divBdr>
            </w:div>
            <w:div w:id="1724912916">
              <w:marLeft w:val="0"/>
              <w:marRight w:val="0"/>
              <w:marTop w:val="0"/>
              <w:marBottom w:val="0"/>
              <w:divBdr>
                <w:top w:val="none" w:sz="0" w:space="0" w:color="auto"/>
                <w:left w:val="none" w:sz="0" w:space="0" w:color="auto"/>
                <w:bottom w:val="none" w:sz="0" w:space="0" w:color="auto"/>
                <w:right w:val="none" w:sz="0" w:space="0" w:color="auto"/>
              </w:divBdr>
            </w:div>
          </w:divsChild>
        </w:div>
        <w:div w:id="1125613293">
          <w:marLeft w:val="0"/>
          <w:marRight w:val="0"/>
          <w:marTop w:val="0"/>
          <w:marBottom w:val="0"/>
          <w:divBdr>
            <w:top w:val="none" w:sz="0" w:space="0" w:color="auto"/>
            <w:left w:val="none" w:sz="0" w:space="0" w:color="auto"/>
            <w:bottom w:val="none" w:sz="0" w:space="0" w:color="auto"/>
            <w:right w:val="none" w:sz="0" w:space="0" w:color="auto"/>
          </w:divBdr>
          <w:divsChild>
            <w:div w:id="2135710194">
              <w:marLeft w:val="0"/>
              <w:marRight w:val="0"/>
              <w:marTop w:val="0"/>
              <w:marBottom w:val="0"/>
              <w:divBdr>
                <w:top w:val="none" w:sz="0" w:space="0" w:color="auto"/>
                <w:left w:val="none" w:sz="0" w:space="0" w:color="auto"/>
                <w:bottom w:val="none" w:sz="0" w:space="0" w:color="auto"/>
                <w:right w:val="none" w:sz="0" w:space="0" w:color="auto"/>
              </w:divBdr>
            </w:div>
          </w:divsChild>
        </w:div>
        <w:div w:id="1128428115">
          <w:marLeft w:val="0"/>
          <w:marRight w:val="0"/>
          <w:marTop w:val="0"/>
          <w:marBottom w:val="0"/>
          <w:divBdr>
            <w:top w:val="none" w:sz="0" w:space="0" w:color="auto"/>
            <w:left w:val="none" w:sz="0" w:space="0" w:color="auto"/>
            <w:bottom w:val="none" w:sz="0" w:space="0" w:color="auto"/>
            <w:right w:val="none" w:sz="0" w:space="0" w:color="auto"/>
          </w:divBdr>
          <w:divsChild>
            <w:div w:id="887424602">
              <w:marLeft w:val="0"/>
              <w:marRight w:val="0"/>
              <w:marTop w:val="0"/>
              <w:marBottom w:val="0"/>
              <w:divBdr>
                <w:top w:val="none" w:sz="0" w:space="0" w:color="auto"/>
                <w:left w:val="none" w:sz="0" w:space="0" w:color="auto"/>
                <w:bottom w:val="none" w:sz="0" w:space="0" w:color="auto"/>
                <w:right w:val="none" w:sz="0" w:space="0" w:color="auto"/>
              </w:divBdr>
            </w:div>
          </w:divsChild>
        </w:div>
        <w:div w:id="1313372193">
          <w:marLeft w:val="0"/>
          <w:marRight w:val="0"/>
          <w:marTop w:val="0"/>
          <w:marBottom w:val="0"/>
          <w:divBdr>
            <w:top w:val="none" w:sz="0" w:space="0" w:color="auto"/>
            <w:left w:val="none" w:sz="0" w:space="0" w:color="auto"/>
            <w:bottom w:val="none" w:sz="0" w:space="0" w:color="auto"/>
            <w:right w:val="none" w:sz="0" w:space="0" w:color="auto"/>
          </w:divBdr>
          <w:divsChild>
            <w:div w:id="850342847">
              <w:marLeft w:val="0"/>
              <w:marRight w:val="0"/>
              <w:marTop w:val="0"/>
              <w:marBottom w:val="0"/>
              <w:divBdr>
                <w:top w:val="none" w:sz="0" w:space="0" w:color="auto"/>
                <w:left w:val="none" w:sz="0" w:space="0" w:color="auto"/>
                <w:bottom w:val="none" w:sz="0" w:space="0" w:color="auto"/>
                <w:right w:val="none" w:sz="0" w:space="0" w:color="auto"/>
              </w:divBdr>
            </w:div>
            <w:div w:id="977566344">
              <w:marLeft w:val="0"/>
              <w:marRight w:val="0"/>
              <w:marTop w:val="0"/>
              <w:marBottom w:val="0"/>
              <w:divBdr>
                <w:top w:val="none" w:sz="0" w:space="0" w:color="auto"/>
                <w:left w:val="none" w:sz="0" w:space="0" w:color="auto"/>
                <w:bottom w:val="none" w:sz="0" w:space="0" w:color="auto"/>
                <w:right w:val="none" w:sz="0" w:space="0" w:color="auto"/>
              </w:divBdr>
            </w:div>
          </w:divsChild>
        </w:div>
        <w:div w:id="1612981043">
          <w:marLeft w:val="0"/>
          <w:marRight w:val="0"/>
          <w:marTop w:val="0"/>
          <w:marBottom w:val="0"/>
          <w:divBdr>
            <w:top w:val="none" w:sz="0" w:space="0" w:color="auto"/>
            <w:left w:val="none" w:sz="0" w:space="0" w:color="auto"/>
            <w:bottom w:val="none" w:sz="0" w:space="0" w:color="auto"/>
            <w:right w:val="none" w:sz="0" w:space="0" w:color="auto"/>
          </w:divBdr>
          <w:divsChild>
            <w:div w:id="106701869">
              <w:marLeft w:val="0"/>
              <w:marRight w:val="0"/>
              <w:marTop w:val="0"/>
              <w:marBottom w:val="0"/>
              <w:divBdr>
                <w:top w:val="none" w:sz="0" w:space="0" w:color="auto"/>
                <w:left w:val="none" w:sz="0" w:space="0" w:color="auto"/>
                <w:bottom w:val="none" w:sz="0" w:space="0" w:color="auto"/>
                <w:right w:val="none" w:sz="0" w:space="0" w:color="auto"/>
              </w:divBdr>
            </w:div>
          </w:divsChild>
        </w:div>
        <w:div w:id="1837645028">
          <w:marLeft w:val="0"/>
          <w:marRight w:val="0"/>
          <w:marTop w:val="0"/>
          <w:marBottom w:val="0"/>
          <w:divBdr>
            <w:top w:val="none" w:sz="0" w:space="0" w:color="auto"/>
            <w:left w:val="none" w:sz="0" w:space="0" w:color="auto"/>
            <w:bottom w:val="none" w:sz="0" w:space="0" w:color="auto"/>
            <w:right w:val="none" w:sz="0" w:space="0" w:color="auto"/>
          </w:divBdr>
          <w:divsChild>
            <w:div w:id="1988320966">
              <w:marLeft w:val="0"/>
              <w:marRight w:val="0"/>
              <w:marTop w:val="0"/>
              <w:marBottom w:val="0"/>
              <w:divBdr>
                <w:top w:val="none" w:sz="0" w:space="0" w:color="auto"/>
                <w:left w:val="none" w:sz="0" w:space="0" w:color="auto"/>
                <w:bottom w:val="none" w:sz="0" w:space="0" w:color="auto"/>
                <w:right w:val="none" w:sz="0" w:space="0" w:color="auto"/>
              </w:divBdr>
            </w:div>
          </w:divsChild>
        </w:div>
        <w:div w:id="1856334987">
          <w:marLeft w:val="0"/>
          <w:marRight w:val="0"/>
          <w:marTop w:val="0"/>
          <w:marBottom w:val="0"/>
          <w:divBdr>
            <w:top w:val="none" w:sz="0" w:space="0" w:color="auto"/>
            <w:left w:val="none" w:sz="0" w:space="0" w:color="auto"/>
            <w:bottom w:val="none" w:sz="0" w:space="0" w:color="auto"/>
            <w:right w:val="none" w:sz="0" w:space="0" w:color="auto"/>
          </w:divBdr>
          <w:divsChild>
            <w:div w:id="887881874">
              <w:marLeft w:val="0"/>
              <w:marRight w:val="0"/>
              <w:marTop w:val="0"/>
              <w:marBottom w:val="0"/>
              <w:divBdr>
                <w:top w:val="none" w:sz="0" w:space="0" w:color="auto"/>
                <w:left w:val="none" w:sz="0" w:space="0" w:color="auto"/>
                <w:bottom w:val="none" w:sz="0" w:space="0" w:color="auto"/>
                <w:right w:val="none" w:sz="0" w:space="0" w:color="auto"/>
              </w:divBdr>
            </w:div>
          </w:divsChild>
        </w:div>
        <w:div w:id="1932394973">
          <w:marLeft w:val="0"/>
          <w:marRight w:val="0"/>
          <w:marTop w:val="0"/>
          <w:marBottom w:val="0"/>
          <w:divBdr>
            <w:top w:val="none" w:sz="0" w:space="0" w:color="auto"/>
            <w:left w:val="none" w:sz="0" w:space="0" w:color="auto"/>
            <w:bottom w:val="none" w:sz="0" w:space="0" w:color="auto"/>
            <w:right w:val="none" w:sz="0" w:space="0" w:color="auto"/>
          </w:divBdr>
          <w:divsChild>
            <w:div w:id="797650647">
              <w:marLeft w:val="0"/>
              <w:marRight w:val="0"/>
              <w:marTop w:val="0"/>
              <w:marBottom w:val="0"/>
              <w:divBdr>
                <w:top w:val="none" w:sz="0" w:space="0" w:color="auto"/>
                <w:left w:val="none" w:sz="0" w:space="0" w:color="auto"/>
                <w:bottom w:val="none" w:sz="0" w:space="0" w:color="auto"/>
                <w:right w:val="none" w:sz="0" w:space="0" w:color="auto"/>
              </w:divBdr>
            </w:div>
          </w:divsChild>
        </w:div>
        <w:div w:id="2018850106">
          <w:marLeft w:val="0"/>
          <w:marRight w:val="0"/>
          <w:marTop w:val="0"/>
          <w:marBottom w:val="0"/>
          <w:divBdr>
            <w:top w:val="none" w:sz="0" w:space="0" w:color="auto"/>
            <w:left w:val="none" w:sz="0" w:space="0" w:color="auto"/>
            <w:bottom w:val="none" w:sz="0" w:space="0" w:color="auto"/>
            <w:right w:val="none" w:sz="0" w:space="0" w:color="auto"/>
          </w:divBdr>
          <w:divsChild>
            <w:div w:id="1917209285">
              <w:marLeft w:val="0"/>
              <w:marRight w:val="0"/>
              <w:marTop w:val="0"/>
              <w:marBottom w:val="0"/>
              <w:divBdr>
                <w:top w:val="none" w:sz="0" w:space="0" w:color="auto"/>
                <w:left w:val="none" w:sz="0" w:space="0" w:color="auto"/>
                <w:bottom w:val="none" w:sz="0" w:space="0" w:color="auto"/>
                <w:right w:val="none" w:sz="0" w:space="0" w:color="auto"/>
              </w:divBdr>
            </w:div>
          </w:divsChild>
        </w:div>
        <w:div w:id="2107924693">
          <w:marLeft w:val="0"/>
          <w:marRight w:val="0"/>
          <w:marTop w:val="0"/>
          <w:marBottom w:val="0"/>
          <w:divBdr>
            <w:top w:val="none" w:sz="0" w:space="0" w:color="auto"/>
            <w:left w:val="none" w:sz="0" w:space="0" w:color="auto"/>
            <w:bottom w:val="none" w:sz="0" w:space="0" w:color="auto"/>
            <w:right w:val="none" w:sz="0" w:space="0" w:color="auto"/>
          </w:divBdr>
          <w:divsChild>
            <w:div w:id="69508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13892">
      <w:bodyDiv w:val="1"/>
      <w:marLeft w:val="0"/>
      <w:marRight w:val="0"/>
      <w:marTop w:val="0"/>
      <w:marBottom w:val="0"/>
      <w:divBdr>
        <w:top w:val="none" w:sz="0" w:space="0" w:color="auto"/>
        <w:left w:val="none" w:sz="0" w:space="0" w:color="auto"/>
        <w:bottom w:val="none" w:sz="0" w:space="0" w:color="auto"/>
        <w:right w:val="none" w:sz="0" w:space="0" w:color="auto"/>
      </w:divBdr>
    </w:div>
    <w:div w:id="1787501270">
      <w:bodyDiv w:val="1"/>
      <w:marLeft w:val="0"/>
      <w:marRight w:val="0"/>
      <w:marTop w:val="0"/>
      <w:marBottom w:val="0"/>
      <w:divBdr>
        <w:top w:val="none" w:sz="0" w:space="0" w:color="auto"/>
        <w:left w:val="none" w:sz="0" w:space="0" w:color="auto"/>
        <w:bottom w:val="none" w:sz="0" w:space="0" w:color="auto"/>
        <w:right w:val="none" w:sz="0" w:space="0" w:color="auto"/>
      </w:divBdr>
    </w:div>
    <w:div w:id="1794326024">
      <w:bodyDiv w:val="1"/>
      <w:marLeft w:val="0"/>
      <w:marRight w:val="0"/>
      <w:marTop w:val="0"/>
      <w:marBottom w:val="0"/>
      <w:divBdr>
        <w:top w:val="none" w:sz="0" w:space="0" w:color="auto"/>
        <w:left w:val="none" w:sz="0" w:space="0" w:color="auto"/>
        <w:bottom w:val="none" w:sz="0" w:space="0" w:color="auto"/>
        <w:right w:val="none" w:sz="0" w:space="0" w:color="auto"/>
      </w:divBdr>
    </w:div>
    <w:div w:id="1807384006">
      <w:bodyDiv w:val="1"/>
      <w:marLeft w:val="0"/>
      <w:marRight w:val="0"/>
      <w:marTop w:val="0"/>
      <w:marBottom w:val="0"/>
      <w:divBdr>
        <w:top w:val="none" w:sz="0" w:space="0" w:color="auto"/>
        <w:left w:val="none" w:sz="0" w:space="0" w:color="auto"/>
        <w:bottom w:val="none" w:sz="0" w:space="0" w:color="auto"/>
        <w:right w:val="none" w:sz="0" w:space="0" w:color="auto"/>
      </w:divBdr>
    </w:div>
    <w:div w:id="1868055129">
      <w:bodyDiv w:val="1"/>
      <w:marLeft w:val="0"/>
      <w:marRight w:val="0"/>
      <w:marTop w:val="0"/>
      <w:marBottom w:val="0"/>
      <w:divBdr>
        <w:top w:val="none" w:sz="0" w:space="0" w:color="auto"/>
        <w:left w:val="none" w:sz="0" w:space="0" w:color="auto"/>
        <w:bottom w:val="none" w:sz="0" w:space="0" w:color="auto"/>
        <w:right w:val="none" w:sz="0" w:space="0" w:color="auto"/>
      </w:divBdr>
      <w:divsChild>
        <w:div w:id="177698366">
          <w:marLeft w:val="0"/>
          <w:marRight w:val="0"/>
          <w:marTop w:val="0"/>
          <w:marBottom w:val="0"/>
          <w:divBdr>
            <w:top w:val="none" w:sz="0" w:space="0" w:color="auto"/>
            <w:left w:val="none" w:sz="0" w:space="0" w:color="auto"/>
            <w:bottom w:val="none" w:sz="0" w:space="0" w:color="auto"/>
            <w:right w:val="none" w:sz="0" w:space="0" w:color="auto"/>
          </w:divBdr>
          <w:divsChild>
            <w:div w:id="182401580">
              <w:marLeft w:val="0"/>
              <w:marRight w:val="0"/>
              <w:marTop w:val="0"/>
              <w:marBottom w:val="0"/>
              <w:divBdr>
                <w:top w:val="none" w:sz="0" w:space="0" w:color="auto"/>
                <w:left w:val="none" w:sz="0" w:space="0" w:color="auto"/>
                <w:bottom w:val="none" w:sz="0" w:space="0" w:color="auto"/>
                <w:right w:val="none" w:sz="0" w:space="0" w:color="auto"/>
              </w:divBdr>
            </w:div>
            <w:div w:id="284386081">
              <w:marLeft w:val="0"/>
              <w:marRight w:val="0"/>
              <w:marTop w:val="0"/>
              <w:marBottom w:val="0"/>
              <w:divBdr>
                <w:top w:val="none" w:sz="0" w:space="0" w:color="auto"/>
                <w:left w:val="none" w:sz="0" w:space="0" w:color="auto"/>
                <w:bottom w:val="none" w:sz="0" w:space="0" w:color="auto"/>
                <w:right w:val="none" w:sz="0" w:space="0" w:color="auto"/>
              </w:divBdr>
            </w:div>
            <w:div w:id="483663995">
              <w:marLeft w:val="0"/>
              <w:marRight w:val="0"/>
              <w:marTop w:val="0"/>
              <w:marBottom w:val="0"/>
              <w:divBdr>
                <w:top w:val="none" w:sz="0" w:space="0" w:color="auto"/>
                <w:left w:val="none" w:sz="0" w:space="0" w:color="auto"/>
                <w:bottom w:val="none" w:sz="0" w:space="0" w:color="auto"/>
                <w:right w:val="none" w:sz="0" w:space="0" w:color="auto"/>
              </w:divBdr>
            </w:div>
            <w:div w:id="548537154">
              <w:marLeft w:val="0"/>
              <w:marRight w:val="0"/>
              <w:marTop w:val="0"/>
              <w:marBottom w:val="0"/>
              <w:divBdr>
                <w:top w:val="none" w:sz="0" w:space="0" w:color="auto"/>
                <w:left w:val="none" w:sz="0" w:space="0" w:color="auto"/>
                <w:bottom w:val="none" w:sz="0" w:space="0" w:color="auto"/>
                <w:right w:val="none" w:sz="0" w:space="0" w:color="auto"/>
              </w:divBdr>
            </w:div>
            <w:div w:id="706489032">
              <w:marLeft w:val="0"/>
              <w:marRight w:val="0"/>
              <w:marTop w:val="0"/>
              <w:marBottom w:val="0"/>
              <w:divBdr>
                <w:top w:val="none" w:sz="0" w:space="0" w:color="auto"/>
                <w:left w:val="none" w:sz="0" w:space="0" w:color="auto"/>
                <w:bottom w:val="none" w:sz="0" w:space="0" w:color="auto"/>
                <w:right w:val="none" w:sz="0" w:space="0" w:color="auto"/>
              </w:divBdr>
            </w:div>
            <w:div w:id="751977244">
              <w:marLeft w:val="0"/>
              <w:marRight w:val="0"/>
              <w:marTop w:val="0"/>
              <w:marBottom w:val="0"/>
              <w:divBdr>
                <w:top w:val="none" w:sz="0" w:space="0" w:color="auto"/>
                <w:left w:val="none" w:sz="0" w:space="0" w:color="auto"/>
                <w:bottom w:val="none" w:sz="0" w:space="0" w:color="auto"/>
                <w:right w:val="none" w:sz="0" w:space="0" w:color="auto"/>
              </w:divBdr>
            </w:div>
            <w:div w:id="842428617">
              <w:marLeft w:val="0"/>
              <w:marRight w:val="0"/>
              <w:marTop w:val="0"/>
              <w:marBottom w:val="0"/>
              <w:divBdr>
                <w:top w:val="none" w:sz="0" w:space="0" w:color="auto"/>
                <w:left w:val="none" w:sz="0" w:space="0" w:color="auto"/>
                <w:bottom w:val="none" w:sz="0" w:space="0" w:color="auto"/>
                <w:right w:val="none" w:sz="0" w:space="0" w:color="auto"/>
              </w:divBdr>
            </w:div>
            <w:div w:id="849636343">
              <w:marLeft w:val="0"/>
              <w:marRight w:val="0"/>
              <w:marTop w:val="0"/>
              <w:marBottom w:val="0"/>
              <w:divBdr>
                <w:top w:val="none" w:sz="0" w:space="0" w:color="auto"/>
                <w:left w:val="none" w:sz="0" w:space="0" w:color="auto"/>
                <w:bottom w:val="none" w:sz="0" w:space="0" w:color="auto"/>
                <w:right w:val="none" w:sz="0" w:space="0" w:color="auto"/>
              </w:divBdr>
            </w:div>
            <w:div w:id="1193304909">
              <w:marLeft w:val="0"/>
              <w:marRight w:val="0"/>
              <w:marTop w:val="0"/>
              <w:marBottom w:val="0"/>
              <w:divBdr>
                <w:top w:val="none" w:sz="0" w:space="0" w:color="auto"/>
                <w:left w:val="none" w:sz="0" w:space="0" w:color="auto"/>
                <w:bottom w:val="none" w:sz="0" w:space="0" w:color="auto"/>
                <w:right w:val="none" w:sz="0" w:space="0" w:color="auto"/>
              </w:divBdr>
            </w:div>
            <w:div w:id="1311402954">
              <w:marLeft w:val="0"/>
              <w:marRight w:val="0"/>
              <w:marTop w:val="0"/>
              <w:marBottom w:val="0"/>
              <w:divBdr>
                <w:top w:val="none" w:sz="0" w:space="0" w:color="auto"/>
                <w:left w:val="none" w:sz="0" w:space="0" w:color="auto"/>
                <w:bottom w:val="none" w:sz="0" w:space="0" w:color="auto"/>
                <w:right w:val="none" w:sz="0" w:space="0" w:color="auto"/>
              </w:divBdr>
            </w:div>
            <w:div w:id="1314875612">
              <w:marLeft w:val="0"/>
              <w:marRight w:val="0"/>
              <w:marTop w:val="0"/>
              <w:marBottom w:val="0"/>
              <w:divBdr>
                <w:top w:val="none" w:sz="0" w:space="0" w:color="auto"/>
                <w:left w:val="none" w:sz="0" w:space="0" w:color="auto"/>
                <w:bottom w:val="none" w:sz="0" w:space="0" w:color="auto"/>
                <w:right w:val="none" w:sz="0" w:space="0" w:color="auto"/>
              </w:divBdr>
            </w:div>
            <w:div w:id="1328945645">
              <w:marLeft w:val="0"/>
              <w:marRight w:val="0"/>
              <w:marTop w:val="0"/>
              <w:marBottom w:val="0"/>
              <w:divBdr>
                <w:top w:val="none" w:sz="0" w:space="0" w:color="auto"/>
                <w:left w:val="none" w:sz="0" w:space="0" w:color="auto"/>
                <w:bottom w:val="none" w:sz="0" w:space="0" w:color="auto"/>
                <w:right w:val="none" w:sz="0" w:space="0" w:color="auto"/>
              </w:divBdr>
            </w:div>
            <w:div w:id="1484349509">
              <w:marLeft w:val="0"/>
              <w:marRight w:val="0"/>
              <w:marTop w:val="0"/>
              <w:marBottom w:val="0"/>
              <w:divBdr>
                <w:top w:val="none" w:sz="0" w:space="0" w:color="auto"/>
                <w:left w:val="none" w:sz="0" w:space="0" w:color="auto"/>
                <w:bottom w:val="none" w:sz="0" w:space="0" w:color="auto"/>
                <w:right w:val="none" w:sz="0" w:space="0" w:color="auto"/>
              </w:divBdr>
            </w:div>
            <w:div w:id="1551303985">
              <w:marLeft w:val="0"/>
              <w:marRight w:val="0"/>
              <w:marTop w:val="0"/>
              <w:marBottom w:val="0"/>
              <w:divBdr>
                <w:top w:val="none" w:sz="0" w:space="0" w:color="auto"/>
                <w:left w:val="none" w:sz="0" w:space="0" w:color="auto"/>
                <w:bottom w:val="none" w:sz="0" w:space="0" w:color="auto"/>
                <w:right w:val="none" w:sz="0" w:space="0" w:color="auto"/>
              </w:divBdr>
            </w:div>
            <w:div w:id="1616979111">
              <w:marLeft w:val="0"/>
              <w:marRight w:val="0"/>
              <w:marTop w:val="0"/>
              <w:marBottom w:val="0"/>
              <w:divBdr>
                <w:top w:val="none" w:sz="0" w:space="0" w:color="auto"/>
                <w:left w:val="none" w:sz="0" w:space="0" w:color="auto"/>
                <w:bottom w:val="none" w:sz="0" w:space="0" w:color="auto"/>
                <w:right w:val="none" w:sz="0" w:space="0" w:color="auto"/>
              </w:divBdr>
            </w:div>
            <w:div w:id="1798528889">
              <w:marLeft w:val="0"/>
              <w:marRight w:val="0"/>
              <w:marTop w:val="0"/>
              <w:marBottom w:val="0"/>
              <w:divBdr>
                <w:top w:val="none" w:sz="0" w:space="0" w:color="auto"/>
                <w:left w:val="none" w:sz="0" w:space="0" w:color="auto"/>
                <w:bottom w:val="none" w:sz="0" w:space="0" w:color="auto"/>
                <w:right w:val="none" w:sz="0" w:space="0" w:color="auto"/>
              </w:divBdr>
            </w:div>
            <w:div w:id="1841043053">
              <w:marLeft w:val="0"/>
              <w:marRight w:val="0"/>
              <w:marTop w:val="0"/>
              <w:marBottom w:val="0"/>
              <w:divBdr>
                <w:top w:val="none" w:sz="0" w:space="0" w:color="auto"/>
                <w:left w:val="none" w:sz="0" w:space="0" w:color="auto"/>
                <w:bottom w:val="none" w:sz="0" w:space="0" w:color="auto"/>
                <w:right w:val="none" w:sz="0" w:space="0" w:color="auto"/>
              </w:divBdr>
            </w:div>
            <w:div w:id="1906916550">
              <w:marLeft w:val="0"/>
              <w:marRight w:val="0"/>
              <w:marTop w:val="0"/>
              <w:marBottom w:val="0"/>
              <w:divBdr>
                <w:top w:val="none" w:sz="0" w:space="0" w:color="auto"/>
                <w:left w:val="none" w:sz="0" w:space="0" w:color="auto"/>
                <w:bottom w:val="none" w:sz="0" w:space="0" w:color="auto"/>
                <w:right w:val="none" w:sz="0" w:space="0" w:color="auto"/>
              </w:divBdr>
            </w:div>
            <w:div w:id="1920215759">
              <w:marLeft w:val="0"/>
              <w:marRight w:val="0"/>
              <w:marTop w:val="0"/>
              <w:marBottom w:val="0"/>
              <w:divBdr>
                <w:top w:val="none" w:sz="0" w:space="0" w:color="auto"/>
                <w:left w:val="none" w:sz="0" w:space="0" w:color="auto"/>
                <w:bottom w:val="none" w:sz="0" w:space="0" w:color="auto"/>
                <w:right w:val="none" w:sz="0" w:space="0" w:color="auto"/>
              </w:divBdr>
            </w:div>
            <w:div w:id="2037924373">
              <w:marLeft w:val="0"/>
              <w:marRight w:val="0"/>
              <w:marTop w:val="0"/>
              <w:marBottom w:val="0"/>
              <w:divBdr>
                <w:top w:val="none" w:sz="0" w:space="0" w:color="auto"/>
                <w:left w:val="none" w:sz="0" w:space="0" w:color="auto"/>
                <w:bottom w:val="none" w:sz="0" w:space="0" w:color="auto"/>
                <w:right w:val="none" w:sz="0" w:space="0" w:color="auto"/>
              </w:divBdr>
            </w:div>
          </w:divsChild>
        </w:div>
        <w:div w:id="848443068">
          <w:marLeft w:val="0"/>
          <w:marRight w:val="0"/>
          <w:marTop w:val="0"/>
          <w:marBottom w:val="0"/>
          <w:divBdr>
            <w:top w:val="none" w:sz="0" w:space="0" w:color="auto"/>
            <w:left w:val="none" w:sz="0" w:space="0" w:color="auto"/>
            <w:bottom w:val="none" w:sz="0" w:space="0" w:color="auto"/>
            <w:right w:val="none" w:sz="0" w:space="0" w:color="auto"/>
          </w:divBdr>
        </w:div>
        <w:div w:id="1363557024">
          <w:marLeft w:val="0"/>
          <w:marRight w:val="0"/>
          <w:marTop w:val="0"/>
          <w:marBottom w:val="0"/>
          <w:divBdr>
            <w:top w:val="none" w:sz="0" w:space="0" w:color="auto"/>
            <w:left w:val="none" w:sz="0" w:space="0" w:color="auto"/>
            <w:bottom w:val="none" w:sz="0" w:space="0" w:color="auto"/>
            <w:right w:val="none" w:sz="0" w:space="0" w:color="auto"/>
          </w:divBdr>
        </w:div>
        <w:div w:id="2104064157">
          <w:marLeft w:val="0"/>
          <w:marRight w:val="0"/>
          <w:marTop w:val="0"/>
          <w:marBottom w:val="0"/>
          <w:divBdr>
            <w:top w:val="none" w:sz="0" w:space="0" w:color="auto"/>
            <w:left w:val="none" w:sz="0" w:space="0" w:color="auto"/>
            <w:bottom w:val="none" w:sz="0" w:space="0" w:color="auto"/>
            <w:right w:val="none" w:sz="0" w:space="0" w:color="auto"/>
          </w:divBdr>
          <w:divsChild>
            <w:div w:id="93597979">
              <w:marLeft w:val="0"/>
              <w:marRight w:val="0"/>
              <w:marTop w:val="0"/>
              <w:marBottom w:val="0"/>
              <w:divBdr>
                <w:top w:val="none" w:sz="0" w:space="0" w:color="auto"/>
                <w:left w:val="none" w:sz="0" w:space="0" w:color="auto"/>
                <w:bottom w:val="none" w:sz="0" w:space="0" w:color="auto"/>
                <w:right w:val="none" w:sz="0" w:space="0" w:color="auto"/>
              </w:divBdr>
            </w:div>
            <w:div w:id="130177182">
              <w:marLeft w:val="0"/>
              <w:marRight w:val="0"/>
              <w:marTop w:val="0"/>
              <w:marBottom w:val="0"/>
              <w:divBdr>
                <w:top w:val="none" w:sz="0" w:space="0" w:color="auto"/>
                <w:left w:val="none" w:sz="0" w:space="0" w:color="auto"/>
                <w:bottom w:val="none" w:sz="0" w:space="0" w:color="auto"/>
                <w:right w:val="none" w:sz="0" w:space="0" w:color="auto"/>
              </w:divBdr>
            </w:div>
            <w:div w:id="154540618">
              <w:marLeft w:val="0"/>
              <w:marRight w:val="0"/>
              <w:marTop w:val="0"/>
              <w:marBottom w:val="0"/>
              <w:divBdr>
                <w:top w:val="none" w:sz="0" w:space="0" w:color="auto"/>
                <w:left w:val="none" w:sz="0" w:space="0" w:color="auto"/>
                <w:bottom w:val="none" w:sz="0" w:space="0" w:color="auto"/>
                <w:right w:val="none" w:sz="0" w:space="0" w:color="auto"/>
              </w:divBdr>
            </w:div>
            <w:div w:id="165751848">
              <w:marLeft w:val="0"/>
              <w:marRight w:val="0"/>
              <w:marTop w:val="0"/>
              <w:marBottom w:val="0"/>
              <w:divBdr>
                <w:top w:val="none" w:sz="0" w:space="0" w:color="auto"/>
                <w:left w:val="none" w:sz="0" w:space="0" w:color="auto"/>
                <w:bottom w:val="none" w:sz="0" w:space="0" w:color="auto"/>
                <w:right w:val="none" w:sz="0" w:space="0" w:color="auto"/>
              </w:divBdr>
            </w:div>
            <w:div w:id="263269405">
              <w:marLeft w:val="0"/>
              <w:marRight w:val="0"/>
              <w:marTop w:val="0"/>
              <w:marBottom w:val="0"/>
              <w:divBdr>
                <w:top w:val="none" w:sz="0" w:space="0" w:color="auto"/>
                <w:left w:val="none" w:sz="0" w:space="0" w:color="auto"/>
                <w:bottom w:val="none" w:sz="0" w:space="0" w:color="auto"/>
                <w:right w:val="none" w:sz="0" w:space="0" w:color="auto"/>
              </w:divBdr>
            </w:div>
            <w:div w:id="348918628">
              <w:marLeft w:val="0"/>
              <w:marRight w:val="0"/>
              <w:marTop w:val="0"/>
              <w:marBottom w:val="0"/>
              <w:divBdr>
                <w:top w:val="none" w:sz="0" w:space="0" w:color="auto"/>
                <w:left w:val="none" w:sz="0" w:space="0" w:color="auto"/>
                <w:bottom w:val="none" w:sz="0" w:space="0" w:color="auto"/>
                <w:right w:val="none" w:sz="0" w:space="0" w:color="auto"/>
              </w:divBdr>
            </w:div>
            <w:div w:id="515580064">
              <w:marLeft w:val="0"/>
              <w:marRight w:val="0"/>
              <w:marTop w:val="0"/>
              <w:marBottom w:val="0"/>
              <w:divBdr>
                <w:top w:val="none" w:sz="0" w:space="0" w:color="auto"/>
                <w:left w:val="none" w:sz="0" w:space="0" w:color="auto"/>
                <w:bottom w:val="none" w:sz="0" w:space="0" w:color="auto"/>
                <w:right w:val="none" w:sz="0" w:space="0" w:color="auto"/>
              </w:divBdr>
            </w:div>
            <w:div w:id="725448679">
              <w:marLeft w:val="0"/>
              <w:marRight w:val="0"/>
              <w:marTop w:val="0"/>
              <w:marBottom w:val="0"/>
              <w:divBdr>
                <w:top w:val="none" w:sz="0" w:space="0" w:color="auto"/>
                <w:left w:val="none" w:sz="0" w:space="0" w:color="auto"/>
                <w:bottom w:val="none" w:sz="0" w:space="0" w:color="auto"/>
                <w:right w:val="none" w:sz="0" w:space="0" w:color="auto"/>
              </w:divBdr>
            </w:div>
            <w:div w:id="775519730">
              <w:marLeft w:val="0"/>
              <w:marRight w:val="0"/>
              <w:marTop w:val="0"/>
              <w:marBottom w:val="0"/>
              <w:divBdr>
                <w:top w:val="none" w:sz="0" w:space="0" w:color="auto"/>
                <w:left w:val="none" w:sz="0" w:space="0" w:color="auto"/>
                <w:bottom w:val="none" w:sz="0" w:space="0" w:color="auto"/>
                <w:right w:val="none" w:sz="0" w:space="0" w:color="auto"/>
              </w:divBdr>
            </w:div>
            <w:div w:id="1012099651">
              <w:marLeft w:val="0"/>
              <w:marRight w:val="0"/>
              <w:marTop w:val="0"/>
              <w:marBottom w:val="0"/>
              <w:divBdr>
                <w:top w:val="none" w:sz="0" w:space="0" w:color="auto"/>
                <w:left w:val="none" w:sz="0" w:space="0" w:color="auto"/>
                <w:bottom w:val="none" w:sz="0" w:space="0" w:color="auto"/>
                <w:right w:val="none" w:sz="0" w:space="0" w:color="auto"/>
              </w:divBdr>
            </w:div>
            <w:div w:id="1163736096">
              <w:marLeft w:val="0"/>
              <w:marRight w:val="0"/>
              <w:marTop w:val="0"/>
              <w:marBottom w:val="0"/>
              <w:divBdr>
                <w:top w:val="none" w:sz="0" w:space="0" w:color="auto"/>
                <w:left w:val="none" w:sz="0" w:space="0" w:color="auto"/>
                <w:bottom w:val="none" w:sz="0" w:space="0" w:color="auto"/>
                <w:right w:val="none" w:sz="0" w:space="0" w:color="auto"/>
              </w:divBdr>
            </w:div>
            <w:div w:id="1200819481">
              <w:marLeft w:val="0"/>
              <w:marRight w:val="0"/>
              <w:marTop w:val="0"/>
              <w:marBottom w:val="0"/>
              <w:divBdr>
                <w:top w:val="none" w:sz="0" w:space="0" w:color="auto"/>
                <w:left w:val="none" w:sz="0" w:space="0" w:color="auto"/>
                <w:bottom w:val="none" w:sz="0" w:space="0" w:color="auto"/>
                <w:right w:val="none" w:sz="0" w:space="0" w:color="auto"/>
              </w:divBdr>
            </w:div>
            <w:div w:id="1489398646">
              <w:marLeft w:val="0"/>
              <w:marRight w:val="0"/>
              <w:marTop w:val="0"/>
              <w:marBottom w:val="0"/>
              <w:divBdr>
                <w:top w:val="none" w:sz="0" w:space="0" w:color="auto"/>
                <w:left w:val="none" w:sz="0" w:space="0" w:color="auto"/>
                <w:bottom w:val="none" w:sz="0" w:space="0" w:color="auto"/>
                <w:right w:val="none" w:sz="0" w:space="0" w:color="auto"/>
              </w:divBdr>
            </w:div>
            <w:div w:id="1637905824">
              <w:marLeft w:val="0"/>
              <w:marRight w:val="0"/>
              <w:marTop w:val="0"/>
              <w:marBottom w:val="0"/>
              <w:divBdr>
                <w:top w:val="none" w:sz="0" w:space="0" w:color="auto"/>
                <w:left w:val="none" w:sz="0" w:space="0" w:color="auto"/>
                <w:bottom w:val="none" w:sz="0" w:space="0" w:color="auto"/>
                <w:right w:val="none" w:sz="0" w:space="0" w:color="auto"/>
              </w:divBdr>
            </w:div>
            <w:div w:id="1669671391">
              <w:marLeft w:val="0"/>
              <w:marRight w:val="0"/>
              <w:marTop w:val="0"/>
              <w:marBottom w:val="0"/>
              <w:divBdr>
                <w:top w:val="none" w:sz="0" w:space="0" w:color="auto"/>
                <w:left w:val="none" w:sz="0" w:space="0" w:color="auto"/>
                <w:bottom w:val="none" w:sz="0" w:space="0" w:color="auto"/>
                <w:right w:val="none" w:sz="0" w:space="0" w:color="auto"/>
              </w:divBdr>
            </w:div>
            <w:div w:id="1766144945">
              <w:marLeft w:val="0"/>
              <w:marRight w:val="0"/>
              <w:marTop w:val="0"/>
              <w:marBottom w:val="0"/>
              <w:divBdr>
                <w:top w:val="none" w:sz="0" w:space="0" w:color="auto"/>
                <w:left w:val="none" w:sz="0" w:space="0" w:color="auto"/>
                <w:bottom w:val="none" w:sz="0" w:space="0" w:color="auto"/>
                <w:right w:val="none" w:sz="0" w:space="0" w:color="auto"/>
              </w:divBdr>
            </w:div>
            <w:div w:id="1845196637">
              <w:marLeft w:val="0"/>
              <w:marRight w:val="0"/>
              <w:marTop w:val="0"/>
              <w:marBottom w:val="0"/>
              <w:divBdr>
                <w:top w:val="none" w:sz="0" w:space="0" w:color="auto"/>
                <w:left w:val="none" w:sz="0" w:space="0" w:color="auto"/>
                <w:bottom w:val="none" w:sz="0" w:space="0" w:color="auto"/>
                <w:right w:val="none" w:sz="0" w:space="0" w:color="auto"/>
              </w:divBdr>
            </w:div>
            <w:div w:id="1971084229">
              <w:marLeft w:val="0"/>
              <w:marRight w:val="0"/>
              <w:marTop w:val="0"/>
              <w:marBottom w:val="0"/>
              <w:divBdr>
                <w:top w:val="none" w:sz="0" w:space="0" w:color="auto"/>
                <w:left w:val="none" w:sz="0" w:space="0" w:color="auto"/>
                <w:bottom w:val="none" w:sz="0" w:space="0" w:color="auto"/>
                <w:right w:val="none" w:sz="0" w:space="0" w:color="auto"/>
              </w:divBdr>
            </w:div>
            <w:div w:id="20564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73648">
      <w:bodyDiv w:val="1"/>
      <w:marLeft w:val="0"/>
      <w:marRight w:val="0"/>
      <w:marTop w:val="0"/>
      <w:marBottom w:val="0"/>
      <w:divBdr>
        <w:top w:val="none" w:sz="0" w:space="0" w:color="auto"/>
        <w:left w:val="none" w:sz="0" w:space="0" w:color="auto"/>
        <w:bottom w:val="none" w:sz="0" w:space="0" w:color="auto"/>
        <w:right w:val="none" w:sz="0" w:space="0" w:color="auto"/>
      </w:divBdr>
      <w:divsChild>
        <w:div w:id="24256673">
          <w:marLeft w:val="0"/>
          <w:marRight w:val="0"/>
          <w:marTop w:val="0"/>
          <w:marBottom w:val="0"/>
          <w:divBdr>
            <w:top w:val="none" w:sz="0" w:space="0" w:color="auto"/>
            <w:left w:val="none" w:sz="0" w:space="0" w:color="auto"/>
            <w:bottom w:val="none" w:sz="0" w:space="0" w:color="auto"/>
            <w:right w:val="none" w:sz="0" w:space="0" w:color="auto"/>
          </w:divBdr>
        </w:div>
        <w:div w:id="43022952">
          <w:marLeft w:val="0"/>
          <w:marRight w:val="0"/>
          <w:marTop w:val="0"/>
          <w:marBottom w:val="0"/>
          <w:divBdr>
            <w:top w:val="none" w:sz="0" w:space="0" w:color="auto"/>
            <w:left w:val="none" w:sz="0" w:space="0" w:color="auto"/>
            <w:bottom w:val="none" w:sz="0" w:space="0" w:color="auto"/>
            <w:right w:val="none" w:sz="0" w:space="0" w:color="auto"/>
          </w:divBdr>
        </w:div>
        <w:div w:id="143550698">
          <w:marLeft w:val="0"/>
          <w:marRight w:val="0"/>
          <w:marTop w:val="0"/>
          <w:marBottom w:val="0"/>
          <w:divBdr>
            <w:top w:val="none" w:sz="0" w:space="0" w:color="auto"/>
            <w:left w:val="none" w:sz="0" w:space="0" w:color="auto"/>
            <w:bottom w:val="none" w:sz="0" w:space="0" w:color="auto"/>
            <w:right w:val="none" w:sz="0" w:space="0" w:color="auto"/>
          </w:divBdr>
        </w:div>
        <w:div w:id="249318639">
          <w:marLeft w:val="0"/>
          <w:marRight w:val="0"/>
          <w:marTop w:val="0"/>
          <w:marBottom w:val="0"/>
          <w:divBdr>
            <w:top w:val="none" w:sz="0" w:space="0" w:color="auto"/>
            <w:left w:val="none" w:sz="0" w:space="0" w:color="auto"/>
            <w:bottom w:val="none" w:sz="0" w:space="0" w:color="auto"/>
            <w:right w:val="none" w:sz="0" w:space="0" w:color="auto"/>
          </w:divBdr>
        </w:div>
        <w:div w:id="260726339">
          <w:marLeft w:val="0"/>
          <w:marRight w:val="0"/>
          <w:marTop w:val="0"/>
          <w:marBottom w:val="0"/>
          <w:divBdr>
            <w:top w:val="none" w:sz="0" w:space="0" w:color="auto"/>
            <w:left w:val="none" w:sz="0" w:space="0" w:color="auto"/>
            <w:bottom w:val="none" w:sz="0" w:space="0" w:color="auto"/>
            <w:right w:val="none" w:sz="0" w:space="0" w:color="auto"/>
          </w:divBdr>
        </w:div>
        <w:div w:id="310795069">
          <w:marLeft w:val="0"/>
          <w:marRight w:val="0"/>
          <w:marTop w:val="0"/>
          <w:marBottom w:val="0"/>
          <w:divBdr>
            <w:top w:val="none" w:sz="0" w:space="0" w:color="auto"/>
            <w:left w:val="none" w:sz="0" w:space="0" w:color="auto"/>
            <w:bottom w:val="none" w:sz="0" w:space="0" w:color="auto"/>
            <w:right w:val="none" w:sz="0" w:space="0" w:color="auto"/>
          </w:divBdr>
        </w:div>
        <w:div w:id="382103076">
          <w:marLeft w:val="0"/>
          <w:marRight w:val="0"/>
          <w:marTop w:val="0"/>
          <w:marBottom w:val="0"/>
          <w:divBdr>
            <w:top w:val="none" w:sz="0" w:space="0" w:color="auto"/>
            <w:left w:val="none" w:sz="0" w:space="0" w:color="auto"/>
            <w:bottom w:val="none" w:sz="0" w:space="0" w:color="auto"/>
            <w:right w:val="none" w:sz="0" w:space="0" w:color="auto"/>
          </w:divBdr>
        </w:div>
        <w:div w:id="514080228">
          <w:marLeft w:val="0"/>
          <w:marRight w:val="0"/>
          <w:marTop w:val="0"/>
          <w:marBottom w:val="0"/>
          <w:divBdr>
            <w:top w:val="none" w:sz="0" w:space="0" w:color="auto"/>
            <w:left w:val="none" w:sz="0" w:space="0" w:color="auto"/>
            <w:bottom w:val="none" w:sz="0" w:space="0" w:color="auto"/>
            <w:right w:val="none" w:sz="0" w:space="0" w:color="auto"/>
          </w:divBdr>
        </w:div>
        <w:div w:id="631715119">
          <w:marLeft w:val="0"/>
          <w:marRight w:val="0"/>
          <w:marTop w:val="0"/>
          <w:marBottom w:val="0"/>
          <w:divBdr>
            <w:top w:val="none" w:sz="0" w:space="0" w:color="auto"/>
            <w:left w:val="none" w:sz="0" w:space="0" w:color="auto"/>
            <w:bottom w:val="none" w:sz="0" w:space="0" w:color="auto"/>
            <w:right w:val="none" w:sz="0" w:space="0" w:color="auto"/>
          </w:divBdr>
          <w:divsChild>
            <w:div w:id="45179301">
              <w:marLeft w:val="0"/>
              <w:marRight w:val="0"/>
              <w:marTop w:val="0"/>
              <w:marBottom w:val="0"/>
              <w:divBdr>
                <w:top w:val="none" w:sz="0" w:space="0" w:color="auto"/>
                <w:left w:val="none" w:sz="0" w:space="0" w:color="auto"/>
                <w:bottom w:val="none" w:sz="0" w:space="0" w:color="auto"/>
                <w:right w:val="none" w:sz="0" w:space="0" w:color="auto"/>
              </w:divBdr>
            </w:div>
            <w:div w:id="72168492">
              <w:marLeft w:val="0"/>
              <w:marRight w:val="0"/>
              <w:marTop w:val="0"/>
              <w:marBottom w:val="0"/>
              <w:divBdr>
                <w:top w:val="none" w:sz="0" w:space="0" w:color="auto"/>
                <w:left w:val="none" w:sz="0" w:space="0" w:color="auto"/>
                <w:bottom w:val="none" w:sz="0" w:space="0" w:color="auto"/>
                <w:right w:val="none" w:sz="0" w:space="0" w:color="auto"/>
              </w:divBdr>
            </w:div>
            <w:div w:id="165101270">
              <w:marLeft w:val="0"/>
              <w:marRight w:val="0"/>
              <w:marTop w:val="0"/>
              <w:marBottom w:val="0"/>
              <w:divBdr>
                <w:top w:val="none" w:sz="0" w:space="0" w:color="auto"/>
                <w:left w:val="none" w:sz="0" w:space="0" w:color="auto"/>
                <w:bottom w:val="none" w:sz="0" w:space="0" w:color="auto"/>
                <w:right w:val="none" w:sz="0" w:space="0" w:color="auto"/>
              </w:divBdr>
            </w:div>
            <w:div w:id="219488229">
              <w:marLeft w:val="0"/>
              <w:marRight w:val="0"/>
              <w:marTop w:val="0"/>
              <w:marBottom w:val="0"/>
              <w:divBdr>
                <w:top w:val="none" w:sz="0" w:space="0" w:color="auto"/>
                <w:left w:val="none" w:sz="0" w:space="0" w:color="auto"/>
                <w:bottom w:val="none" w:sz="0" w:space="0" w:color="auto"/>
                <w:right w:val="none" w:sz="0" w:space="0" w:color="auto"/>
              </w:divBdr>
            </w:div>
            <w:div w:id="402878928">
              <w:marLeft w:val="0"/>
              <w:marRight w:val="0"/>
              <w:marTop w:val="0"/>
              <w:marBottom w:val="0"/>
              <w:divBdr>
                <w:top w:val="none" w:sz="0" w:space="0" w:color="auto"/>
                <w:left w:val="none" w:sz="0" w:space="0" w:color="auto"/>
                <w:bottom w:val="none" w:sz="0" w:space="0" w:color="auto"/>
                <w:right w:val="none" w:sz="0" w:space="0" w:color="auto"/>
              </w:divBdr>
            </w:div>
            <w:div w:id="417530979">
              <w:marLeft w:val="0"/>
              <w:marRight w:val="0"/>
              <w:marTop w:val="0"/>
              <w:marBottom w:val="0"/>
              <w:divBdr>
                <w:top w:val="none" w:sz="0" w:space="0" w:color="auto"/>
                <w:left w:val="none" w:sz="0" w:space="0" w:color="auto"/>
                <w:bottom w:val="none" w:sz="0" w:space="0" w:color="auto"/>
                <w:right w:val="none" w:sz="0" w:space="0" w:color="auto"/>
              </w:divBdr>
            </w:div>
            <w:div w:id="440955239">
              <w:marLeft w:val="0"/>
              <w:marRight w:val="0"/>
              <w:marTop w:val="0"/>
              <w:marBottom w:val="0"/>
              <w:divBdr>
                <w:top w:val="none" w:sz="0" w:space="0" w:color="auto"/>
                <w:left w:val="none" w:sz="0" w:space="0" w:color="auto"/>
                <w:bottom w:val="none" w:sz="0" w:space="0" w:color="auto"/>
                <w:right w:val="none" w:sz="0" w:space="0" w:color="auto"/>
              </w:divBdr>
            </w:div>
            <w:div w:id="726563709">
              <w:marLeft w:val="0"/>
              <w:marRight w:val="0"/>
              <w:marTop w:val="0"/>
              <w:marBottom w:val="0"/>
              <w:divBdr>
                <w:top w:val="none" w:sz="0" w:space="0" w:color="auto"/>
                <w:left w:val="none" w:sz="0" w:space="0" w:color="auto"/>
                <w:bottom w:val="none" w:sz="0" w:space="0" w:color="auto"/>
                <w:right w:val="none" w:sz="0" w:space="0" w:color="auto"/>
              </w:divBdr>
            </w:div>
            <w:div w:id="739131354">
              <w:marLeft w:val="0"/>
              <w:marRight w:val="0"/>
              <w:marTop w:val="0"/>
              <w:marBottom w:val="0"/>
              <w:divBdr>
                <w:top w:val="none" w:sz="0" w:space="0" w:color="auto"/>
                <w:left w:val="none" w:sz="0" w:space="0" w:color="auto"/>
                <w:bottom w:val="none" w:sz="0" w:space="0" w:color="auto"/>
                <w:right w:val="none" w:sz="0" w:space="0" w:color="auto"/>
              </w:divBdr>
            </w:div>
            <w:div w:id="886068186">
              <w:marLeft w:val="0"/>
              <w:marRight w:val="0"/>
              <w:marTop w:val="0"/>
              <w:marBottom w:val="0"/>
              <w:divBdr>
                <w:top w:val="none" w:sz="0" w:space="0" w:color="auto"/>
                <w:left w:val="none" w:sz="0" w:space="0" w:color="auto"/>
                <w:bottom w:val="none" w:sz="0" w:space="0" w:color="auto"/>
                <w:right w:val="none" w:sz="0" w:space="0" w:color="auto"/>
              </w:divBdr>
            </w:div>
            <w:div w:id="1016152807">
              <w:marLeft w:val="0"/>
              <w:marRight w:val="0"/>
              <w:marTop w:val="0"/>
              <w:marBottom w:val="0"/>
              <w:divBdr>
                <w:top w:val="none" w:sz="0" w:space="0" w:color="auto"/>
                <w:left w:val="none" w:sz="0" w:space="0" w:color="auto"/>
                <w:bottom w:val="none" w:sz="0" w:space="0" w:color="auto"/>
                <w:right w:val="none" w:sz="0" w:space="0" w:color="auto"/>
              </w:divBdr>
            </w:div>
            <w:div w:id="1081678300">
              <w:marLeft w:val="0"/>
              <w:marRight w:val="0"/>
              <w:marTop w:val="0"/>
              <w:marBottom w:val="0"/>
              <w:divBdr>
                <w:top w:val="none" w:sz="0" w:space="0" w:color="auto"/>
                <w:left w:val="none" w:sz="0" w:space="0" w:color="auto"/>
                <w:bottom w:val="none" w:sz="0" w:space="0" w:color="auto"/>
                <w:right w:val="none" w:sz="0" w:space="0" w:color="auto"/>
              </w:divBdr>
            </w:div>
            <w:div w:id="1171869163">
              <w:marLeft w:val="0"/>
              <w:marRight w:val="0"/>
              <w:marTop w:val="0"/>
              <w:marBottom w:val="0"/>
              <w:divBdr>
                <w:top w:val="none" w:sz="0" w:space="0" w:color="auto"/>
                <w:left w:val="none" w:sz="0" w:space="0" w:color="auto"/>
                <w:bottom w:val="none" w:sz="0" w:space="0" w:color="auto"/>
                <w:right w:val="none" w:sz="0" w:space="0" w:color="auto"/>
              </w:divBdr>
            </w:div>
            <w:div w:id="1199783899">
              <w:marLeft w:val="0"/>
              <w:marRight w:val="0"/>
              <w:marTop w:val="0"/>
              <w:marBottom w:val="0"/>
              <w:divBdr>
                <w:top w:val="none" w:sz="0" w:space="0" w:color="auto"/>
                <w:left w:val="none" w:sz="0" w:space="0" w:color="auto"/>
                <w:bottom w:val="none" w:sz="0" w:space="0" w:color="auto"/>
                <w:right w:val="none" w:sz="0" w:space="0" w:color="auto"/>
              </w:divBdr>
            </w:div>
            <w:div w:id="1413236515">
              <w:marLeft w:val="0"/>
              <w:marRight w:val="0"/>
              <w:marTop w:val="0"/>
              <w:marBottom w:val="0"/>
              <w:divBdr>
                <w:top w:val="none" w:sz="0" w:space="0" w:color="auto"/>
                <w:left w:val="none" w:sz="0" w:space="0" w:color="auto"/>
                <w:bottom w:val="none" w:sz="0" w:space="0" w:color="auto"/>
                <w:right w:val="none" w:sz="0" w:space="0" w:color="auto"/>
              </w:divBdr>
            </w:div>
            <w:div w:id="1612316682">
              <w:marLeft w:val="0"/>
              <w:marRight w:val="0"/>
              <w:marTop w:val="0"/>
              <w:marBottom w:val="0"/>
              <w:divBdr>
                <w:top w:val="none" w:sz="0" w:space="0" w:color="auto"/>
                <w:left w:val="none" w:sz="0" w:space="0" w:color="auto"/>
                <w:bottom w:val="none" w:sz="0" w:space="0" w:color="auto"/>
                <w:right w:val="none" w:sz="0" w:space="0" w:color="auto"/>
              </w:divBdr>
            </w:div>
            <w:div w:id="1664316475">
              <w:marLeft w:val="0"/>
              <w:marRight w:val="0"/>
              <w:marTop w:val="0"/>
              <w:marBottom w:val="0"/>
              <w:divBdr>
                <w:top w:val="none" w:sz="0" w:space="0" w:color="auto"/>
                <w:left w:val="none" w:sz="0" w:space="0" w:color="auto"/>
                <w:bottom w:val="none" w:sz="0" w:space="0" w:color="auto"/>
                <w:right w:val="none" w:sz="0" w:space="0" w:color="auto"/>
              </w:divBdr>
            </w:div>
            <w:div w:id="1711102159">
              <w:marLeft w:val="0"/>
              <w:marRight w:val="0"/>
              <w:marTop w:val="0"/>
              <w:marBottom w:val="0"/>
              <w:divBdr>
                <w:top w:val="none" w:sz="0" w:space="0" w:color="auto"/>
                <w:left w:val="none" w:sz="0" w:space="0" w:color="auto"/>
                <w:bottom w:val="none" w:sz="0" w:space="0" w:color="auto"/>
                <w:right w:val="none" w:sz="0" w:space="0" w:color="auto"/>
              </w:divBdr>
            </w:div>
            <w:div w:id="1821190118">
              <w:marLeft w:val="0"/>
              <w:marRight w:val="0"/>
              <w:marTop w:val="0"/>
              <w:marBottom w:val="0"/>
              <w:divBdr>
                <w:top w:val="none" w:sz="0" w:space="0" w:color="auto"/>
                <w:left w:val="none" w:sz="0" w:space="0" w:color="auto"/>
                <w:bottom w:val="none" w:sz="0" w:space="0" w:color="auto"/>
                <w:right w:val="none" w:sz="0" w:space="0" w:color="auto"/>
              </w:divBdr>
            </w:div>
            <w:div w:id="2051297557">
              <w:marLeft w:val="0"/>
              <w:marRight w:val="0"/>
              <w:marTop w:val="0"/>
              <w:marBottom w:val="0"/>
              <w:divBdr>
                <w:top w:val="none" w:sz="0" w:space="0" w:color="auto"/>
                <w:left w:val="none" w:sz="0" w:space="0" w:color="auto"/>
                <w:bottom w:val="none" w:sz="0" w:space="0" w:color="auto"/>
                <w:right w:val="none" w:sz="0" w:space="0" w:color="auto"/>
              </w:divBdr>
            </w:div>
          </w:divsChild>
        </w:div>
        <w:div w:id="748045475">
          <w:marLeft w:val="0"/>
          <w:marRight w:val="0"/>
          <w:marTop w:val="0"/>
          <w:marBottom w:val="0"/>
          <w:divBdr>
            <w:top w:val="none" w:sz="0" w:space="0" w:color="auto"/>
            <w:left w:val="none" w:sz="0" w:space="0" w:color="auto"/>
            <w:bottom w:val="none" w:sz="0" w:space="0" w:color="auto"/>
            <w:right w:val="none" w:sz="0" w:space="0" w:color="auto"/>
          </w:divBdr>
        </w:div>
        <w:div w:id="750812781">
          <w:marLeft w:val="0"/>
          <w:marRight w:val="0"/>
          <w:marTop w:val="0"/>
          <w:marBottom w:val="0"/>
          <w:divBdr>
            <w:top w:val="none" w:sz="0" w:space="0" w:color="auto"/>
            <w:left w:val="none" w:sz="0" w:space="0" w:color="auto"/>
            <w:bottom w:val="none" w:sz="0" w:space="0" w:color="auto"/>
            <w:right w:val="none" w:sz="0" w:space="0" w:color="auto"/>
          </w:divBdr>
        </w:div>
        <w:div w:id="765879504">
          <w:marLeft w:val="0"/>
          <w:marRight w:val="0"/>
          <w:marTop w:val="0"/>
          <w:marBottom w:val="0"/>
          <w:divBdr>
            <w:top w:val="none" w:sz="0" w:space="0" w:color="auto"/>
            <w:left w:val="none" w:sz="0" w:space="0" w:color="auto"/>
            <w:bottom w:val="none" w:sz="0" w:space="0" w:color="auto"/>
            <w:right w:val="none" w:sz="0" w:space="0" w:color="auto"/>
          </w:divBdr>
        </w:div>
        <w:div w:id="827786068">
          <w:marLeft w:val="0"/>
          <w:marRight w:val="0"/>
          <w:marTop w:val="0"/>
          <w:marBottom w:val="0"/>
          <w:divBdr>
            <w:top w:val="none" w:sz="0" w:space="0" w:color="auto"/>
            <w:left w:val="none" w:sz="0" w:space="0" w:color="auto"/>
            <w:bottom w:val="none" w:sz="0" w:space="0" w:color="auto"/>
            <w:right w:val="none" w:sz="0" w:space="0" w:color="auto"/>
          </w:divBdr>
        </w:div>
        <w:div w:id="1133871062">
          <w:marLeft w:val="0"/>
          <w:marRight w:val="0"/>
          <w:marTop w:val="0"/>
          <w:marBottom w:val="0"/>
          <w:divBdr>
            <w:top w:val="none" w:sz="0" w:space="0" w:color="auto"/>
            <w:left w:val="none" w:sz="0" w:space="0" w:color="auto"/>
            <w:bottom w:val="none" w:sz="0" w:space="0" w:color="auto"/>
            <w:right w:val="none" w:sz="0" w:space="0" w:color="auto"/>
          </w:divBdr>
        </w:div>
        <w:div w:id="1147090326">
          <w:marLeft w:val="0"/>
          <w:marRight w:val="0"/>
          <w:marTop w:val="0"/>
          <w:marBottom w:val="0"/>
          <w:divBdr>
            <w:top w:val="none" w:sz="0" w:space="0" w:color="auto"/>
            <w:left w:val="none" w:sz="0" w:space="0" w:color="auto"/>
            <w:bottom w:val="none" w:sz="0" w:space="0" w:color="auto"/>
            <w:right w:val="none" w:sz="0" w:space="0" w:color="auto"/>
          </w:divBdr>
        </w:div>
        <w:div w:id="1164541563">
          <w:marLeft w:val="0"/>
          <w:marRight w:val="0"/>
          <w:marTop w:val="0"/>
          <w:marBottom w:val="0"/>
          <w:divBdr>
            <w:top w:val="none" w:sz="0" w:space="0" w:color="auto"/>
            <w:left w:val="none" w:sz="0" w:space="0" w:color="auto"/>
            <w:bottom w:val="none" w:sz="0" w:space="0" w:color="auto"/>
            <w:right w:val="none" w:sz="0" w:space="0" w:color="auto"/>
          </w:divBdr>
        </w:div>
        <w:div w:id="1170221535">
          <w:marLeft w:val="0"/>
          <w:marRight w:val="0"/>
          <w:marTop w:val="0"/>
          <w:marBottom w:val="0"/>
          <w:divBdr>
            <w:top w:val="none" w:sz="0" w:space="0" w:color="auto"/>
            <w:left w:val="none" w:sz="0" w:space="0" w:color="auto"/>
            <w:bottom w:val="none" w:sz="0" w:space="0" w:color="auto"/>
            <w:right w:val="none" w:sz="0" w:space="0" w:color="auto"/>
          </w:divBdr>
        </w:div>
        <w:div w:id="1187208387">
          <w:marLeft w:val="0"/>
          <w:marRight w:val="0"/>
          <w:marTop w:val="0"/>
          <w:marBottom w:val="0"/>
          <w:divBdr>
            <w:top w:val="none" w:sz="0" w:space="0" w:color="auto"/>
            <w:left w:val="none" w:sz="0" w:space="0" w:color="auto"/>
            <w:bottom w:val="none" w:sz="0" w:space="0" w:color="auto"/>
            <w:right w:val="none" w:sz="0" w:space="0" w:color="auto"/>
          </w:divBdr>
        </w:div>
        <w:div w:id="1299146774">
          <w:marLeft w:val="0"/>
          <w:marRight w:val="0"/>
          <w:marTop w:val="0"/>
          <w:marBottom w:val="0"/>
          <w:divBdr>
            <w:top w:val="none" w:sz="0" w:space="0" w:color="auto"/>
            <w:left w:val="none" w:sz="0" w:space="0" w:color="auto"/>
            <w:bottom w:val="none" w:sz="0" w:space="0" w:color="auto"/>
            <w:right w:val="none" w:sz="0" w:space="0" w:color="auto"/>
          </w:divBdr>
        </w:div>
        <w:div w:id="1326124696">
          <w:marLeft w:val="0"/>
          <w:marRight w:val="0"/>
          <w:marTop w:val="0"/>
          <w:marBottom w:val="0"/>
          <w:divBdr>
            <w:top w:val="none" w:sz="0" w:space="0" w:color="auto"/>
            <w:left w:val="none" w:sz="0" w:space="0" w:color="auto"/>
            <w:bottom w:val="none" w:sz="0" w:space="0" w:color="auto"/>
            <w:right w:val="none" w:sz="0" w:space="0" w:color="auto"/>
          </w:divBdr>
        </w:div>
        <w:div w:id="1337148884">
          <w:marLeft w:val="0"/>
          <w:marRight w:val="0"/>
          <w:marTop w:val="0"/>
          <w:marBottom w:val="0"/>
          <w:divBdr>
            <w:top w:val="none" w:sz="0" w:space="0" w:color="auto"/>
            <w:left w:val="none" w:sz="0" w:space="0" w:color="auto"/>
            <w:bottom w:val="none" w:sz="0" w:space="0" w:color="auto"/>
            <w:right w:val="none" w:sz="0" w:space="0" w:color="auto"/>
          </w:divBdr>
        </w:div>
        <w:div w:id="1366833305">
          <w:marLeft w:val="0"/>
          <w:marRight w:val="0"/>
          <w:marTop w:val="0"/>
          <w:marBottom w:val="0"/>
          <w:divBdr>
            <w:top w:val="none" w:sz="0" w:space="0" w:color="auto"/>
            <w:left w:val="none" w:sz="0" w:space="0" w:color="auto"/>
            <w:bottom w:val="none" w:sz="0" w:space="0" w:color="auto"/>
            <w:right w:val="none" w:sz="0" w:space="0" w:color="auto"/>
          </w:divBdr>
        </w:div>
        <w:div w:id="1482692620">
          <w:marLeft w:val="0"/>
          <w:marRight w:val="0"/>
          <w:marTop w:val="0"/>
          <w:marBottom w:val="0"/>
          <w:divBdr>
            <w:top w:val="none" w:sz="0" w:space="0" w:color="auto"/>
            <w:left w:val="none" w:sz="0" w:space="0" w:color="auto"/>
            <w:bottom w:val="none" w:sz="0" w:space="0" w:color="auto"/>
            <w:right w:val="none" w:sz="0" w:space="0" w:color="auto"/>
          </w:divBdr>
        </w:div>
        <w:div w:id="1507087846">
          <w:marLeft w:val="0"/>
          <w:marRight w:val="0"/>
          <w:marTop w:val="0"/>
          <w:marBottom w:val="0"/>
          <w:divBdr>
            <w:top w:val="none" w:sz="0" w:space="0" w:color="auto"/>
            <w:left w:val="none" w:sz="0" w:space="0" w:color="auto"/>
            <w:bottom w:val="none" w:sz="0" w:space="0" w:color="auto"/>
            <w:right w:val="none" w:sz="0" w:space="0" w:color="auto"/>
          </w:divBdr>
        </w:div>
        <w:div w:id="1563515718">
          <w:marLeft w:val="0"/>
          <w:marRight w:val="0"/>
          <w:marTop w:val="0"/>
          <w:marBottom w:val="0"/>
          <w:divBdr>
            <w:top w:val="none" w:sz="0" w:space="0" w:color="auto"/>
            <w:left w:val="none" w:sz="0" w:space="0" w:color="auto"/>
            <w:bottom w:val="none" w:sz="0" w:space="0" w:color="auto"/>
            <w:right w:val="none" w:sz="0" w:space="0" w:color="auto"/>
          </w:divBdr>
        </w:div>
        <w:div w:id="1636327179">
          <w:marLeft w:val="0"/>
          <w:marRight w:val="0"/>
          <w:marTop w:val="0"/>
          <w:marBottom w:val="0"/>
          <w:divBdr>
            <w:top w:val="none" w:sz="0" w:space="0" w:color="auto"/>
            <w:left w:val="none" w:sz="0" w:space="0" w:color="auto"/>
            <w:bottom w:val="none" w:sz="0" w:space="0" w:color="auto"/>
            <w:right w:val="none" w:sz="0" w:space="0" w:color="auto"/>
          </w:divBdr>
        </w:div>
        <w:div w:id="1656447475">
          <w:marLeft w:val="0"/>
          <w:marRight w:val="0"/>
          <w:marTop w:val="0"/>
          <w:marBottom w:val="0"/>
          <w:divBdr>
            <w:top w:val="none" w:sz="0" w:space="0" w:color="auto"/>
            <w:left w:val="none" w:sz="0" w:space="0" w:color="auto"/>
            <w:bottom w:val="none" w:sz="0" w:space="0" w:color="auto"/>
            <w:right w:val="none" w:sz="0" w:space="0" w:color="auto"/>
          </w:divBdr>
        </w:div>
        <w:div w:id="1708287570">
          <w:marLeft w:val="0"/>
          <w:marRight w:val="0"/>
          <w:marTop w:val="0"/>
          <w:marBottom w:val="0"/>
          <w:divBdr>
            <w:top w:val="none" w:sz="0" w:space="0" w:color="auto"/>
            <w:left w:val="none" w:sz="0" w:space="0" w:color="auto"/>
            <w:bottom w:val="none" w:sz="0" w:space="0" w:color="auto"/>
            <w:right w:val="none" w:sz="0" w:space="0" w:color="auto"/>
          </w:divBdr>
          <w:divsChild>
            <w:div w:id="431358578">
              <w:marLeft w:val="0"/>
              <w:marRight w:val="0"/>
              <w:marTop w:val="0"/>
              <w:marBottom w:val="0"/>
              <w:divBdr>
                <w:top w:val="none" w:sz="0" w:space="0" w:color="auto"/>
                <w:left w:val="none" w:sz="0" w:space="0" w:color="auto"/>
                <w:bottom w:val="none" w:sz="0" w:space="0" w:color="auto"/>
                <w:right w:val="none" w:sz="0" w:space="0" w:color="auto"/>
              </w:divBdr>
            </w:div>
            <w:div w:id="543561391">
              <w:marLeft w:val="0"/>
              <w:marRight w:val="0"/>
              <w:marTop w:val="0"/>
              <w:marBottom w:val="0"/>
              <w:divBdr>
                <w:top w:val="none" w:sz="0" w:space="0" w:color="auto"/>
                <w:left w:val="none" w:sz="0" w:space="0" w:color="auto"/>
                <w:bottom w:val="none" w:sz="0" w:space="0" w:color="auto"/>
                <w:right w:val="none" w:sz="0" w:space="0" w:color="auto"/>
              </w:divBdr>
            </w:div>
            <w:div w:id="555623853">
              <w:marLeft w:val="0"/>
              <w:marRight w:val="0"/>
              <w:marTop w:val="0"/>
              <w:marBottom w:val="0"/>
              <w:divBdr>
                <w:top w:val="none" w:sz="0" w:space="0" w:color="auto"/>
                <w:left w:val="none" w:sz="0" w:space="0" w:color="auto"/>
                <w:bottom w:val="none" w:sz="0" w:space="0" w:color="auto"/>
                <w:right w:val="none" w:sz="0" w:space="0" w:color="auto"/>
              </w:divBdr>
            </w:div>
            <w:div w:id="825242187">
              <w:marLeft w:val="0"/>
              <w:marRight w:val="0"/>
              <w:marTop w:val="0"/>
              <w:marBottom w:val="0"/>
              <w:divBdr>
                <w:top w:val="none" w:sz="0" w:space="0" w:color="auto"/>
                <w:left w:val="none" w:sz="0" w:space="0" w:color="auto"/>
                <w:bottom w:val="none" w:sz="0" w:space="0" w:color="auto"/>
                <w:right w:val="none" w:sz="0" w:space="0" w:color="auto"/>
              </w:divBdr>
            </w:div>
            <w:div w:id="999432177">
              <w:marLeft w:val="0"/>
              <w:marRight w:val="0"/>
              <w:marTop w:val="0"/>
              <w:marBottom w:val="0"/>
              <w:divBdr>
                <w:top w:val="none" w:sz="0" w:space="0" w:color="auto"/>
                <w:left w:val="none" w:sz="0" w:space="0" w:color="auto"/>
                <w:bottom w:val="none" w:sz="0" w:space="0" w:color="auto"/>
                <w:right w:val="none" w:sz="0" w:space="0" w:color="auto"/>
              </w:divBdr>
            </w:div>
            <w:div w:id="1033505997">
              <w:marLeft w:val="0"/>
              <w:marRight w:val="0"/>
              <w:marTop w:val="0"/>
              <w:marBottom w:val="0"/>
              <w:divBdr>
                <w:top w:val="none" w:sz="0" w:space="0" w:color="auto"/>
                <w:left w:val="none" w:sz="0" w:space="0" w:color="auto"/>
                <w:bottom w:val="none" w:sz="0" w:space="0" w:color="auto"/>
                <w:right w:val="none" w:sz="0" w:space="0" w:color="auto"/>
              </w:divBdr>
            </w:div>
            <w:div w:id="1130561836">
              <w:marLeft w:val="0"/>
              <w:marRight w:val="0"/>
              <w:marTop w:val="0"/>
              <w:marBottom w:val="0"/>
              <w:divBdr>
                <w:top w:val="none" w:sz="0" w:space="0" w:color="auto"/>
                <w:left w:val="none" w:sz="0" w:space="0" w:color="auto"/>
                <w:bottom w:val="none" w:sz="0" w:space="0" w:color="auto"/>
                <w:right w:val="none" w:sz="0" w:space="0" w:color="auto"/>
              </w:divBdr>
            </w:div>
            <w:div w:id="1355886890">
              <w:marLeft w:val="0"/>
              <w:marRight w:val="0"/>
              <w:marTop w:val="0"/>
              <w:marBottom w:val="0"/>
              <w:divBdr>
                <w:top w:val="none" w:sz="0" w:space="0" w:color="auto"/>
                <w:left w:val="none" w:sz="0" w:space="0" w:color="auto"/>
                <w:bottom w:val="none" w:sz="0" w:space="0" w:color="auto"/>
                <w:right w:val="none" w:sz="0" w:space="0" w:color="auto"/>
              </w:divBdr>
            </w:div>
            <w:div w:id="1392583616">
              <w:marLeft w:val="0"/>
              <w:marRight w:val="0"/>
              <w:marTop w:val="0"/>
              <w:marBottom w:val="0"/>
              <w:divBdr>
                <w:top w:val="none" w:sz="0" w:space="0" w:color="auto"/>
                <w:left w:val="none" w:sz="0" w:space="0" w:color="auto"/>
                <w:bottom w:val="none" w:sz="0" w:space="0" w:color="auto"/>
                <w:right w:val="none" w:sz="0" w:space="0" w:color="auto"/>
              </w:divBdr>
            </w:div>
            <w:div w:id="1429352461">
              <w:marLeft w:val="0"/>
              <w:marRight w:val="0"/>
              <w:marTop w:val="0"/>
              <w:marBottom w:val="0"/>
              <w:divBdr>
                <w:top w:val="none" w:sz="0" w:space="0" w:color="auto"/>
                <w:left w:val="none" w:sz="0" w:space="0" w:color="auto"/>
                <w:bottom w:val="none" w:sz="0" w:space="0" w:color="auto"/>
                <w:right w:val="none" w:sz="0" w:space="0" w:color="auto"/>
              </w:divBdr>
            </w:div>
            <w:div w:id="1483229326">
              <w:marLeft w:val="0"/>
              <w:marRight w:val="0"/>
              <w:marTop w:val="0"/>
              <w:marBottom w:val="0"/>
              <w:divBdr>
                <w:top w:val="none" w:sz="0" w:space="0" w:color="auto"/>
                <w:left w:val="none" w:sz="0" w:space="0" w:color="auto"/>
                <w:bottom w:val="none" w:sz="0" w:space="0" w:color="auto"/>
                <w:right w:val="none" w:sz="0" w:space="0" w:color="auto"/>
              </w:divBdr>
            </w:div>
            <w:div w:id="1508907425">
              <w:marLeft w:val="0"/>
              <w:marRight w:val="0"/>
              <w:marTop w:val="0"/>
              <w:marBottom w:val="0"/>
              <w:divBdr>
                <w:top w:val="none" w:sz="0" w:space="0" w:color="auto"/>
                <w:left w:val="none" w:sz="0" w:space="0" w:color="auto"/>
                <w:bottom w:val="none" w:sz="0" w:space="0" w:color="auto"/>
                <w:right w:val="none" w:sz="0" w:space="0" w:color="auto"/>
              </w:divBdr>
            </w:div>
            <w:div w:id="1558318403">
              <w:marLeft w:val="0"/>
              <w:marRight w:val="0"/>
              <w:marTop w:val="0"/>
              <w:marBottom w:val="0"/>
              <w:divBdr>
                <w:top w:val="none" w:sz="0" w:space="0" w:color="auto"/>
                <w:left w:val="none" w:sz="0" w:space="0" w:color="auto"/>
                <w:bottom w:val="none" w:sz="0" w:space="0" w:color="auto"/>
                <w:right w:val="none" w:sz="0" w:space="0" w:color="auto"/>
              </w:divBdr>
            </w:div>
            <w:div w:id="1596086776">
              <w:marLeft w:val="0"/>
              <w:marRight w:val="0"/>
              <w:marTop w:val="0"/>
              <w:marBottom w:val="0"/>
              <w:divBdr>
                <w:top w:val="none" w:sz="0" w:space="0" w:color="auto"/>
                <w:left w:val="none" w:sz="0" w:space="0" w:color="auto"/>
                <w:bottom w:val="none" w:sz="0" w:space="0" w:color="auto"/>
                <w:right w:val="none" w:sz="0" w:space="0" w:color="auto"/>
              </w:divBdr>
            </w:div>
            <w:div w:id="1677148708">
              <w:marLeft w:val="0"/>
              <w:marRight w:val="0"/>
              <w:marTop w:val="0"/>
              <w:marBottom w:val="0"/>
              <w:divBdr>
                <w:top w:val="none" w:sz="0" w:space="0" w:color="auto"/>
                <w:left w:val="none" w:sz="0" w:space="0" w:color="auto"/>
                <w:bottom w:val="none" w:sz="0" w:space="0" w:color="auto"/>
                <w:right w:val="none" w:sz="0" w:space="0" w:color="auto"/>
              </w:divBdr>
            </w:div>
            <w:div w:id="1890259148">
              <w:marLeft w:val="0"/>
              <w:marRight w:val="0"/>
              <w:marTop w:val="0"/>
              <w:marBottom w:val="0"/>
              <w:divBdr>
                <w:top w:val="none" w:sz="0" w:space="0" w:color="auto"/>
                <w:left w:val="none" w:sz="0" w:space="0" w:color="auto"/>
                <w:bottom w:val="none" w:sz="0" w:space="0" w:color="auto"/>
                <w:right w:val="none" w:sz="0" w:space="0" w:color="auto"/>
              </w:divBdr>
            </w:div>
            <w:div w:id="1912930630">
              <w:marLeft w:val="0"/>
              <w:marRight w:val="0"/>
              <w:marTop w:val="0"/>
              <w:marBottom w:val="0"/>
              <w:divBdr>
                <w:top w:val="none" w:sz="0" w:space="0" w:color="auto"/>
                <w:left w:val="none" w:sz="0" w:space="0" w:color="auto"/>
                <w:bottom w:val="none" w:sz="0" w:space="0" w:color="auto"/>
                <w:right w:val="none" w:sz="0" w:space="0" w:color="auto"/>
              </w:divBdr>
            </w:div>
            <w:div w:id="1934389108">
              <w:marLeft w:val="0"/>
              <w:marRight w:val="0"/>
              <w:marTop w:val="0"/>
              <w:marBottom w:val="0"/>
              <w:divBdr>
                <w:top w:val="none" w:sz="0" w:space="0" w:color="auto"/>
                <w:left w:val="none" w:sz="0" w:space="0" w:color="auto"/>
                <w:bottom w:val="none" w:sz="0" w:space="0" w:color="auto"/>
                <w:right w:val="none" w:sz="0" w:space="0" w:color="auto"/>
              </w:divBdr>
            </w:div>
            <w:div w:id="2010865093">
              <w:marLeft w:val="0"/>
              <w:marRight w:val="0"/>
              <w:marTop w:val="0"/>
              <w:marBottom w:val="0"/>
              <w:divBdr>
                <w:top w:val="none" w:sz="0" w:space="0" w:color="auto"/>
                <w:left w:val="none" w:sz="0" w:space="0" w:color="auto"/>
                <w:bottom w:val="none" w:sz="0" w:space="0" w:color="auto"/>
                <w:right w:val="none" w:sz="0" w:space="0" w:color="auto"/>
              </w:divBdr>
            </w:div>
            <w:div w:id="2061007800">
              <w:marLeft w:val="0"/>
              <w:marRight w:val="0"/>
              <w:marTop w:val="0"/>
              <w:marBottom w:val="0"/>
              <w:divBdr>
                <w:top w:val="none" w:sz="0" w:space="0" w:color="auto"/>
                <w:left w:val="none" w:sz="0" w:space="0" w:color="auto"/>
                <w:bottom w:val="none" w:sz="0" w:space="0" w:color="auto"/>
                <w:right w:val="none" w:sz="0" w:space="0" w:color="auto"/>
              </w:divBdr>
            </w:div>
          </w:divsChild>
        </w:div>
        <w:div w:id="1789622236">
          <w:marLeft w:val="0"/>
          <w:marRight w:val="0"/>
          <w:marTop w:val="0"/>
          <w:marBottom w:val="0"/>
          <w:divBdr>
            <w:top w:val="none" w:sz="0" w:space="0" w:color="auto"/>
            <w:left w:val="none" w:sz="0" w:space="0" w:color="auto"/>
            <w:bottom w:val="none" w:sz="0" w:space="0" w:color="auto"/>
            <w:right w:val="none" w:sz="0" w:space="0" w:color="auto"/>
          </w:divBdr>
          <w:divsChild>
            <w:div w:id="2052531976">
              <w:marLeft w:val="-75"/>
              <w:marRight w:val="0"/>
              <w:marTop w:val="30"/>
              <w:marBottom w:val="30"/>
              <w:divBdr>
                <w:top w:val="none" w:sz="0" w:space="0" w:color="auto"/>
                <w:left w:val="none" w:sz="0" w:space="0" w:color="auto"/>
                <w:bottom w:val="none" w:sz="0" w:space="0" w:color="auto"/>
                <w:right w:val="none" w:sz="0" w:space="0" w:color="auto"/>
              </w:divBdr>
              <w:divsChild>
                <w:div w:id="17705243">
                  <w:marLeft w:val="0"/>
                  <w:marRight w:val="0"/>
                  <w:marTop w:val="0"/>
                  <w:marBottom w:val="0"/>
                  <w:divBdr>
                    <w:top w:val="none" w:sz="0" w:space="0" w:color="auto"/>
                    <w:left w:val="none" w:sz="0" w:space="0" w:color="auto"/>
                    <w:bottom w:val="none" w:sz="0" w:space="0" w:color="auto"/>
                    <w:right w:val="none" w:sz="0" w:space="0" w:color="auto"/>
                  </w:divBdr>
                  <w:divsChild>
                    <w:div w:id="827981971">
                      <w:marLeft w:val="0"/>
                      <w:marRight w:val="0"/>
                      <w:marTop w:val="0"/>
                      <w:marBottom w:val="0"/>
                      <w:divBdr>
                        <w:top w:val="none" w:sz="0" w:space="0" w:color="auto"/>
                        <w:left w:val="none" w:sz="0" w:space="0" w:color="auto"/>
                        <w:bottom w:val="none" w:sz="0" w:space="0" w:color="auto"/>
                        <w:right w:val="none" w:sz="0" w:space="0" w:color="auto"/>
                      </w:divBdr>
                    </w:div>
                  </w:divsChild>
                </w:div>
                <w:div w:id="21252618">
                  <w:marLeft w:val="0"/>
                  <w:marRight w:val="0"/>
                  <w:marTop w:val="0"/>
                  <w:marBottom w:val="0"/>
                  <w:divBdr>
                    <w:top w:val="none" w:sz="0" w:space="0" w:color="auto"/>
                    <w:left w:val="none" w:sz="0" w:space="0" w:color="auto"/>
                    <w:bottom w:val="none" w:sz="0" w:space="0" w:color="auto"/>
                    <w:right w:val="none" w:sz="0" w:space="0" w:color="auto"/>
                  </w:divBdr>
                  <w:divsChild>
                    <w:div w:id="442961881">
                      <w:marLeft w:val="0"/>
                      <w:marRight w:val="0"/>
                      <w:marTop w:val="0"/>
                      <w:marBottom w:val="0"/>
                      <w:divBdr>
                        <w:top w:val="none" w:sz="0" w:space="0" w:color="auto"/>
                        <w:left w:val="none" w:sz="0" w:space="0" w:color="auto"/>
                        <w:bottom w:val="none" w:sz="0" w:space="0" w:color="auto"/>
                        <w:right w:val="none" w:sz="0" w:space="0" w:color="auto"/>
                      </w:divBdr>
                    </w:div>
                  </w:divsChild>
                </w:div>
                <w:div w:id="48114515">
                  <w:marLeft w:val="0"/>
                  <w:marRight w:val="0"/>
                  <w:marTop w:val="0"/>
                  <w:marBottom w:val="0"/>
                  <w:divBdr>
                    <w:top w:val="none" w:sz="0" w:space="0" w:color="auto"/>
                    <w:left w:val="none" w:sz="0" w:space="0" w:color="auto"/>
                    <w:bottom w:val="none" w:sz="0" w:space="0" w:color="auto"/>
                    <w:right w:val="none" w:sz="0" w:space="0" w:color="auto"/>
                  </w:divBdr>
                  <w:divsChild>
                    <w:div w:id="985668143">
                      <w:marLeft w:val="0"/>
                      <w:marRight w:val="0"/>
                      <w:marTop w:val="0"/>
                      <w:marBottom w:val="0"/>
                      <w:divBdr>
                        <w:top w:val="none" w:sz="0" w:space="0" w:color="auto"/>
                        <w:left w:val="none" w:sz="0" w:space="0" w:color="auto"/>
                        <w:bottom w:val="none" w:sz="0" w:space="0" w:color="auto"/>
                        <w:right w:val="none" w:sz="0" w:space="0" w:color="auto"/>
                      </w:divBdr>
                    </w:div>
                  </w:divsChild>
                </w:div>
                <w:div w:id="117652700">
                  <w:marLeft w:val="0"/>
                  <w:marRight w:val="0"/>
                  <w:marTop w:val="0"/>
                  <w:marBottom w:val="0"/>
                  <w:divBdr>
                    <w:top w:val="none" w:sz="0" w:space="0" w:color="auto"/>
                    <w:left w:val="none" w:sz="0" w:space="0" w:color="auto"/>
                    <w:bottom w:val="none" w:sz="0" w:space="0" w:color="auto"/>
                    <w:right w:val="none" w:sz="0" w:space="0" w:color="auto"/>
                  </w:divBdr>
                  <w:divsChild>
                    <w:div w:id="2064136236">
                      <w:marLeft w:val="0"/>
                      <w:marRight w:val="0"/>
                      <w:marTop w:val="0"/>
                      <w:marBottom w:val="0"/>
                      <w:divBdr>
                        <w:top w:val="none" w:sz="0" w:space="0" w:color="auto"/>
                        <w:left w:val="none" w:sz="0" w:space="0" w:color="auto"/>
                        <w:bottom w:val="none" w:sz="0" w:space="0" w:color="auto"/>
                        <w:right w:val="none" w:sz="0" w:space="0" w:color="auto"/>
                      </w:divBdr>
                    </w:div>
                  </w:divsChild>
                </w:div>
                <w:div w:id="274873299">
                  <w:marLeft w:val="0"/>
                  <w:marRight w:val="0"/>
                  <w:marTop w:val="0"/>
                  <w:marBottom w:val="0"/>
                  <w:divBdr>
                    <w:top w:val="none" w:sz="0" w:space="0" w:color="auto"/>
                    <w:left w:val="none" w:sz="0" w:space="0" w:color="auto"/>
                    <w:bottom w:val="none" w:sz="0" w:space="0" w:color="auto"/>
                    <w:right w:val="none" w:sz="0" w:space="0" w:color="auto"/>
                  </w:divBdr>
                  <w:divsChild>
                    <w:div w:id="368915170">
                      <w:marLeft w:val="0"/>
                      <w:marRight w:val="0"/>
                      <w:marTop w:val="0"/>
                      <w:marBottom w:val="0"/>
                      <w:divBdr>
                        <w:top w:val="none" w:sz="0" w:space="0" w:color="auto"/>
                        <w:left w:val="none" w:sz="0" w:space="0" w:color="auto"/>
                        <w:bottom w:val="none" w:sz="0" w:space="0" w:color="auto"/>
                        <w:right w:val="none" w:sz="0" w:space="0" w:color="auto"/>
                      </w:divBdr>
                    </w:div>
                  </w:divsChild>
                </w:div>
                <w:div w:id="284118800">
                  <w:marLeft w:val="0"/>
                  <w:marRight w:val="0"/>
                  <w:marTop w:val="0"/>
                  <w:marBottom w:val="0"/>
                  <w:divBdr>
                    <w:top w:val="none" w:sz="0" w:space="0" w:color="auto"/>
                    <w:left w:val="none" w:sz="0" w:space="0" w:color="auto"/>
                    <w:bottom w:val="none" w:sz="0" w:space="0" w:color="auto"/>
                    <w:right w:val="none" w:sz="0" w:space="0" w:color="auto"/>
                  </w:divBdr>
                  <w:divsChild>
                    <w:div w:id="949508770">
                      <w:marLeft w:val="0"/>
                      <w:marRight w:val="0"/>
                      <w:marTop w:val="0"/>
                      <w:marBottom w:val="0"/>
                      <w:divBdr>
                        <w:top w:val="none" w:sz="0" w:space="0" w:color="auto"/>
                        <w:left w:val="none" w:sz="0" w:space="0" w:color="auto"/>
                        <w:bottom w:val="none" w:sz="0" w:space="0" w:color="auto"/>
                        <w:right w:val="none" w:sz="0" w:space="0" w:color="auto"/>
                      </w:divBdr>
                    </w:div>
                  </w:divsChild>
                </w:div>
                <w:div w:id="295571416">
                  <w:marLeft w:val="0"/>
                  <w:marRight w:val="0"/>
                  <w:marTop w:val="0"/>
                  <w:marBottom w:val="0"/>
                  <w:divBdr>
                    <w:top w:val="none" w:sz="0" w:space="0" w:color="auto"/>
                    <w:left w:val="none" w:sz="0" w:space="0" w:color="auto"/>
                    <w:bottom w:val="none" w:sz="0" w:space="0" w:color="auto"/>
                    <w:right w:val="none" w:sz="0" w:space="0" w:color="auto"/>
                  </w:divBdr>
                  <w:divsChild>
                    <w:div w:id="1785271635">
                      <w:marLeft w:val="0"/>
                      <w:marRight w:val="0"/>
                      <w:marTop w:val="0"/>
                      <w:marBottom w:val="0"/>
                      <w:divBdr>
                        <w:top w:val="none" w:sz="0" w:space="0" w:color="auto"/>
                        <w:left w:val="none" w:sz="0" w:space="0" w:color="auto"/>
                        <w:bottom w:val="none" w:sz="0" w:space="0" w:color="auto"/>
                        <w:right w:val="none" w:sz="0" w:space="0" w:color="auto"/>
                      </w:divBdr>
                    </w:div>
                  </w:divsChild>
                </w:div>
                <w:div w:id="321734421">
                  <w:marLeft w:val="0"/>
                  <w:marRight w:val="0"/>
                  <w:marTop w:val="0"/>
                  <w:marBottom w:val="0"/>
                  <w:divBdr>
                    <w:top w:val="none" w:sz="0" w:space="0" w:color="auto"/>
                    <w:left w:val="none" w:sz="0" w:space="0" w:color="auto"/>
                    <w:bottom w:val="none" w:sz="0" w:space="0" w:color="auto"/>
                    <w:right w:val="none" w:sz="0" w:space="0" w:color="auto"/>
                  </w:divBdr>
                  <w:divsChild>
                    <w:div w:id="1034817321">
                      <w:marLeft w:val="0"/>
                      <w:marRight w:val="0"/>
                      <w:marTop w:val="0"/>
                      <w:marBottom w:val="0"/>
                      <w:divBdr>
                        <w:top w:val="none" w:sz="0" w:space="0" w:color="auto"/>
                        <w:left w:val="none" w:sz="0" w:space="0" w:color="auto"/>
                        <w:bottom w:val="none" w:sz="0" w:space="0" w:color="auto"/>
                        <w:right w:val="none" w:sz="0" w:space="0" w:color="auto"/>
                      </w:divBdr>
                    </w:div>
                  </w:divsChild>
                </w:div>
                <w:div w:id="468088988">
                  <w:marLeft w:val="0"/>
                  <w:marRight w:val="0"/>
                  <w:marTop w:val="0"/>
                  <w:marBottom w:val="0"/>
                  <w:divBdr>
                    <w:top w:val="none" w:sz="0" w:space="0" w:color="auto"/>
                    <w:left w:val="none" w:sz="0" w:space="0" w:color="auto"/>
                    <w:bottom w:val="none" w:sz="0" w:space="0" w:color="auto"/>
                    <w:right w:val="none" w:sz="0" w:space="0" w:color="auto"/>
                  </w:divBdr>
                  <w:divsChild>
                    <w:div w:id="248806533">
                      <w:marLeft w:val="0"/>
                      <w:marRight w:val="0"/>
                      <w:marTop w:val="0"/>
                      <w:marBottom w:val="0"/>
                      <w:divBdr>
                        <w:top w:val="none" w:sz="0" w:space="0" w:color="auto"/>
                        <w:left w:val="none" w:sz="0" w:space="0" w:color="auto"/>
                        <w:bottom w:val="none" w:sz="0" w:space="0" w:color="auto"/>
                        <w:right w:val="none" w:sz="0" w:space="0" w:color="auto"/>
                      </w:divBdr>
                    </w:div>
                  </w:divsChild>
                </w:div>
                <w:div w:id="668867915">
                  <w:marLeft w:val="0"/>
                  <w:marRight w:val="0"/>
                  <w:marTop w:val="0"/>
                  <w:marBottom w:val="0"/>
                  <w:divBdr>
                    <w:top w:val="none" w:sz="0" w:space="0" w:color="auto"/>
                    <w:left w:val="none" w:sz="0" w:space="0" w:color="auto"/>
                    <w:bottom w:val="none" w:sz="0" w:space="0" w:color="auto"/>
                    <w:right w:val="none" w:sz="0" w:space="0" w:color="auto"/>
                  </w:divBdr>
                  <w:divsChild>
                    <w:div w:id="72509798">
                      <w:marLeft w:val="0"/>
                      <w:marRight w:val="0"/>
                      <w:marTop w:val="0"/>
                      <w:marBottom w:val="0"/>
                      <w:divBdr>
                        <w:top w:val="none" w:sz="0" w:space="0" w:color="auto"/>
                        <w:left w:val="none" w:sz="0" w:space="0" w:color="auto"/>
                        <w:bottom w:val="none" w:sz="0" w:space="0" w:color="auto"/>
                        <w:right w:val="none" w:sz="0" w:space="0" w:color="auto"/>
                      </w:divBdr>
                    </w:div>
                  </w:divsChild>
                </w:div>
                <w:div w:id="734401167">
                  <w:marLeft w:val="0"/>
                  <w:marRight w:val="0"/>
                  <w:marTop w:val="0"/>
                  <w:marBottom w:val="0"/>
                  <w:divBdr>
                    <w:top w:val="none" w:sz="0" w:space="0" w:color="auto"/>
                    <w:left w:val="none" w:sz="0" w:space="0" w:color="auto"/>
                    <w:bottom w:val="none" w:sz="0" w:space="0" w:color="auto"/>
                    <w:right w:val="none" w:sz="0" w:space="0" w:color="auto"/>
                  </w:divBdr>
                  <w:divsChild>
                    <w:div w:id="128281575">
                      <w:marLeft w:val="0"/>
                      <w:marRight w:val="0"/>
                      <w:marTop w:val="0"/>
                      <w:marBottom w:val="0"/>
                      <w:divBdr>
                        <w:top w:val="none" w:sz="0" w:space="0" w:color="auto"/>
                        <w:left w:val="none" w:sz="0" w:space="0" w:color="auto"/>
                        <w:bottom w:val="none" w:sz="0" w:space="0" w:color="auto"/>
                        <w:right w:val="none" w:sz="0" w:space="0" w:color="auto"/>
                      </w:divBdr>
                    </w:div>
                  </w:divsChild>
                </w:div>
                <w:div w:id="829565519">
                  <w:marLeft w:val="0"/>
                  <w:marRight w:val="0"/>
                  <w:marTop w:val="0"/>
                  <w:marBottom w:val="0"/>
                  <w:divBdr>
                    <w:top w:val="none" w:sz="0" w:space="0" w:color="auto"/>
                    <w:left w:val="none" w:sz="0" w:space="0" w:color="auto"/>
                    <w:bottom w:val="none" w:sz="0" w:space="0" w:color="auto"/>
                    <w:right w:val="none" w:sz="0" w:space="0" w:color="auto"/>
                  </w:divBdr>
                  <w:divsChild>
                    <w:div w:id="778183654">
                      <w:marLeft w:val="0"/>
                      <w:marRight w:val="0"/>
                      <w:marTop w:val="0"/>
                      <w:marBottom w:val="0"/>
                      <w:divBdr>
                        <w:top w:val="none" w:sz="0" w:space="0" w:color="auto"/>
                        <w:left w:val="none" w:sz="0" w:space="0" w:color="auto"/>
                        <w:bottom w:val="none" w:sz="0" w:space="0" w:color="auto"/>
                        <w:right w:val="none" w:sz="0" w:space="0" w:color="auto"/>
                      </w:divBdr>
                    </w:div>
                  </w:divsChild>
                </w:div>
                <w:div w:id="859926861">
                  <w:marLeft w:val="0"/>
                  <w:marRight w:val="0"/>
                  <w:marTop w:val="0"/>
                  <w:marBottom w:val="0"/>
                  <w:divBdr>
                    <w:top w:val="none" w:sz="0" w:space="0" w:color="auto"/>
                    <w:left w:val="none" w:sz="0" w:space="0" w:color="auto"/>
                    <w:bottom w:val="none" w:sz="0" w:space="0" w:color="auto"/>
                    <w:right w:val="none" w:sz="0" w:space="0" w:color="auto"/>
                  </w:divBdr>
                  <w:divsChild>
                    <w:div w:id="1614629060">
                      <w:marLeft w:val="0"/>
                      <w:marRight w:val="0"/>
                      <w:marTop w:val="0"/>
                      <w:marBottom w:val="0"/>
                      <w:divBdr>
                        <w:top w:val="none" w:sz="0" w:space="0" w:color="auto"/>
                        <w:left w:val="none" w:sz="0" w:space="0" w:color="auto"/>
                        <w:bottom w:val="none" w:sz="0" w:space="0" w:color="auto"/>
                        <w:right w:val="none" w:sz="0" w:space="0" w:color="auto"/>
                      </w:divBdr>
                    </w:div>
                  </w:divsChild>
                </w:div>
                <w:div w:id="870146451">
                  <w:marLeft w:val="0"/>
                  <w:marRight w:val="0"/>
                  <w:marTop w:val="0"/>
                  <w:marBottom w:val="0"/>
                  <w:divBdr>
                    <w:top w:val="none" w:sz="0" w:space="0" w:color="auto"/>
                    <w:left w:val="none" w:sz="0" w:space="0" w:color="auto"/>
                    <w:bottom w:val="none" w:sz="0" w:space="0" w:color="auto"/>
                    <w:right w:val="none" w:sz="0" w:space="0" w:color="auto"/>
                  </w:divBdr>
                  <w:divsChild>
                    <w:div w:id="438260293">
                      <w:marLeft w:val="0"/>
                      <w:marRight w:val="0"/>
                      <w:marTop w:val="0"/>
                      <w:marBottom w:val="0"/>
                      <w:divBdr>
                        <w:top w:val="none" w:sz="0" w:space="0" w:color="auto"/>
                        <w:left w:val="none" w:sz="0" w:space="0" w:color="auto"/>
                        <w:bottom w:val="none" w:sz="0" w:space="0" w:color="auto"/>
                        <w:right w:val="none" w:sz="0" w:space="0" w:color="auto"/>
                      </w:divBdr>
                    </w:div>
                  </w:divsChild>
                </w:div>
                <w:div w:id="938106224">
                  <w:marLeft w:val="0"/>
                  <w:marRight w:val="0"/>
                  <w:marTop w:val="0"/>
                  <w:marBottom w:val="0"/>
                  <w:divBdr>
                    <w:top w:val="none" w:sz="0" w:space="0" w:color="auto"/>
                    <w:left w:val="none" w:sz="0" w:space="0" w:color="auto"/>
                    <w:bottom w:val="none" w:sz="0" w:space="0" w:color="auto"/>
                    <w:right w:val="none" w:sz="0" w:space="0" w:color="auto"/>
                  </w:divBdr>
                  <w:divsChild>
                    <w:div w:id="1837107088">
                      <w:marLeft w:val="0"/>
                      <w:marRight w:val="0"/>
                      <w:marTop w:val="0"/>
                      <w:marBottom w:val="0"/>
                      <w:divBdr>
                        <w:top w:val="none" w:sz="0" w:space="0" w:color="auto"/>
                        <w:left w:val="none" w:sz="0" w:space="0" w:color="auto"/>
                        <w:bottom w:val="none" w:sz="0" w:space="0" w:color="auto"/>
                        <w:right w:val="none" w:sz="0" w:space="0" w:color="auto"/>
                      </w:divBdr>
                    </w:div>
                  </w:divsChild>
                </w:div>
                <w:div w:id="1026709370">
                  <w:marLeft w:val="0"/>
                  <w:marRight w:val="0"/>
                  <w:marTop w:val="0"/>
                  <w:marBottom w:val="0"/>
                  <w:divBdr>
                    <w:top w:val="none" w:sz="0" w:space="0" w:color="auto"/>
                    <w:left w:val="none" w:sz="0" w:space="0" w:color="auto"/>
                    <w:bottom w:val="none" w:sz="0" w:space="0" w:color="auto"/>
                    <w:right w:val="none" w:sz="0" w:space="0" w:color="auto"/>
                  </w:divBdr>
                  <w:divsChild>
                    <w:div w:id="2103640422">
                      <w:marLeft w:val="0"/>
                      <w:marRight w:val="0"/>
                      <w:marTop w:val="0"/>
                      <w:marBottom w:val="0"/>
                      <w:divBdr>
                        <w:top w:val="none" w:sz="0" w:space="0" w:color="auto"/>
                        <w:left w:val="none" w:sz="0" w:space="0" w:color="auto"/>
                        <w:bottom w:val="none" w:sz="0" w:space="0" w:color="auto"/>
                        <w:right w:val="none" w:sz="0" w:space="0" w:color="auto"/>
                      </w:divBdr>
                    </w:div>
                  </w:divsChild>
                </w:div>
                <w:div w:id="1114865150">
                  <w:marLeft w:val="0"/>
                  <w:marRight w:val="0"/>
                  <w:marTop w:val="0"/>
                  <w:marBottom w:val="0"/>
                  <w:divBdr>
                    <w:top w:val="none" w:sz="0" w:space="0" w:color="auto"/>
                    <w:left w:val="none" w:sz="0" w:space="0" w:color="auto"/>
                    <w:bottom w:val="none" w:sz="0" w:space="0" w:color="auto"/>
                    <w:right w:val="none" w:sz="0" w:space="0" w:color="auto"/>
                  </w:divBdr>
                  <w:divsChild>
                    <w:div w:id="206844489">
                      <w:marLeft w:val="0"/>
                      <w:marRight w:val="0"/>
                      <w:marTop w:val="0"/>
                      <w:marBottom w:val="0"/>
                      <w:divBdr>
                        <w:top w:val="none" w:sz="0" w:space="0" w:color="auto"/>
                        <w:left w:val="none" w:sz="0" w:space="0" w:color="auto"/>
                        <w:bottom w:val="none" w:sz="0" w:space="0" w:color="auto"/>
                        <w:right w:val="none" w:sz="0" w:space="0" w:color="auto"/>
                      </w:divBdr>
                    </w:div>
                  </w:divsChild>
                </w:div>
                <w:div w:id="1231429708">
                  <w:marLeft w:val="0"/>
                  <w:marRight w:val="0"/>
                  <w:marTop w:val="0"/>
                  <w:marBottom w:val="0"/>
                  <w:divBdr>
                    <w:top w:val="none" w:sz="0" w:space="0" w:color="auto"/>
                    <w:left w:val="none" w:sz="0" w:space="0" w:color="auto"/>
                    <w:bottom w:val="none" w:sz="0" w:space="0" w:color="auto"/>
                    <w:right w:val="none" w:sz="0" w:space="0" w:color="auto"/>
                  </w:divBdr>
                  <w:divsChild>
                    <w:div w:id="781266956">
                      <w:marLeft w:val="0"/>
                      <w:marRight w:val="0"/>
                      <w:marTop w:val="0"/>
                      <w:marBottom w:val="0"/>
                      <w:divBdr>
                        <w:top w:val="none" w:sz="0" w:space="0" w:color="auto"/>
                        <w:left w:val="none" w:sz="0" w:space="0" w:color="auto"/>
                        <w:bottom w:val="none" w:sz="0" w:space="0" w:color="auto"/>
                        <w:right w:val="none" w:sz="0" w:space="0" w:color="auto"/>
                      </w:divBdr>
                    </w:div>
                  </w:divsChild>
                </w:div>
                <w:div w:id="1267806882">
                  <w:marLeft w:val="0"/>
                  <w:marRight w:val="0"/>
                  <w:marTop w:val="0"/>
                  <w:marBottom w:val="0"/>
                  <w:divBdr>
                    <w:top w:val="none" w:sz="0" w:space="0" w:color="auto"/>
                    <w:left w:val="none" w:sz="0" w:space="0" w:color="auto"/>
                    <w:bottom w:val="none" w:sz="0" w:space="0" w:color="auto"/>
                    <w:right w:val="none" w:sz="0" w:space="0" w:color="auto"/>
                  </w:divBdr>
                  <w:divsChild>
                    <w:div w:id="1787845543">
                      <w:marLeft w:val="0"/>
                      <w:marRight w:val="0"/>
                      <w:marTop w:val="0"/>
                      <w:marBottom w:val="0"/>
                      <w:divBdr>
                        <w:top w:val="none" w:sz="0" w:space="0" w:color="auto"/>
                        <w:left w:val="none" w:sz="0" w:space="0" w:color="auto"/>
                        <w:bottom w:val="none" w:sz="0" w:space="0" w:color="auto"/>
                        <w:right w:val="none" w:sz="0" w:space="0" w:color="auto"/>
                      </w:divBdr>
                    </w:div>
                  </w:divsChild>
                </w:div>
                <w:div w:id="1288700634">
                  <w:marLeft w:val="0"/>
                  <w:marRight w:val="0"/>
                  <w:marTop w:val="0"/>
                  <w:marBottom w:val="0"/>
                  <w:divBdr>
                    <w:top w:val="none" w:sz="0" w:space="0" w:color="auto"/>
                    <w:left w:val="none" w:sz="0" w:space="0" w:color="auto"/>
                    <w:bottom w:val="none" w:sz="0" w:space="0" w:color="auto"/>
                    <w:right w:val="none" w:sz="0" w:space="0" w:color="auto"/>
                  </w:divBdr>
                  <w:divsChild>
                    <w:div w:id="1996958608">
                      <w:marLeft w:val="0"/>
                      <w:marRight w:val="0"/>
                      <w:marTop w:val="0"/>
                      <w:marBottom w:val="0"/>
                      <w:divBdr>
                        <w:top w:val="none" w:sz="0" w:space="0" w:color="auto"/>
                        <w:left w:val="none" w:sz="0" w:space="0" w:color="auto"/>
                        <w:bottom w:val="none" w:sz="0" w:space="0" w:color="auto"/>
                        <w:right w:val="none" w:sz="0" w:space="0" w:color="auto"/>
                      </w:divBdr>
                    </w:div>
                  </w:divsChild>
                </w:div>
                <w:div w:id="1332101191">
                  <w:marLeft w:val="0"/>
                  <w:marRight w:val="0"/>
                  <w:marTop w:val="0"/>
                  <w:marBottom w:val="0"/>
                  <w:divBdr>
                    <w:top w:val="none" w:sz="0" w:space="0" w:color="auto"/>
                    <w:left w:val="none" w:sz="0" w:space="0" w:color="auto"/>
                    <w:bottom w:val="none" w:sz="0" w:space="0" w:color="auto"/>
                    <w:right w:val="none" w:sz="0" w:space="0" w:color="auto"/>
                  </w:divBdr>
                  <w:divsChild>
                    <w:div w:id="54815537">
                      <w:marLeft w:val="0"/>
                      <w:marRight w:val="0"/>
                      <w:marTop w:val="0"/>
                      <w:marBottom w:val="0"/>
                      <w:divBdr>
                        <w:top w:val="none" w:sz="0" w:space="0" w:color="auto"/>
                        <w:left w:val="none" w:sz="0" w:space="0" w:color="auto"/>
                        <w:bottom w:val="none" w:sz="0" w:space="0" w:color="auto"/>
                        <w:right w:val="none" w:sz="0" w:space="0" w:color="auto"/>
                      </w:divBdr>
                    </w:div>
                  </w:divsChild>
                </w:div>
                <w:div w:id="1441756132">
                  <w:marLeft w:val="0"/>
                  <w:marRight w:val="0"/>
                  <w:marTop w:val="0"/>
                  <w:marBottom w:val="0"/>
                  <w:divBdr>
                    <w:top w:val="none" w:sz="0" w:space="0" w:color="auto"/>
                    <w:left w:val="none" w:sz="0" w:space="0" w:color="auto"/>
                    <w:bottom w:val="none" w:sz="0" w:space="0" w:color="auto"/>
                    <w:right w:val="none" w:sz="0" w:space="0" w:color="auto"/>
                  </w:divBdr>
                  <w:divsChild>
                    <w:div w:id="1691565810">
                      <w:marLeft w:val="0"/>
                      <w:marRight w:val="0"/>
                      <w:marTop w:val="0"/>
                      <w:marBottom w:val="0"/>
                      <w:divBdr>
                        <w:top w:val="none" w:sz="0" w:space="0" w:color="auto"/>
                        <w:left w:val="none" w:sz="0" w:space="0" w:color="auto"/>
                        <w:bottom w:val="none" w:sz="0" w:space="0" w:color="auto"/>
                        <w:right w:val="none" w:sz="0" w:space="0" w:color="auto"/>
                      </w:divBdr>
                    </w:div>
                  </w:divsChild>
                </w:div>
                <w:div w:id="1459178246">
                  <w:marLeft w:val="0"/>
                  <w:marRight w:val="0"/>
                  <w:marTop w:val="0"/>
                  <w:marBottom w:val="0"/>
                  <w:divBdr>
                    <w:top w:val="none" w:sz="0" w:space="0" w:color="auto"/>
                    <w:left w:val="none" w:sz="0" w:space="0" w:color="auto"/>
                    <w:bottom w:val="none" w:sz="0" w:space="0" w:color="auto"/>
                    <w:right w:val="none" w:sz="0" w:space="0" w:color="auto"/>
                  </w:divBdr>
                  <w:divsChild>
                    <w:div w:id="1265726287">
                      <w:marLeft w:val="0"/>
                      <w:marRight w:val="0"/>
                      <w:marTop w:val="0"/>
                      <w:marBottom w:val="0"/>
                      <w:divBdr>
                        <w:top w:val="none" w:sz="0" w:space="0" w:color="auto"/>
                        <w:left w:val="none" w:sz="0" w:space="0" w:color="auto"/>
                        <w:bottom w:val="none" w:sz="0" w:space="0" w:color="auto"/>
                        <w:right w:val="none" w:sz="0" w:space="0" w:color="auto"/>
                      </w:divBdr>
                    </w:div>
                  </w:divsChild>
                </w:div>
                <w:div w:id="1533416433">
                  <w:marLeft w:val="0"/>
                  <w:marRight w:val="0"/>
                  <w:marTop w:val="0"/>
                  <w:marBottom w:val="0"/>
                  <w:divBdr>
                    <w:top w:val="none" w:sz="0" w:space="0" w:color="auto"/>
                    <w:left w:val="none" w:sz="0" w:space="0" w:color="auto"/>
                    <w:bottom w:val="none" w:sz="0" w:space="0" w:color="auto"/>
                    <w:right w:val="none" w:sz="0" w:space="0" w:color="auto"/>
                  </w:divBdr>
                  <w:divsChild>
                    <w:div w:id="751587002">
                      <w:marLeft w:val="0"/>
                      <w:marRight w:val="0"/>
                      <w:marTop w:val="0"/>
                      <w:marBottom w:val="0"/>
                      <w:divBdr>
                        <w:top w:val="none" w:sz="0" w:space="0" w:color="auto"/>
                        <w:left w:val="none" w:sz="0" w:space="0" w:color="auto"/>
                        <w:bottom w:val="none" w:sz="0" w:space="0" w:color="auto"/>
                        <w:right w:val="none" w:sz="0" w:space="0" w:color="auto"/>
                      </w:divBdr>
                    </w:div>
                  </w:divsChild>
                </w:div>
                <w:div w:id="1541936643">
                  <w:marLeft w:val="0"/>
                  <w:marRight w:val="0"/>
                  <w:marTop w:val="0"/>
                  <w:marBottom w:val="0"/>
                  <w:divBdr>
                    <w:top w:val="none" w:sz="0" w:space="0" w:color="auto"/>
                    <w:left w:val="none" w:sz="0" w:space="0" w:color="auto"/>
                    <w:bottom w:val="none" w:sz="0" w:space="0" w:color="auto"/>
                    <w:right w:val="none" w:sz="0" w:space="0" w:color="auto"/>
                  </w:divBdr>
                  <w:divsChild>
                    <w:div w:id="281115295">
                      <w:marLeft w:val="0"/>
                      <w:marRight w:val="0"/>
                      <w:marTop w:val="0"/>
                      <w:marBottom w:val="0"/>
                      <w:divBdr>
                        <w:top w:val="none" w:sz="0" w:space="0" w:color="auto"/>
                        <w:left w:val="none" w:sz="0" w:space="0" w:color="auto"/>
                        <w:bottom w:val="none" w:sz="0" w:space="0" w:color="auto"/>
                        <w:right w:val="none" w:sz="0" w:space="0" w:color="auto"/>
                      </w:divBdr>
                    </w:div>
                  </w:divsChild>
                </w:div>
                <w:div w:id="1584871772">
                  <w:marLeft w:val="0"/>
                  <w:marRight w:val="0"/>
                  <w:marTop w:val="0"/>
                  <w:marBottom w:val="0"/>
                  <w:divBdr>
                    <w:top w:val="none" w:sz="0" w:space="0" w:color="auto"/>
                    <w:left w:val="none" w:sz="0" w:space="0" w:color="auto"/>
                    <w:bottom w:val="none" w:sz="0" w:space="0" w:color="auto"/>
                    <w:right w:val="none" w:sz="0" w:space="0" w:color="auto"/>
                  </w:divBdr>
                  <w:divsChild>
                    <w:div w:id="147133861">
                      <w:marLeft w:val="0"/>
                      <w:marRight w:val="0"/>
                      <w:marTop w:val="0"/>
                      <w:marBottom w:val="0"/>
                      <w:divBdr>
                        <w:top w:val="none" w:sz="0" w:space="0" w:color="auto"/>
                        <w:left w:val="none" w:sz="0" w:space="0" w:color="auto"/>
                        <w:bottom w:val="none" w:sz="0" w:space="0" w:color="auto"/>
                        <w:right w:val="none" w:sz="0" w:space="0" w:color="auto"/>
                      </w:divBdr>
                    </w:div>
                  </w:divsChild>
                </w:div>
                <w:div w:id="1777096023">
                  <w:marLeft w:val="0"/>
                  <w:marRight w:val="0"/>
                  <w:marTop w:val="0"/>
                  <w:marBottom w:val="0"/>
                  <w:divBdr>
                    <w:top w:val="none" w:sz="0" w:space="0" w:color="auto"/>
                    <w:left w:val="none" w:sz="0" w:space="0" w:color="auto"/>
                    <w:bottom w:val="none" w:sz="0" w:space="0" w:color="auto"/>
                    <w:right w:val="none" w:sz="0" w:space="0" w:color="auto"/>
                  </w:divBdr>
                  <w:divsChild>
                    <w:div w:id="629478474">
                      <w:marLeft w:val="0"/>
                      <w:marRight w:val="0"/>
                      <w:marTop w:val="0"/>
                      <w:marBottom w:val="0"/>
                      <w:divBdr>
                        <w:top w:val="none" w:sz="0" w:space="0" w:color="auto"/>
                        <w:left w:val="none" w:sz="0" w:space="0" w:color="auto"/>
                        <w:bottom w:val="none" w:sz="0" w:space="0" w:color="auto"/>
                        <w:right w:val="none" w:sz="0" w:space="0" w:color="auto"/>
                      </w:divBdr>
                    </w:div>
                  </w:divsChild>
                </w:div>
                <w:div w:id="1811438940">
                  <w:marLeft w:val="0"/>
                  <w:marRight w:val="0"/>
                  <w:marTop w:val="0"/>
                  <w:marBottom w:val="0"/>
                  <w:divBdr>
                    <w:top w:val="none" w:sz="0" w:space="0" w:color="auto"/>
                    <w:left w:val="none" w:sz="0" w:space="0" w:color="auto"/>
                    <w:bottom w:val="none" w:sz="0" w:space="0" w:color="auto"/>
                    <w:right w:val="none" w:sz="0" w:space="0" w:color="auto"/>
                  </w:divBdr>
                  <w:divsChild>
                    <w:div w:id="887642541">
                      <w:marLeft w:val="0"/>
                      <w:marRight w:val="0"/>
                      <w:marTop w:val="0"/>
                      <w:marBottom w:val="0"/>
                      <w:divBdr>
                        <w:top w:val="none" w:sz="0" w:space="0" w:color="auto"/>
                        <w:left w:val="none" w:sz="0" w:space="0" w:color="auto"/>
                        <w:bottom w:val="none" w:sz="0" w:space="0" w:color="auto"/>
                        <w:right w:val="none" w:sz="0" w:space="0" w:color="auto"/>
                      </w:divBdr>
                    </w:div>
                  </w:divsChild>
                </w:div>
                <w:div w:id="1828665988">
                  <w:marLeft w:val="0"/>
                  <w:marRight w:val="0"/>
                  <w:marTop w:val="0"/>
                  <w:marBottom w:val="0"/>
                  <w:divBdr>
                    <w:top w:val="none" w:sz="0" w:space="0" w:color="auto"/>
                    <w:left w:val="none" w:sz="0" w:space="0" w:color="auto"/>
                    <w:bottom w:val="none" w:sz="0" w:space="0" w:color="auto"/>
                    <w:right w:val="none" w:sz="0" w:space="0" w:color="auto"/>
                  </w:divBdr>
                  <w:divsChild>
                    <w:div w:id="1592547233">
                      <w:marLeft w:val="0"/>
                      <w:marRight w:val="0"/>
                      <w:marTop w:val="0"/>
                      <w:marBottom w:val="0"/>
                      <w:divBdr>
                        <w:top w:val="none" w:sz="0" w:space="0" w:color="auto"/>
                        <w:left w:val="none" w:sz="0" w:space="0" w:color="auto"/>
                        <w:bottom w:val="none" w:sz="0" w:space="0" w:color="auto"/>
                        <w:right w:val="none" w:sz="0" w:space="0" w:color="auto"/>
                      </w:divBdr>
                    </w:div>
                  </w:divsChild>
                </w:div>
                <w:div w:id="1979603038">
                  <w:marLeft w:val="0"/>
                  <w:marRight w:val="0"/>
                  <w:marTop w:val="0"/>
                  <w:marBottom w:val="0"/>
                  <w:divBdr>
                    <w:top w:val="none" w:sz="0" w:space="0" w:color="auto"/>
                    <w:left w:val="none" w:sz="0" w:space="0" w:color="auto"/>
                    <w:bottom w:val="none" w:sz="0" w:space="0" w:color="auto"/>
                    <w:right w:val="none" w:sz="0" w:space="0" w:color="auto"/>
                  </w:divBdr>
                  <w:divsChild>
                    <w:div w:id="1452434649">
                      <w:marLeft w:val="0"/>
                      <w:marRight w:val="0"/>
                      <w:marTop w:val="0"/>
                      <w:marBottom w:val="0"/>
                      <w:divBdr>
                        <w:top w:val="none" w:sz="0" w:space="0" w:color="auto"/>
                        <w:left w:val="none" w:sz="0" w:space="0" w:color="auto"/>
                        <w:bottom w:val="none" w:sz="0" w:space="0" w:color="auto"/>
                        <w:right w:val="none" w:sz="0" w:space="0" w:color="auto"/>
                      </w:divBdr>
                    </w:div>
                  </w:divsChild>
                </w:div>
                <w:div w:id="2055961769">
                  <w:marLeft w:val="0"/>
                  <w:marRight w:val="0"/>
                  <w:marTop w:val="0"/>
                  <w:marBottom w:val="0"/>
                  <w:divBdr>
                    <w:top w:val="none" w:sz="0" w:space="0" w:color="auto"/>
                    <w:left w:val="none" w:sz="0" w:space="0" w:color="auto"/>
                    <w:bottom w:val="none" w:sz="0" w:space="0" w:color="auto"/>
                    <w:right w:val="none" w:sz="0" w:space="0" w:color="auto"/>
                  </w:divBdr>
                  <w:divsChild>
                    <w:div w:id="19151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60695">
          <w:marLeft w:val="0"/>
          <w:marRight w:val="0"/>
          <w:marTop w:val="0"/>
          <w:marBottom w:val="0"/>
          <w:divBdr>
            <w:top w:val="none" w:sz="0" w:space="0" w:color="auto"/>
            <w:left w:val="none" w:sz="0" w:space="0" w:color="auto"/>
            <w:bottom w:val="none" w:sz="0" w:space="0" w:color="auto"/>
            <w:right w:val="none" w:sz="0" w:space="0" w:color="auto"/>
          </w:divBdr>
          <w:divsChild>
            <w:div w:id="1297833309">
              <w:marLeft w:val="-75"/>
              <w:marRight w:val="0"/>
              <w:marTop w:val="30"/>
              <w:marBottom w:val="30"/>
              <w:divBdr>
                <w:top w:val="none" w:sz="0" w:space="0" w:color="auto"/>
                <w:left w:val="none" w:sz="0" w:space="0" w:color="auto"/>
                <w:bottom w:val="none" w:sz="0" w:space="0" w:color="auto"/>
                <w:right w:val="none" w:sz="0" w:space="0" w:color="auto"/>
              </w:divBdr>
              <w:divsChild>
                <w:div w:id="30304158">
                  <w:marLeft w:val="0"/>
                  <w:marRight w:val="0"/>
                  <w:marTop w:val="0"/>
                  <w:marBottom w:val="0"/>
                  <w:divBdr>
                    <w:top w:val="none" w:sz="0" w:space="0" w:color="auto"/>
                    <w:left w:val="none" w:sz="0" w:space="0" w:color="auto"/>
                    <w:bottom w:val="none" w:sz="0" w:space="0" w:color="auto"/>
                    <w:right w:val="none" w:sz="0" w:space="0" w:color="auto"/>
                  </w:divBdr>
                  <w:divsChild>
                    <w:div w:id="579944966">
                      <w:marLeft w:val="0"/>
                      <w:marRight w:val="0"/>
                      <w:marTop w:val="0"/>
                      <w:marBottom w:val="0"/>
                      <w:divBdr>
                        <w:top w:val="none" w:sz="0" w:space="0" w:color="auto"/>
                        <w:left w:val="none" w:sz="0" w:space="0" w:color="auto"/>
                        <w:bottom w:val="none" w:sz="0" w:space="0" w:color="auto"/>
                        <w:right w:val="none" w:sz="0" w:space="0" w:color="auto"/>
                      </w:divBdr>
                    </w:div>
                  </w:divsChild>
                </w:div>
                <w:div w:id="170413814">
                  <w:marLeft w:val="0"/>
                  <w:marRight w:val="0"/>
                  <w:marTop w:val="0"/>
                  <w:marBottom w:val="0"/>
                  <w:divBdr>
                    <w:top w:val="none" w:sz="0" w:space="0" w:color="auto"/>
                    <w:left w:val="none" w:sz="0" w:space="0" w:color="auto"/>
                    <w:bottom w:val="none" w:sz="0" w:space="0" w:color="auto"/>
                    <w:right w:val="none" w:sz="0" w:space="0" w:color="auto"/>
                  </w:divBdr>
                  <w:divsChild>
                    <w:div w:id="776559052">
                      <w:marLeft w:val="0"/>
                      <w:marRight w:val="0"/>
                      <w:marTop w:val="0"/>
                      <w:marBottom w:val="0"/>
                      <w:divBdr>
                        <w:top w:val="none" w:sz="0" w:space="0" w:color="auto"/>
                        <w:left w:val="none" w:sz="0" w:space="0" w:color="auto"/>
                        <w:bottom w:val="none" w:sz="0" w:space="0" w:color="auto"/>
                        <w:right w:val="none" w:sz="0" w:space="0" w:color="auto"/>
                      </w:divBdr>
                    </w:div>
                  </w:divsChild>
                </w:div>
                <w:div w:id="318272776">
                  <w:marLeft w:val="0"/>
                  <w:marRight w:val="0"/>
                  <w:marTop w:val="0"/>
                  <w:marBottom w:val="0"/>
                  <w:divBdr>
                    <w:top w:val="none" w:sz="0" w:space="0" w:color="auto"/>
                    <w:left w:val="none" w:sz="0" w:space="0" w:color="auto"/>
                    <w:bottom w:val="none" w:sz="0" w:space="0" w:color="auto"/>
                    <w:right w:val="none" w:sz="0" w:space="0" w:color="auto"/>
                  </w:divBdr>
                  <w:divsChild>
                    <w:div w:id="157890534">
                      <w:marLeft w:val="0"/>
                      <w:marRight w:val="0"/>
                      <w:marTop w:val="0"/>
                      <w:marBottom w:val="0"/>
                      <w:divBdr>
                        <w:top w:val="none" w:sz="0" w:space="0" w:color="auto"/>
                        <w:left w:val="none" w:sz="0" w:space="0" w:color="auto"/>
                        <w:bottom w:val="none" w:sz="0" w:space="0" w:color="auto"/>
                        <w:right w:val="none" w:sz="0" w:space="0" w:color="auto"/>
                      </w:divBdr>
                    </w:div>
                  </w:divsChild>
                </w:div>
                <w:div w:id="327439956">
                  <w:marLeft w:val="0"/>
                  <w:marRight w:val="0"/>
                  <w:marTop w:val="0"/>
                  <w:marBottom w:val="0"/>
                  <w:divBdr>
                    <w:top w:val="none" w:sz="0" w:space="0" w:color="auto"/>
                    <w:left w:val="none" w:sz="0" w:space="0" w:color="auto"/>
                    <w:bottom w:val="none" w:sz="0" w:space="0" w:color="auto"/>
                    <w:right w:val="none" w:sz="0" w:space="0" w:color="auto"/>
                  </w:divBdr>
                  <w:divsChild>
                    <w:div w:id="630480693">
                      <w:marLeft w:val="0"/>
                      <w:marRight w:val="0"/>
                      <w:marTop w:val="0"/>
                      <w:marBottom w:val="0"/>
                      <w:divBdr>
                        <w:top w:val="none" w:sz="0" w:space="0" w:color="auto"/>
                        <w:left w:val="none" w:sz="0" w:space="0" w:color="auto"/>
                        <w:bottom w:val="none" w:sz="0" w:space="0" w:color="auto"/>
                        <w:right w:val="none" w:sz="0" w:space="0" w:color="auto"/>
                      </w:divBdr>
                    </w:div>
                  </w:divsChild>
                </w:div>
                <w:div w:id="427972582">
                  <w:marLeft w:val="0"/>
                  <w:marRight w:val="0"/>
                  <w:marTop w:val="0"/>
                  <w:marBottom w:val="0"/>
                  <w:divBdr>
                    <w:top w:val="none" w:sz="0" w:space="0" w:color="auto"/>
                    <w:left w:val="none" w:sz="0" w:space="0" w:color="auto"/>
                    <w:bottom w:val="none" w:sz="0" w:space="0" w:color="auto"/>
                    <w:right w:val="none" w:sz="0" w:space="0" w:color="auto"/>
                  </w:divBdr>
                  <w:divsChild>
                    <w:div w:id="1842428235">
                      <w:marLeft w:val="0"/>
                      <w:marRight w:val="0"/>
                      <w:marTop w:val="0"/>
                      <w:marBottom w:val="0"/>
                      <w:divBdr>
                        <w:top w:val="none" w:sz="0" w:space="0" w:color="auto"/>
                        <w:left w:val="none" w:sz="0" w:space="0" w:color="auto"/>
                        <w:bottom w:val="none" w:sz="0" w:space="0" w:color="auto"/>
                        <w:right w:val="none" w:sz="0" w:space="0" w:color="auto"/>
                      </w:divBdr>
                    </w:div>
                  </w:divsChild>
                </w:div>
                <w:div w:id="430047293">
                  <w:marLeft w:val="0"/>
                  <w:marRight w:val="0"/>
                  <w:marTop w:val="0"/>
                  <w:marBottom w:val="0"/>
                  <w:divBdr>
                    <w:top w:val="none" w:sz="0" w:space="0" w:color="auto"/>
                    <w:left w:val="none" w:sz="0" w:space="0" w:color="auto"/>
                    <w:bottom w:val="none" w:sz="0" w:space="0" w:color="auto"/>
                    <w:right w:val="none" w:sz="0" w:space="0" w:color="auto"/>
                  </w:divBdr>
                  <w:divsChild>
                    <w:div w:id="1070419764">
                      <w:marLeft w:val="0"/>
                      <w:marRight w:val="0"/>
                      <w:marTop w:val="0"/>
                      <w:marBottom w:val="0"/>
                      <w:divBdr>
                        <w:top w:val="none" w:sz="0" w:space="0" w:color="auto"/>
                        <w:left w:val="none" w:sz="0" w:space="0" w:color="auto"/>
                        <w:bottom w:val="none" w:sz="0" w:space="0" w:color="auto"/>
                        <w:right w:val="none" w:sz="0" w:space="0" w:color="auto"/>
                      </w:divBdr>
                    </w:div>
                  </w:divsChild>
                </w:div>
                <w:div w:id="462772415">
                  <w:marLeft w:val="0"/>
                  <w:marRight w:val="0"/>
                  <w:marTop w:val="0"/>
                  <w:marBottom w:val="0"/>
                  <w:divBdr>
                    <w:top w:val="none" w:sz="0" w:space="0" w:color="auto"/>
                    <w:left w:val="none" w:sz="0" w:space="0" w:color="auto"/>
                    <w:bottom w:val="none" w:sz="0" w:space="0" w:color="auto"/>
                    <w:right w:val="none" w:sz="0" w:space="0" w:color="auto"/>
                  </w:divBdr>
                  <w:divsChild>
                    <w:div w:id="1669289043">
                      <w:marLeft w:val="0"/>
                      <w:marRight w:val="0"/>
                      <w:marTop w:val="0"/>
                      <w:marBottom w:val="0"/>
                      <w:divBdr>
                        <w:top w:val="none" w:sz="0" w:space="0" w:color="auto"/>
                        <w:left w:val="none" w:sz="0" w:space="0" w:color="auto"/>
                        <w:bottom w:val="none" w:sz="0" w:space="0" w:color="auto"/>
                        <w:right w:val="none" w:sz="0" w:space="0" w:color="auto"/>
                      </w:divBdr>
                    </w:div>
                  </w:divsChild>
                </w:div>
                <w:div w:id="605580532">
                  <w:marLeft w:val="0"/>
                  <w:marRight w:val="0"/>
                  <w:marTop w:val="0"/>
                  <w:marBottom w:val="0"/>
                  <w:divBdr>
                    <w:top w:val="none" w:sz="0" w:space="0" w:color="auto"/>
                    <w:left w:val="none" w:sz="0" w:space="0" w:color="auto"/>
                    <w:bottom w:val="none" w:sz="0" w:space="0" w:color="auto"/>
                    <w:right w:val="none" w:sz="0" w:space="0" w:color="auto"/>
                  </w:divBdr>
                  <w:divsChild>
                    <w:div w:id="942496178">
                      <w:marLeft w:val="0"/>
                      <w:marRight w:val="0"/>
                      <w:marTop w:val="0"/>
                      <w:marBottom w:val="0"/>
                      <w:divBdr>
                        <w:top w:val="none" w:sz="0" w:space="0" w:color="auto"/>
                        <w:left w:val="none" w:sz="0" w:space="0" w:color="auto"/>
                        <w:bottom w:val="none" w:sz="0" w:space="0" w:color="auto"/>
                        <w:right w:val="none" w:sz="0" w:space="0" w:color="auto"/>
                      </w:divBdr>
                    </w:div>
                  </w:divsChild>
                </w:div>
                <w:div w:id="729117934">
                  <w:marLeft w:val="0"/>
                  <w:marRight w:val="0"/>
                  <w:marTop w:val="0"/>
                  <w:marBottom w:val="0"/>
                  <w:divBdr>
                    <w:top w:val="none" w:sz="0" w:space="0" w:color="auto"/>
                    <w:left w:val="none" w:sz="0" w:space="0" w:color="auto"/>
                    <w:bottom w:val="none" w:sz="0" w:space="0" w:color="auto"/>
                    <w:right w:val="none" w:sz="0" w:space="0" w:color="auto"/>
                  </w:divBdr>
                  <w:divsChild>
                    <w:div w:id="400569192">
                      <w:marLeft w:val="0"/>
                      <w:marRight w:val="0"/>
                      <w:marTop w:val="0"/>
                      <w:marBottom w:val="0"/>
                      <w:divBdr>
                        <w:top w:val="none" w:sz="0" w:space="0" w:color="auto"/>
                        <w:left w:val="none" w:sz="0" w:space="0" w:color="auto"/>
                        <w:bottom w:val="none" w:sz="0" w:space="0" w:color="auto"/>
                        <w:right w:val="none" w:sz="0" w:space="0" w:color="auto"/>
                      </w:divBdr>
                    </w:div>
                  </w:divsChild>
                </w:div>
                <w:div w:id="780107193">
                  <w:marLeft w:val="0"/>
                  <w:marRight w:val="0"/>
                  <w:marTop w:val="0"/>
                  <w:marBottom w:val="0"/>
                  <w:divBdr>
                    <w:top w:val="none" w:sz="0" w:space="0" w:color="auto"/>
                    <w:left w:val="none" w:sz="0" w:space="0" w:color="auto"/>
                    <w:bottom w:val="none" w:sz="0" w:space="0" w:color="auto"/>
                    <w:right w:val="none" w:sz="0" w:space="0" w:color="auto"/>
                  </w:divBdr>
                  <w:divsChild>
                    <w:div w:id="1076591442">
                      <w:marLeft w:val="0"/>
                      <w:marRight w:val="0"/>
                      <w:marTop w:val="0"/>
                      <w:marBottom w:val="0"/>
                      <w:divBdr>
                        <w:top w:val="none" w:sz="0" w:space="0" w:color="auto"/>
                        <w:left w:val="none" w:sz="0" w:space="0" w:color="auto"/>
                        <w:bottom w:val="none" w:sz="0" w:space="0" w:color="auto"/>
                        <w:right w:val="none" w:sz="0" w:space="0" w:color="auto"/>
                      </w:divBdr>
                    </w:div>
                  </w:divsChild>
                </w:div>
                <w:div w:id="929507468">
                  <w:marLeft w:val="0"/>
                  <w:marRight w:val="0"/>
                  <w:marTop w:val="0"/>
                  <w:marBottom w:val="0"/>
                  <w:divBdr>
                    <w:top w:val="none" w:sz="0" w:space="0" w:color="auto"/>
                    <w:left w:val="none" w:sz="0" w:space="0" w:color="auto"/>
                    <w:bottom w:val="none" w:sz="0" w:space="0" w:color="auto"/>
                    <w:right w:val="none" w:sz="0" w:space="0" w:color="auto"/>
                  </w:divBdr>
                  <w:divsChild>
                    <w:div w:id="2123836480">
                      <w:marLeft w:val="0"/>
                      <w:marRight w:val="0"/>
                      <w:marTop w:val="0"/>
                      <w:marBottom w:val="0"/>
                      <w:divBdr>
                        <w:top w:val="none" w:sz="0" w:space="0" w:color="auto"/>
                        <w:left w:val="none" w:sz="0" w:space="0" w:color="auto"/>
                        <w:bottom w:val="none" w:sz="0" w:space="0" w:color="auto"/>
                        <w:right w:val="none" w:sz="0" w:space="0" w:color="auto"/>
                      </w:divBdr>
                    </w:div>
                  </w:divsChild>
                </w:div>
                <w:div w:id="1008601094">
                  <w:marLeft w:val="0"/>
                  <w:marRight w:val="0"/>
                  <w:marTop w:val="0"/>
                  <w:marBottom w:val="0"/>
                  <w:divBdr>
                    <w:top w:val="none" w:sz="0" w:space="0" w:color="auto"/>
                    <w:left w:val="none" w:sz="0" w:space="0" w:color="auto"/>
                    <w:bottom w:val="none" w:sz="0" w:space="0" w:color="auto"/>
                    <w:right w:val="none" w:sz="0" w:space="0" w:color="auto"/>
                  </w:divBdr>
                  <w:divsChild>
                    <w:div w:id="257688134">
                      <w:marLeft w:val="0"/>
                      <w:marRight w:val="0"/>
                      <w:marTop w:val="0"/>
                      <w:marBottom w:val="0"/>
                      <w:divBdr>
                        <w:top w:val="none" w:sz="0" w:space="0" w:color="auto"/>
                        <w:left w:val="none" w:sz="0" w:space="0" w:color="auto"/>
                        <w:bottom w:val="none" w:sz="0" w:space="0" w:color="auto"/>
                        <w:right w:val="none" w:sz="0" w:space="0" w:color="auto"/>
                      </w:divBdr>
                    </w:div>
                  </w:divsChild>
                </w:div>
                <w:div w:id="1057701656">
                  <w:marLeft w:val="0"/>
                  <w:marRight w:val="0"/>
                  <w:marTop w:val="0"/>
                  <w:marBottom w:val="0"/>
                  <w:divBdr>
                    <w:top w:val="none" w:sz="0" w:space="0" w:color="auto"/>
                    <w:left w:val="none" w:sz="0" w:space="0" w:color="auto"/>
                    <w:bottom w:val="none" w:sz="0" w:space="0" w:color="auto"/>
                    <w:right w:val="none" w:sz="0" w:space="0" w:color="auto"/>
                  </w:divBdr>
                  <w:divsChild>
                    <w:div w:id="1783456353">
                      <w:marLeft w:val="0"/>
                      <w:marRight w:val="0"/>
                      <w:marTop w:val="0"/>
                      <w:marBottom w:val="0"/>
                      <w:divBdr>
                        <w:top w:val="none" w:sz="0" w:space="0" w:color="auto"/>
                        <w:left w:val="none" w:sz="0" w:space="0" w:color="auto"/>
                        <w:bottom w:val="none" w:sz="0" w:space="0" w:color="auto"/>
                        <w:right w:val="none" w:sz="0" w:space="0" w:color="auto"/>
                      </w:divBdr>
                    </w:div>
                  </w:divsChild>
                </w:div>
                <w:div w:id="1213539158">
                  <w:marLeft w:val="0"/>
                  <w:marRight w:val="0"/>
                  <w:marTop w:val="0"/>
                  <w:marBottom w:val="0"/>
                  <w:divBdr>
                    <w:top w:val="none" w:sz="0" w:space="0" w:color="auto"/>
                    <w:left w:val="none" w:sz="0" w:space="0" w:color="auto"/>
                    <w:bottom w:val="none" w:sz="0" w:space="0" w:color="auto"/>
                    <w:right w:val="none" w:sz="0" w:space="0" w:color="auto"/>
                  </w:divBdr>
                  <w:divsChild>
                    <w:div w:id="857739757">
                      <w:marLeft w:val="0"/>
                      <w:marRight w:val="0"/>
                      <w:marTop w:val="0"/>
                      <w:marBottom w:val="0"/>
                      <w:divBdr>
                        <w:top w:val="none" w:sz="0" w:space="0" w:color="auto"/>
                        <w:left w:val="none" w:sz="0" w:space="0" w:color="auto"/>
                        <w:bottom w:val="none" w:sz="0" w:space="0" w:color="auto"/>
                        <w:right w:val="none" w:sz="0" w:space="0" w:color="auto"/>
                      </w:divBdr>
                    </w:div>
                  </w:divsChild>
                </w:div>
                <w:div w:id="1421755425">
                  <w:marLeft w:val="0"/>
                  <w:marRight w:val="0"/>
                  <w:marTop w:val="0"/>
                  <w:marBottom w:val="0"/>
                  <w:divBdr>
                    <w:top w:val="none" w:sz="0" w:space="0" w:color="auto"/>
                    <w:left w:val="none" w:sz="0" w:space="0" w:color="auto"/>
                    <w:bottom w:val="none" w:sz="0" w:space="0" w:color="auto"/>
                    <w:right w:val="none" w:sz="0" w:space="0" w:color="auto"/>
                  </w:divBdr>
                  <w:divsChild>
                    <w:div w:id="297077830">
                      <w:marLeft w:val="0"/>
                      <w:marRight w:val="0"/>
                      <w:marTop w:val="0"/>
                      <w:marBottom w:val="0"/>
                      <w:divBdr>
                        <w:top w:val="none" w:sz="0" w:space="0" w:color="auto"/>
                        <w:left w:val="none" w:sz="0" w:space="0" w:color="auto"/>
                        <w:bottom w:val="none" w:sz="0" w:space="0" w:color="auto"/>
                        <w:right w:val="none" w:sz="0" w:space="0" w:color="auto"/>
                      </w:divBdr>
                    </w:div>
                  </w:divsChild>
                </w:div>
                <w:div w:id="1575580367">
                  <w:marLeft w:val="0"/>
                  <w:marRight w:val="0"/>
                  <w:marTop w:val="0"/>
                  <w:marBottom w:val="0"/>
                  <w:divBdr>
                    <w:top w:val="none" w:sz="0" w:space="0" w:color="auto"/>
                    <w:left w:val="none" w:sz="0" w:space="0" w:color="auto"/>
                    <w:bottom w:val="none" w:sz="0" w:space="0" w:color="auto"/>
                    <w:right w:val="none" w:sz="0" w:space="0" w:color="auto"/>
                  </w:divBdr>
                  <w:divsChild>
                    <w:div w:id="1721514364">
                      <w:marLeft w:val="0"/>
                      <w:marRight w:val="0"/>
                      <w:marTop w:val="0"/>
                      <w:marBottom w:val="0"/>
                      <w:divBdr>
                        <w:top w:val="none" w:sz="0" w:space="0" w:color="auto"/>
                        <w:left w:val="none" w:sz="0" w:space="0" w:color="auto"/>
                        <w:bottom w:val="none" w:sz="0" w:space="0" w:color="auto"/>
                        <w:right w:val="none" w:sz="0" w:space="0" w:color="auto"/>
                      </w:divBdr>
                    </w:div>
                  </w:divsChild>
                </w:div>
                <w:div w:id="1709793624">
                  <w:marLeft w:val="0"/>
                  <w:marRight w:val="0"/>
                  <w:marTop w:val="0"/>
                  <w:marBottom w:val="0"/>
                  <w:divBdr>
                    <w:top w:val="none" w:sz="0" w:space="0" w:color="auto"/>
                    <w:left w:val="none" w:sz="0" w:space="0" w:color="auto"/>
                    <w:bottom w:val="none" w:sz="0" w:space="0" w:color="auto"/>
                    <w:right w:val="none" w:sz="0" w:space="0" w:color="auto"/>
                  </w:divBdr>
                  <w:divsChild>
                    <w:div w:id="1577351489">
                      <w:marLeft w:val="0"/>
                      <w:marRight w:val="0"/>
                      <w:marTop w:val="0"/>
                      <w:marBottom w:val="0"/>
                      <w:divBdr>
                        <w:top w:val="none" w:sz="0" w:space="0" w:color="auto"/>
                        <w:left w:val="none" w:sz="0" w:space="0" w:color="auto"/>
                        <w:bottom w:val="none" w:sz="0" w:space="0" w:color="auto"/>
                        <w:right w:val="none" w:sz="0" w:space="0" w:color="auto"/>
                      </w:divBdr>
                    </w:div>
                  </w:divsChild>
                </w:div>
                <w:div w:id="1753240274">
                  <w:marLeft w:val="0"/>
                  <w:marRight w:val="0"/>
                  <w:marTop w:val="0"/>
                  <w:marBottom w:val="0"/>
                  <w:divBdr>
                    <w:top w:val="none" w:sz="0" w:space="0" w:color="auto"/>
                    <w:left w:val="none" w:sz="0" w:space="0" w:color="auto"/>
                    <w:bottom w:val="none" w:sz="0" w:space="0" w:color="auto"/>
                    <w:right w:val="none" w:sz="0" w:space="0" w:color="auto"/>
                  </w:divBdr>
                  <w:divsChild>
                    <w:div w:id="1160535296">
                      <w:marLeft w:val="0"/>
                      <w:marRight w:val="0"/>
                      <w:marTop w:val="0"/>
                      <w:marBottom w:val="0"/>
                      <w:divBdr>
                        <w:top w:val="none" w:sz="0" w:space="0" w:color="auto"/>
                        <w:left w:val="none" w:sz="0" w:space="0" w:color="auto"/>
                        <w:bottom w:val="none" w:sz="0" w:space="0" w:color="auto"/>
                        <w:right w:val="none" w:sz="0" w:space="0" w:color="auto"/>
                      </w:divBdr>
                    </w:div>
                  </w:divsChild>
                </w:div>
                <w:div w:id="1843396655">
                  <w:marLeft w:val="0"/>
                  <w:marRight w:val="0"/>
                  <w:marTop w:val="0"/>
                  <w:marBottom w:val="0"/>
                  <w:divBdr>
                    <w:top w:val="none" w:sz="0" w:space="0" w:color="auto"/>
                    <w:left w:val="none" w:sz="0" w:space="0" w:color="auto"/>
                    <w:bottom w:val="none" w:sz="0" w:space="0" w:color="auto"/>
                    <w:right w:val="none" w:sz="0" w:space="0" w:color="auto"/>
                  </w:divBdr>
                  <w:divsChild>
                    <w:div w:id="349844977">
                      <w:marLeft w:val="0"/>
                      <w:marRight w:val="0"/>
                      <w:marTop w:val="0"/>
                      <w:marBottom w:val="0"/>
                      <w:divBdr>
                        <w:top w:val="none" w:sz="0" w:space="0" w:color="auto"/>
                        <w:left w:val="none" w:sz="0" w:space="0" w:color="auto"/>
                        <w:bottom w:val="none" w:sz="0" w:space="0" w:color="auto"/>
                        <w:right w:val="none" w:sz="0" w:space="0" w:color="auto"/>
                      </w:divBdr>
                    </w:div>
                  </w:divsChild>
                </w:div>
                <w:div w:id="1844394505">
                  <w:marLeft w:val="0"/>
                  <w:marRight w:val="0"/>
                  <w:marTop w:val="0"/>
                  <w:marBottom w:val="0"/>
                  <w:divBdr>
                    <w:top w:val="none" w:sz="0" w:space="0" w:color="auto"/>
                    <w:left w:val="none" w:sz="0" w:space="0" w:color="auto"/>
                    <w:bottom w:val="none" w:sz="0" w:space="0" w:color="auto"/>
                    <w:right w:val="none" w:sz="0" w:space="0" w:color="auto"/>
                  </w:divBdr>
                  <w:divsChild>
                    <w:div w:id="1206213061">
                      <w:marLeft w:val="0"/>
                      <w:marRight w:val="0"/>
                      <w:marTop w:val="0"/>
                      <w:marBottom w:val="0"/>
                      <w:divBdr>
                        <w:top w:val="none" w:sz="0" w:space="0" w:color="auto"/>
                        <w:left w:val="none" w:sz="0" w:space="0" w:color="auto"/>
                        <w:bottom w:val="none" w:sz="0" w:space="0" w:color="auto"/>
                        <w:right w:val="none" w:sz="0" w:space="0" w:color="auto"/>
                      </w:divBdr>
                    </w:div>
                  </w:divsChild>
                </w:div>
                <w:div w:id="2138717993">
                  <w:marLeft w:val="0"/>
                  <w:marRight w:val="0"/>
                  <w:marTop w:val="0"/>
                  <w:marBottom w:val="0"/>
                  <w:divBdr>
                    <w:top w:val="none" w:sz="0" w:space="0" w:color="auto"/>
                    <w:left w:val="none" w:sz="0" w:space="0" w:color="auto"/>
                    <w:bottom w:val="none" w:sz="0" w:space="0" w:color="auto"/>
                    <w:right w:val="none" w:sz="0" w:space="0" w:color="auto"/>
                  </w:divBdr>
                  <w:divsChild>
                    <w:div w:id="12657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0929">
          <w:marLeft w:val="0"/>
          <w:marRight w:val="0"/>
          <w:marTop w:val="0"/>
          <w:marBottom w:val="0"/>
          <w:divBdr>
            <w:top w:val="none" w:sz="0" w:space="0" w:color="auto"/>
            <w:left w:val="none" w:sz="0" w:space="0" w:color="auto"/>
            <w:bottom w:val="none" w:sz="0" w:space="0" w:color="auto"/>
            <w:right w:val="none" w:sz="0" w:space="0" w:color="auto"/>
          </w:divBdr>
        </w:div>
        <w:div w:id="2030598797">
          <w:marLeft w:val="0"/>
          <w:marRight w:val="0"/>
          <w:marTop w:val="0"/>
          <w:marBottom w:val="0"/>
          <w:divBdr>
            <w:top w:val="none" w:sz="0" w:space="0" w:color="auto"/>
            <w:left w:val="none" w:sz="0" w:space="0" w:color="auto"/>
            <w:bottom w:val="none" w:sz="0" w:space="0" w:color="auto"/>
            <w:right w:val="none" w:sz="0" w:space="0" w:color="auto"/>
          </w:divBdr>
        </w:div>
        <w:div w:id="2040887203">
          <w:marLeft w:val="0"/>
          <w:marRight w:val="0"/>
          <w:marTop w:val="0"/>
          <w:marBottom w:val="0"/>
          <w:divBdr>
            <w:top w:val="none" w:sz="0" w:space="0" w:color="auto"/>
            <w:left w:val="none" w:sz="0" w:space="0" w:color="auto"/>
            <w:bottom w:val="none" w:sz="0" w:space="0" w:color="auto"/>
            <w:right w:val="none" w:sz="0" w:space="0" w:color="auto"/>
          </w:divBdr>
        </w:div>
      </w:divsChild>
    </w:div>
    <w:div w:id="1906261179">
      <w:bodyDiv w:val="1"/>
      <w:marLeft w:val="0"/>
      <w:marRight w:val="0"/>
      <w:marTop w:val="0"/>
      <w:marBottom w:val="0"/>
      <w:divBdr>
        <w:top w:val="none" w:sz="0" w:space="0" w:color="auto"/>
        <w:left w:val="none" w:sz="0" w:space="0" w:color="auto"/>
        <w:bottom w:val="none" w:sz="0" w:space="0" w:color="auto"/>
        <w:right w:val="none" w:sz="0" w:space="0" w:color="auto"/>
      </w:divBdr>
    </w:div>
    <w:div w:id="1922256293">
      <w:bodyDiv w:val="1"/>
      <w:marLeft w:val="0"/>
      <w:marRight w:val="0"/>
      <w:marTop w:val="0"/>
      <w:marBottom w:val="0"/>
      <w:divBdr>
        <w:top w:val="none" w:sz="0" w:space="0" w:color="auto"/>
        <w:left w:val="none" w:sz="0" w:space="0" w:color="auto"/>
        <w:bottom w:val="none" w:sz="0" w:space="0" w:color="auto"/>
        <w:right w:val="none" w:sz="0" w:space="0" w:color="auto"/>
      </w:divBdr>
    </w:div>
    <w:div w:id="1927877964">
      <w:bodyDiv w:val="1"/>
      <w:marLeft w:val="0"/>
      <w:marRight w:val="0"/>
      <w:marTop w:val="0"/>
      <w:marBottom w:val="0"/>
      <w:divBdr>
        <w:top w:val="none" w:sz="0" w:space="0" w:color="auto"/>
        <w:left w:val="none" w:sz="0" w:space="0" w:color="auto"/>
        <w:bottom w:val="none" w:sz="0" w:space="0" w:color="auto"/>
        <w:right w:val="none" w:sz="0" w:space="0" w:color="auto"/>
      </w:divBdr>
    </w:div>
    <w:div w:id="1930192701">
      <w:bodyDiv w:val="1"/>
      <w:marLeft w:val="0"/>
      <w:marRight w:val="0"/>
      <w:marTop w:val="0"/>
      <w:marBottom w:val="0"/>
      <w:divBdr>
        <w:top w:val="none" w:sz="0" w:space="0" w:color="auto"/>
        <w:left w:val="none" w:sz="0" w:space="0" w:color="auto"/>
        <w:bottom w:val="none" w:sz="0" w:space="0" w:color="auto"/>
        <w:right w:val="none" w:sz="0" w:space="0" w:color="auto"/>
      </w:divBdr>
      <w:divsChild>
        <w:div w:id="160584611">
          <w:marLeft w:val="0"/>
          <w:marRight w:val="0"/>
          <w:marTop w:val="0"/>
          <w:marBottom w:val="0"/>
          <w:divBdr>
            <w:top w:val="none" w:sz="0" w:space="0" w:color="auto"/>
            <w:left w:val="none" w:sz="0" w:space="0" w:color="auto"/>
            <w:bottom w:val="none" w:sz="0" w:space="0" w:color="auto"/>
            <w:right w:val="none" w:sz="0" w:space="0" w:color="auto"/>
          </w:divBdr>
        </w:div>
        <w:div w:id="207763044">
          <w:marLeft w:val="0"/>
          <w:marRight w:val="0"/>
          <w:marTop w:val="0"/>
          <w:marBottom w:val="0"/>
          <w:divBdr>
            <w:top w:val="none" w:sz="0" w:space="0" w:color="auto"/>
            <w:left w:val="none" w:sz="0" w:space="0" w:color="auto"/>
            <w:bottom w:val="none" w:sz="0" w:space="0" w:color="auto"/>
            <w:right w:val="none" w:sz="0" w:space="0" w:color="auto"/>
          </w:divBdr>
        </w:div>
        <w:div w:id="315688698">
          <w:marLeft w:val="0"/>
          <w:marRight w:val="0"/>
          <w:marTop w:val="0"/>
          <w:marBottom w:val="0"/>
          <w:divBdr>
            <w:top w:val="none" w:sz="0" w:space="0" w:color="auto"/>
            <w:left w:val="none" w:sz="0" w:space="0" w:color="auto"/>
            <w:bottom w:val="none" w:sz="0" w:space="0" w:color="auto"/>
            <w:right w:val="none" w:sz="0" w:space="0" w:color="auto"/>
          </w:divBdr>
        </w:div>
        <w:div w:id="609161988">
          <w:marLeft w:val="0"/>
          <w:marRight w:val="0"/>
          <w:marTop w:val="0"/>
          <w:marBottom w:val="0"/>
          <w:divBdr>
            <w:top w:val="none" w:sz="0" w:space="0" w:color="auto"/>
            <w:left w:val="none" w:sz="0" w:space="0" w:color="auto"/>
            <w:bottom w:val="none" w:sz="0" w:space="0" w:color="auto"/>
            <w:right w:val="none" w:sz="0" w:space="0" w:color="auto"/>
          </w:divBdr>
        </w:div>
        <w:div w:id="768238124">
          <w:marLeft w:val="0"/>
          <w:marRight w:val="0"/>
          <w:marTop w:val="0"/>
          <w:marBottom w:val="0"/>
          <w:divBdr>
            <w:top w:val="none" w:sz="0" w:space="0" w:color="auto"/>
            <w:left w:val="none" w:sz="0" w:space="0" w:color="auto"/>
            <w:bottom w:val="none" w:sz="0" w:space="0" w:color="auto"/>
            <w:right w:val="none" w:sz="0" w:space="0" w:color="auto"/>
          </w:divBdr>
          <w:divsChild>
            <w:div w:id="1137185704">
              <w:marLeft w:val="-75"/>
              <w:marRight w:val="0"/>
              <w:marTop w:val="30"/>
              <w:marBottom w:val="30"/>
              <w:divBdr>
                <w:top w:val="none" w:sz="0" w:space="0" w:color="auto"/>
                <w:left w:val="none" w:sz="0" w:space="0" w:color="auto"/>
                <w:bottom w:val="none" w:sz="0" w:space="0" w:color="auto"/>
                <w:right w:val="none" w:sz="0" w:space="0" w:color="auto"/>
              </w:divBdr>
              <w:divsChild>
                <w:div w:id="238713550">
                  <w:marLeft w:val="0"/>
                  <w:marRight w:val="0"/>
                  <w:marTop w:val="0"/>
                  <w:marBottom w:val="0"/>
                  <w:divBdr>
                    <w:top w:val="none" w:sz="0" w:space="0" w:color="auto"/>
                    <w:left w:val="none" w:sz="0" w:space="0" w:color="auto"/>
                    <w:bottom w:val="none" w:sz="0" w:space="0" w:color="auto"/>
                    <w:right w:val="none" w:sz="0" w:space="0" w:color="auto"/>
                  </w:divBdr>
                  <w:divsChild>
                    <w:div w:id="1231846916">
                      <w:marLeft w:val="0"/>
                      <w:marRight w:val="0"/>
                      <w:marTop w:val="0"/>
                      <w:marBottom w:val="0"/>
                      <w:divBdr>
                        <w:top w:val="none" w:sz="0" w:space="0" w:color="auto"/>
                        <w:left w:val="none" w:sz="0" w:space="0" w:color="auto"/>
                        <w:bottom w:val="none" w:sz="0" w:space="0" w:color="auto"/>
                        <w:right w:val="none" w:sz="0" w:space="0" w:color="auto"/>
                      </w:divBdr>
                    </w:div>
                  </w:divsChild>
                </w:div>
                <w:div w:id="375080008">
                  <w:marLeft w:val="0"/>
                  <w:marRight w:val="0"/>
                  <w:marTop w:val="0"/>
                  <w:marBottom w:val="0"/>
                  <w:divBdr>
                    <w:top w:val="none" w:sz="0" w:space="0" w:color="auto"/>
                    <w:left w:val="none" w:sz="0" w:space="0" w:color="auto"/>
                    <w:bottom w:val="none" w:sz="0" w:space="0" w:color="auto"/>
                    <w:right w:val="none" w:sz="0" w:space="0" w:color="auto"/>
                  </w:divBdr>
                  <w:divsChild>
                    <w:div w:id="370375854">
                      <w:marLeft w:val="0"/>
                      <w:marRight w:val="0"/>
                      <w:marTop w:val="0"/>
                      <w:marBottom w:val="0"/>
                      <w:divBdr>
                        <w:top w:val="none" w:sz="0" w:space="0" w:color="auto"/>
                        <w:left w:val="none" w:sz="0" w:space="0" w:color="auto"/>
                        <w:bottom w:val="none" w:sz="0" w:space="0" w:color="auto"/>
                        <w:right w:val="none" w:sz="0" w:space="0" w:color="auto"/>
                      </w:divBdr>
                    </w:div>
                    <w:div w:id="1396201360">
                      <w:marLeft w:val="0"/>
                      <w:marRight w:val="0"/>
                      <w:marTop w:val="0"/>
                      <w:marBottom w:val="0"/>
                      <w:divBdr>
                        <w:top w:val="none" w:sz="0" w:space="0" w:color="auto"/>
                        <w:left w:val="none" w:sz="0" w:space="0" w:color="auto"/>
                        <w:bottom w:val="none" w:sz="0" w:space="0" w:color="auto"/>
                        <w:right w:val="none" w:sz="0" w:space="0" w:color="auto"/>
                      </w:divBdr>
                    </w:div>
                    <w:div w:id="1407417035">
                      <w:marLeft w:val="0"/>
                      <w:marRight w:val="0"/>
                      <w:marTop w:val="0"/>
                      <w:marBottom w:val="0"/>
                      <w:divBdr>
                        <w:top w:val="none" w:sz="0" w:space="0" w:color="auto"/>
                        <w:left w:val="none" w:sz="0" w:space="0" w:color="auto"/>
                        <w:bottom w:val="none" w:sz="0" w:space="0" w:color="auto"/>
                        <w:right w:val="none" w:sz="0" w:space="0" w:color="auto"/>
                      </w:divBdr>
                    </w:div>
                    <w:div w:id="1458840236">
                      <w:marLeft w:val="0"/>
                      <w:marRight w:val="0"/>
                      <w:marTop w:val="0"/>
                      <w:marBottom w:val="0"/>
                      <w:divBdr>
                        <w:top w:val="none" w:sz="0" w:space="0" w:color="auto"/>
                        <w:left w:val="none" w:sz="0" w:space="0" w:color="auto"/>
                        <w:bottom w:val="none" w:sz="0" w:space="0" w:color="auto"/>
                        <w:right w:val="none" w:sz="0" w:space="0" w:color="auto"/>
                      </w:divBdr>
                    </w:div>
                    <w:div w:id="1801916067">
                      <w:marLeft w:val="0"/>
                      <w:marRight w:val="0"/>
                      <w:marTop w:val="0"/>
                      <w:marBottom w:val="0"/>
                      <w:divBdr>
                        <w:top w:val="none" w:sz="0" w:space="0" w:color="auto"/>
                        <w:left w:val="none" w:sz="0" w:space="0" w:color="auto"/>
                        <w:bottom w:val="none" w:sz="0" w:space="0" w:color="auto"/>
                        <w:right w:val="none" w:sz="0" w:space="0" w:color="auto"/>
                      </w:divBdr>
                    </w:div>
                    <w:div w:id="2118986695">
                      <w:marLeft w:val="0"/>
                      <w:marRight w:val="0"/>
                      <w:marTop w:val="0"/>
                      <w:marBottom w:val="0"/>
                      <w:divBdr>
                        <w:top w:val="none" w:sz="0" w:space="0" w:color="auto"/>
                        <w:left w:val="none" w:sz="0" w:space="0" w:color="auto"/>
                        <w:bottom w:val="none" w:sz="0" w:space="0" w:color="auto"/>
                        <w:right w:val="none" w:sz="0" w:space="0" w:color="auto"/>
                      </w:divBdr>
                    </w:div>
                  </w:divsChild>
                </w:div>
                <w:div w:id="411003808">
                  <w:marLeft w:val="0"/>
                  <w:marRight w:val="0"/>
                  <w:marTop w:val="0"/>
                  <w:marBottom w:val="0"/>
                  <w:divBdr>
                    <w:top w:val="none" w:sz="0" w:space="0" w:color="auto"/>
                    <w:left w:val="none" w:sz="0" w:space="0" w:color="auto"/>
                    <w:bottom w:val="none" w:sz="0" w:space="0" w:color="auto"/>
                    <w:right w:val="none" w:sz="0" w:space="0" w:color="auto"/>
                  </w:divBdr>
                  <w:divsChild>
                    <w:div w:id="658847064">
                      <w:marLeft w:val="0"/>
                      <w:marRight w:val="0"/>
                      <w:marTop w:val="0"/>
                      <w:marBottom w:val="0"/>
                      <w:divBdr>
                        <w:top w:val="none" w:sz="0" w:space="0" w:color="auto"/>
                        <w:left w:val="none" w:sz="0" w:space="0" w:color="auto"/>
                        <w:bottom w:val="none" w:sz="0" w:space="0" w:color="auto"/>
                        <w:right w:val="none" w:sz="0" w:space="0" w:color="auto"/>
                      </w:divBdr>
                    </w:div>
                  </w:divsChild>
                </w:div>
                <w:div w:id="680208207">
                  <w:marLeft w:val="0"/>
                  <w:marRight w:val="0"/>
                  <w:marTop w:val="0"/>
                  <w:marBottom w:val="0"/>
                  <w:divBdr>
                    <w:top w:val="none" w:sz="0" w:space="0" w:color="auto"/>
                    <w:left w:val="none" w:sz="0" w:space="0" w:color="auto"/>
                    <w:bottom w:val="none" w:sz="0" w:space="0" w:color="auto"/>
                    <w:right w:val="none" w:sz="0" w:space="0" w:color="auto"/>
                  </w:divBdr>
                  <w:divsChild>
                    <w:div w:id="232350030">
                      <w:marLeft w:val="0"/>
                      <w:marRight w:val="0"/>
                      <w:marTop w:val="0"/>
                      <w:marBottom w:val="0"/>
                      <w:divBdr>
                        <w:top w:val="none" w:sz="0" w:space="0" w:color="auto"/>
                        <w:left w:val="none" w:sz="0" w:space="0" w:color="auto"/>
                        <w:bottom w:val="none" w:sz="0" w:space="0" w:color="auto"/>
                        <w:right w:val="none" w:sz="0" w:space="0" w:color="auto"/>
                      </w:divBdr>
                    </w:div>
                    <w:div w:id="646712553">
                      <w:marLeft w:val="0"/>
                      <w:marRight w:val="0"/>
                      <w:marTop w:val="0"/>
                      <w:marBottom w:val="0"/>
                      <w:divBdr>
                        <w:top w:val="none" w:sz="0" w:space="0" w:color="auto"/>
                        <w:left w:val="none" w:sz="0" w:space="0" w:color="auto"/>
                        <w:bottom w:val="none" w:sz="0" w:space="0" w:color="auto"/>
                        <w:right w:val="none" w:sz="0" w:space="0" w:color="auto"/>
                      </w:divBdr>
                    </w:div>
                    <w:div w:id="912161691">
                      <w:marLeft w:val="0"/>
                      <w:marRight w:val="0"/>
                      <w:marTop w:val="0"/>
                      <w:marBottom w:val="0"/>
                      <w:divBdr>
                        <w:top w:val="none" w:sz="0" w:space="0" w:color="auto"/>
                        <w:left w:val="none" w:sz="0" w:space="0" w:color="auto"/>
                        <w:bottom w:val="none" w:sz="0" w:space="0" w:color="auto"/>
                        <w:right w:val="none" w:sz="0" w:space="0" w:color="auto"/>
                      </w:divBdr>
                    </w:div>
                    <w:div w:id="1353919075">
                      <w:marLeft w:val="0"/>
                      <w:marRight w:val="0"/>
                      <w:marTop w:val="0"/>
                      <w:marBottom w:val="0"/>
                      <w:divBdr>
                        <w:top w:val="none" w:sz="0" w:space="0" w:color="auto"/>
                        <w:left w:val="none" w:sz="0" w:space="0" w:color="auto"/>
                        <w:bottom w:val="none" w:sz="0" w:space="0" w:color="auto"/>
                        <w:right w:val="none" w:sz="0" w:space="0" w:color="auto"/>
                      </w:divBdr>
                    </w:div>
                    <w:div w:id="2026515526">
                      <w:marLeft w:val="0"/>
                      <w:marRight w:val="0"/>
                      <w:marTop w:val="0"/>
                      <w:marBottom w:val="0"/>
                      <w:divBdr>
                        <w:top w:val="none" w:sz="0" w:space="0" w:color="auto"/>
                        <w:left w:val="none" w:sz="0" w:space="0" w:color="auto"/>
                        <w:bottom w:val="none" w:sz="0" w:space="0" w:color="auto"/>
                        <w:right w:val="none" w:sz="0" w:space="0" w:color="auto"/>
                      </w:divBdr>
                    </w:div>
                  </w:divsChild>
                </w:div>
                <w:div w:id="800223661">
                  <w:marLeft w:val="0"/>
                  <w:marRight w:val="0"/>
                  <w:marTop w:val="0"/>
                  <w:marBottom w:val="0"/>
                  <w:divBdr>
                    <w:top w:val="none" w:sz="0" w:space="0" w:color="auto"/>
                    <w:left w:val="none" w:sz="0" w:space="0" w:color="auto"/>
                    <w:bottom w:val="none" w:sz="0" w:space="0" w:color="auto"/>
                    <w:right w:val="none" w:sz="0" w:space="0" w:color="auto"/>
                  </w:divBdr>
                  <w:divsChild>
                    <w:div w:id="19019297">
                      <w:marLeft w:val="0"/>
                      <w:marRight w:val="0"/>
                      <w:marTop w:val="0"/>
                      <w:marBottom w:val="0"/>
                      <w:divBdr>
                        <w:top w:val="none" w:sz="0" w:space="0" w:color="auto"/>
                        <w:left w:val="none" w:sz="0" w:space="0" w:color="auto"/>
                        <w:bottom w:val="none" w:sz="0" w:space="0" w:color="auto"/>
                        <w:right w:val="none" w:sz="0" w:space="0" w:color="auto"/>
                      </w:divBdr>
                    </w:div>
                    <w:div w:id="337079058">
                      <w:marLeft w:val="0"/>
                      <w:marRight w:val="0"/>
                      <w:marTop w:val="0"/>
                      <w:marBottom w:val="0"/>
                      <w:divBdr>
                        <w:top w:val="none" w:sz="0" w:space="0" w:color="auto"/>
                        <w:left w:val="none" w:sz="0" w:space="0" w:color="auto"/>
                        <w:bottom w:val="none" w:sz="0" w:space="0" w:color="auto"/>
                        <w:right w:val="none" w:sz="0" w:space="0" w:color="auto"/>
                      </w:divBdr>
                    </w:div>
                    <w:div w:id="550313310">
                      <w:marLeft w:val="0"/>
                      <w:marRight w:val="0"/>
                      <w:marTop w:val="0"/>
                      <w:marBottom w:val="0"/>
                      <w:divBdr>
                        <w:top w:val="none" w:sz="0" w:space="0" w:color="auto"/>
                        <w:left w:val="none" w:sz="0" w:space="0" w:color="auto"/>
                        <w:bottom w:val="none" w:sz="0" w:space="0" w:color="auto"/>
                        <w:right w:val="none" w:sz="0" w:space="0" w:color="auto"/>
                      </w:divBdr>
                    </w:div>
                    <w:div w:id="826672118">
                      <w:marLeft w:val="0"/>
                      <w:marRight w:val="0"/>
                      <w:marTop w:val="0"/>
                      <w:marBottom w:val="0"/>
                      <w:divBdr>
                        <w:top w:val="none" w:sz="0" w:space="0" w:color="auto"/>
                        <w:left w:val="none" w:sz="0" w:space="0" w:color="auto"/>
                        <w:bottom w:val="none" w:sz="0" w:space="0" w:color="auto"/>
                        <w:right w:val="none" w:sz="0" w:space="0" w:color="auto"/>
                      </w:divBdr>
                    </w:div>
                    <w:div w:id="1823690937">
                      <w:marLeft w:val="0"/>
                      <w:marRight w:val="0"/>
                      <w:marTop w:val="0"/>
                      <w:marBottom w:val="0"/>
                      <w:divBdr>
                        <w:top w:val="none" w:sz="0" w:space="0" w:color="auto"/>
                        <w:left w:val="none" w:sz="0" w:space="0" w:color="auto"/>
                        <w:bottom w:val="none" w:sz="0" w:space="0" w:color="auto"/>
                        <w:right w:val="none" w:sz="0" w:space="0" w:color="auto"/>
                      </w:divBdr>
                    </w:div>
                  </w:divsChild>
                </w:div>
                <w:div w:id="978614122">
                  <w:marLeft w:val="0"/>
                  <w:marRight w:val="0"/>
                  <w:marTop w:val="0"/>
                  <w:marBottom w:val="0"/>
                  <w:divBdr>
                    <w:top w:val="none" w:sz="0" w:space="0" w:color="auto"/>
                    <w:left w:val="none" w:sz="0" w:space="0" w:color="auto"/>
                    <w:bottom w:val="none" w:sz="0" w:space="0" w:color="auto"/>
                    <w:right w:val="none" w:sz="0" w:space="0" w:color="auto"/>
                  </w:divBdr>
                  <w:divsChild>
                    <w:div w:id="166948680">
                      <w:marLeft w:val="0"/>
                      <w:marRight w:val="0"/>
                      <w:marTop w:val="0"/>
                      <w:marBottom w:val="0"/>
                      <w:divBdr>
                        <w:top w:val="none" w:sz="0" w:space="0" w:color="auto"/>
                        <w:left w:val="none" w:sz="0" w:space="0" w:color="auto"/>
                        <w:bottom w:val="none" w:sz="0" w:space="0" w:color="auto"/>
                        <w:right w:val="none" w:sz="0" w:space="0" w:color="auto"/>
                      </w:divBdr>
                    </w:div>
                  </w:divsChild>
                </w:div>
                <w:div w:id="1047875754">
                  <w:marLeft w:val="0"/>
                  <w:marRight w:val="0"/>
                  <w:marTop w:val="0"/>
                  <w:marBottom w:val="0"/>
                  <w:divBdr>
                    <w:top w:val="none" w:sz="0" w:space="0" w:color="auto"/>
                    <w:left w:val="none" w:sz="0" w:space="0" w:color="auto"/>
                    <w:bottom w:val="none" w:sz="0" w:space="0" w:color="auto"/>
                    <w:right w:val="none" w:sz="0" w:space="0" w:color="auto"/>
                  </w:divBdr>
                  <w:divsChild>
                    <w:div w:id="1644775898">
                      <w:marLeft w:val="0"/>
                      <w:marRight w:val="0"/>
                      <w:marTop w:val="0"/>
                      <w:marBottom w:val="0"/>
                      <w:divBdr>
                        <w:top w:val="none" w:sz="0" w:space="0" w:color="auto"/>
                        <w:left w:val="none" w:sz="0" w:space="0" w:color="auto"/>
                        <w:bottom w:val="none" w:sz="0" w:space="0" w:color="auto"/>
                        <w:right w:val="none" w:sz="0" w:space="0" w:color="auto"/>
                      </w:divBdr>
                    </w:div>
                  </w:divsChild>
                </w:div>
                <w:div w:id="1067150908">
                  <w:marLeft w:val="0"/>
                  <w:marRight w:val="0"/>
                  <w:marTop w:val="0"/>
                  <w:marBottom w:val="0"/>
                  <w:divBdr>
                    <w:top w:val="none" w:sz="0" w:space="0" w:color="auto"/>
                    <w:left w:val="none" w:sz="0" w:space="0" w:color="auto"/>
                    <w:bottom w:val="none" w:sz="0" w:space="0" w:color="auto"/>
                    <w:right w:val="none" w:sz="0" w:space="0" w:color="auto"/>
                  </w:divBdr>
                  <w:divsChild>
                    <w:div w:id="1513497327">
                      <w:marLeft w:val="0"/>
                      <w:marRight w:val="0"/>
                      <w:marTop w:val="0"/>
                      <w:marBottom w:val="0"/>
                      <w:divBdr>
                        <w:top w:val="none" w:sz="0" w:space="0" w:color="auto"/>
                        <w:left w:val="none" w:sz="0" w:space="0" w:color="auto"/>
                        <w:bottom w:val="none" w:sz="0" w:space="0" w:color="auto"/>
                        <w:right w:val="none" w:sz="0" w:space="0" w:color="auto"/>
                      </w:divBdr>
                    </w:div>
                  </w:divsChild>
                </w:div>
                <w:div w:id="1088964792">
                  <w:marLeft w:val="0"/>
                  <w:marRight w:val="0"/>
                  <w:marTop w:val="0"/>
                  <w:marBottom w:val="0"/>
                  <w:divBdr>
                    <w:top w:val="none" w:sz="0" w:space="0" w:color="auto"/>
                    <w:left w:val="none" w:sz="0" w:space="0" w:color="auto"/>
                    <w:bottom w:val="none" w:sz="0" w:space="0" w:color="auto"/>
                    <w:right w:val="none" w:sz="0" w:space="0" w:color="auto"/>
                  </w:divBdr>
                  <w:divsChild>
                    <w:div w:id="2062943477">
                      <w:marLeft w:val="0"/>
                      <w:marRight w:val="0"/>
                      <w:marTop w:val="0"/>
                      <w:marBottom w:val="0"/>
                      <w:divBdr>
                        <w:top w:val="none" w:sz="0" w:space="0" w:color="auto"/>
                        <w:left w:val="none" w:sz="0" w:space="0" w:color="auto"/>
                        <w:bottom w:val="none" w:sz="0" w:space="0" w:color="auto"/>
                        <w:right w:val="none" w:sz="0" w:space="0" w:color="auto"/>
                      </w:divBdr>
                    </w:div>
                  </w:divsChild>
                </w:div>
                <w:div w:id="1212574273">
                  <w:marLeft w:val="0"/>
                  <w:marRight w:val="0"/>
                  <w:marTop w:val="0"/>
                  <w:marBottom w:val="0"/>
                  <w:divBdr>
                    <w:top w:val="none" w:sz="0" w:space="0" w:color="auto"/>
                    <w:left w:val="none" w:sz="0" w:space="0" w:color="auto"/>
                    <w:bottom w:val="none" w:sz="0" w:space="0" w:color="auto"/>
                    <w:right w:val="none" w:sz="0" w:space="0" w:color="auto"/>
                  </w:divBdr>
                  <w:divsChild>
                    <w:div w:id="1137259098">
                      <w:marLeft w:val="0"/>
                      <w:marRight w:val="0"/>
                      <w:marTop w:val="0"/>
                      <w:marBottom w:val="0"/>
                      <w:divBdr>
                        <w:top w:val="none" w:sz="0" w:space="0" w:color="auto"/>
                        <w:left w:val="none" w:sz="0" w:space="0" w:color="auto"/>
                        <w:bottom w:val="none" w:sz="0" w:space="0" w:color="auto"/>
                        <w:right w:val="none" w:sz="0" w:space="0" w:color="auto"/>
                      </w:divBdr>
                    </w:div>
                  </w:divsChild>
                </w:div>
                <w:div w:id="1251624672">
                  <w:marLeft w:val="0"/>
                  <w:marRight w:val="0"/>
                  <w:marTop w:val="0"/>
                  <w:marBottom w:val="0"/>
                  <w:divBdr>
                    <w:top w:val="none" w:sz="0" w:space="0" w:color="auto"/>
                    <w:left w:val="none" w:sz="0" w:space="0" w:color="auto"/>
                    <w:bottom w:val="none" w:sz="0" w:space="0" w:color="auto"/>
                    <w:right w:val="none" w:sz="0" w:space="0" w:color="auto"/>
                  </w:divBdr>
                  <w:divsChild>
                    <w:div w:id="866527710">
                      <w:marLeft w:val="0"/>
                      <w:marRight w:val="0"/>
                      <w:marTop w:val="0"/>
                      <w:marBottom w:val="0"/>
                      <w:divBdr>
                        <w:top w:val="none" w:sz="0" w:space="0" w:color="auto"/>
                        <w:left w:val="none" w:sz="0" w:space="0" w:color="auto"/>
                        <w:bottom w:val="none" w:sz="0" w:space="0" w:color="auto"/>
                        <w:right w:val="none" w:sz="0" w:space="0" w:color="auto"/>
                      </w:divBdr>
                    </w:div>
                  </w:divsChild>
                </w:div>
                <w:div w:id="1586452011">
                  <w:marLeft w:val="0"/>
                  <w:marRight w:val="0"/>
                  <w:marTop w:val="0"/>
                  <w:marBottom w:val="0"/>
                  <w:divBdr>
                    <w:top w:val="none" w:sz="0" w:space="0" w:color="auto"/>
                    <w:left w:val="none" w:sz="0" w:space="0" w:color="auto"/>
                    <w:bottom w:val="none" w:sz="0" w:space="0" w:color="auto"/>
                    <w:right w:val="none" w:sz="0" w:space="0" w:color="auto"/>
                  </w:divBdr>
                  <w:divsChild>
                    <w:div w:id="527182330">
                      <w:marLeft w:val="0"/>
                      <w:marRight w:val="0"/>
                      <w:marTop w:val="0"/>
                      <w:marBottom w:val="0"/>
                      <w:divBdr>
                        <w:top w:val="none" w:sz="0" w:space="0" w:color="auto"/>
                        <w:left w:val="none" w:sz="0" w:space="0" w:color="auto"/>
                        <w:bottom w:val="none" w:sz="0" w:space="0" w:color="auto"/>
                        <w:right w:val="none" w:sz="0" w:space="0" w:color="auto"/>
                      </w:divBdr>
                    </w:div>
                  </w:divsChild>
                </w:div>
                <w:div w:id="1607612310">
                  <w:marLeft w:val="0"/>
                  <w:marRight w:val="0"/>
                  <w:marTop w:val="0"/>
                  <w:marBottom w:val="0"/>
                  <w:divBdr>
                    <w:top w:val="none" w:sz="0" w:space="0" w:color="auto"/>
                    <w:left w:val="none" w:sz="0" w:space="0" w:color="auto"/>
                    <w:bottom w:val="none" w:sz="0" w:space="0" w:color="auto"/>
                    <w:right w:val="none" w:sz="0" w:space="0" w:color="auto"/>
                  </w:divBdr>
                  <w:divsChild>
                    <w:div w:id="513882258">
                      <w:marLeft w:val="0"/>
                      <w:marRight w:val="0"/>
                      <w:marTop w:val="0"/>
                      <w:marBottom w:val="0"/>
                      <w:divBdr>
                        <w:top w:val="none" w:sz="0" w:space="0" w:color="auto"/>
                        <w:left w:val="none" w:sz="0" w:space="0" w:color="auto"/>
                        <w:bottom w:val="none" w:sz="0" w:space="0" w:color="auto"/>
                        <w:right w:val="none" w:sz="0" w:space="0" w:color="auto"/>
                      </w:divBdr>
                    </w:div>
                  </w:divsChild>
                </w:div>
                <w:div w:id="1829054603">
                  <w:marLeft w:val="0"/>
                  <w:marRight w:val="0"/>
                  <w:marTop w:val="0"/>
                  <w:marBottom w:val="0"/>
                  <w:divBdr>
                    <w:top w:val="none" w:sz="0" w:space="0" w:color="auto"/>
                    <w:left w:val="none" w:sz="0" w:space="0" w:color="auto"/>
                    <w:bottom w:val="none" w:sz="0" w:space="0" w:color="auto"/>
                    <w:right w:val="none" w:sz="0" w:space="0" w:color="auto"/>
                  </w:divBdr>
                  <w:divsChild>
                    <w:div w:id="531576912">
                      <w:marLeft w:val="0"/>
                      <w:marRight w:val="0"/>
                      <w:marTop w:val="0"/>
                      <w:marBottom w:val="0"/>
                      <w:divBdr>
                        <w:top w:val="none" w:sz="0" w:space="0" w:color="auto"/>
                        <w:left w:val="none" w:sz="0" w:space="0" w:color="auto"/>
                        <w:bottom w:val="none" w:sz="0" w:space="0" w:color="auto"/>
                        <w:right w:val="none" w:sz="0" w:space="0" w:color="auto"/>
                      </w:divBdr>
                    </w:div>
                  </w:divsChild>
                </w:div>
                <w:div w:id="1944729183">
                  <w:marLeft w:val="0"/>
                  <w:marRight w:val="0"/>
                  <w:marTop w:val="0"/>
                  <w:marBottom w:val="0"/>
                  <w:divBdr>
                    <w:top w:val="none" w:sz="0" w:space="0" w:color="auto"/>
                    <w:left w:val="none" w:sz="0" w:space="0" w:color="auto"/>
                    <w:bottom w:val="none" w:sz="0" w:space="0" w:color="auto"/>
                    <w:right w:val="none" w:sz="0" w:space="0" w:color="auto"/>
                  </w:divBdr>
                  <w:divsChild>
                    <w:div w:id="17521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247986">
          <w:marLeft w:val="0"/>
          <w:marRight w:val="0"/>
          <w:marTop w:val="0"/>
          <w:marBottom w:val="0"/>
          <w:divBdr>
            <w:top w:val="none" w:sz="0" w:space="0" w:color="auto"/>
            <w:left w:val="none" w:sz="0" w:space="0" w:color="auto"/>
            <w:bottom w:val="none" w:sz="0" w:space="0" w:color="auto"/>
            <w:right w:val="none" w:sz="0" w:space="0" w:color="auto"/>
          </w:divBdr>
        </w:div>
        <w:div w:id="923339677">
          <w:marLeft w:val="0"/>
          <w:marRight w:val="0"/>
          <w:marTop w:val="0"/>
          <w:marBottom w:val="0"/>
          <w:divBdr>
            <w:top w:val="none" w:sz="0" w:space="0" w:color="auto"/>
            <w:left w:val="none" w:sz="0" w:space="0" w:color="auto"/>
            <w:bottom w:val="none" w:sz="0" w:space="0" w:color="auto"/>
            <w:right w:val="none" w:sz="0" w:space="0" w:color="auto"/>
          </w:divBdr>
        </w:div>
        <w:div w:id="972637603">
          <w:marLeft w:val="0"/>
          <w:marRight w:val="0"/>
          <w:marTop w:val="0"/>
          <w:marBottom w:val="0"/>
          <w:divBdr>
            <w:top w:val="none" w:sz="0" w:space="0" w:color="auto"/>
            <w:left w:val="none" w:sz="0" w:space="0" w:color="auto"/>
            <w:bottom w:val="none" w:sz="0" w:space="0" w:color="auto"/>
            <w:right w:val="none" w:sz="0" w:space="0" w:color="auto"/>
          </w:divBdr>
        </w:div>
        <w:div w:id="1043946520">
          <w:marLeft w:val="0"/>
          <w:marRight w:val="0"/>
          <w:marTop w:val="0"/>
          <w:marBottom w:val="0"/>
          <w:divBdr>
            <w:top w:val="none" w:sz="0" w:space="0" w:color="auto"/>
            <w:left w:val="none" w:sz="0" w:space="0" w:color="auto"/>
            <w:bottom w:val="none" w:sz="0" w:space="0" w:color="auto"/>
            <w:right w:val="none" w:sz="0" w:space="0" w:color="auto"/>
          </w:divBdr>
        </w:div>
        <w:div w:id="1180779333">
          <w:marLeft w:val="0"/>
          <w:marRight w:val="0"/>
          <w:marTop w:val="0"/>
          <w:marBottom w:val="0"/>
          <w:divBdr>
            <w:top w:val="none" w:sz="0" w:space="0" w:color="auto"/>
            <w:left w:val="none" w:sz="0" w:space="0" w:color="auto"/>
            <w:bottom w:val="none" w:sz="0" w:space="0" w:color="auto"/>
            <w:right w:val="none" w:sz="0" w:space="0" w:color="auto"/>
          </w:divBdr>
          <w:divsChild>
            <w:div w:id="137459556">
              <w:marLeft w:val="0"/>
              <w:marRight w:val="0"/>
              <w:marTop w:val="0"/>
              <w:marBottom w:val="0"/>
              <w:divBdr>
                <w:top w:val="none" w:sz="0" w:space="0" w:color="auto"/>
                <w:left w:val="none" w:sz="0" w:space="0" w:color="auto"/>
                <w:bottom w:val="none" w:sz="0" w:space="0" w:color="auto"/>
                <w:right w:val="none" w:sz="0" w:space="0" w:color="auto"/>
              </w:divBdr>
            </w:div>
            <w:div w:id="240719594">
              <w:marLeft w:val="0"/>
              <w:marRight w:val="0"/>
              <w:marTop w:val="0"/>
              <w:marBottom w:val="0"/>
              <w:divBdr>
                <w:top w:val="none" w:sz="0" w:space="0" w:color="auto"/>
                <w:left w:val="none" w:sz="0" w:space="0" w:color="auto"/>
                <w:bottom w:val="none" w:sz="0" w:space="0" w:color="auto"/>
                <w:right w:val="none" w:sz="0" w:space="0" w:color="auto"/>
              </w:divBdr>
            </w:div>
            <w:div w:id="260115778">
              <w:marLeft w:val="0"/>
              <w:marRight w:val="0"/>
              <w:marTop w:val="0"/>
              <w:marBottom w:val="0"/>
              <w:divBdr>
                <w:top w:val="none" w:sz="0" w:space="0" w:color="auto"/>
                <w:left w:val="none" w:sz="0" w:space="0" w:color="auto"/>
                <w:bottom w:val="none" w:sz="0" w:space="0" w:color="auto"/>
                <w:right w:val="none" w:sz="0" w:space="0" w:color="auto"/>
              </w:divBdr>
            </w:div>
            <w:div w:id="306589114">
              <w:marLeft w:val="0"/>
              <w:marRight w:val="0"/>
              <w:marTop w:val="0"/>
              <w:marBottom w:val="0"/>
              <w:divBdr>
                <w:top w:val="none" w:sz="0" w:space="0" w:color="auto"/>
                <w:left w:val="none" w:sz="0" w:space="0" w:color="auto"/>
                <w:bottom w:val="none" w:sz="0" w:space="0" w:color="auto"/>
                <w:right w:val="none" w:sz="0" w:space="0" w:color="auto"/>
              </w:divBdr>
            </w:div>
            <w:div w:id="348916563">
              <w:marLeft w:val="0"/>
              <w:marRight w:val="0"/>
              <w:marTop w:val="0"/>
              <w:marBottom w:val="0"/>
              <w:divBdr>
                <w:top w:val="none" w:sz="0" w:space="0" w:color="auto"/>
                <w:left w:val="none" w:sz="0" w:space="0" w:color="auto"/>
                <w:bottom w:val="none" w:sz="0" w:space="0" w:color="auto"/>
                <w:right w:val="none" w:sz="0" w:space="0" w:color="auto"/>
              </w:divBdr>
            </w:div>
            <w:div w:id="362901194">
              <w:marLeft w:val="0"/>
              <w:marRight w:val="0"/>
              <w:marTop w:val="0"/>
              <w:marBottom w:val="0"/>
              <w:divBdr>
                <w:top w:val="none" w:sz="0" w:space="0" w:color="auto"/>
                <w:left w:val="none" w:sz="0" w:space="0" w:color="auto"/>
                <w:bottom w:val="none" w:sz="0" w:space="0" w:color="auto"/>
                <w:right w:val="none" w:sz="0" w:space="0" w:color="auto"/>
              </w:divBdr>
            </w:div>
            <w:div w:id="417404682">
              <w:marLeft w:val="0"/>
              <w:marRight w:val="0"/>
              <w:marTop w:val="0"/>
              <w:marBottom w:val="0"/>
              <w:divBdr>
                <w:top w:val="none" w:sz="0" w:space="0" w:color="auto"/>
                <w:left w:val="none" w:sz="0" w:space="0" w:color="auto"/>
                <w:bottom w:val="none" w:sz="0" w:space="0" w:color="auto"/>
                <w:right w:val="none" w:sz="0" w:space="0" w:color="auto"/>
              </w:divBdr>
            </w:div>
            <w:div w:id="480925946">
              <w:marLeft w:val="0"/>
              <w:marRight w:val="0"/>
              <w:marTop w:val="0"/>
              <w:marBottom w:val="0"/>
              <w:divBdr>
                <w:top w:val="none" w:sz="0" w:space="0" w:color="auto"/>
                <w:left w:val="none" w:sz="0" w:space="0" w:color="auto"/>
                <w:bottom w:val="none" w:sz="0" w:space="0" w:color="auto"/>
                <w:right w:val="none" w:sz="0" w:space="0" w:color="auto"/>
              </w:divBdr>
            </w:div>
            <w:div w:id="564336674">
              <w:marLeft w:val="0"/>
              <w:marRight w:val="0"/>
              <w:marTop w:val="0"/>
              <w:marBottom w:val="0"/>
              <w:divBdr>
                <w:top w:val="none" w:sz="0" w:space="0" w:color="auto"/>
                <w:left w:val="none" w:sz="0" w:space="0" w:color="auto"/>
                <w:bottom w:val="none" w:sz="0" w:space="0" w:color="auto"/>
                <w:right w:val="none" w:sz="0" w:space="0" w:color="auto"/>
              </w:divBdr>
            </w:div>
            <w:div w:id="727149618">
              <w:marLeft w:val="0"/>
              <w:marRight w:val="0"/>
              <w:marTop w:val="0"/>
              <w:marBottom w:val="0"/>
              <w:divBdr>
                <w:top w:val="none" w:sz="0" w:space="0" w:color="auto"/>
                <w:left w:val="none" w:sz="0" w:space="0" w:color="auto"/>
                <w:bottom w:val="none" w:sz="0" w:space="0" w:color="auto"/>
                <w:right w:val="none" w:sz="0" w:space="0" w:color="auto"/>
              </w:divBdr>
            </w:div>
            <w:div w:id="825558454">
              <w:marLeft w:val="0"/>
              <w:marRight w:val="0"/>
              <w:marTop w:val="0"/>
              <w:marBottom w:val="0"/>
              <w:divBdr>
                <w:top w:val="none" w:sz="0" w:space="0" w:color="auto"/>
                <w:left w:val="none" w:sz="0" w:space="0" w:color="auto"/>
                <w:bottom w:val="none" w:sz="0" w:space="0" w:color="auto"/>
                <w:right w:val="none" w:sz="0" w:space="0" w:color="auto"/>
              </w:divBdr>
            </w:div>
            <w:div w:id="1053651615">
              <w:marLeft w:val="0"/>
              <w:marRight w:val="0"/>
              <w:marTop w:val="0"/>
              <w:marBottom w:val="0"/>
              <w:divBdr>
                <w:top w:val="none" w:sz="0" w:space="0" w:color="auto"/>
                <w:left w:val="none" w:sz="0" w:space="0" w:color="auto"/>
                <w:bottom w:val="none" w:sz="0" w:space="0" w:color="auto"/>
                <w:right w:val="none" w:sz="0" w:space="0" w:color="auto"/>
              </w:divBdr>
            </w:div>
            <w:div w:id="1140077575">
              <w:marLeft w:val="0"/>
              <w:marRight w:val="0"/>
              <w:marTop w:val="0"/>
              <w:marBottom w:val="0"/>
              <w:divBdr>
                <w:top w:val="none" w:sz="0" w:space="0" w:color="auto"/>
                <w:left w:val="none" w:sz="0" w:space="0" w:color="auto"/>
                <w:bottom w:val="none" w:sz="0" w:space="0" w:color="auto"/>
                <w:right w:val="none" w:sz="0" w:space="0" w:color="auto"/>
              </w:divBdr>
            </w:div>
            <w:div w:id="1288783155">
              <w:marLeft w:val="0"/>
              <w:marRight w:val="0"/>
              <w:marTop w:val="0"/>
              <w:marBottom w:val="0"/>
              <w:divBdr>
                <w:top w:val="none" w:sz="0" w:space="0" w:color="auto"/>
                <w:left w:val="none" w:sz="0" w:space="0" w:color="auto"/>
                <w:bottom w:val="none" w:sz="0" w:space="0" w:color="auto"/>
                <w:right w:val="none" w:sz="0" w:space="0" w:color="auto"/>
              </w:divBdr>
            </w:div>
            <w:div w:id="1458986994">
              <w:marLeft w:val="0"/>
              <w:marRight w:val="0"/>
              <w:marTop w:val="0"/>
              <w:marBottom w:val="0"/>
              <w:divBdr>
                <w:top w:val="none" w:sz="0" w:space="0" w:color="auto"/>
                <w:left w:val="none" w:sz="0" w:space="0" w:color="auto"/>
                <w:bottom w:val="none" w:sz="0" w:space="0" w:color="auto"/>
                <w:right w:val="none" w:sz="0" w:space="0" w:color="auto"/>
              </w:divBdr>
            </w:div>
            <w:div w:id="1491142604">
              <w:marLeft w:val="0"/>
              <w:marRight w:val="0"/>
              <w:marTop w:val="0"/>
              <w:marBottom w:val="0"/>
              <w:divBdr>
                <w:top w:val="none" w:sz="0" w:space="0" w:color="auto"/>
                <w:left w:val="none" w:sz="0" w:space="0" w:color="auto"/>
                <w:bottom w:val="none" w:sz="0" w:space="0" w:color="auto"/>
                <w:right w:val="none" w:sz="0" w:space="0" w:color="auto"/>
              </w:divBdr>
            </w:div>
            <w:div w:id="1782341424">
              <w:marLeft w:val="0"/>
              <w:marRight w:val="0"/>
              <w:marTop w:val="0"/>
              <w:marBottom w:val="0"/>
              <w:divBdr>
                <w:top w:val="none" w:sz="0" w:space="0" w:color="auto"/>
                <w:left w:val="none" w:sz="0" w:space="0" w:color="auto"/>
                <w:bottom w:val="none" w:sz="0" w:space="0" w:color="auto"/>
                <w:right w:val="none" w:sz="0" w:space="0" w:color="auto"/>
              </w:divBdr>
            </w:div>
            <w:div w:id="1834830064">
              <w:marLeft w:val="0"/>
              <w:marRight w:val="0"/>
              <w:marTop w:val="0"/>
              <w:marBottom w:val="0"/>
              <w:divBdr>
                <w:top w:val="none" w:sz="0" w:space="0" w:color="auto"/>
                <w:left w:val="none" w:sz="0" w:space="0" w:color="auto"/>
                <w:bottom w:val="none" w:sz="0" w:space="0" w:color="auto"/>
                <w:right w:val="none" w:sz="0" w:space="0" w:color="auto"/>
              </w:divBdr>
            </w:div>
            <w:div w:id="1962223247">
              <w:marLeft w:val="0"/>
              <w:marRight w:val="0"/>
              <w:marTop w:val="0"/>
              <w:marBottom w:val="0"/>
              <w:divBdr>
                <w:top w:val="none" w:sz="0" w:space="0" w:color="auto"/>
                <w:left w:val="none" w:sz="0" w:space="0" w:color="auto"/>
                <w:bottom w:val="none" w:sz="0" w:space="0" w:color="auto"/>
                <w:right w:val="none" w:sz="0" w:space="0" w:color="auto"/>
              </w:divBdr>
            </w:div>
            <w:div w:id="1986203091">
              <w:marLeft w:val="0"/>
              <w:marRight w:val="0"/>
              <w:marTop w:val="0"/>
              <w:marBottom w:val="0"/>
              <w:divBdr>
                <w:top w:val="none" w:sz="0" w:space="0" w:color="auto"/>
                <w:left w:val="none" w:sz="0" w:space="0" w:color="auto"/>
                <w:bottom w:val="none" w:sz="0" w:space="0" w:color="auto"/>
                <w:right w:val="none" w:sz="0" w:space="0" w:color="auto"/>
              </w:divBdr>
            </w:div>
          </w:divsChild>
        </w:div>
        <w:div w:id="1233585102">
          <w:marLeft w:val="0"/>
          <w:marRight w:val="0"/>
          <w:marTop w:val="0"/>
          <w:marBottom w:val="0"/>
          <w:divBdr>
            <w:top w:val="none" w:sz="0" w:space="0" w:color="auto"/>
            <w:left w:val="none" w:sz="0" w:space="0" w:color="auto"/>
            <w:bottom w:val="none" w:sz="0" w:space="0" w:color="auto"/>
            <w:right w:val="none" w:sz="0" w:space="0" w:color="auto"/>
          </w:divBdr>
          <w:divsChild>
            <w:div w:id="225917487">
              <w:marLeft w:val="0"/>
              <w:marRight w:val="0"/>
              <w:marTop w:val="0"/>
              <w:marBottom w:val="0"/>
              <w:divBdr>
                <w:top w:val="none" w:sz="0" w:space="0" w:color="auto"/>
                <w:left w:val="none" w:sz="0" w:space="0" w:color="auto"/>
                <w:bottom w:val="none" w:sz="0" w:space="0" w:color="auto"/>
                <w:right w:val="none" w:sz="0" w:space="0" w:color="auto"/>
              </w:divBdr>
            </w:div>
            <w:div w:id="287245365">
              <w:marLeft w:val="0"/>
              <w:marRight w:val="0"/>
              <w:marTop w:val="0"/>
              <w:marBottom w:val="0"/>
              <w:divBdr>
                <w:top w:val="none" w:sz="0" w:space="0" w:color="auto"/>
                <w:left w:val="none" w:sz="0" w:space="0" w:color="auto"/>
                <w:bottom w:val="none" w:sz="0" w:space="0" w:color="auto"/>
                <w:right w:val="none" w:sz="0" w:space="0" w:color="auto"/>
              </w:divBdr>
            </w:div>
            <w:div w:id="325977719">
              <w:marLeft w:val="0"/>
              <w:marRight w:val="0"/>
              <w:marTop w:val="0"/>
              <w:marBottom w:val="0"/>
              <w:divBdr>
                <w:top w:val="none" w:sz="0" w:space="0" w:color="auto"/>
                <w:left w:val="none" w:sz="0" w:space="0" w:color="auto"/>
                <w:bottom w:val="none" w:sz="0" w:space="0" w:color="auto"/>
                <w:right w:val="none" w:sz="0" w:space="0" w:color="auto"/>
              </w:divBdr>
            </w:div>
            <w:div w:id="570192042">
              <w:marLeft w:val="0"/>
              <w:marRight w:val="0"/>
              <w:marTop w:val="0"/>
              <w:marBottom w:val="0"/>
              <w:divBdr>
                <w:top w:val="none" w:sz="0" w:space="0" w:color="auto"/>
                <w:left w:val="none" w:sz="0" w:space="0" w:color="auto"/>
                <w:bottom w:val="none" w:sz="0" w:space="0" w:color="auto"/>
                <w:right w:val="none" w:sz="0" w:space="0" w:color="auto"/>
              </w:divBdr>
            </w:div>
            <w:div w:id="627708652">
              <w:marLeft w:val="0"/>
              <w:marRight w:val="0"/>
              <w:marTop w:val="0"/>
              <w:marBottom w:val="0"/>
              <w:divBdr>
                <w:top w:val="none" w:sz="0" w:space="0" w:color="auto"/>
                <w:left w:val="none" w:sz="0" w:space="0" w:color="auto"/>
                <w:bottom w:val="none" w:sz="0" w:space="0" w:color="auto"/>
                <w:right w:val="none" w:sz="0" w:space="0" w:color="auto"/>
              </w:divBdr>
            </w:div>
            <w:div w:id="873618897">
              <w:marLeft w:val="0"/>
              <w:marRight w:val="0"/>
              <w:marTop w:val="0"/>
              <w:marBottom w:val="0"/>
              <w:divBdr>
                <w:top w:val="none" w:sz="0" w:space="0" w:color="auto"/>
                <w:left w:val="none" w:sz="0" w:space="0" w:color="auto"/>
                <w:bottom w:val="none" w:sz="0" w:space="0" w:color="auto"/>
                <w:right w:val="none" w:sz="0" w:space="0" w:color="auto"/>
              </w:divBdr>
            </w:div>
            <w:div w:id="952202002">
              <w:marLeft w:val="0"/>
              <w:marRight w:val="0"/>
              <w:marTop w:val="0"/>
              <w:marBottom w:val="0"/>
              <w:divBdr>
                <w:top w:val="none" w:sz="0" w:space="0" w:color="auto"/>
                <w:left w:val="none" w:sz="0" w:space="0" w:color="auto"/>
                <w:bottom w:val="none" w:sz="0" w:space="0" w:color="auto"/>
                <w:right w:val="none" w:sz="0" w:space="0" w:color="auto"/>
              </w:divBdr>
            </w:div>
            <w:div w:id="1024018012">
              <w:marLeft w:val="0"/>
              <w:marRight w:val="0"/>
              <w:marTop w:val="0"/>
              <w:marBottom w:val="0"/>
              <w:divBdr>
                <w:top w:val="none" w:sz="0" w:space="0" w:color="auto"/>
                <w:left w:val="none" w:sz="0" w:space="0" w:color="auto"/>
                <w:bottom w:val="none" w:sz="0" w:space="0" w:color="auto"/>
                <w:right w:val="none" w:sz="0" w:space="0" w:color="auto"/>
              </w:divBdr>
            </w:div>
            <w:div w:id="1107239266">
              <w:marLeft w:val="0"/>
              <w:marRight w:val="0"/>
              <w:marTop w:val="0"/>
              <w:marBottom w:val="0"/>
              <w:divBdr>
                <w:top w:val="none" w:sz="0" w:space="0" w:color="auto"/>
                <w:left w:val="none" w:sz="0" w:space="0" w:color="auto"/>
                <w:bottom w:val="none" w:sz="0" w:space="0" w:color="auto"/>
                <w:right w:val="none" w:sz="0" w:space="0" w:color="auto"/>
              </w:divBdr>
            </w:div>
            <w:div w:id="1122725232">
              <w:marLeft w:val="0"/>
              <w:marRight w:val="0"/>
              <w:marTop w:val="0"/>
              <w:marBottom w:val="0"/>
              <w:divBdr>
                <w:top w:val="none" w:sz="0" w:space="0" w:color="auto"/>
                <w:left w:val="none" w:sz="0" w:space="0" w:color="auto"/>
                <w:bottom w:val="none" w:sz="0" w:space="0" w:color="auto"/>
                <w:right w:val="none" w:sz="0" w:space="0" w:color="auto"/>
              </w:divBdr>
            </w:div>
            <w:div w:id="1364861134">
              <w:marLeft w:val="0"/>
              <w:marRight w:val="0"/>
              <w:marTop w:val="0"/>
              <w:marBottom w:val="0"/>
              <w:divBdr>
                <w:top w:val="none" w:sz="0" w:space="0" w:color="auto"/>
                <w:left w:val="none" w:sz="0" w:space="0" w:color="auto"/>
                <w:bottom w:val="none" w:sz="0" w:space="0" w:color="auto"/>
                <w:right w:val="none" w:sz="0" w:space="0" w:color="auto"/>
              </w:divBdr>
            </w:div>
            <w:div w:id="1596474266">
              <w:marLeft w:val="0"/>
              <w:marRight w:val="0"/>
              <w:marTop w:val="0"/>
              <w:marBottom w:val="0"/>
              <w:divBdr>
                <w:top w:val="none" w:sz="0" w:space="0" w:color="auto"/>
                <w:left w:val="none" w:sz="0" w:space="0" w:color="auto"/>
                <w:bottom w:val="none" w:sz="0" w:space="0" w:color="auto"/>
                <w:right w:val="none" w:sz="0" w:space="0" w:color="auto"/>
              </w:divBdr>
            </w:div>
            <w:div w:id="1596553242">
              <w:marLeft w:val="0"/>
              <w:marRight w:val="0"/>
              <w:marTop w:val="0"/>
              <w:marBottom w:val="0"/>
              <w:divBdr>
                <w:top w:val="none" w:sz="0" w:space="0" w:color="auto"/>
                <w:left w:val="none" w:sz="0" w:space="0" w:color="auto"/>
                <w:bottom w:val="none" w:sz="0" w:space="0" w:color="auto"/>
                <w:right w:val="none" w:sz="0" w:space="0" w:color="auto"/>
              </w:divBdr>
            </w:div>
            <w:div w:id="1618677339">
              <w:marLeft w:val="0"/>
              <w:marRight w:val="0"/>
              <w:marTop w:val="0"/>
              <w:marBottom w:val="0"/>
              <w:divBdr>
                <w:top w:val="none" w:sz="0" w:space="0" w:color="auto"/>
                <w:left w:val="none" w:sz="0" w:space="0" w:color="auto"/>
                <w:bottom w:val="none" w:sz="0" w:space="0" w:color="auto"/>
                <w:right w:val="none" w:sz="0" w:space="0" w:color="auto"/>
              </w:divBdr>
            </w:div>
            <w:div w:id="1734038480">
              <w:marLeft w:val="0"/>
              <w:marRight w:val="0"/>
              <w:marTop w:val="0"/>
              <w:marBottom w:val="0"/>
              <w:divBdr>
                <w:top w:val="none" w:sz="0" w:space="0" w:color="auto"/>
                <w:left w:val="none" w:sz="0" w:space="0" w:color="auto"/>
                <w:bottom w:val="none" w:sz="0" w:space="0" w:color="auto"/>
                <w:right w:val="none" w:sz="0" w:space="0" w:color="auto"/>
              </w:divBdr>
            </w:div>
            <w:div w:id="1794253049">
              <w:marLeft w:val="0"/>
              <w:marRight w:val="0"/>
              <w:marTop w:val="0"/>
              <w:marBottom w:val="0"/>
              <w:divBdr>
                <w:top w:val="none" w:sz="0" w:space="0" w:color="auto"/>
                <w:left w:val="none" w:sz="0" w:space="0" w:color="auto"/>
                <w:bottom w:val="none" w:sz="0" w:space="0" w:color="auto"/>
                <w:right w:val="none" w:sz="0" w:space="0" w:color="auto"/>
              </w:divBdr>
            </w:div>
            <w:div w:id="1868761558">
              <w:marLeft w:val="0"/>
              <w:marRight w:val="0"/>
              <w:marTop w:val="0"/>
              <w:marBottom w:val="0"/>
              <w:divBdr>
                <w:top w:val="none" w:sz="0" w:space="0" w:color="auto"/>
                <w:left w:val="none" w:sz="0" w:space="0" w:color="auto"/>
                <w:bottom w:val="none" w:sz="0" w:space="0" w:color="auto"/>
                <w:right w:val="none" w:sz="0" w:space="0" w:color="auto"/>
              </w:divBdr>
            </w:div>
            <w:div w:id="1875773458">
              <w:marLeft w:val="0"/>
              <w:marRight w:val="0"/>
              <w:marTop w:val="0"/>
              <w:marBottom w:val="0"/>
              <w:divBdr>
                <w:top w:val="none" w:sz="0" w:space="0" w:color="auto"/>
                <w:left w:val="none" w:sz="0" w:space="0" w:color="auto"/>
                <w:bottom w:val="none" w:sz="0" w:space="0" w:color="auto"/>
                <w:right w:val="none" w:sz="0" w:space="0" w:color="auto"/>
              </w:divBdr>
            </w:div>
            <w:div w:id="2025665620">
              <w:marLeft w:val="0"/>
              <w:marRight w:val="0"/>
              <w:marTop w:val="0"/>
              <w:marBottom w:val="0"/>
              <w:divBdr>
                <w:top w:val="none" w:sz="0" w:space="0" w:color="auto"/>
                <w:left w:val="none" w:sz="0" w:space="0" w:color="auto"/>
                <w:bottom w:val="none" w:sz="0" w:space="0" w:color="auto"/>
                <w:right w:val="none" w:sz="0" w:space="0" w:color="auto"/>
              </w:divBdr>
            </w:div>
          </w:divsChild>
        </w:div>
        <w:div w:id="1326472149">
          <w:marLeft w:val="0"/>
          <w:marRight w:val="0"/>
          <w:marTop w:val="0"/>
          <w:marBottom w:val="0"/>
          <w:divBdr>
            <w:top w:val="none" w:sz="0" w:space="0" w:color="auto"/>
            <w:left w:val="none" w:sz="0" w:space="0" w:color="auto"/>
            <w:bottom w:val="none" w:sz="0" w:space="0" w:color="auto"/>
            <w:right w:val="none" w:sz="0" w:space="0" w:color="auto"/>
          </w:divBdr>
          <w:divsChild>
            <w:div w:id="57827980">
              <w:marLeft w:val="0"/>
              <w:marRight w:val="0"/>
              <w:marTop w:val="0"/>
              <w:marBottom w:val="0"/>
              <w:divBdr>
                <w:top w:val="none" w:sz="0" w:space="0" w:color="auto"/>
                <w:left w:val="none" w:sz="0" w:space="0" w:color="auto"/>
                <w:bottom w:val="none" w:sz="0" w:space="0" w:color="auto"/>
                <w:right w:val="none" w:sz="0" w:space="0" w:color="auto"/>
              </w:divBdr>
            </w:div>
            <w:div w:id="250969583">
              <w:marLeft w:val="0"/>
              <w:marRight w:val="0"/>
              <w:marTop w:val="0"/>
              <w:marBottom w:val="0"/>
              <w:divBdr>
                <w:top w:val="none" w:sz="0" w:space="0" w:color="auto"/>
                <w:left w:val="none" w:sz="0" w:space="0" w:color="auto"/>
                <w:bottom w:val="none" w:sz="0" w:space="0" w:color="auto"/>
                <w:right w:val="none" w:sz="0" w:space="0" w:color="auto"/>
              </w:divBdr>
            </w:div>
            <w:div w:id="426729286">
              <w:marLeft w:val="0"/>
              <w:marRight w:val="0"/>
              <w:marTop w:val="0"/>
              <w:marBottom w:val="0"/>
              <w:divBdr>
                <w:top w:val="none" w:sz="0" w:space="0" w:color="auto"/>
                <w:left w:val="none" w:sz="0" w:space="0" w:color="auto"/>
                <w:bottom w:val="none" w:sz="0" w:space="0" w:color="auto"/>
                <w:right w:val="none" w:sz="0" w:space="0" w:color="auto"/>
              </w:divBdr>
            </w:div>
            <w:div w:id="441338393">
              <w:marLeft w:val="0"/>
              <w:marRight w:val="0"/>
              <w:marTop w:val="0"/>
              <w:marBottom w:val="0"/>
              <w:divBdr>
                <w:top w:val="none" w:sz="0" w:space="0" w:color="auto"/>
                <w:left w:val="none" w:sz="0" w:space="0" w:color="auto"/>
                <w:bottom w:val="none" w:sz="0" w:space="0" w:color="auto"/>
                <w:right w:val="none" w:sz="0" w:space="0" w:color="auto"/>
              </w:divBdr>
            </w:div>
            <w:div w:id="520121216">
              <w:marLeft w:val="0"/>
              <w:marRight w:val="0"/>
              <w:marTop w:val="0"/>
              <w:marBottom w:val="0"/>
              <w:divBdr>
                <w:top w:val="none" w:sz="0" w:space="0" w:color="auto"/>
                <w:left w:val="none" w:sz="0" w:space="0" w:color="auto"/>
                <w:bottom w:val="none" w:sz="0" w:space="0" w:color="auto"/>
                <w:right w:val="none" w:sz="0" w:space="0" w:color="auto"/>
              </w:divBdr>
            </w:div>
            <w:div w:id="548613396">
              <w:marLeft w:val="0"/>
              <w:marRight w:val="0"/>
              <w:marTop w:val="0"/>
              <w:marBottom w:val="0"/>
              <w:divBdr>
                <w:top w:val="none" w:sz="0" w:space="0" w:color="auto"/>
                <w:left w:val="none" w:sz="0" w:space="0" w:color="auto"/>
                <w:bottom w:val="none" w:sz="0" w:space="0" w:color="auto"/>
                <w:right w:val="none" w:sz="0" w:space="0" w:color="auto"/>
              </w:divBdr>
            </w:div>
            <w:div w:id="748312906">
              <w:marLeft w:val="0"/>
              <w:marRight w:val="0"/>
              <w:marTop w:val="0"/>
              <w:marBottom w:val="0"/>
              <w:divBdr>
                <w:top w:val="none" w:sz="0" w:space="0" w:color="auto"/>
                <w:left w:val="none" w:sz="0" w:space="0" w:color="auto"/>
                <w:bottom w:val="none" w:sz="0" w:space="0" w:color="auto"/>
                <w:right w:val="none" w:sz="0" w:space="0" w:color="auto"/>
              </w:divBdr>
            </w:div>
            <w:div w:id="804855378">
              <w:marLeft w:val="0"/>
              <w:marRight w:val="0"/>
              <w:marTop w:val="0"/>
              <w:marBottom w:val="0"/>
              <w:divBdr>
                <w:top w:val="none" w:sz="0" w:space="0" w:color="auto"/>
                <w:left w:val="none" w:sz="0" w:space="0" w:color="auto"/>
                <w:bottom w:val="none" w:sz="0" w:space="0" w:color="auto"/>
                <w:right w:val="none" w:sz="0" w:space="0" w:color="auto"/>
              </w:divBdr>
            </w:div>
            <w:div w:id="898397029">
              <w:marLeft w:val="0"/>
              <w:marRight w:val="0"/>
              <w:marTop w:val="0"/>
              <w:marBottom w:val="0"/>
              <w:divBdr>
                <w:top w:val="none" w:sz="0" w:space="0" w:color="auto"/>
                <w:left w:val="none" w:sz="0" w:space="0" w:color="auto"/>
                <w:bottom w:val="none" w:sz="0" w:space="0" w:color="auto"/>
                <w:right w:val="none" w:sz="0" w:space="0" w:color="auto"/>
              </w:divBdr>
            </w:div>
            <w:div w:id="1003630054">
              <w:marLeft w:val="0"/>
              <w:marRight w:val="0"/>
              <w:marTop w:val="0"/>
              <w:marBottom w:val="0"/>
              <w:divBdr>
                <w:top w:val="none" w:sz="0" w:space="0" w:color="auto"/>
                <w:left w:val="none" w:sz="0" w:space="0" w:color="auto"/>
                <w:bottom w:val="none" w:sz="0" w:space="0" w:color="auto"/>
                <w:right w:val="none" w:sz="0" w:space="0" w:color="auto"/>
              </w:divBdr>
            </w:div>
            <w:div w:id="1066494441">
              <w:marLeft w:val="0"/>
              <w:marRight w:val="0"/>
              <w:marTop w:val="0"/>
              <w:marBottom w:val="0"/>
              <w:divBdr>
                <w:top w:val="none" w:sz="0" w:space="0" w:color="auto"/>
                <w:left w:val="none" w:sz="0" w:space="0" w:color="auto"/>
                <w:bottom w:val="none" w:sz="0" w:space="0" w:color="auto"/>
                <w:right w:val="none" w:sz="0" w:space="0" w:color="auto"/>
              </w:divBdr>
            </w:div>
            <w:div w:id="1085763095">
              <w:marLeft w:val="0"/>
              <w:marRight w:val="0"/>
              <w:marTop w:val="0"/>
              <w:marBottom w:val="0"/>
              <w:divBdr>
                <w:top w:val="none" w:sz="0" w:space="0" w:color="auto"/>
                <w:left w:val="none" w:sz="0" w:space="0" w:color="auto"/>
                <w:bottom w:val="none" w:sz="0" w:space="0" w:color="auto"/>
                <w:right w:val="none" w:sz="0" w:space="0" w:color="auto"/>
              </w:divBdr>
            </w:div>
            <w:div w:id="1260407427">
              <w:marLeft w:val="0"/>
              <w:marRight w:val="0"/>
              <w:marTop w:val="0"/>
              <w:marBottom w:val="0"/>
              <w:divBdr>
                <w:top w:val="none" w:sz="0" w:space="0" w:color="auto"/>
                <w:left w:val="none" w:sz="0" w:space="0" w:color="auto"/>
                <w:bottom w:val="none" w:sz="0" w:space="0" w:color="auto"/>
                <w:right w:val="none" w:sz="0" w:space="0" w:color="auto"/>
              </w:divBdr>
            </w:div>
            <w:div w:id="1480725791">
              <w:marLeft w:val="0"/>
              <w:marRight w:val="0"/>
              <w:marTop w:val="0"/>
              <w:marBottom w:val="0"/>
              <w:divBdr>
                <w:top w:val="none" w:sz="0" w:space="0" w:color="auto"/>
                <w:left w:val="none" w:sz="0" w:space="0" w:color="auto"/>
                <w:bottom w:val="none" w:sz="0" w:space="0" w:color="auto"/>
                <w:right w:val="none" w:sz="0" w:space="0" w:color="auto"/>
              </w:divBdr>
            </w:div>
            <w:div w:id="1573544578">
              <w:marLeft w:val="0"/>
              <w:marRight w:val="0"/>
              <w:marTop w:val="0"/>
              <w:marBottom w:val="0"/>
              <w:divBdr>
                <w:top w:val="none" w:sz="0" w:space="0" w:color="auto"/>
                <w:left w:val="none" w:sz="0" w:space="0" w:color="auto"/>
                <w:bottom w:val="none" w:sz="0" w:space="0" w:color="auto"/>
                <w:right w:val="none" w:sz="0" w:space="0" w:color="auto"/>
              </w:divBdr>
            </w:div>
            <w:div w:id="1705785316">
              <w:marLeft w:val="0"/>
              <w:marRight w:val="0"/>
              <w:marTop w:val="0"/>
              <w:marBottom w:val="0"/>
              <w:divBdr>
                <w:top w:val="none" w:sz="0" w:space="0" w:color="auto"/>
                <w:left w:val="none" w:sz="0" w:space="0" w:color="auto"/>
                <w:bottom w:val="none" w:sz="0" w:space="0" w:color="auto"/>
                <w:right w:val="none" w:sz="0" w:space="0" w:color="auto"/>
              </w:divBdr>
            </w:div>
            <w:div w:id="1760637379">
              <w:marLeft w:val="0"/>
              <w:marRight w:val="0"/>
              <w:marTop w:val="0"/>
              <w:marBottom w:val="0"/>
              <w:divBdr>
                <w:top w:val="none" w:sz="0" w:space="0" w:color="auto"/>
                <w:left w:val="none" w:sz="0" w:space="0" w:color="auto"/>
                <w:bottom w:val="none" w:sz="0" w:space="0" w:color="auto"/>
                <w:right w:val="none" w:sz="0" w:space="0" w:color="auto"/>
              </w:divBdr>
            </w:div>
            <w:div w:id="1807892354">
              <w:marLeft w:val="0"/>
              <w:marRight w:val="0"/>
              <w:marTop w:val="0"/>
              <w:marBottom w:val="0"/>
              <w:divBdr>
                <w:top w:val="none" w:sz="0" w:space="0" w:color="auto"/>
                <w:left w:val="none" w:sz="0" w:space="0" w:color="auto"/>
                <w:bottom w:val="none" w:sz="0" w:space="0" w:color="auto"/>
                <w:right w:val="none" w:sz="0" w:space="0" w:color="auto"/>
              </w:divBdr>
            </w:div>
            <w:div w:id="1842888744">
              <w:marLeft w:val="0"/>
              <w:marRight w:val="0"/>
              <w:marTop w:val="0"/>
              <w:marBottom w:val="0"/>
              <w:divBdr>
                <w:top w:val="none" w:sz="0" w:space="0" w:color="auto"/>
                <w:left w:val="none" w:sz="0" w:space="0" w:color="auto"/>
                <w:bottom w:val="none" w:sz="0" w:space="0" w:color="auto"/>
                <w:right w:val="none" w:sz="0" w:space="0" w:color="auto"/>
              </w:divBdr>
            </w:div>
            <w:div w:id="2111965967">
              <w:marLeft w:val="0"/>
              <w:marRight w:val="0"/>
              <w:marTop w:val="0"/>
              <w:marBottom w:val="0"/>
              <w:divBdr>
                <w:top w:val="none" w:sz="0" w:space="0" w:color="auto"/>
                <w:left w:val="none" w:sz="0" w:space="0" w:color="auto"/>
                <w:bottom w:val="none" w:sz="0" w:space="0" w:color="auto"/>
                <w:right w:val="none" w:sz="0" w:space="0" w:color="auto"/>
              </w:divBdr>
            </w:div>
          </w:divsChild>
        </w:div>
        <w:div w:id="1477334785">
          <w:marLeft w:val="0"/>
          <w:marRight w:val="0"/>
          <w:marTop w:val="0"/>
          <w:marBottom w:val="0"/>
          <w:divBdr>
            <w:top w:val="none" w:sz="0" w:space="0" w:color="auto"/>
            <w:left w:val="none" w:sz="0" w:space="0" w:color="auto"/>
            <w:bottom w:val="none" w:sz="0" w:space="0" w:color="auto"/>
            <w:right w:val="none" w:sz="0" w:space="0" w:color="auto"/>
          </w:divBdr>
          <w:divsChild>
            <w:div w:id="41252764">
              <w:marLeft w:val="0"/>
              <w:marRight w:val="0"/>
              <w:marTop w:val="0"/>
              <w:marBottom w:val="0"/>
              <w:divBdr>
                <w:top w:val="none" w:sz="0" w:space="0" w:color="auto"/>
                <w:left w:val="none" w:sz="0" w:space="0" w:color="auto"/>
                <w:bottom w:val="none" w:sz="0" w:space="0" w:color="auto"/>
                <w:right w:val="none" w:sz="0" w:space="0" w:color="auto"/>
              </w:divBdr>
            </w:div>
            <w:div w:id="191379290">
              <w:marLeft w:val="0"/>
              <w:marRight w:val="0"/>
              <w:marTop w:val="0"/>
              <w:marBottom w:val="0"/>
              <w:divBdr>
                <w:top w:val="none" w:sz="0" w:space="0" w:color="auto"/>
                <w:left w:val="none" w:sz="0" w:space="0" w:color="auto"/>
                <w:bottom w:val="none" w:sz="0" w:space="0" w:color="auto"/>
                <w:right w:val="none" w:sz="0" w:space="0" w:color="auto"/>
              </w:divBdr>
            </w:div>
            <w:div w:id="203104288">
              <w:marLeft w:val="0"/>
              <w:marRight w:val="0"/>
              <w:marTop w:val="0"/>
              <w:marBottom w:val="0"/>
              <w:divBdr>
                <w:top w:val="none" w:sz="0" w:space="0" w:color="auto"/>
                <w:left w:val="none" w:sz="0" w:space="0" w:color="auto"/>
                <w:bottom w:val="none" w:sz="0" w:space="0" w:color="auto"/>
                <w:right w:val="none" w:sz="0" w:space="0" w:color="auto"/>
              </w:divBdr>
            </w:div>
            <w:div w:id="219176585">
              <w:marLeft w:val="0"/>
              <w:marRight w:val="0"/>
              <w:marTop w:val="0"/>
              <w:marBottom w:val="0"/>
              <w:divBdr>
                <w:top w:val="none" w:sz="0" w:space="0" w:color="auto"/>
                <w:left w:val="none" w:sz="0" w:space="0" w:color="auto"/>
                <w:bottom w:val="none" w:sz="0" w:space="0" w:color="auto"/>
                <w:right w:val="none" w:sz="0" w:space="0" w:color="auto"/>
              </w:divBdr>
            </w:div>
            <w:div w:id="541985506">
              <w:marLeft w:val="0"/>
              <w:marRight w:val="0"/>
              <w:marTop w:val="0"/>
              <w:marBottom w:val="0"/>
              <w:divBdr>
                <w:top w:val="none" w:sz="0" w:space="0" w:color="auto"/>
                <w:left w:val="none" w:sz="0" w:space="0" w:color="auto"/>
                <w:bottom w:val="none" w:sz="0" w:space="0" w:color="auto"/>
                <w:right w:val="none" w:sz="0" w:space="0" w:color="auto"/>
              </w:divBdr>
            </w:div>
            <w:div w:id="733621100">
              <w:marLeft w:val="0"/>
              <w:marRight w:val="0"/>
              <w:marTop w:val="0"/>
              <w:marBottom w:val="0"/>
              <w:divBdr>
                <w:top w:val="none" w:sz="0" w:space="0" w:color="auto"/>
                <w:left w:val="none" w:sz="0" w:space="0" w:color="auto"/>
                <w:bottom w:val="none" w:sz="0" w:space="0" w:color="auto"/>
                <w:right w:val="none" w:sz="0" w:space="0" w:color="auto"/>
              </w:divBdr>
            </w:div>
            <w:div w:id="786045968">
              <w:marLeft w:val="0"/>
              <w:marRight w:val="0"/>
              <w:marTop w:val="0"/>
              <w:marBottom w:val="0"/>
              <w:divBdr>
                <w:top w:val="none" w:sz="0" w:space="0" w:color="auto"/>
                <w:left w:val="none" w:sz="0" w:space="0" w:color="auto"/>
                <w:bottom w:val="none" w:sz="0" w:space="0" w:color="auto"/>
                <w:right w:val="none" w:sz="0" w:space="0" w:color="auto"/>
              </w:divBdr>
            </w:div>
            <w:div w:id="793794098">
              <w:marLeft w:val="0"/>
              <w:marRight w:val="0"/>
              <w:marTop w:val="0"/>
              <w:marBottom w:val="0"/>
              <w:divBdr>
                <w:top w:val="none" w:sz="0" w:space="0" w:color="auto"/>
                <w:left w:val="none" w:sz="0" w:space="0" w:color="auto"/>
                <w:bottom w:val="none" w:sz="0" w:space="0" w:color="auto"/>
                <w:right w:val="none" w:sz="0" w:space="0" w:color="auto"/>
              </w:divBdr>
            </w:div>
            <w:div w:id="991181129">
              <w:marLeft w:val="0"/>
              <w:marRight w:val="0"/>
              <w:marTop w:val="0"/>
              <w:marBottom w:val="0"/>
              <w:divBdr>
                <w:top w:val="none" w:sz="0" w:space="0" w:color="auto"/>
                <w:left w:val="none" w:sz="0" w:space="0" w:color="auto"/>
                <w:bottom w:val="none" w:sz="0" w:space="0" w:color="auto"/>
                <w:right w:val="none" w:sz="0" w:space="0" w:color="auto"/>
              </w:divBdr>
            </w:div>
            <w:div w:id="991759912">
              <w:marLeft w:val="0"/>
              <w:marRight w:val="0"/>
              <w:marTop w:val="0"/>
              <w:marBottom w:val="0"/>
              <w:divBdr>
                <w:top w:val="none" w:sz="0" w:space="0" w:color="auto"/>
                <w:left w:val="none" w:sz="0" w:space="0" w:color="auto"/>
                <w:bottom w:val="none" w:sz="0" w:space="0" w:color="auto"/>
                <w:right w:val="none" w:sz="0" w:space="0" w:color="auto"/>
              </w:divBdr>
            </w:div>
            <w:div w:id="1005523391">
              <w:marLeft w:val="0"/>
              <w:marRight w:val="0"/>
              <w:marTop w:val="0"/>
              <w:marBottom w:val="0"/>
              <w:divBdr>
                <w:top w:val="none" w:sz="0" w:space="0" w:color="auto"/>
                <w:left w:val="none" w:sz="0" w:space="0" w:color="auto"/>
                <w:bottom w:val="none" w:sz="0" w:space="0" w:color="auto"/>
                <w:right w:val="none" w:sz="0" w:space="0" w:color="auto"/>
              </w:divBdr>
            </w:div>
            <w:div w:id="1233658009">
              <w:marLeft w:val="0"/>
              <w:marRight w:val="0"/>
              <w:marTop w:val="0"/>
              <w:marBottom w:val="0"/>
              <w:divBdr>
                <w:top w:val="none" w:sz="0" w:space="0" w:color="auto"/>
                <w:left w:val="none" w:sz="0" w:space="0" w:color="auto"/>
                <w:bottom w:val="none" w:sz="0" w:space="0" w:color="auto"/>
                <w:right w:val="none" w:sz="0" w:space="0" w:color="auto"/>
              </w:divBdr>
            </w:div>
            <w:div w:id="1286083345">
              <w:marLeft w:val="0"/>
              <w:marRight w:val="0"/>
              <w:marTop w:val="0"/>
              <w:marBottom w:val="0"/>
              <w:divBdr>
                <w:top w:val="none" w:sz="0" w:space="0" w:color="auto"/>
                <w:left w:val="none" w:sz="0" w:space="0" w:color="auto"/>
                <w:bottom w:val="none" w:sz="0" w:space="0" w:color="auto"/>
                <w:right w:val="none" w:sz="0" w:space="0" w:color="auto"/>
              </w:divBdr>
            </w:div>
            <w:div w:id="1394818546">
              <w:marLeft w:val="0"/>
              <w:marRight w:val="0"/>
              <w:marTop w:val="0"/>
              <w:marBottom w:val="0"/>
              <w:divBdr>
                <w:top w:val="none" w:sz="0" w:space="0" w:color="auto"/>
                <w:left w:val="none" w:sz="0" w:space="0" w:color="auto"/>
                <w:bottom w:val="none" w:sz="0" w:space="0" w:color="auto"/>
                <w:right w:val="none" w:sz="0" w:space="0" w:color="auto"/>
              </w:divBdr>
            </w:div>
            <w:div w:id="1492021707">
              <w:marLeft w:val="0"/>
              <w:marRight w:val="0"/>
              <w:marTop w:val="0"/>
              <w:marBottom w:val="0"/>
              <w:divBdr>
                <w:top w:val="none" w:sz="0" w:space="0" w:color="auto"/>
                <w:left w:val="none" w:sz="0" w:space="0" w:color="auto"/>
                <w:bottom w:val="none" w:sz="0" w:space="0" w:color="auto"/>
                <w:right w:val="none" w:sz="0" w:space="0" w:color="auto"/>
              </w:divBdr>
            </w:div>
            <w:div w:id="1571380658">
              <w:marLeft w:val="0"/>
              <w:marRight w:val="0"/>
              <w:marTop w:val="0"/>
              <w:marBottom w:val="0"/>
              <w:divBdr>
                <w:top w:val="none" w:sz="0" w:space="0" w:color="auto"/>
                <w:left w:val="none" w:sz="0" w:space="0" w:color="auto"/>
                <w:bottom w:val="none" w:sz="0" w:space="0" w:color="auto"/>
                <w:right w:val="none" w:sz="0" w:space="0" w:color="auto"/>
              </w:divBdr>
            </w:div>
            <w:div w:id="1877083575">
              <w:marLeft w:val="0"/>
              <w:marRight w:val="0"/>
              <w:marTop w:val="0"/>
              <w:marBottom w:val="0"/>
              <w:divBdr>
                <w:top w:val="none" w:sz="0" w:space="0" w:color="auto"/>
                <w:left w:val="none" w:sz="0" w:space="0" w:color="auto"/>
                <w:bottom w:val="none" w:sz="0" w:space="0" w:color="auto"/>
                <w:right w:val="none" w:sz="0" w:space="0" w:color="auto"/>
              </w:divBdr>
            </w:div>
            <w:div w:id="1980303999">
              <w:marLeft w:val="0"/>
              <w:marRight w:val="0"/>
              <w:marTop w:val="0"/>
              <w:marBottom w:val="0"/>
              <w:divBdr>
                <w:top w:val="none" w:sz="0" w:space="0" w:color="auto"/>
                <w:left w:val="none" w:sz="0" w:space="0" w:color="auto"/>
                <w:bottom w:val="none" w:sz="0" w:space="0" w:color="auto"/>
                <w:right w:val="none" w:sz="0" w:space="0" w:color="auto"/>
              </w:divBdr>
            </w:div>
            <w:div w:id="2092849838">
              <w:marLeft w:val="0"/>
              <w:marRight w:val="0"/>
              <w:marTop w:val="0"/>
              <w:marBottom w:val="0"/>
              <w:divBdr>
                <w:top w:val="none" w:sz="0" w:space="0" w:color="auto"/>
                <w:left w:val="none" w:sz="0" w:space="0" w:color="auto"/>
                <w:bottom w:val="none" w:sz="0" w:space="0" w:color="auto"/>
                <w:right w:val="none" w:sz="0" w:space="0" w:color="auto"/>
              </w:divBdr>
            </w:div>
            <w:div w:id="2133672269">
              <w:marLeft w:val="0"/>
              <w:marRight w:val="0"/>
              <w:marTop w:val="0"/>
              <w:marBottom w:val="0"/>
              <w:divBdr>
                <w:top w:val="none" w:sz="0" w:space="0" w:color="auto"/>
                <w:left w:val="none" w:sz="0" w:space="0" w:color="auto"/>
                <w:bottom w:val="none" w:sz="0" w:space="0" w:color="auto"/>
                <w:right w:val="none" w:sz="0" w:space="0" w:color="auto"/>
              </w:divBdr>
            </w:div>
          </w:divsChild>
        </w:div>
        <w:div w:id="1516965400">
          <w:marLeft w:val="0"/>
          <w:marRight w:val="0"/>
          <w:marTop w:val="0"/>
          <w:marBottom w:val="0"/>
          <w:divBdr>
            <w:top w:val="none" w:sz="0" w:space="0" w:color="auto"/>
            <w:left w:val="none" w:sz="0" w:space="0" w:color="auto"/>
            <w:bottom w:val="none" w:sz="0" w:space="0" w:color="auto"/>
            <w:right w:val="none" w:sz="0" w:space="0" w:color="auto"/>
          </w:divBdr>
          <w:divsChild>
            <w:div w:id="271402240">
              <w:marLeft w:val="0"/>
              <w:marRight w:val="0"/>
              <w:marTop w:val="0"/>
              <w:marBottom w:val="0"/>
              <w:divBdr>
                <w:top w:val="none" w:sz="0" w:space="0" w:color="auto"/>
                <w:left w:val="none" w:sz="0" w:space="0" w:color="auto"/>
                <w:bottom w:val="none" w:sz="0" w:space="0" w:color="auto"/>
                <w:right w:val="none" w:sz="0" w:space="0" w:color="auto"/>
              </w:divBdr>
            </w:div>
            <w:div w:id="303895508">
              <w:marLeft w:val="0"/>
              <w:marRight w:val="0"/>
              <w:marTop w:val="0"/>
              <w:marBottom w:val="0"/>
              <w:divBdr>
                <w:top w:val="none" w:sz="0" w:space="0" w:color="auto"/>
                <w:left w:val="none" w:sz="0" w:space="0" w:color="auto"/>
                <w:bottom w:val="none" w:sz="0" w:space="0" w:color="auto"/>
                <w:right w:val="none" w:sz="0" w:space="0" w:color="auto"/>
              </w:divBdr>
            </w:div>
            <w:div w:id="325596022">
              <w:marLeft w:val="0"/>
              <w:marRight w:val="0"/>
              <w:marTop w:val="0"/>
              <w:marBottom w:val="0"/>
              <w:divBdr>
                <w:top w:val="none" w:sz="0" w:space="0" w:color="auto"/>
                <w:left w:val="none" w:sz="0" w:space="0" w:color="auto"/>
                <w:bottom w:val="none" w:sz="0" w:space="0" w:color="auto"/>
                <w:right w:val="none" w:sz="0" w:space="0" w:color="auto"/>
              </w:divBdr>
            </w:div>
            <w:div w:id="343169748">
              <w:marLeft w:val="0"/>
              <w:marRight w:val="0"/>
              <w:marTop w:val="0"/>
              <w:marBottom w:val="0"/>
              <w:divBdr>
                <w:top w:val="none" w:sz="0" w:space="0" w:color="auto"/>
                <w:left w:val="none" w:sz="0" w:space="0" w:color="auto"/>
                <w:bottom w:val="none" w:sz="0" w:space="0" w:color="auto"/>
                <w:right w:val="none" w:sz="0" w:space="0" w:color="auto"/>
              </w:divBdr>
            </w:div>
            <w:div w:id="414322665">
              <w:marLeft w:val="0"/>
              <w:marRight w:val="0"/>
              <w:marTop w:val="0"/>
              <w:marBottom w:val="0"/>
              <w:divBdr>
                <w:top w:val="none" w:sz="0" w:space="0" w:color="auto"/>
                <w:left w:val="none" w:sz="0" w:space="0" w:color="auto"/>
                <w:bottom w:val="none" w:sz="0" w:space="0" w:color="auto"/>
                <w:right w:val="none" w:sz="0" w:space="0" w:color="auto"/>
              </w:divBdr>
            </w:div>
            <w:div w:id="439960653">
              <w:marLeft w:val="0"/>
              <w:marRight w:val="0"/>
              <w:marTop w:val="0"/>
              <w:marBottom w:val="0"/>
              <w:divBdr>
                <w:top w:val="none" w:sz="0" w:space="0" w:color="auto"/>
                <w:left w:val="none" w:sz="0" w:space="0" w:color="auto"/>
                <w:bottom w:val="none" w:sz="0" w:space="0" w:color="auto"/>
                <w:right w:val="none" w:sz="0" w:space="0" w:color="auto"/>
              </w:divBdr>
            </w:div>
            <w:div w:id="666982098">
              <w:marLeft w:val="0"/>
              <w:marRight w:val="0"/>
              <w:marTop w:val="0"/>
              <w:marBottom w:val="0"/>
              <w:divBdr>
                <w:top w:val="none" w:sz="0" w:space="0" w:color="auto"/>
                <w:left w:val="none" w:sz="0" w:space="0" w:color="auto"/>
                <w:bottom w:val="none" w:sz="0" w:space="0" w:color="auto"/>
                <w:right w:val="none" w:sz="0" w:space="0" w:color="auto"/>
              </w:divBdr>
            </w:div>
            <w:div w:id="668874131">
              <w:marLeft w:val="0"/>
              <w:marRight w:val="0"/>
              <w:marTop w:val="0"/>
              <w:marBottom w:val="0"/>
              <w:divBdr>
                <w:top w:val="none" w:sz="0" w:space="0" w:color="auto"/>
                <w:left w:val="none" w:sz="0" w:space="0" w:color="auto"/>
                <w:bottom w:val="none" w:sz="0" w:space="0" w:color="auto"/>
                <w:right w:val="none" w:sz="0" w:space="0" w:color="auto"/>
              </w:divBdr>
            </w:div>
            <w:div w:id="718432735">
              <w:marLeft w:val="0"/>
              <w:marRight w:val="0"/>
              <w:marTop w:val="0"/>
              <w:marBottom w:val="0"/>
              <w:divBdr>
                <w:top w:val="none" w:sz="0" w:space="0" w:color="auto"/>
                <w:left w:val="none" w:sz="0" w:space="0" w:color="auto"/>
                <w:bottom w:val="none" w:sz="0" w:space="0" w:color="auto"/>
                <w:right w:val="none" w:sz="0" w:space="0" w:color="auto"/>
              </w:divBdr>
            </w:div>
            <w:div w:id="782460469">
              <w:marLeft w:val="0"/>
              <w:marRight w:val="0"/>
              <w:marTop w:val="0"/>
              <w:marBottom w:val="0"/>
              <w:divBdr>
                <w:top w:val="none" w:sz="0" w:space="0" w:color="auto"/>
                <w:left w:val="none" w:sz="0" w:space="0" w:color="auto"/>
                <w:bottom w:val="none" w:sz="0" w:space="0" w:color="auto"/>
                <w:right w:val="none" w:sz="0" w:space="0" w:color="auto"/>
              </w:divBdr>
            </w:div>
            <w:div w:id="800268621">
              <w:marLeft w:val="0"/>
              <w:marRight w:val="0"/>
              <w:marTop w:val="0"/>
              <w:marBottom w:val="0"/>
              <w:divBdr>
                <w:top w:val="none" w:sz="0" w:space="0" w:color="auto"/>
                <w:left w:val="none" w:sz="0" w:space="0" w:color="auto"/>
                <w:bottom w:val="none" w:sz="0" w:space="0" w:color="auto"/>
                <w:right w:val="none" w:sz="0" w:space="0" w:color="auto"/>
              </w:divBdr>
            </w:div>
            <w:div w:id="932132465">
              <w:marLeft w:val="0"/>
              <w:marRight w:val="0"/>
              <w:marTop w:val="0"/>
              <w:marBottom w:val="0"/>
              <w:divBdr>
                <w:top w:val="none" w:sz="0" w:space="0" w:color="auto"/>
                <w:left w:val="none" w:sz="0" w:space="0" w:color="auto"/>
                <w:bottom w:val="none" w:sz="0" w:space="0" w:color="auto"/>
                <w:right w:val="none" w:sz="0" w:space="0" w:color="auto"/>
              </w:divBdr>
            </w:div>
            <w:div w:id="1023826784">
              <w:marLeft w:val="0"/>
              <w:marRight w:val="0"/>
              <w:marTop w:val="0"/>
              <w:marBottom w:val="0"/>
              <w:divBdr>
                <w:top w:val="none" w:sz="0" w:space="0" w:color="auto"/>
                <w:left w:val="none" w:sz="0" w:space="0" w:color="auto"/>
                <w:bottom w:val="none" w:sz="0" w:space="0" w:color="auto"/>
                <w:right w:val="none" w:sz="0" w:space="0" w:color="auto"/>
              </w:divBdr>
            </w:div>
            <w:div w:id="1028219043">
              <w:marLeft w:val="0"/>
              <w:marRight w:val="0"/>
              <w:marTop w:val="0"/>
              <w:marBottom w:val="0"/>
              <w:divBdr>
                <w:top w:val="none" w:sz="0" w:space="0" w:color="auto"/>
                <w:left w:val="none" w:sz="0" w:space="0" w:color="auto"/>
                <w:bottom w:val="none" w:sz="0" w:space="0" w:color="auto"/>
                <w:right w:val="none" w:sz="0" w:space="0" w:color="auto"/>
              </w:divBdr>
            </w:div>
            <w:div w:id="1206793781">
              <w:marLeft w:val="0"/>
              <w:marRight w:val="0"/>
              <w:marTop w:val="0"/>
              <w:marBottom w:val="0"/>
              <w:divBdr>
                <w:top w:val="none" w:sz="0" w:space="0" w:color="auto"/>
                <w:left w:val="none" w:sz="0" w:space="0" w:color="auto"/>
                <w:bottom w:val="none" w:sz="0" w:space="0" w:color="auto"/>
                <w:right w:val="none" w:sz="0" w:space="0" w:color="auto"/>
              </w:divBdr>
            </w:div>
            <w:div w:id="1398237913">
              <w:marLeft w:val="0"/>
              <w:marRight w:val="0"/>
              <w:marTop w:val="0"/>
              <w:marBottom w:val="0"/>
              <w:divBdr>
                <w:top w:val="none" w:sz="0" w:space="0" w:color="auto"/>
                <w:left w:val="none" w:sz="0" w:space="0" w:color="auto"/>
                <w:bottom w:val="none" w:sz="0" w:space="0" w:color="auto"/>
                <w:right w:val="none" w:sz="0" w:space="0" w:color="auto"/>
              </w:divBdr>
            </w:div>
            <w:div w:id="1584954482">
              <w:marLeft w:val="0"/>
              <w:marRight w:val="0"/>
              <w:marTop w:val="0"/>
              <w:marBottom w:val="0"/>
              <w:divBdr>
                <w:top w:val="none" w:sz="0" w:space="0" w:color="auto"/>
                <w:left w:val="none" w:sz="0" w:space="0" w:color="auto"/>
                <w:bottom w:val="none" w:sz="0" w:space="0" w:color="auto"/>
                <w:right w:val="none" w:sz="0" w:space="0" w:color="auto"/>
              </w:divBdr>
            </w:div>
            <w:div w:id="1720933970">
              <w:marLeft w:val="0"/>
              <w:marRight w:val="0"/>
              <w:marTop w:val="0"/>
              <w:marBottom w:val="0"/>
              <w:divBdr>
                <w:top w:val="none" w:sz="0" w:space="0" w:color="auto"/>
                <w:left w:val="none" w:sz="0" w:space="0" w:color="auto"/>
                <w:bottom w:val="none" w:sz="0" w:space="0" w:color="auto"/>
                <w:right w:val="none" w:sz="0" w:space="0" w:color="auto"/>
              </w:divBdr>
            </w:div>
            <w:div w:id="1871524859">
              <w:marLeft w:val="0"/>
              <w:marRight w:val="0"/>
              <w:marTop w:val="0"/>
              <w:marBottom w:val="0"/>
              <w:divBdr>
                <w:top w:val="none" w:sz="0" w:space="0" w:color="auto"/>
                <w:left w:val="none" w:sz="0" w:space="0" w:color="auto"/>
                <w:bottom w:val="none" w:sz="0" w:space="0" w:color="auto"/>
                <w:right w:val="none" w:sz="0" w:space="0" w:color="auto"/>
              </w:divBdr>
            </w:div>
            <w:div w:id="1874805510">
              <w:marLeft w:val="0"/>
              <w:marRight w:val="0"/>
              <w:marTop w:val="0"/>
              <w:marBottom w:val="0"/>
              <w:divBdr>
                <w:top w:val="none" w:sz="0" w:space="0" w:color="auto"/>
                <w:left w:val="none" w:sz="0" w:space="0" w:color="auto"/>
                <w:bottom w:val="none" w:sz="0" w:space="0" w:color="auto"/>
                <w:right w:val="none" w:sz="0" w:space="0" w:color="auto"/>
              </w:divBdr>
            </w:div>
          </w:divsChild>
        </w:div>
        <w:div w:id="1574512431">
          <w:marLeft w:val="0"/>
          <w:marRight w:val="0"/>
          <w:marTop w:val="0"/>
          <w:marBottom w:val="0"/>
          <w:divBdr>
            <w:top w:val="none" w:sz="0" w:space="0" w:color="auto"/>
            <w:left w:val="none" w:sz="0" w:space="0" w:color="auto"/>
            <w:bottom w:val="none" w:sz="0" w:space="0" w:color="auto"/>
            <w:right w:val="none" w:sz="0" w:space="0" w:color="auto"/>
          </w:divBdr>
          <w:divsChild>
            <w:div w:id="241915446">
              <w:marLeft w:val="0"/>
              <w:marRight w:val="0"/>
              <w:marTop w:val="0"/>
              <w:marBottom w:val="0"/>
              <w:divBdr>
                <w:top w:val="none" w:sz="0" w:space="0" w:color="auto"/>
                <w:left w:val="none" w:sz="0" w:space="0" w:color="auto"/>
                <w:bottom w:val="none" w:sz="0" w:space="0" w:color="auto"/>
                <w:right w:val="none" w:sz="0" w:space="0" w:color="auto"/>
              </w:divBdr>
            </w:div>
            <w:div w:id="410270870">
              <w:marLeft w:val="0"/>
              <w:marRight w:val="0"/>
              <w:marTop w:val="0"/>
              <w:marBottom w:val="0"/>
              <w:divBdr>
                <w:top w:val="none" w:sz="0" w:space="0" w:color="auto"/>
                <w:left w:val="none" w:sz="0" w:space="0" w:color="auto"/>
                <w:bottom w:val="none" w:sz="0" w:space="0" w:color="auto"/>
                <w:right w:val="none" w:sz="0" w:space="0" w:color="auto"/>
              </w:divBdr>
            </w:div>
            <w:div w:id="427703850">
              <w:marLeft w:val="0"/>
              <w:marRight w:val="0"/>
              <w:marTop w:val="0"/>
              <w:marBottom w:val="0"/>
              <w:divBdr>
                <w:top w:val="none" w:sz="0" w:space="0" w:color="auto"/>
                <w:left w:val="none" w:sz="0" w:space="0" w:color="auto"/>
                <w:bottom w:val="none" w:sz="0" w:space="0" w:color="auto"/>
                <w:right w:val="none" w:sz="0" w:space="0" w:color="auto"/>
              </w:divBdr>
            </w:div>
            <w:div w:id="551885561">
              <w:marLeft w:val="0"/>
              <w:marRight w:val="0"/>
              <w:marTop w:val="0"/>
              <w:marBottom w:val="0"/>
              <w:divBdr>
                <w:top w:val="none" w:sz="0" w:space="0" w:color="auto"/>
                <w:left w:val="none" w:sz="0" w:space="0" w:color="auto"/>
                <w:bottom w:val="none" w:sz="0" w:space="0" w:color="auto"/>
                <w:right w:val="none" w:sz="0" w:space="0" w:color="auto"/>
              </w:divBdr>
            </w:div>
            <w:div w:id="578103385">
              <w:marLeft w:val="0"/>
              <w:marRight w:val="0"/>
              <w:marTop w:val="0"/>
              <w:marBottom w:val="0"/>
              <w:divBdr>
                <w:top w:val="none" w:sz="0" w:space="0" w:color="auto"/>
                <w:left w:val="none" w:sz="0" w:space="0" w:color="auto"/>
                <w:bottom w:val="none" w:sz="0" w:space="0" w:color="auto"/>
                <w:right w:val="none" w:sz="0" w:space="0" w:color="auto"/>
              </w:divBdr>
            </w:div>
            <w:div w:id="768891517">
              <w:marLeft w:val="0"/>
              <w:marRight w:val="0"/>
              <w:marTop w:val="0"/>
              <w:marBottom w:val="0"/>
              <w:divBdr>
                <w:top w:val="none" w:sz="0" w:space="0" w:color="auto"/>
                <w:left w:val="none" w:sz="0" w:space="0" w:color="auto"/>
                <w:bottom w:val="none" w:sz="0" w:space="0" w:color="auto"/>
                <w:right w:val="none" w:sz="0" w:space="0" w:color="auto"/>
              </w:divBdr>
            </w:div>
            <w:div w:id="974798991">
              <w:marLeft w:val="0"/>
              <w:marRight w:val="0"/>
              <w:marTop w:val="0"/>
              <w:marBottom w:val="0"/>
              <w:divBdr>
                <w:top w:val="none" w:sz="0" w:space="0" w:color="auto"/>
                <w:left w:val="none" w:sz="0" w:space="0" w:color="auto"/>
                <w:bottom w:val="none" w:sz="0" w:space="0" w:color="auto"/>
                <w:right w:val="none" w:sz="0" w:space="0" w:color="auto"/>
              </w:divBdr>
            </w:div>
            <w:div w:id="975723458">
              <w:marLeft w:val="0"/>
              <w:marRight w:val="0"/>
              <w:marTop w:val="0"/>
              <w:marBottom w:val="0"/>
              <w:divBdr>
                <w:top w:val="none" w:sz="0" w:space="0" w:color="auto"/>
                <w:left w:val="none" w:sz="0" w:space="0" w:color="auto"/>
                <w:bottom w:val="none" w:sz="0" w:space="0" w:color="auto"/>
                <w:right w:val="none" w:sz="0" w:space="0" w:color="auto"/>
              </w:divBdr>
            </w:div>
            <w:div w:id="1157964682">
              <w:marLeft w:val="0"/>
              <w:marRight w:val="0"/>
              <w:marTop w:val="0"/>
              <w:marBottom w:val="0"/>
              <w:divBdr>
                <w:top w:val="none" w:sz="0" w:space="0" w:color="auto"/>
                <w:left w:val="none" w:sz="0" w:space="0" w:color="auto"/>
                <w:bottom w:val="none" w:sz="0" w:space="0" w:color="auto"/>
                <w:right w:val="none" w:sz="0" w:space="0" w:color="auto"/>
              </w:divBdr>
            </w:div>
            <w:div w:id="1176070774">
              <w:marLeft w:val="0"/>
              <w:marRight w:val="0"/>
              <w:marTop w:val="0"/>
              <w:marBottom w:val="0"/>
              <w:divBdr>
                <w:top w:val="none" w:sz="0" w:space="0" w:color="auto"/>
                <w:left w:val="none" w:sz="0" w:space="0" w:color="auto"/>
                <w:bottom w:val="none" w:sz="0" w:space="0" w:color="auto"/>
                <w:right w:val="none" w:sz="0" w:space="0" w:color="auto"/>
              </w:divBdr>
            </w:div>
            <w:div w:id="1246458976">
              <w:marLeft w:val="0"/>
              <w:marRight w:val="0"/>
              <w:marTop w:val="0"/>
              <w:marBottom w:val="0"/>
              <w:divBdr>
                <w:top w:val="none" w:sz="0" w:space="0" w:color="auto"/>
                <w:left w:val="none" w:sz="0" w:space="0" w:color="auto"/>
                <w:bottom w:val="none" w:sz="0" w:space="0" w:color="auto"/>
                <w:right w:val="none" w:sz="0" w:space="0" w:color="auto"/>
              </w:divBdr>
            </w:div>
            <w:div w:id="1365132569">
              <w:marLeft w:val="0"/>
              <w:marRight w:val="0"/>
              <w:marTop w:val="0"/>
              <w:marBottom w:val="0"/>
              <w:divBdr>
                <w:top w:val="none" w:sz="0" w:space="0" w:color="auto"/>
                <w:left w:val="none" w:sz="0" w:space="0" w:color="auto"/>
                <w:bottom w:val="none" w:sz="0" w:space="0" w:color="auto"/>
                <w:right w:val="none" w:sz="0" w:space="0" w:color="auto"/>
              </w:divBdr>
            </w:div>
            <w:div w:id="1420441058">
              <w:marLeft w:val="0"/>
              <w:marRight w:val="0"/>
              <w:marTop w:val="0"/>
              <w:marBottom w:val="0"/>
              <w:divBdr>
                <w:top w:val="none" w:sz="0" w:space="0" w:color="auto"/>
                <w:left w:val="none" w:sz="0" w:space="0" w:color="auto"/>
                <w:bottom w:val="none" w:sz="0" w:space="0" w:color="auto"/>
                <w:right w:val="none" w:sz="0" w:space="0" w:color="auto"/>
              </w:divBdr>
            </w:div>
            <w:div w:id="1544754761">
              <w:marLeft w:val="0"/>
              <w:marRight w:val="0"/>
              <w:marTop w:val="0"/>
              <w:marBottom w:val="0"/>
              <w:divBdr>
                <w:top w:val="none" w:sz="0" w:space="0" w:color="auto"/>
                <w:left w:val="none" w:sz="0" w:space="0" w:color="auto"/>
                <w:bottom w:val="none" w:sz="0" w:space="0" w:color="auto"/>
                <w:right w:val="none" w:sz="0" w:space="0" w:color="auto"/>
              </w:divBdr>
            </w:div>
            <w:div w:id="1725178946">
              <w:marLeft w:val="0"/>
              <w:marRight w:val="0"/>
              <w:marTop w:val="0"/>
              <w:marBottom w:val="0"/>
              <w:divBdr>
                <w:top w:val="none" w:sz="0" w:space="0" w:color="auto"/>
                <w:left w:val="none" w:sz="0" w:space="0" w:color="auto"/>
                <w:bottom w:val="none" w:sz="0" w:space="0" w:color="auto"/>
                <w:right w:val="none" w:sz="0" w:space="0" w:color="auto"/>
              </w:divBdr>
            </w:div>
            <w:div w:id="1748922386">
              <w:marLeft w:val="0"/>
              <w:marRight w:val="0"/>
              <w:marTop w:val="0"/>
              <w:marBottom w:val="0"/>
              <w:divBdr>
                <w:top w:val="none" w:sz="0" w:space="0" w:color="auto"/>
                <w:left w:val="none" w:sz="0" w:space="0" w:color="auto"/>
                <w:bottom w:val="none" w:sz="0" w:space="0" w:color="auto"/>
                <w:right w:val="none" w:sz="0" w:space="0" w:color="auto"/>
              </w:divBdr>
            </w:div>
            <w:div w:id="1811629042">
              <w:marLeft w:val="0"/>
              <w:marRight w:val="0"/>
              <w:marTop w:val="0"/>
              <w:marBottom w:val="0"/>
              <w:divBdr>
                <w:top w:val="none" w:sz="0" w:space="0" w:color="auto"/>
                <w:left w:val="none" w:sz="0" w:space="0" w:color="auto"/>
                <w:bottom w:val="none" w:sz="0" w:space="0" w:color="auto"/>
                <w:right w:val="none" w:sz="0" w:space="0" w:color="auto"/>
              </w:divBdr>
            </w:div>
            <w:div w:id="1844971584">
              <w:marLeft w:val="0"/>
              <w:marRight w:val="0"/>
              <w:marTop w:val="0"/>
              <w:marBottom w:val="0"/>
              <w:divBdr>
                <w:top w:val="none" w:sz="0" w:space="0" w:color="auto"/>
                <w:left w:val="none" w:sz="0" w:space="0" w:color="auto"/>
                <w:bottom w:val="none" w:sz="0" w:space="0" w:color="auto"/>
                <w:right w:val="none" w:sz="0" w:space="0" w:color="auto"/>
              </w:divBdr>
            </w:div>
            <w:div w:id="2113040750">
              <w:marLeft w:val="0"/>
              <w:marRight w:val="0"/>
              <w:marTop w:val="0"/>
              <w:marBottom w:val="0"/>
              <w:divBdr>
                <w:top w:val="none" w:sz="0" w:space="0" w:color="auto"/>
                <w:left w:val="none" w:sz="0" w:space="0" w:color="auto"/>
                <w:bottom w:val="none" w:sz="0" w:space="0" w:color="auto"/>
                <w:right w:val="none" w:sz="0" w:space="0" w:color="auto"/>
              </w:divBdr>
            </w:div>
            <w:div w:id="2133477274">
              <w:marLeft w:val="0"/>
              <w:marRight w:val="0"/>
              <w:marTop w:val="0"/>
              <w:marBottom w:val="0"/>
              <w:divBdr>
                <w:top w:val="none" w:sz="0" w:space="0" w:color="auto"/>
                <w:left w:val="none" w:sz="0" w:space="0" w:color="auto"/>
                <w:bottom w:val="none" w:sz="0" w:space="0" w:color="auto"/>
                <w:right w:val="none" w:sz="0" w:space="0" w:color="auto"/>
              </w:divBdr>
            </w:div>
          </w:divsChild>
        </w:div>
        <w:div w:id="1678771744">
          <w:marLeft w:val="0"/>
          <w:marRight w:val="0"/>
          <w:marTop w:val="0"/>
          <w:marBottom w:val="0"/>
          <w:divBdr>
            <w:top w:val="none" w:sz="0" w:space="0" w:color="auto"/>
            <w:left w:val="none" w:sz="0" w:space="0" w:color="auto"/>
            <w:bottom w:val="none" w:sz="0" w:space="0" w:color="auto"/>
            <w:right w:val="none" w:sz="0" w:space="0" w:color="auto"/>
          </w:divBdr>
          <w:divsChild>
            <w:div w:id="288825387">
              <w:marLeft w:val="0"/>
              <w:marRight w:val="0"/>
              <w:marTop w:val="0"/>
              <w:marBottom w:val="0"/>
              <w:divBdr>
                <w:top w:val="none" w:sz="0" w:space="0" w:color="auto"/>
                <w:left w:val="none" w:sz="0" w:space="0" w:color="auto"/>
                <w:bottom w:val="none" w:sz="0" w:space="0" w:color="auto"/>
                <w:right w:val="none" w:sz="0" w:space="0" w:color="auto"/>
              </w:divBdr>
            </w:div>
            <w:div w:id="312756941">
              <w:marLeft w:val="0"/>
              <w:marRight w:val="0"/>
              <w:marTop w:val="0"/>
              <w:marBottom w:val="0"/>
              <w:divBdr>
                <w:top w:val="none" w:sz="0" w:space="0" w:color="auto"/>
                <w:left w:val="none" w:sz="0" w:space="0" w:color="auto"/>
                <w:bottom w:val="none" w:sz="0" w:space="0" w:color="auto"/>
                <w:right w:val="none" w:sz="0" w:space="0" w:color="auto"/>
              </w:divBdr>
            </w:div>
            <w:div w:id="755053751">
              <w:marLeft w:val="0"/>
              <w:marRight w:val="0"/>
              <w:marTop w:val="0"/>
              <w:marBottom w:val="0"/>
              <w:divBdr>
                <w:top w:val="none" w:sz="0" w:space="0" w:color="auto"/>
                <w:left w:val="none" w:sz="0" w:space="0" w:color="auto"/>
                <w:bottom w:val="none" w:sz="0" w:space="0" w:color="auto"/>
                <w:right w:val="none" w:sz="0" w:space="0" w:color="auto"/>
              </w:divBdr>
            </w:div>
            <w:div w:id="849180682">
              <w:marLeft w:val="0"/>
              <w:marRight w:val="0"/>
              <w:marTop w:val="0"/>
              <w:marBottom w:val="0"/>
              <w:divBdr>
                <w:top w:val="none" w:sz="0" w:space="0" w:color="auto"/>
                <w:left w:val="none" w:sz="0" w:space="0" w:color="auto"/>
                <w:bottom w:val="none" w:sz="0" w:space="0" w:color="auto"/>
                <w:right w:val="none" w:sz="0" w:space="0" w:color="auto"/>
              </w:divBdr>
            </w:div>
            <w:div w:id="873150370">
              <w:marLeft w:val="0"/>
              <w:marRight w:val="0"/>
              <w:marTop w:val="0"/>
              <w:marBottom w:val="0"/>
              <w:divBdr>
                <w:top w:val="none" w:sz="0" w:space="0" w:color="auto"/>
                <w:left w:val="none" w:sz="0" w:space="0" w:color="auto"/>
                <w:bottom w:val="none" w:sz="0" w:space="0" w:color="auto"/>
                <w:right w:val="none" w:sz="0" w:space="0" w:color="auto"/>
              </w:divBdr>
            </w:div>
            <w:div w:id="1008140617">
              <w:marLeft w:val="0"/>
              <w:marRight w:val="0"/>
              <w:marTop w:val="0"/>
              <w:marBottom w:val="0"/>
              <w:divBdr>
                <w:top w:val="none" w:sz="0" w:space="0" w:color="auto"/>
                <w:left w:val="none" w:sz="0" w:space="0" w:color="auto"/>
                <w:bottom w:val="none" w:sz="0" w:space="0" w:color="auto"/>
                <w:right w:val="none" w:sz="0" w:space="0" w:color="auto"/>
              </w:divBdr>
            </w:div>
            <w:div w:id="1073501992">
              <w:marLeft w:val="0"/>
              <w:marRight w:val="0"/>
              <w:marTop w:val="0"/>
              <w:marBottom w:val="0"/>
              <w:divBdr>
                <w:top w:val="none" w:sz="0" w:space="0" w:color="auto"/>
                <w:left w:val="none" w:sz="0" w:space="0" w:color="auto"/>
                <w:bottom w:val="none" w:sz="0" w:space="0" w:color="auto"/>
                <w:right w:val="none" w:sz="0" w:space="0" w:color="auto"/>
              </w:divBdr>
            </w:div>
            <w:div w:id="1169784069">
              <w:marLeft w:val="0"/>
              <w:marRight w:val="0"/>
              <w:marTop w:val="0"/>
              <w:marBottom w:val="0"/>
              <w:divBdr>
                <w:top w:val="none" w:sz="0" w:space="0" w:color="auto"/>
                <w:left w:val="none" w:sz="0" w:space="0" w:color="auto"/>
                <w:bottom w:val="none" w:sz="0" w:space="0" w:color="auto"/>
                <w:right w:val="none" w:sz="0" w:space="0" w:color="auto"/>
              </w:divBdr>
            </w:div>
            <w:div w:id="1195072577">
              <w:marLeft w:val="0"/>
              <w:marRight w:val="0"/>
              <w:marTop w:val="0"/>
              <w:marBottom w:val="0"/>
              <w:divBdr>
                <w:top w:val="none" w:sz="0" w:space="0" w:color="auto"/>
                <w:left w:val="none" w:sz="0" w:space="0" w:color="auto"/>
                <w:bottom w:val="none" w:sz="0" w:space="0" w:color="auto"/>
                <w:right w:val="none" w:sz="0" w:space="0" w:color="auto"/>
              </w:divBdr>
            </w:div>
            <w:div w:id="1215699134">
              <w:marLeft w:val="0"/>
              <w:marRight w:val="0"/>
              <w:marTop w:val="0"/>
              <w:marBottom w:val="0"/>
              <w:divBdr>
                <w:top w:val="none" w:sz="0" w:space="0" w:color="auto"/>
                <w:left w:val="none" w:sz="0" w:space="0" w:color="auto"/>
                <w:bottom w:val="none" w:sz="0" w:space="0" w:color="auto"/>
                <w:right w:val="none" w:sz="0" w:space="0" w:color="auto"/>
              </w:divBdr>
            </w:div>
            <w:div w:id="1264918290">
              <w:marLeft w:val="0"/>
              <w:marRight w:val="0"/>
              <w:marTop w:val="0"/>
              <w:marBottom w:val="0"/>
              <w:divBdr>
                <w:top w:val="none" w:sz="0" w:space="0" w:color="auto"/>
                <w:left w:val="none" w:sz="0" w:space="0" w:color="auto"/>
                <w:bottom w:val="none" w:sz="0" w:space="0" w:color="auto"/>
                <w:right w:val="none" w:sz="0" w:space="0" w:color="auto"/>
              </w:divBdr>
            </w:div>
            <w:div w:id="1334600012">
              <w:marLeft w:val="0"/>
              <w:marRight w:val="0"/>
              <w:marTop w:val="0"/>
              <w:marBottom w:val="0"/>
              <w:divBdr>
                <w:top w:val="none" w:sz="0" w:space="0" w:color="auto"/>
                <w:left w:val="none" w:sz="0" w:space="0" w:color="auto"/>
                <w:bottom w:val="none" w:sz="0" w:space="0" w:color="auto"/>
                <w:right w:val="none" w:sz="0" w:space="0" w:color="auto"/>
              </w:divBdr>
            </w:div>
            <w:div w:id="1394700811">
              <w:marLeft w:val="0"/>
              <w:marRight w:val="0"/>
              <w:marTop w:val="0"/>
              <w:marBottom w:val="0"/>
              <w:divBdr>
                <w:top w:val="none" w:sz="0" w:space="0" w:color="auto"/>
                <w:left w:val="none" w:sz="0" w:space="0" w:color="auto"/>
                <w:bottom w:val="none" w:sz="0" w:space="0" w:color="auto"/>
                <w:right w:val="none" w:sz="0" w:space="0" w:color="auto"/>
              </w:divBdr>
            </w:div>
            <w:div w:id="1405836865">
              <w:marLeft w:val="0"/>
              <w:marRight w:val="0"/>
              <w:marTop w:val="0"/>
              <w:marBottom w:val="0"/>
              <w:divBdr>
                <w:top w:val="none" w:sz="0" w:space="0" w:color="auto"/>
                <w:left w:val="none" w:sz="0" w:space="0" w:color="auto"/>
                <w:bottom w:val="none" w:sz="0" w:space="0" w:color="auto"/>
                <w:right w:val="none" w:sz="0" w:space="0" w:color="auto"/>
              </w:divBdr>
            </w:div>
            <w:div w:id="1730301363">
              <w:marLeft w:val="0"/>
              <w:marRight w:val="0"/>
              <w:marTop w:val="0"/>
              <w:marBottom w:val="0"/>
              <w:divBdr>
                <w:top w:val="none" w:sz="0" w:space="0" w:color="auto"/>
                <w:left w:val="none" w:sz="0" w:space="0" w:color="auto"/>
                <w:bottom w:val="none" w:sz="0" w:space="0" w:color="auto"/>
                <w:right w:val="none" w:sz="0" w:space="0" w:color="auto"/>
              </w:divBdr>
            </w:div>
            <w:div w:id="1740008725">
              <w:marLeft w:val="0"/>
              <w:marRight w:val="0"/>
              <w:marTop w:val="0"/>
              <w:marBottom w:val="0"/>
              <w:divBdr>
                <w:top w:val="none" w:sz="0" w:space="0" w:color="auto"/>
                <w:left w:val="none" w:sz="0" w:space="0" w:color="auto"/>
                <w:bottom w:val="none" w:sz="0" w:space="0" w:color="auto"/>
                <w:right w:val="none" w:sz="0" w:space="0" w:color="auto"/>
              </w:divBdr>
            </w:div>
            <w:div w:id="1794640568">
              <w:marLeft w:val="0"/>
              <w:marRight w:val="0"/>
              <w:marTop w:val="0"/>
              <w:marBottom w:val="0"/>
              <w:divBdr>
                <w:top w:val="none" w:sz="0" w:space="0" w:color="auto"/>
                <w:left w:val="none" w:sz="0" w:space="0" w:color="auto"/>
                <w:bottom w:val="none" w:sz="0" w:space="0" w:color="auto"/>
                <w:right w:val="none" w:sz="0" w:space="0" w:color="auto"/>
              </w:divBdr>
            </w:div>
            <w:div w:id="1859269697">
              <w:marLeft w:val="0"/>
              <w:marRight w:val="0"/>
              <w:marTop w:val="0"/>
              <w:marBottom w:val="0"/>
              <w:divBdr>
                <w:top w:val="none" w:sz="0" w:space="0" w:color="auto"/>
                <w:left w:val="none" w:sz="0" w:space="0" w:color="auto"/>
                <w:bottom w:val="none" w:sz="0" w:space="0" w:color="auto"/>
                <w:right w:val="none" w:sz="0" w:space="0" w:color="auto"/>
              </w:divBdr>
            </w:div>
            <w:div w:id="1980918755">
              <w:marLeft w:val="0"/>
              <w:marRight w:val="0"/>
              <w:marTop w:val="0"/>
              <w:marBottom w:val="0"/>
              <w:divBdr>
                <w:top w:val="none" w:sz="0" w:space="0" w:color="auto"/>
                <w:left w:val="none" w:sz="0" w:space="0" w:color="auto"/>
                <w:bottom w:val="none" w:sz="0" w:space="0" w:color="auto"/>
                <w:right w:val="none" w:sz="0" w:space="0" w:color="auto"/>
              </w:divBdr>
            </w:div>
            <w:div w:id="2000503098">
              <w:marLeft w:val="0"/>
              <w:marRight w:val="0"/>
              <w:marTop w:val="0"/>
              <w:marBottom w:val="0"/>
              <w:divBdr>
                <w:top w:val="none" w:sz="0" w:space="0" w:color="auto"/>
                <w:left w:val="none" w:sz="0" w:space="0" w:color="auto"/>
                <w:bottom w:val="none" w:sz="0" w:space="0" w:color="auto"/>
                <w:right w:val="none" w:sz="0" w:space="0" w:color="auto"/>
              </w:divBdr>
            </w:div>
          </w:divsChild>
        </w:div>
        <w:div w:id="1791974998">
          <w:marLeft w:val="0"/>
          <w:marRight w:val="0"/>
          <w:marTop w:val="0"/>
          <w:marBottom w:val="0"/>
          <w:divBdr>
            <w:top w:val="none" w:sz="0" w:space="0" w:color="auto"/>
            <w:left w:val="none" w:sz="0" w:space="0" w:color="auto"/>
            <w:bottom w:val="none" w:sz="0" w:space="0" w:color="auto"/>
            <w:right w:val="none" w:sz="0" w:space="0" w:color="auto"/>
          </w:divBdr>
          <w:divsChild>
            <w:div w:id="21396221">
              <w:marLeft w:val="0"/>
              <w:marRight w:val="0"/>
              <w:marTop w:val="0"/>
              <w:marBottom w:val="0"/>
              <w:divBdr>
                <w:top w:val="none" w:sz="0" w:space="0" w:color="auto"/>
                <w:left w:val="none" w:sz="0" w:space="0" w:color="auto"/>
                <w:bottom w:val="none" w:sz="0" w:space="0" w:color="auto"/>
                <w:right w:val="none" w:sz="0" w:space="0" w:color="auto"/>
              </w:divBdr>
            </w:div>
            <w:div w:id="124475264">
              <w:marLeft w:val="0"/>
              <w:marRight w:val="0"/>
              <w:marTop w:val="0"/>
              <w:marBottom w:val="0"/>
              <w:divBdr>
                <w:top w:val="none" w:sz="0" w:space="0" w:color="auto"/>
                <w:left w:val="none" w:sz="0" w:space="0" w:color="auto"/>
                <w:bottom w:val="none" w:sz="0" w:space="0" w:color="auto"/>
                <w:right w:val="none" w:sz="0" w:space="0" w:color="auto"/>
              </w:divBdr>
            </w:div>
            <w:div w:id="361133758">
              <w:marLeft w:val="0"/>
              <w:marRight w:val="0"/>
              <w:marTop w:val="0"/>
              <w:marBottom w:val="0"/>
              <w:divBdr>
                <w:top w:val="none" w:sz="0" w:space="0" w:color="auto"/>
                <w:left w:val="none" w:sz="0" w:space="0" w:color="auto"/>
                <w:bottom w:val="none" w:sz="0" w:space="0" w:color="auto"/>
                <w:right w:val="none" w:sz="0" w:space="0" w:color="auto"/>
              </w:divBdr>
            </w:div>
            <w:div w:id="529222511">
              <w:marLeft w:val="0"/>
              <w:marRight w:val="0"/>
              <w:marTop w:val="0"/>
              <w:marBottom w:val="0"/>
              <w:divBdr>
                <w:top w:val="none" w:sz="0" w:space="0" w:color="auto"/>
                <w:left w:val="none" w:sz="0" w:space="0" w:color="auto"/>
                <w:bottom w:val="none" w:sz="0" w:space="0" w:color="auto"/>
                <w:right w:val="none" w:sz="0" w:space="0" w:color="auto"/>
              </w:divBdr>
            </w:div>
            <w:div w:id="534925986">
              <w:marLeft w:val="0"/>
              <w:marRight w:val="0"/>
              <w:marTop w:val="0"/>
              <w:marBottom w:val="0"/>
              <w:divBdr>
                <w:top w:val="none" w:sz="0" w:space="0" w:color="auto"/>
                <w:left w:val="none" w:sz="0" w:space="0" w:color="auto"/>
                <w:bottom w:val="none" w:sz="0" w:space="0" w:color="auto"/>
                <w:right w:val="none" w:sz="0" w:space="0" w:color="auto"/>
              </w:divBdr>
            </w:div>
            <w:div w:id="557743509">
              <w:marLeft w:val="0"/>
              <w:marRight w:val="0"/>
              <w:marTop w:val="0"/>
              <w:marBottom w:val="0"/>
              <w:divBdr>
                <w:top w:val="none" w:sz="0" w:space="0" w:color="auto"/>
                <w:left w:val="none" w:sz="0" w:space="0" w:color="auto"/>
                <w:bottom w:val="none" w:sz="0" w:space="0" w:color="auto"/>
                <w:right w:val="none" w:sz="0" w:space="0" w:color="auto"/>
              </w:divBdr>
            </w:div>
            <w:div w:id="584998105">
              <w:marLeft w:val="0"/>
              <w:marRight w:val="0"/>
              <w:marTop w:val="0"/>
              <w:marBottom w:val="0"/>
              <w:divBdr>
                <w:top w:val="none" w:sz="0" w:space="0" w:color="auto"/>
                <w:left w:val="none" w:sz="0" w:space="0" w:color="auto"/>
                <w:bottom w:val="none" w:sz="0" w:space="0" w:color="auto"/>
                <w:right w:val="none" w:sz="0" w:space="0" w:color="auto"/>
              </w:divBdr>
            </w:div>
            <w:div w:id="603146400">
              <w:marLeft w:val="0"/>
              <w:marRight w:val="0"/>
              <w:marTop w:val="0"/>
              <w:marBottom w:val="0"/>
              <w:divBdr>
                <w:top w:val="none" w:sz="0" w:space="0" w:color="auto"/>
                <w:left w:val="none" w:sz="0" w:space="0" w:color="auto"/>
                <w:bottom w:val="none" w:sz="0" w:space="0" w:color="auto"/>
                <w:right w:val="none" w:sz="0" w:space="0" w:color="auto"/>
              </w:divBdr>
            </w:div>
            <w:div w:id="904027177">
              <w:marLeft w:val="0"/>
              <w:marRight w:val="0"/>
              <w:marTop w:val="0"/>
              <w:marBottom w:val="0"/>
              <w:divBdr>
                <w:top w:val="none" w:sz="0" w:space="0" w:color="auto"/>
                <w:left w:val="none" w:sz="0" w:space="0" w:color="auto"/>
                <w:bottom w:val="none" w:sz="0" w:space="0" w:color="auto"/>
                <w:right w:val="none" w:sz="0" w:space="0" w:color="auto"/>
              </w:divBdr>
            </w:div>
            <w:div w:id="916281112">
              <w:marLeft w:val="0"/>
              <w:marRight w:val="0"/>
              <w:marTop w:val="0"/>
              <w:marBottom w:val="0"/>
              <w:divBdr>
                <w:top w:val="none" w:sz="0" w:space="0" w:color="auto"/>
                <w:left w:val="none" w:sz="0" w:space="0" w:color="auto"/>
                <w:bottom w:val="none" w:sz="0" w:space="0" w:color="auto"/>
                <w:right w:val="none" w:sz="0" w:space="0" w:color="auto"/>
              </w:divBdr>
            </w:div>
            <w:div w:id="1236427906">
              <w:marLeft w:val="0"/>
              <w:marRight w:val="0"/>
              <w:marTop w:val="0"/>
              <w:marBottom w:val="0"/>
              <w:divBdr>
                <w:top w:val="none" w:sz="0" w:space="0" w:color="auto"/>
                <w:left w:val="none" w:sz="0" w:space="0" w:color="auto"/>
                <w:bottom w:val="none" w:sz="0" w:space="0" w:color="auto"/>
                <w:right w:val="none" w:sz="0" w:space="0" w:color="auto"/>
              </w:divBdr>
            </w:div>
            <w:div w:id="1498839588">
              <w:marLeft w:val="0"/>
              <w:marRight w:val="0"/>
              <w:marTop w:val="0"/>
              <w:marBottom w:val="0"/>
              <w:divBdr>
                <w:top w:val="none" w:sz="0" w:space="0" w:color="auto"/>
                <w:left w:val="none" w:sz="0" w:space="0" w:color="auto"/>
                <w:bottom w:val="none" w:sz="0" w:space="0" w:color="auto"/>
                <w:right w:val="none" w:sz="0" w:space="0" w:color="auto"/>
              </w:divBdr>
            </w:div>
            <w:div w:id="1592347863">
              <w:marLeft w:val="0"/>
              <w:marRight w:val="0"/>
              <w:marTop w:val="0"/>
              <w:marBottom w:val="0"/>
              <w:divBdr>
                <w:top w:val="none" w:sz="0" w:space="0" w:color="auto"/>
                <w:left w:val="none" w:sz="0" w:space="0" w:color="auto"/>
                <w:bottom w:val="none" w:sz="0" w:space="0" w:color="auto"/>
                <w:right w:val="none" w:sz="0" w:space="0" w:color="auto"/>
              </w:divBdr>
            </w:div>
            <w:div w:id="1643120967">
              <w:marLeft w:val="0"/>
              <w:marRight w:val="0"/>
              <w:marTop w:val="0"/>
              <w:marBottom w:val="0"/>
              <w:divBdr>
                <w:top w:val="none" w:sz="0" w:space="0" w:color="auto"/>
                <w:left w:val="none" w:sz="0" w:space="0" w:color="auto"/>
                <w:bottom w:val="none" w:sz="0" w:space="0" w:color="auto"/>
                <w:right w:val="none" w:sz="0" w:space="0" w:color="auto"/>
              </w:divBdr>
            </w:div>
            <w:div w:id="1660500829">
              <w:marLeft w:val="0"/>
              <w:marRight w:val="0"/>
              <w:marTop w:val="0"/>
              <w:marBottom w:val="0"/>
              <w:divBdr>
                <w:top w:val="none" w:sz="0" w:space="0" w:color="auto"/>
                <w:left w:val="none" w:sz="0" w:space="0" w:color="auto"/>
                <w:bottom w:val="none" w:sz="0" w:space="0" w:color="auto"/>
                <w:right w:val="none" w:sz="0" w:space="0" w:color="auto"/>
              </w:divBdr>
            </w:div>
            <w:div w:id="1824814630">
              <w:marLeft w:val="0"/>
              <w:marRight w:val="0"/>
              <w:marTop w:val="0"/>
              <w:marBottom w:val="0"/>
              <w:divBdr>
                <w:top w:val="none" w:sz="0" w:space="0" w:color="auto"/>
                <w:left w:val="none" w:sz="0" w:space="0" w:color="auto"/>
                <w:bottom w:val="none" w:sz="0" w:space="0" w:color="auto"/>
                <w:right w:val="none" w:sz="0" w:space="0" w:color="auto"/>
              </w:divBdr>
            </w:div>
            <w:div w:id="1917589060">
              <w:marLeft w:val="0"/>
              <w:marRight w:val="0"/>
              <w:marTop w:val="0"/>
              <w:marBottom w:val="0"/>
              <w:divBdr>
                <w:top w:val="none" w:sz="0" w:space="0" w:color="auto"/>
                <w:left w:val="none" w:sz="0" w:space="0" w:color="auto"/>
                <w:bottom w:val="none" w:sz="0" w:space="0" w:color="auto"/>
                <w:right w:val="none" w:sz="0" w:space="0" w:color="auto"/>
              </w:divBdr>
            </w:div>
            <w:div w:id="1996452002">
              <w:marLeft w:val="0"/>
              <w:marRight w:val="0"/>
              <w:marTop w:val="0"/>
              <w:marBottom w:val="0"/>
              <w:divBdr>
                <w:top w:val="none" w:sz="0" w:space="0" w:color="auto"/>
                <w:left w:val="none" w:sz="0" w:space="0" w:color="auto"/>
                <w:bottom w:val="none" w:sz="0" w:space="0" w:color="auto"/>
                <w:right w:val="none" w:sz="0" w:space="0" w:color="auto"/>
              </w:divBdr>
            </w:div>
            <w:div w:id="2016684159">
              <w:marLeft w:val="0"/>
              <w:marRight w:val="0"/>
              <w:marTop w:val="0"/>
              <w:marBottom w:val="0"/>
              <w:divBdr>
                <w:top w:val="none" w:sz="0" w:space="0" w:color="auto"/>
                <w:left w:val="none" w:sz="0" w:space="0" w:color="auto"/>
                <w:bottom w:val="none" w:sz="0" w:space="0" w:color="auto"/>
                <w:right w:val="none" w:sz="0" w:space="0" w:color="auto"/>
              </w:divBdr>
            </w:div>
            <w:div w:id="2042393557">
              <w:marLeft w:val="0"/>
              <w:marRight w:val="0"/>
              <w:marTop w:val="0"/>
              <w:marBottom w:val="0"/>
              <w:divBdr>
                <w:top w:val="none" w:sz="0" w:space="0" w:color="auto"/>
                <w:left w:val="none" w:sz="0" w:space="0" w:color="auto"/>
                <w:bottom w:val="none" w:sz="0" w:space="0" w:color="auto"/>
                <w:right w:val="none" w:sz="0" w:space="0" w:color="auto"/>
              </w:divBdr>
            </w:div>
          </w:divsChild>
        </w:div>
        <w:div w:id="2111045909">
          <w:marLeft w:val="0"/>
          <w:marRight w:val="0"/>
          <w:marTop w:val="0"/>
          <w:marBottom w:val="0"/>
          <w:divBdr>
            <w:top w:val="none" w:sz="0" w:space="0" w:color="auto"/>
            <w:left w:val="none" w:sz="0" w:space="0" w:color="auto"/>
            <w:bottom w:val="none" w:sz="0" w:space="0" w:color="auto"/>
            <w:right w:val="none" w:sz="0" w:space="0" w:color="auto"/>
          </w:divBdr>
          <w:divsChild>
            <w:div w:id="83647284">
              <w:marLeft w:val="0"/>
              <w:marRight w:val="0"/>
              <w:marTop w:val="0"/>
              <w:marBottom w:val="0"/>
              <w:divBdr>
                <w:top w:val="none" w:sz="0" w:space="0" w:color="auto"/>
                <w:left w:val="none" w:sz="0" w:space="0" w:color="auto"/>
                <w:bottom w:val="none" w:sz="0" w:space="0" w:color="auto"/>
                <w:right w:val="none" w:sz="0" w:space="0" w:color="auto"/>
              </w:divBdr>
            </w:div>
            <w:div w:id="280038483">
              <w:marLeft w:val="0"/>
              <w:marRight w:val="0"/>
              <w:marTop w:val="0"/>
              <w:marBottom w:val="0"/>
              <w:divBdr>
                <w:top w:val="none" w:sz="0" w:space="0" w:color="auto"/>
                <w:left w:val="none" w:sz="0" w:space="0" w:color="auto"/>
                <w:bottom w:val="none" w:sz="0" w:space="0" w:color="auto"/>
                <w:right w:val="none" w:sz="0" w:space="0" w:color="auto"/>
              </w:divBdr>
            </w:div>
            <w:div w:id="496768638">
              <w:marLeft w:val="0"/>
              <w:marRight w:val="0"/>
              <w:marTop w:val="0"/>
              <w:marBottom w:val="0"/>
              <w:divBdr>
                <w:top w:val="none" w:sz="0" w:space="0" w:color="auto"/>
                <w:left w:val="none" w:sz="0" w:space="0" w:color="auto"/>
                <w:bottom w:val="none" w:sz="0" w:space="0" w:color="auto"/>
                <w:right w:val="none" w:sz="0" w:space="0" w:color="auto"/>
              </w:divBdr>
            </w:div>
            <w:div w:id="544492311">
              <w:marLeft w:val="0"/>
              <w:marRight w:val="0"/>
              <w:marTop w:val="0"/>
              <w:marBottom w:val="0"/>
              <w:divBdr>
                <w:top w:val="none" w:sz="0" w:space="0" w:color="auto"/>
                <w:left w:val="none" w:sz="0" w:space="0" w:color="auto"/>
                <w:bottom w:val="none" w:sz="0" w:space="0" w:color="auto"/>
                <w:right w:val="none" w:sz="0" w:space="0" w:color="auto"/>
              </w:divBdr>
            </w:div>
            <w:div w:id="698552639">
              <w:marLeft w:val="0"/>
              <w:marRight w:val="0"/>
              <w:marTop w:val="0"/>
              <w:marBottom w:val="0"/>
              <w:divBdr>
                <w:top w:val="none" w:sz="0" w:space="0" w:color="auto"/>
                <w:left w:val="none" w:sz="0" w:space="0" w:color="auto"/>
                <w:bottom w:val="none" w:sz="0" w:space="0" w:color="auto"/>
                <w:right w:val="none" w:sz="0" w:space="0" w:color="auto"/>
              </w:divBdr>
            </w:div>
            <w:div w:id="805661581">
              <w:marLeft w:val="0"/>
              <w:marRight w:val="0"/>
              <w:marTop w:val="0"/>
              <w:marBottom w:val="0"/>
              <w:divBdr>
                <w:top w:val="none" w:sz="0" w:space="0" w:color="auto"/>
                <w:left w:val="none" w:sz="0" w:space="0" w:color="auto"/>
                <w:bottom w:val="none" w:sz="0" w:space="0" w:color="auto"/>
                <w:right w:val="none" w:sz="0" w:space="0" w:color="auto"/>
              </w:divBdr>
            </w:div>
            <w:div w:id="916138429">
              <w:marLeft w:val="0"/>
              <w:marRight w:val="0"/>
              <w:marTop w:val="0"/>
              <w:marBottom w:val="0"/>
              <w:divBdr>
                <w:top w:val="none" w:sz="0" w:space="0" w:color="auto"/>
                <w:left w:val="none" w:sz="0" w:space="0" w:color="auto"/>
                <w:bottom w:val="none" w:sz="0" w:space="0" w:color="auto"/>
                <w:right w:val="none" w:sz="0" w:space="0" w:color="auto"/>
              </w:divBdr>
            </w:div>
            <w:div w:id="942806456">
              <w:marLeft w:val="0"/>
              <w:marRight w:val="0"/>
              <w:marTop w:val="0"/>
              <w:marBottom w:val="0"/>
              <w:divBdr>
                <w:top w:val="none" w:sz="0" w:space="0" w:color="auto"/>
                <w:left w:val="none" w:sz="0" w:space="0" w:color="auto"/>
                <w:bottom w:val="none" w:sz="0" w:space="0" w:color="auto"/>
                <w:right w:val="none" w:sz="0" w:space="0" w:color="auto"/>
              </w:divBdr>
            </w:div>
            <w:div w:id="964821626">
              <w:marLeft w:val="0"/>
              <w:marRight w:val="0"/>
              <w:marTop w:val="0"/>
              <w:marBottom w:val="0"/>
              <w:divBdr>
                <w:top w:val="none" w:sz="0" w:space="0" w:color="auto"/>
                <w:left w:val="none" w:sz="0" w:space="0" w:color="auto"/>
                <w:bottom w:val="none" w:sz="0" w:space="0" w:color="auto"/>
                <w:right w:val="none" w:sz="0" w:space="0" w:color="auto"/>
              </w:divBdr>
            </w:div>
            <w:div w:id="1005354424">
              <w:marLeft w:val="0"/>
              <w:marRight w:val="0"/>
              <w:marTop w:val="0"/>
              <w:marBottom w:val="0"/>
              <w:divBdr>
                <w:top w:val="none" w:sz="0" w:space="0" w:color="auto"/>
                <w:left w:val="none" w:sz="0" w:space="0" w:color="auto"/>
                <w:bottom w:val="none" w:sz="0" w:space="0" w:color="auto"/>
                <w:right w:val="none" w:sz="0" w:space="0" w:color="auto"/>
              </w:divBdr>
            </w:div>
            <w:div w:id="1127814320">
              <w:marLeft w:val="0"/>
              <w:marRight w:val="0"/>
              <w:marTop w:val="0"/>
              <w:marBottom w:val="0"/>
              <w:divBdr>
                <w:top w:val="none" w:sz="0" w:space="0" w:color="auto"/>
                <w:left w:val="none" w:sz="0" w:space="0" w:color="auto"/>
                <w:bottom w:val="none" w:sz="0" w:space="0" w:color="auto"/>
                <w:right w:val="none" w:sz="0" w:space="0" w:color="auto"/>
              </w:divBdr>
            </w:div>
            <w:div w:id="1176649998">
              <w:marLeft w:val="0"/>
              <w:marRight w:val="0"/>
              <w:marTop w:val="0"/>
              <w:marBottom w:val="0"/>
              <w:divBdr>
                <w:top w:val="none" w:sz="0" w:space="0" w:color="auto"/>
                <w:left w:val="none" w:sz="0" w:space="0" w:color="auto"/>
                <w:bottom w:val="none" w:sz="0" w:space="0" w:color="auto"/>
                <w:right w:val="none" w:sz="0" w:space="0" w:color="auto"/>
              </w:divBdr>
            </w:div>
            <w:div w:id="1197086668">
              <w:marLeft w:val="0"/>
              <w:marRight w:val="0"/>
              <w:marTop w:val="0"/>
              <w:marBottom w:val="0"/>
              <w:divBdr>
                <w:top w:val="none" w:sz="0" w:space="0" w:color="auto"/>
                <w:left w:val="none" w:sz="0" w:space="0" w:color="auto"/>
                <w:bottom w:val="none" w:sz="0" w:space="0" w:color="auto"/>
                <w:right w:val="none" w:sz="0" w:space="0" w:color="auto"/>
              </w:divBdr>
            </w:div>
            <w:div w:id="1373382752">
              <w:marLeft w:val="0"/>
              <w:marRight w:val="0"/>
              <w:marTop w:val="0"/>
              <w:marBottom w:val="0"/>
              <w:divBdr>
                <w:top w:val="none" w:sz="0" w:space="0" w:color="auto"/>
                <w:left w:val="none" w:sz="0" w:space="0" w:color="auto"/>
                <w:bottom w:val="none" w:sz="0" w:space="0" w:color="auto"/>
                <w:right w:val="none" w:sz="0" w:space="0" w:color="auto"/>
              </w:divBdr>
            </w:div>
            <w:div w:id="1485587302">
              <w:marLeft w:val="0"/>
              <w:marRight w:val="0"/>
              <w:marTop w:val="0"/>
              <w:marBottom w:val="0"/>
              <w:divBdr>
                <w:top w:val="none" w:sz="0" w:space="0" w:color="auto"/>
                <w:left w:val="none" w:sz="0" w:space="0" w:color="auto"/>
                <w:bottom w:val="none" w:sz="0" w:space="0" w:color="auto"/>
                <w:right w:val="none" w:sz="0" w:space="0" w:color="auto"/>
              </w:divBdr>
            </w:div>
            <w:div w:id="1667248093">
              <w:marLeft w:val="0"/>
              <w:marRight w:val="0"/>
              <w:marTop w:val="0"/>
              <w:marBottom w:val="0"/>
              <w:divBdr>
                <w:top w:val="none" w:sz="0" w:space="0" w:color="auto"/>
                <w:left w:val="none" w:sz="0" w:space="0" w:color="auto"/>
                <w:bottom w:val="none" w:sz="0" w:space="0" w:color="auto"/>
                <w:right w:val="none" w:sz="0" w:space="0" w:color="auto"/>
              </w:divBdr>
            </w:div>
            <w:div w:id="1854106146">
              <w:marLeft w:val="0"/>
              <w:marRight w:val="0"/>
              <w:marTop w:val="0"/>
              <w:marBottom w:val="0"/>
              <w:divBdr>
                <w:top w:val="none" w:sz="0" w:space="0" w:color="auto"/>
                <w:left w:val="none" w:sz="0" w:space="0" w:color="auto"/>
                <w:bottom w:val="none" w:sz="0" w:space="0" w:color="auto"/>
                <w:right w:val="none" w:sz="0" w:space="0" w:color="auto"/>
              </w:divBdr>
            </w:div>
            <w:div w:id="2066372592">
              <w:marLeft w:val="0"/>
              <w:marRight w:val="0"/>
              <w:marTop w:val="0"/>
              <w:marBottom w:val="0"/>
              <w:divBdr>
                <w:top w:val="none" w:sz="0" w:space="0" w:color="auto"/>
                <w:left w:val="none" w:sz="0" w:space="0" w:color="auto"/>
                <w:bottom w:val="none" w:sz="0" w:space="0" w:color="auto"/>
                <w:right w:val="none" w:sz="0" w:space="0" w:color="auto"/>
              </w:divBdr>
            </w:div>
          </w:divsChild>
        </w:div>
        <w:div w:id="2120174423">
          <w:marLeft w:val="0"/>
          <w:marRight w:val="0"/>
          <w:marTop w:val="0"/>
          <w:marBottom w:val="0"/>
          <w:divBdr>
            <w:top w:val="none" w:sz="0" w:space="0" w:color="auto"/>
            <w:left w:val="none" w:sz="0" w:space="0" w:color="auto"/>
            <w:bottom w:val="none" w:sz="0" w:space="0" w:color="auto"/>
            <w:right w:val="none" w:sz="0" w:space="0" w:color="auto"/>
          </w:divBdr>
        </w:div>
      </w:divsChild>
    </w:div>
    <w:div w:id="1937790847">
      <w:bodyDiv w:val="1"/>
      <w:marLeft w:val="0"/>
      <w:marRight w:val="0"/>
      <w:marTop w:val="0"/>
      <w:marBottom w:val="0"/>
      <w:divBdr>
        <w:top w:val="none" w:sz="0" w:space="0" w:color="auto"/>
        <w:left w:val="none" w:sz="0" w:space="0" w:color="auto"/>
        <w:bottom w:val="none" w:sz="0" w:space="0" w:color="auto"/>
        <w:right w:val="none" w:sz="0" w:space="0" w:color="auto"/>
      </w:divBdr>
    </w:div>
    <w:div w:id="1942104537">
      <w:bodyDiv w:val="1"/>
      <w:marLeft w:val="0"/>
      <w:marRight w:val="0"/>
      <w:marTop w:val="0"/>
      <w:marBottom w:val="0"/>
      <w:divBdr>
        <w:top w:val="none" w:sz="0" w:space="0" w:color="auto"/>
        <w:left w:val="none" w:sz="0" w:space="0" w:color="auto"/>
        <w:bottom w:val="none" w:sz="0" w:space="0" w:color="auto"/>
        <w:right w:val="none" w:sz="0" w:space="0" w:color="auto"/>
      </w:divBdr>
    </w:div>
    <w:div w:id="1958482109">
      <w:bodyDiv w:val="1"/>
      <w:marLeft w:val="0"/>
      <w:marRight w:val="0"/>
      <w:marTop w:val="0"/>
      <w:marBottom w:val="0"/>
      <w:divBdr>
        <w:top w:val="none" w:sz="0" w:space="0" w:color="auto"/>
        <w:left w:val="none" w:sz="0" w:space="0" w:color="auto"/>
        <w:bottom w:val="none" w:sz="0" w:space="0" w:color="auto"/>
        <w:right w:val="none" w:sz="0" w:space="0" w:color="auto"/>
      </w:divBdr>
      <w:divsChild>
        <w:div w:id="15425787">
          <w:marLeft w:val="0"/>
          <w:marRight w:val="0"/>
          <w:marTop w:val="0"/>
          <w:marBottom w:val="0"/>
          <w:divBdr>
            <w:top w:val="none" w:sz="0" w:space="0" w:color="auto"/>
            <w:left w:val="none" w:sz="0" w:space="0" w:color="auto"/>
            <w:bottom w:val="none" w:sz="0" w:space="0" w:color="auto"/>
            <w:right w:val="none" w:sz="0" w:space="0" w:color="auto"/>
          </w:divBdr>
        </w:div>
        <w:div w:id="491719499">
          <w:marLeft w:val="0"/>
          <w:marRight w:val="0"/>
          <w:marTop w:val="0"/>
          <w:marBottom w:val="0"/>
          <w:divBdr>
            <w:top w:val="none" w:sz="0" w:space="0" w:color="auto"/>
            <w:left w:val="none" w:sz="0" w:space="0" w:color="auto"/>
            <w:bottom w:val="none" w:sz="0" w:space="0" w:color="auto"/>
            <w:right w:val="none" w:sz="0" w:space="0" w:color="auto"/>
          </w:divBdr>
        </w:div>
        <w:div w:id="835341378">
          <w:marLeft w:val="0"/>
          <w:marRight w:val="0"/>
          <w:marTop w:val="0"/>
          <w:marBottom w:val="0"/>
          <w:divBdr>
            <w:top w:val="none" w:sz="0" w:space="0" w:color="auto"/>
            <w:left w:val="none" w:sz="0" w:space="0" w:color="auto"/>
            <w:bottom w:val="none" w:sz="0" w:space="0" w:color="auto"/>
            <w:right w:val="none" w:sz="0" w:space="0" w:color="auto"/>
          </w:divBdr>
        </w:div>
        <w:div w:id="989866132">
          <w:marLeft w:val="0"/>
          <w:marRight w:val="0"/>
          <w:marTop w:val="0"/>
          <w:marBottom w:val="0"/>
          <w:divBdr>
            <w:top w:val="none" w:sz="0" w:space="0" w:color="auto"/>
            <w:left w:val="none" w:sz="0" w:space="0" w:color="auto"/>
            <w:bottom w:val="none" w:sz="0" w:space="0" w:color="auto"/>
            <w:right w:val="none" w:sz="0" w:space="0" w:color="auto"/>
          </w:divBdr>
        </w:div>
        <w:div w:id="1017659112">
          <w:marLeft w:val="0"/>
          <w:marRight w:val="0"/>
          <w:marTop w:val="0"/>
          <w:marBottom w:val="0"/>
          <w:divBdr>
            <w:top w:val="none" w:sz="0" w:space="0" w:color="auto"/>
            <w:left w:val="none" w:sz="0" w:space="0" w:color="auto"/>
            <w:bottom w:val="none" w:sz="0" w:space="0" w:color="auto"/>
            <w:right w:val="none" w:sz="0" w:space="0" w:color="auto"/>
          </w:divBdr>
        </w:div>
        <w:div w:id="1487166710">
          <w:marLeft w:val="0"/>
          <w:marRight w:val="0"/>
          <w:marTop w:val="0"/>
          <w:marBottom w:val="0"/>
          <w:divBdr>
            <w:top w:val="none" w:sz="0" w:space="0" w:color="auto"/>
            <w:left w:val="none" w:sz="0" w:space="0" w:color="auto"/>
            <w:bottom w:val="none" w:sz="0" w:space="0" w:color="auto"/>
            <w:right w:val="none" w:sz="0" w:space="0" w:color="auto"/>
          </w:divBdr>
        </w:div>
        <w:div w:id="1972175407">
          <w:marLeft w:val="0"/>
          <w:marRight w:val="0"/>
          <w:marTop w:val="0"/>
          <w:marBottom w:val="0"/>
          <w:divBdr>
            <w:top w:val="none" w:sz="0" w:space="0" w:color="auto"/>
            <w:left w:val="none" w:sz="0" w:space="0" w:color="auto"/>
            <w:bottom w:val="none" w:sz="0" w:space="0" w:color="auto"/>
            <w:right w:val="none" w:sz="0" w:space="0" w:color="auto"/>
          </w:divBdr>
        </w:div>
      </w:divsChild>
    </w:div>
    <w:div w:id="2013139818">
      <w:bodyDiv w:val="1"/>
      <w:marLeft w:val="0"/>
      <w:marRight w:val="0"/>
      <w:marTop w:val="0"/>
      <w:marBottom w:val="0"/>
      <w:divBdr>
        <w:top w:val="none" w:sz="0" w:space="0" w:color="auto"/>
        <w:left w:val="none" w:sz="0" w:space="0" w:color="auto"/>
        <w:bottom w:val="none" w:sz="0" w:space="0" w:color="auto"/>
        <w:right w:val="none" w:sz="0" w:space="0" w:color="auto"/>
      </w:divBdr>
    </w:div>
    <w:div w:id="2030985051">
      <w:bodyDiv w:val="1"/>
      <w:marLeft w:val="0"/>
      <w:marRight w:val="0"/>
      <w:marTop w:val="0"/>
      <w:marBottom w:val="0"/>
      <w:divBdr>
        <w:top w:val="none" w:sz="0" w:space="0" w:color="auto"/>
        <w:left w:val="none" w:sz="0" w:space="0" w:color="auto"/>
        <w:bottom w:val="none" w:sz="0" w:space="0" w:color="auto"/>
        <w:right w:val="none" w:sz="0" w:space="0" w:color="auto"/>
      </w:divBdr>
    </w:div>
    <w:div w:id="2067952660">
      <w:bodyDiv w:val="1"/>
      <w:marLeft w:val="0"/>
      <w:marRight w:val="0"/>
      <w:marTop w:val="0"/>
      <w:marBottom w:val="0"/>
      <w:divBdr>
        <w:top w:val="none" w:sz="0" w:space="0" w:color="auto"/>
        <w:left w:val="none" w:sz="0" w:space="0" w:color="auto"/>
        <w:bottom w:val="none" w:sz="0" w:space="0" w:color="auto"/>
        <w:right w:val="none" w:sz="0" w:space="0" w:color="auto"/>
      </w:divBdr>
      <w:divsChild>
        <w:div w:id="668142952">
          <w:marLeft w:val="0"/>
          <w:marRight w:val="0"/>
          <w:marTop w:val="0"/>
          <w:marBottom w:val="0"/>
          <w:divBdr>
            <w:top w:val="none" w:sz="0" w:space="0" w:color="auto"/>
            <w:left w:val="none" w:sz="0" w:space="0" w:color="auto"/>
            <w:bottom w:val="none" w:sz="0" w:space="0" w:color="auto"/>
            <w:right w:val="none" w:sz="0" w:space="0" w:color="auto"/>
          </w:divBdr>
        </w:div>
        <w:div w:id="1534925482">
          <w:marLeft w:val="0"/>
          <w:marRight w:val="0"/>
          <w:marTop w:val="0"/>
          <w:marBottom w:val="0"/>
          <w:divBdr>
            <w:top w:val="none" w:sz="0" w:space="0" w:color="auto"/>
            <w:left w:val="none" w:sz="0" w:space="0" w:color="auto"/>
            <w:bottom w:val="none" w:sz="0" w:space="0" w:color="auto"/>
            <w:right w:val="none" w:sz="0" w:space="0" w:color="auto"/>
          </w:divBdr>
        </w:div>
      </w:divsChild>
    </w:div>
    <w:div w:id="2073044872">
      <w:bodyDiv w:val="1"/>
      <w:marLeft w:val="0"/>
      <w:marRight w:val="0"/>
      <w:marTop w:val="0"/>
      <w:marBottom w:val="0"/>
      <w:divBdr>
        <w:top w:val="none" w:sz="0" w:space="0" w:color="auto"/>
        <w:left w:val="none" w:sz="0" w:space="0" w:color="auto"/>
        <w:bottom w:val="none" w:sz="0" w:space="0" w:color="auto"/>
        <w:right w:val="none" w:sz="0" w:space="0" w:color="auto"/>
      </w:divBdr>
    </w:div>
    <w:div w:id="2103794986">
      <w:bodyDiv w:val="1"/>
      <w:marLeft w:val="0"/>
      <w:marRight w:val="0"/>
      <w:marTop w:val="0"/>
      <w:marBottom w:val="0"/>
      <w:divBdr>
        <w:top w:val="none" w:sz="0" w:space="0" w:color="auto"/>
        <w:left w:val="none" w:sz="0" w:space="0" w:color="auto"/>
        <w:bottom w:val="none" w:sz="0" w:space="0" w:color="auto"/>
        <w:right w:val="none" w:sz="0" w:space="0" w:color="auto"/>
      </w:divBdr>
    </w:div>
    <w:div w:id="2107769284">
      <w:bodyDiv w:val="1"/>
      <w:marLeft w:val="0"/>
      <w:marRight w:val="0"/>
      <w:marTop w:val="0"/>
      <w:marBottom w:val="0"/>
      <w:divBdr>
        <w:top w:val="none" w:sz="0" w:space="0" w:color="auto"/>
        <w:left w:val="none" w:sz="0" w:space="0" w:color="auto"/>
        <w:bottom w:val="none" w:sz="0" w:space="0" w:color="auto"/>
        <w:right w:val="none" w:sz="0" w:space="0" w:color="auto"/>
      </w:divBdr>
    </w:div>
    <w:div w:id="213190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C2015A00123/latest/text" TargetMode="External"/><Relationship Id="rId21" Type="http://schemas.openxmlformats.org/officeDocument/2006/relationships/footer" Target="footer4.xml"/><Relationship Id="rId42" Type="http://schemas.openxmlformats.org/officeDocument/2006/relationships/image" Target="media/image14.png"/><Relationship Id="rId47" Type="http://schemas.openxmlformats.org/officeDocument/2006/relationships/hyperlink" Target="https://aus01.safelinks.protection.outlook.com/?url=https%3A%2F%2Fwww.asbfeo.gov.au%2Fdisputes-assistance%2Fhow-we-help&amp;data=05%7C02%7CMichelle.Calder%40TREASURY.GOV.AU%7C50b6d77da70347ca0c5e08dd69cc4bea%7C214f1646202147cc8397e3d3a7ba7d9d%7C0%7C0%7C638783048349765986%7CUnknown%7CTWFpbGZsb3d8eyJFbXB0eU1hcGkiOnRydWUsIlYiOiIwLjAuMDAwMCIsIlAiOiJXaW4zMiIsIkFOIjoiTWFpbCIsIldUIjoyfQ%3D%3D%7C0%7C%7C%7C&amp;sdata=bEhU3cV7Ww4eFWaFtE%2Fo3xKsPP0IkTX2o05eClAHp8E%3D&amp;reserved=0" TargetMode="External"/><Relationship Id="rId63" Type="http://schemas.openxmlformats.org/officeDocument/2006/relationships/image" Target="media/image32.png"/><Relationship Id="rId68" Type="http://schemas.openxmlformats.org/officeDocument/2006/relationships/image" Target="media/image37.svg"/><Relationship Id="rId84" Type="http://schemas.openxmlformats.org/officeDocument/2006/relationships/chart" Target="charts/chart12.xml"/><Relationship Id="rId89" Type="http://schemas.openxmlformats.org/officeDocument/2006/relationships/chart" Target="charts/chart17.xml"/><Relationship Id="rId16" Type="http://schemas.openxmlformats.org/officeDocument/2006/relationships/footer" Target="footer1.xml"/><Relationship Id="rId107" Type="http://schemas.openxmlformats.org/officeDocument/2006/relationships/hyperlink" Target="https://www.mbie.govt.nz/?q=inhouse%20mediation&amp;size=n_20_n" TargetMode="External"/><Relationship Id="rId11" Type="http://schemas.openxmlformats.org/officeDocument/2006/relationships/image" Target="media/image2.wmf"/><Relationship Id="rId32" Type="http://schemas.openxmlformats.org/officeDocument/2006/relationships/image" Target="media/image9.svg"/><Relationship Id="rId37" Type="http://schemas.openxmlformats.org/officeDocument/2006/relationships/hyperlink" Target="https://treasury.gov.au/sites/default/files/2024-10/p2024-590845-ar.pdf" TargetMode="External"/><Relationship Id="rId53" Type="http://schemas.openxmlformats.org/officeDocument/2006/relationships/image" Target="media/image22.png"/><Relationship Id="rId58" Type="http://schemas.openxmlformats.org/officeDocument/2006/relationships/image" Target="media/image27.svg"/><Relationship Id="rId74" Type="http://schemas.openxmlformats.org/officeDocument/2006/relationships/chart" Target="charts/chart2.xml"/><Relationship Id="rId79" Type="http://schemas.openxmlformats.org/officeDocument/2006/relationships/chart" Target="charts/chart7.xml"/><Relationship Id="rId102" Type="http://schemas.openxmlformats.org/officeDocument/2006/relationships/hyperlink" Target="https://www.smallbusinesscommissioner.gov.uk/about-us/" TargetMode="External"/><Relationship Id="rId5" Type="http://schemas.openxmlformats.org/officeDocument/2006/relationships/footnotes" Target="footnotes.xml"/><Relationship Id="rId90" Type="http://schemas.openxmlformats.org/officeDocument/2006/relationships/chart" Target="charts/chart18.xml"/><Relationship Id="rId95" Type="http://schemas.openxmlformats.org/officeDocument/2006/relationships/chart" Target="charts/chart23.xml"/><Relationship Id="rId22" Type="http://schemas.openxmlformats.org/officeDocument/2006/relationships/footer" Target="footer5.xml"/><Relationship Id="rId27" Type="http://schemas.openxmlformats.org/officeDocument/2006/relationships/image" Target="media/image4.png"/><Relationship Id="rId43" Type="http://schemas.openxmlformats.org/officeDocument/2006/relationships/image" Target="media/image15.svg"/><Relationship Id="rId48" Type="http://schemas.openxmlformats.org/officeDocument/2006/relationships/hyperlink" Target="mailto:info@asbfeo.gov.au" TargetMode="External"/><Relationship Id="rId64" Type="http://schemas.openxmlformats.org/officeDocument/2006/relationships/image" Target="media/image33.svg"/><Relationship Id="rId69" Type="http://schemas.openxmlformats.org/officeDocument/2006/relationships/image" Target="media/image38.png"/><Relationship Id="rId80" Type="http://schemas.openxmlformats.org/officeDocument/2006/relationships/chart" Target="charts/chart8.xml"/><Relationship Id="rId85" Type="http://schemas.openxmlformats.org/officeDocument/2006/relationships/chart" Target="charts/chart13.xml"/><Relationship Id="rId12" Type="http://schemas.openxmlformats.org/officeDocument/2006/relationships/hyperlink" Target="https://creativecommons.org/licenses/by/4.0/" TargetMode="External"/><Relationship Id="rId17" Type="http://schemas.openxmlformats.org/officeDocument/2006/relationships/footer" Target="footer2.xml"/><Relationship Id="rId33" Type="http://schemas.openxmlformats.org/officeDocument/2006/relationships/hyperlink" Target="https://aus01.safelinks.protection.outlook.com/?url=https%3A%2F%2Ftreasury.gov.au%2Fthe-department%2Fcorporate-publications%2Fannual-report&amp;data=05%7C02%7CNerida.Cole%40TREASURY.GOV.AU%7Cac812a14ca1b4a57c25508dd977070d0%7C214f1646202147cc8397e3d3a7ba7d9d%7C0%7C0%7C638833231387279663%7CUnknown%7CTWFpbGZsb3d8eyJFbXB0eU1hcGkiOnRydWUsIlYiOiIwLjAuMDAwMCIsIlAiOiJXaW4zMiIsIkFOIjoiTWFpbCIsIldUIjoyfQ%3D%3D%7C0%7C%7C%7C&amp;sdata=J3pVLD6cwIJCLf7KwsU0F1fJHPQsjt4GNKWvqNvqSkA%3D&amp;reserved=0" TargetMode="External"/><Relationship Id="rId38" Type="http://schemas.openxmlformats.org/officeDocument/2006/relationships/image" Target="media/image10.png"/><Relationship Id="rId59" Type="http://schemas.openxmlformats.org/officeDocument/2006/relationships/image" Target="media/image28.png"/><Relationship Id="rId103" Type="http://schemas.openxmlformats.org/officeDocument/2006/relationships/hyperlink" Target="https://sme.financial-ombudsman.org.uk/" TargetMode="External"/><Relationship Id="rId108" Type="http://schemas.openxmlformats.org/officeDocument/2006/relationships/hyperlink" Target="https://www.employment.govt.nz/resolving-problems/how-to-resolve-problems/mediation" TargetMode="External"/><Relationship Id="rId54" Type="http://schemas.openxmlformats.org/officeDocument/2006/relationships/image" Target="media/image23.svg"/><Relationship Id="rId70" Type="http://schemas.openxmlformats.org/officeDocument/2006/relationships/image" Target="media/image39.svg"/><Relationship Id="rId75" Type="http://schemas.openxmlformats.org/officeDocument/2006/relationships/chart" Target="charts/chart3.xml"/><Relationship Id="rId91" Type="http://schemas.openxmlformats.org/officeDocument/2006/relationships/chart" Target="charts/chart19.xml"/><Relationship Id="rId96" Type="http://schemas.openxmlformats.org/officeDocument/2006/relationships/chart" Target="charts/chart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5.svg"/><Relationship Id="rId36" Type="http://schemas.openxmlformats.org/officeDocument/2006/relationships/hyperlink" Target="https://aus01.safelinks.protection.outlook.com/?url=https%3A%2F%2Ftreasury.gov.au%2Fthe-department%2Fcorporate-publications%2Fannual-report&amp;data=05%7C02%7CNerida.Cole%40TREASURY.GOV.AU%7Cac812a14ca1b4a57c25508dd977070d0%7C214f1646202147cc8397e3d3a7ba7d9d%7C0%7C0%7C638833231387315350%7CUnknown%7CTWFpbGZsb3d8eyJFbXB0eU1hcGkiOnRydWUsIlYiOiIwLjAuMDAwMCIsIlAiOiJXaW4zMiIsIkFOIjoiTWFpbCIsIldUIjoyfQ%3D%3D%7C0%7C%7C%7C&amp;sdata=9ShMUTthibRP2%2BDxEzZXSrUZ18oRPtfg%2F07NT%2B87yRI%3D&amp;reserved=0" TargetMode="External"/><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hyperlink" Target="https://www.epa.gov/resources-small-businesses/asbestos-and-small-business-ombudsman" TargetMode="External"/><Relationship Id="rId10" Type="http://schemas.openxmlformats.org/officeDocument/2006/relationships/hyperlink" Target="https://creativecommons.org/licenses/by/4.0/legalcode" TargetMode="External"/><Relationship Id="rId31" Type="http://schemas.openxmlformats.org/officeDocument/2006/relationships/image" Target="media/image8.png"/><Relationship Id="rId44" Type="http://schemas.openxmlformats.org/officeDocument/2006/relationships/hyperlink" Target="https://oia.pmc.gov.au/about" TargetMode="External"/><Relationship Id="rId52" Type="http://schemas.openxmlformats.org/officeDocument/2006/relationships/image" Target="media/image21.svg"/><Relationship Id="rId60" Type="http://schemas.openxmlformats.org/officeDocument/2006/relationships/image" Target="media/image29.svg"/><Relationship Id="rId65" Type="http://schemas.openxmlformats.org/officeDocument/2006/relationships/image" Target="media/image34.png"/><Relationship Id="rId73" Type="http://schemas.openxmlformats.org/officeDocument/2006/relationships/chart" Target="charts/chart1.xml"/><Relationship Id="rId78" Type="http://schemas.openxmlformats.org/officeDocument/2006/relationships/chart" Target="charts/chart6.xml"/><Relationship Id="rId81" Type="http://schemas.openxmlformats.org/officeDocument/2006/relationships/chart" Target="charts/chart9.xml"/><Relationship Id="rId86" Type="http://schemas.openxmlformats.org/officeDocument/2006/relationships/chart" Target="charts/chart14.xml"/><Relationship Id="rId94" Type="http://schemas.openxmlformats.org/officeDocument/2006/relationships/chart" Target="charts/chart22.xml"/><Relationship Id="rId99" Type="http://schemas.openxmlformats.org/officeDocument/2006/relationships/chart" Target="charts/chart27.xml"/><Relationship Id="rId101" Type="http://schemas.openxmlformats.org/officeDocument/2006/relationships/hyperlink" Target="https://treasury.gov.au/publication/p2024-525558" TargetMode="External"/><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3" Type="http://schemas.openxmlformats.org/officeDocument/2006/relationships/hyperlink" Target="http://www.pmc.gov.au/government/commonwealth-coat-arms" TargetMode="External"/><Relationship Id="rId18" Type="http://schemas.openxmlformats.org/officeDocument/2006/relationships/header" Target="header3.xml"/><Relationship Id="rId39" Type="http://schemas.openxmlformats.org/officeDocument/2006/relationships/image" Target="media/image11.svg"/><Relationship Id="rId109" Type="http://schemas.openxmlformats.org/officeDocument/2006/relationships/fontTable" Target="fontTable.xml"/><Relationship Id="rId34" Type="http://schemas.openxmlformats.org/officeDocument/2006/relationships/hyperlink" Target="https://aus01.safelinks.protection.outlook.com/?url=https%3A%2F%2Ftreasury.gov.au%2Fthe-department%2Fcorporate-publications%2Fannual-report&amp;data=05%7C02%7CNerida.Cole%40TREASURY.GOV.AU%7Cac812a14ca1b4a57c25508dd977070d0%7C214f1646202147cc8397e3d3a7ba7d9d%7C0%7C0%7C638833231387291645%7CUnknown%7CTWFpbGZsb3d8eyJFbXB0eU1hcGkiOnRydWUsIlYiOiIwLjAuMDAwMCIsIlAiOiJXaW4zMiIsIkFOIjoiTWFpbCIsIldUIjoyfQ%3D%3D%7C0%7C%7C%7C&amp;sdata=LHZtiFkuInzxpVNh6llKoLAcPMPMm2Mh5wuPgPa6%2FfQ%3D&amp;reserved=0" TargetMode="External"/><Relationship Id="rId50" Type="http://schemas.openxmlformats.org/officeDocument/2006/relationships/image" Target="media/image19.svg"/><Relationship Id="rId55" Type="http://schemas.openxmlformats.org/officeDocument/2006/relationships/image" Target="media/image24.png"/><Relationship Id="rId76" Type="http://schemas.openxmlformats.org/officeDocument/2006/relationships/chart" Target="charts/chart4.xml"/><Relationship Id="rId97" Type="http://schemas.openxmlformats.org/officeDocument/2006/relationships/chart" Target="charts/chart25.xml"/><Relationship Id="rId104" Type="http://schemas.openxmlformats.org/officeDocument/2006/relationships/hyperlink" Target="https://opo-boa.gc.ca/index-eng.html" TargetMode="External"/><Relationship Id="rId7" Type="http://schemas.openxmlformats.org/officeDocument/2006/relationships/image" Target="media/image1.png"/><Relationship Id="rId71" Type="http://schemas.openxmlformats.org/officeDocument/2006/relationships/image" Target="media/image40.png"/><Relationship Id="rId92" Type="http://schemas.openxmlformats.org/officeDocument/2006/relationships/chart" Target="charts/chart20.xml"/><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footer" Target="footer7.xml"/><Relationship Id="rId40" Type="http://schemas.openxmlformats.org/officeDocument/2006/relationships/image" Target="media/image12.png"/><Relationship Id="rId45" Type="http://schemas.openxmlformats.org/officeDocument/2006/relationships/image" Target="media/image16.png"/><Relationship Id="rId66" Type="http://schemas.openxmlformats.org/officeDocument/2006/relationships/image" Target="media/image35.svg"/><Relationship Id="rId87" Type="http://schemas.openxmlformats.org/officeDocument/2006/relationships/chart" Target="charts/chart15.xml"/><Relationship Id="rId110" Type="http://schemas.openxmlformats.org/officeDocument/2006/relationships/theme" Target="theme/theme1.xml"/><Relationship Id="rId61" Type="http://schemas.openxmlformats.org/officeDocument/2006/relationships/image" Target="media/image30.png"/><Relationship Id="rId82" Type="http://schemas.openxmlformats.org/officeDocument/2006/relationships/chart" Target="charts/chart10.xml"/><Relationship Id="rId19" Type="http://schemas.openxmlformats.org/officeDocument/2006/relationships/footer" Target="footer3.xml"/><Relationship Id="rId14" Type="http://schemas.openxmlformats.org/officeDocument/2006/relationships/hyperlink" Target="mailto:media@treasury.gov.au" TargetMode="External"/><Relationship Id="rId30" Type="http://schemas.openxmlformats.org/officeDocument/2006/relationships/image" Target="media/image7.svg"/><Relationship Id="rId35" Type="http://schemas.openxmlformats.org/officeDocument/2006/relationships/hyperlink" Target="https://aus01.safelinks.protection.outlook.com/?url=https%3A%2F%2Ftreasury.gov.au%2Fthe-department%2Fcorporate-publications%2Fannual-report&amp;data=05%7C02%7CNerida.Cole%40TREASURY.GOV.AU%7Cac812a14ca1b4a57c25508dd977070d0%7C214f1646202147cc8397e3d3a7ba7d9d%7C0%7C0%7C638833231387303519%7CUnknown%7CTWFpbGZsb3d8eyJFbXB0eU1hcGkiOnRydWUsIlYiOiIwLjAuMDAwMCIsIlAiOiJXaW4zMiIsIkFOIjoiTWFpbCIsIldUIjoyfQ%3D%3D%7C0%7C%7C%7C&amp;sdata=MICzNjEIYNFTFTQ1VIXIfcgLV3U3Gl6813FXgadf8W4%3D&amp;reserved=0" TargetMode="External"/><Relationship Id="rId56" Type="http://schemas.openxmlformats.org/officeDocument/2006/relationships/image" Target="media/image25.svg"/><Relationship Id="rId77" Type="http://schemas.openxmlformats.org/officeDocument/2006/relationships/chart" Target="charts/chart5.xml"/><Relationship Id="rId100" Type="http://schemas.openxmlformats.org/officeDocument/2006/relationships/chart" Target="charts/chart28.xml"/><Relationship Id="rId105" Type="http://schemas.openxmlformats.org/officeDocument/2006/relationships/hyperlink" Target="https://www.sba.gov/about-sba/oversight-advocacy/office-national-ombudsman" TargetMode="External"/><Relationship Id="rId8" Type="http://schemas.openxmlformats.org/officeDocument/2006/relationships/header" Target="header1.xml"/><Relationship Id="rId51" Type="http://schemas.openxmlformats.org/officeDocument/2006/relationships/image" Target="media/image20.png"/><Relationship Id="rId72" Type="http://schemas.openxmlformats.org/officeDocument/2006/relationships/image" Target="media/image41.svg"/><Relationship Id="rId93" Type="http://schemas.openxmlformats.org/officeDocument/2006/relationships/chart" Target="charts/chart21.xml"/><Relationship Id="rId98" Type="http://schemas.openxmlformats.org/officeDocument/2006/relationships/chart" Target="charts/chart26.xm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image" Target="media/image17.svg"/><Relationship Id="rId67" Type="http://schemas.openxmlformats.org/officeDocument/2006/relationships/image" Target="media/image36.png"/><Relationship Id="rId20" Type="http://schemas.openxmlformats.org/officeDocument/2006/relationships/image" Target="media/image3.jpeg"/><Relationship Id="rId41" Type="http://schemas.openxmlformats.org/officeDocument/2006/relationships/image" Target="media/image13.svg"/><Relationship Id="rId62" Type="http://schemas.openxmlformats.org/officeDocument/2006/relationships/image" Target="media/image31.svg"/><Relationship Id="rId83" Type="http://schemas.openxmlformats.org/officeDocument/2006/relationships/chart" Target="charts/chart11.xml"/><Relationship Id="rId88" Type="http://schemas.openxmlformats.org/officeDocument/2006/relationships/chart" Target="charts/chart16.xml"/></Relationships>
</file>

<file path=word/_rels/footnotes.xml.rels><?xml version="1.0" encoding="UTF-8" standalone="yes"?>
<Relationships xmlns="http://schemas.openxmlformats.org/package/2006/relationships"><Relationship Id="rId13" Type="http://schemas.openxmlformats.org/officeDocument/2006/relationships/hyperlink" Target="https://treasury.gov.au/publication/p2021-203908" TargetMode="External"/><Relationship Id="rId18" Type="http://schemas.openxmlformats.org/officeDocument/2006/relationships/hyperlink" Target="https://aus01.safelinks.protection.outlook.com/?url=https%3A%2F%2Ftreasury.gov.au%2Fthe-department%2Fcorporate-publications%2Fannual-report&amp;data=05%7C02%7CNerida.Cole%40TREASURY.GOV.AU%7Cac812a14ca1b4a57c25508dd977070d0%7C214f1646202147cc8397e3d3a7ba7d9d%7C0%7C0%7C638833231387291645%7CUnknown%7CTWFpbGZsb3d8eyJFbXB0eU1hcGkiOnRydWUsIlYiOiIwLjAuMDAwMCIsIlAiOiJXaW4zMiIsIkFOIjoiTWFpbCIsIldUIjoyfQ%3D%3D%7C0%7C%7C%7C&amp;sdata=LHZtiFkuInzxpVNh6llKoLAcPMPMm2Mh5wuPgPa6%2FfQ%3D&amp;reserved=0" TargetMode="External"/><Relationship Id="rId26" Type="http://schemas.openxmlformats.org/officeDocument/2006/relationships/hyperlink" Target="https://www.aph.gov.au/Parliamentary_Business/Bills_Legislation/Bills_Search_Results/Result?bId=r5473" TargetMode="External"/><Relationship Id="rId39" Type="http://schemas.openxmlformats.org/officeDocument/2006/relationships/hyperlink" Target="https://www.legislation.gov.au/C2004A01106/latest/text" TargetMode="External"/><Relationship Id="rId21" Type="http://schemas.openxmlformats.org/officeDocument/2006/relationships/hyperlink" Target="https://treasury.gov.au/publication/review-of-the-australian-small-business-and-family-enterprise-ombudsman" TargetMode="External"/><Relationship Id="rId34" Type="http://schemas.openxmlformats.org/officeDocument/2006/relationships/hyperlink" Target="https://treasury.gov.au/publication/p2021-203908" TargetMode="External"/><Relationship Id="rId42" Type="http://schemas.openxmlformats.org/officeDocument/2006/relationships/hyperlink" Target="https://www.cpaaustralia.com.au/tools-and-resources/business-management/small-business-resources/asia-pacific-small-business-survey" TargetMode="External"/><Relationship Id="rId47" Type="http://schemas.openxmlformats.org/officeDocument/2006/relationships/hyperlink" Target="https://www.asbfeo.gov.au/media-centre/media-releases/transcript-payment-surcharges-and-need-least-cost-routing-cut-payment" TargetMode="External"/><Relationship Id="rId7" Type="http://schemas.openxmlformats.org/officeDocument/2006/relationships/hyperlink" Target="https://www.aph.gov.au/Parliamentary_Business/Bills_Legislation/Bills_Search_Results/Result?bId=r5473" TargetMode="External"/><Relationship Id="rId2" Type="http://schemas.openxmlformats.org/officeDocument/2006/relationships/hyperlink" Target="https://treasury.gov.au/sites/default/files/2025-02/p2025-624843-s.pdf" TargetMode="External"/><Relationship Id="rId16" Type="http://schemas.openxmlformats.org/officeDocument/2006/relationships/hyperlink" Target="https://treasury.gov.au/publication/p2021-203908" TargetMode="External"/><Relationship Id="rId29" Type="http://schemas.openxmlformats.org/officeDocument/2006/relationships/hyperlink" Target="https://www.asbfeo.gov.au/media-centre/quarterly-reports" TargetMode="External"/><Relationship Id="rId1" Type="http://schemas.openxmlformats.org/officeDocument/2006/relationships/hyperlink" Target="https://ministers.treasury.gov.au/ministers/julie-collins-2024/speeches/address-launch-state-small-business-data-report-parliament" TargetMode="External"/><Relationship Id="rId6" Type="http://schemas.openxmlformats.org/officeDocument/2006/relationships/hyperlink" Target="https://www.aph.gov.au/Parliamentary_Business/Bills_Legislation/Bills_Search_Results/Result?bId=r5473" TargetMode="External"/><Relationship Id="rId11" Type="http://schemas.openxmlformats.org/officeDocument/2006/relationships/hyperlink" Target="https://treasury.gov.au/sites/default/files/2024-10/p2024-590845-ar.pdf" TargetMode="External"/><Relationship Id="rId24" Type="http://schemas.openxmlformats.org/officeDocument/2006/relationships/hyperlink" Target="https://treasury.gov.au/small-business" TargetMode="External"/><Relationship Id="rId32" Type="http://schemas.openxmlformats.org/officeDocument/2006/relationships/hyperlink" Target="https://www.aph.gov.au/Parliamentary_Business/Bills_Legislation/Bills_Search_Results/Result?bId=r5473" TargetMode="External"/><Relationship Id="rId37" Type="http://schemas.openxmlformats.org/officeDocument/2006/relationships/hyperlink" Target="https://www.legislation.gov.au/C2015A00123/latest/text" TargetMode="External"/><Relationship Id="rId40" Type="http://schemas.openxmlformats.org/officeDocument/2006/relationships/hyperlink" Target="https://www.asbfeo.gov.au/media-centre/media-releases" TargetMode="External"/><Relationship Id="rId45" Type="http://schemas.openxmlformats.org/officeDocument/2006/relationships/hyperlink" Target="https://www.asbfeo.gov.au/media-centre/quarterly-reports" TargetMode="External"/><Relationship Id="rId5" Type="http://schemas.openxmlformats.org/officeDocument/2006/relationships/hyperlink" Target="https://www.legislation.gov.au/C2015A00123/latest/text" TargetMode="External"/><Relationship Id="rId15" Type="http://schemas.openxmlformats.org/officeDocument/2006/relationships/hyperlink" Target="https://asbfeo.gov.au/about-us" TargetMode="External"/><Relationship Id="rId23" Type="http://schemas.openxmlformats.org/officeDocument/2006/relationships/hyperlink" Target="https://business.gov.au/expertise-and-advice/ausindustry" TargetMode="External"/><Relationship Id="rId28" Type="http://schemas.openxmlformats.org/officeDocument/2006/relationships/hyperlink" Target="https://www.asbfeo.gov.au/media-centre/quarterly-reports" TargetMode="External"/><Relationship Id="rId36" Type="http://schemas.openxmlformats.org/officeDocument/2006/relationships/hyperlink" Target="https://treasury.gov.au/small-business" TargetMode="External"/><Relationship Id="rId10" Type="http://schemas.openxmlformats.org/officeDocument/2006/relationships/hyperlink" Target="https://treasury.gov.au/sites/default/files/2024-10/p2024-590845-ar.pdf" TargetMode="External"/><Relationship Id="rId19" Type="http://schemas.openxmlformats.org/officeDocument/2006/relationships/hyperlink" Target="https://aus01.safelinks.protection.outlook.com/?url=https%3A%2F%2Ftreasury.gov.au%2Fthe-department%2Fcorporate-publications%2Fannual-report&amp;data=05%7C02%7CNerida.Cole%40TREASURY.GOV.AU%7Cac812a14ca1b4a57c25508dd977070d0%7C214f1646202147cc8397e3d3a7ba7d9d%7C0%7C0%7C638833231387303519%7CUnknown%7CTWFpbGZsb3d8eyJFbXB0eU1hcGkiOnRydWUsIlYiOiIwLjAuMDAwMCIsIlAiOiJXaW4zMiIsIkFOIjoiTWFpbCIsIldUIjoyfQ%3D%3D%7C0%7C%7C%7C&amp;sdata=MICzNjEIYNFTFTQ1VIXIfcgLV3U3Gl6813FXgadf8W4%3D&amp;reserved=0" TargetMode="External"/><Relationship Id="rId31" Type="http://schemas.openxmlformats.org/officeDocument/2006/relationships/hyperlink" Target="https://treasury.gov.au/publication/p2021-203908" TargetMode="External"/><Relationship Id="rId44" Type="http://schemas.openxmlformats.org/officeDocument/2006/relationships/hyperlink" Target="https://www.asbfeo.gov.au/media-centre/quarterly-reports" TargetMode="External"/><Relationship Id="rId4" Type="http://schemas.openxmlformats.org/officeDocument/2006/relationships/hyperlink" Target="https://treasury.gov.au/publication/p2021-203908" TargetMode="External"/><Relationship Id="rId9" Type="http://schemas.openxmlformats.org/officeDocument/2006/relationships/hyperlink" Target="https://newsletter.asbfeo.gov.au/october-2024" TargetMode="External"/><Relationship Id="rId14" Type="http://schemas.openxmlformats.org/officeDocument/2006/relationships/hyperlink" Target="https://treasury.gov.au/publication/p2021-203908" TargetMode="External"/><Relationship Id="rId22" Type="http://schemas.openxmlformats.org/officeDocument/2006/relationships/hyperlink" Target="https://www.rba.gov.au/publications/bulletin/2024/oct/" TargetMode="External"/><Relationship Id="rId27" Type="http://schemas.openxmlformats.org/officeDocument/2006/relationships/hyperlink" Target="https://business.gov.au/people/suppliers" TargetMode="External"/><Relationship Id="rId30" Type="http://schemas.openxmlformats.org/officeDocument/2006/relationships/hyperlink" Target="https://treasury.gov.au/publication/review-of-the-australian-small-business-and-family-enterprise-ombudsman" TargetMode="External"/><Relationship Id="rId35" Type="http://schemas.openxmlformats.org/officeDocument/2006/relationships/hyperlink" Target="https://business.gov.au/expertise-and-advice/ausindustry" TargetMode="External"/><Relationship Id="rId43" Type="http://schemas.openxmlformats.org/officeDocument/2006/relationships/hyperlink" Target="https://www.asbfeo.gov.au/media-centre/quarterly-reports" TargetMode="External"/><Relationship Id="rId8" Type="http://schemas.openxmlformats.org/officeDocument/2006/relationships/hyperlink" Target="https://oia.pmc.gov.au/published-impact-analyses-and-reports/australian-small-business-and-family-enterprise-ombudsman" TargetMode="External"/><Relationship Id="rId3" Type="http://schemas.openxmlformats.org/officeDocument/2006/relationships/hyperlink" Target="https://www.aph.gov.au/Parliamentary_Business/Bills_Legislation/Bills_Search_Results/Result?bId=r5473" TargetMode="External"/><Relationship Id="rId12" Type="http://schemas.openxmlformats.org/officeDocument/2006/relationships/hyperlink" Target="https://business.gov.au/expertise-and-advice/ausindustry" TargetMode="External"/><Relationship Id="rId17" Type="http://schemas.openxmlformats.org/officeDocument/2006/relationships/hyperlink" Target="https://aus01.safelinks.protection.outlook.com/?url=https%3A%2F%2Ftreasury.gov.au%2Fthe-department%2Fcorporate-publications%2Fannual-report&amp;data=05%7C02%7CNerida.Cole%40TREASURY.GOV.AU%7Cac812a14ca1b4a57c25508dd977070d0%7C214f1646202147cc8397e3d3a7ba7d9d%7C0%7C0%7C638833231387279663%7CUnknown%7CTWFpbGZsb3d8eyJFbXB0eU1hcGkiOnRydWUsIlYiOiIwLjAuMDAwMCIsIlAiOiJXaW4zMiIsIkFOIjoiTWFpbCIsIldUIjoyfQ%3D%3D%7C0%7C%7C%7C&amp;sdata=J3pVLD6cwIJCLf7KwsU0F1fJHPQsjt4GNKWvqNvqSkA%3D&amp;reserved=0" TargetMode="External"/><Relationship Id="rId25" Type="http://schemas.openxmlformats.org/officeDocument/2006/relationships/hyperlink" Target="https://treasury.gov.au/publication/p2021-203908" TargetMode="External"/><Relationship Id="rId33" Type="http://schemas.openxmlformats.org/officeDocument/2006/relationships/hyperlink" Target="https://treasury.gov.au/publication/review-of-the-australian-small-business-and-family-enterprise-ombudsman" TargetMode="External"/><Relationship Id="rId38" Type="http://schemas.openxmlformats.org/officeDocument/2006/relationships/hyperlink" Target="https://www.fairwork.gov.au/sites/default/files/2024-10/office-of-the-fair-work-ombudsman-annual-report-2023-24.pdf" TargetMode="External"/><Relationship Id="rId46" Type="http://schemas.openxmlformats.org/officeDocument/2006/relationships/hyperlink" Target="https://www.asbfeo.gov.au/media-centre/media-releases/payment-surcharges-and-need-least-cost-routing-cut-fees" TargetMode="External"/><Relationship Id="rId20" Type="http://schemas.openxmlformats.org/officeDocument/2006/relationships/hyperlink" Target="https://aus01.safelinks.protection.outlook.com/?url=https%3A%2F%2Ftreasury.gov.au%2Fthe-department%2Fcorporate-publications%2Fannual-report&amp;data=05%7C02%7CNerida.Cole%40TREASURY.GOV.AU%7Cac812a14ca1b4a57c25508dd977070d0%7C214f1646202147cc8397e3d3a7ba7d9d%7C0%7C0%7C638833231387315350%7CUnknown%7CTWFpbGZsb3d8eyJFbXB0eU1hcGkiOnRydWUsIlYiOiIwLjAuMDAwMCIsIlAiOiJXaW4zMiIsIkFOIjoiTWFpbCIsIldUIjoyfQ%3D%3D%7C0%7C%7C%7C&amp;sdata=9ShMUTthibRP2%2BDxEzZXSrUZ18oRPtfg%2F07NT%2B87yRI%3D&amp;reserved=0" TargetMode="External"/><Relationship Id="rId41" Type="http://schemas.openxmlformats.org/officeDocument/2006/relationships/hyperlink" Target="https://www.asbfeo.gov.au/media-centre/op-ed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1'!$A$2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1'!$B$1:$E$1</c:f>
              <c:strCache>
                <c:ptCount val="4"/>
                <c:pt idx="0">
                  <c:v>Never heard of them</c:v>
                </c:pt>
                <c:pt idx="1">
                  <c:v>I know about them</c:v>
                </c:pt>
                <c:pt idx="2">
                  <c:v>I have used their services</c:v>
                </c:pt>
                <c:pt idx="3">
                  <c:v>I engage with them regularly</c:v>
                </c:pt>
              </c:strCache>
            </c:strRef>
          </c:cat>
          <c:val>
            <c:numRef>
              <c:f>'chart 1'!$B$2:$E$2</c:f>
              <c:numCache>
                <c:formatCode>General</c:formatCode>
                <c:ptCount val="4"/>
                <c:pt idx="0">
                  <c:v>133</c:v>
                </c:pt>
                <c:pt idx="1">
                  <c:v>69</c:v>
                </c:pt>
                <c:pt idx="2">
                  <c:v>15</c:v>
                </c:pt>
                <c:pt idx="3">
                  <c:v>8</c:v>
                </c:pt>
              </c:numCache>
            </c:numRef>
          </c:val>
          <c:extLst>
            <c:ext xmlns:c16="http://schemas.microsoft.com/office/drawing/2014/chart" uri="{C3380CC4-5D6E-409C-BE32-E72D297353CC}">
              <c16:uniqueId val="{00000000-B3F2-42D2-9D3C-BBD9E45D71FF}"/>
            </c:ext>
          </c:extLst>
        </c:ser>
        <c:dLbls>
          <c:dLblPos val="outEnd"/>
          <c:showLegendKey val="0"/>
          <c:showVal val="1"/>
          <c:showCatName val="0"/>
          <c:showSerName val="0"/>
          <c:showPercent val="0"/>
          <c:showBubbleSize val="0"/>
        </c:dLbls>
        <c:gapWidth val="219"/>
        <c:overlap val="-27"/>
        <c:axId val="786105951"/>
        <c:axId val="786106431"/>
      </c:barChart>
      <c:catAx>
        <c:axId val="7861059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i="0" u="none" strike="noStrike" kern="1200" baseline="0">
                    <a:solidFill>
                      <a:sysClr val="windowText" lastClr="000000"/>
                    </a:solidFill>
                    <a:latin typeface="Arial" panose="020B0604020202020204" pitchFamily="34" charset="0"/>
                    <a:cs typeface="Arial" panose="020B0604020202020204" pitchFamily="34" charset="0"/>
                  </a:rPr>
                  <a:t>Survey response options</a:t>
                </a:r>
              </a:p>
            </c:rich>
          </c:tx>
          <c:layout>
            <c:manualLayout>
              <c:xMode val="edge"/>
              <c:yMode val="edge"/>
              <c:x val="0.39404793219481249"/>
              <c:y val="0.892491126905776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6106431"/>
        <c:crosses val="autoZero"/>
        <c:auto val="1"/>
        <c:lblAlgn val="ctr"/>
        <c:lblOffset val="100"/>
        <c:noMultiLvlLbl val="0"/>
      </c:catAx>
      <c:valAx>
        <c:axId val="786106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i="0" u="none" strike="noStrike" kern="1200" baseline="0">
                    <a:solidFill>
                      <a:sysClr val="windowText" lastClr="000000"/>
                    </a:solidFill>
                    <a:latin typeface="Arial" panose="020B0604020202020204" pitchFamily="34" charset="0"/>
                    <a:cs typeface="Arial" panose="020B0604020202020204" pitchFamily="34" charset="0"/>
                  </a:rPr>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61059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1'!$A$2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1'!$B$1:$F$1</c:f>
              <c:strCache>
                <c:ptCount val="5"/>
                <c:pt idx="0">
                  <c:v>0 - 1 year</c:v>
                </c:pt>
                <c:pt idx="1">
                  <c:v>1 - 2 years</c:v>
                </c:pt>
                <c:pt idx="2">
                  <c:v>2 - 5 years</c:v>
                </c:pt>
                <c:pt idx="3">
                  <c:v>5 - 10 years</c:v>
                </c:pt>
                <c:pt idx="4">
                  <c:v>Prefer not to answer</c:v>
                </c:pt>
              </c:strCache>
            </c:strRef>
          </c:cat>
          <c:val>
            <c:numRef>
              <c:f>'Chart 1'!$B$2:$F$2</c:f>
              <c:numCache>
                <c:formatCode>General</c:formatCode>
                <c:ptCount val="5"/>
                <c:pt idx="0">
                  <c:v>0</c:v>
                </c:pt>
                <c:pt idx="1">
                  <c:v>0</c:v>
                </c:pt>
                <c:pt idx="2">
                  <c:v>4</c:v>
                </c:pt>
                <c:pt idx="3">
                  <c:v>11</c:v>
                </c:pt>
                <c:pt idx="4">
                  <c:v>0</c:v>
                </c:pt>
              </c:numCache>
            </c:numRef>
          </c:val>
          <c:extLst>
            <c:ext xmlns:c16="http://schemas.microsoft.com/office/drawing/2014/chart" uri="{C3380CC4-5D6E-409C-BE32-E72D297353CC}">
              <c16:uniqueId val="{00000000-2D1B-49D2-A8B0-7BAA5680E76F}"/>
            </c:ext>
          </c:extLst>
        </c:ser>
        <c:dLbls>
          <c:dLblPos val="outEnd"/>
          <c:showLegendKey val="0"/>
          <c:showVal val="1"/>
          <c:showCatName val="0"/>
          <c:showSerName val="0"/>
          <c:showPercent val="0"/>
          <c:showBubbleSize val="0"/>
        </c:dLbls>
        <c:gapWidth val="219"/>
        <c:overlap val="-27"/>
        <c:axId val="917738255"/>
        <c:axId val="917741135"/>
      </c:barChart>
      <c:catAx>
        <c:axId val="91773825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17741135"/>
        <c:crosses val="autoZero"/>
        <c:auto val="1"/>
        <c:lblAlgn val="ctr"/>
        <c:lblOffset val="100"/>
        <c:noMultiLvlLbl val="0"/>
      </c:catAx>
      <c:valAx>
        <c:axId val="917741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b="1">
                    <a:solidFill>
                      <a:sysClr val="windowText" lastClr="000000"/>
                    </a:solidFill>
                    <a:latin typeface="Arial" panose="020B0604020202020204" pitchFamily="34" charset="0"/>
                    <a:cs typeface="Arial" panose="020B0604020202020204" pitchFamily="34" charset="0"/>
                  </a:rPr>
                  <a:t>Number</a:t>
                </a:r>
                <a:r>
                  <a:rPr lang="en-AU" sz="800" b="1" baseline="0">
                    <a:solidFill>
                      <a:sysClr val="windowText" lastClr="000000"/>
                    </a:solidFill>
                    <a:latin typeface="Arial" panose="020B0604020202020204" pitchFamily="34" charset="0"/>
                    <a:cs typeface="Arial" panose="020B0604020202020204" pitchFamily="34" charset="0"/>
                  </a:rPr>
                  <a:t> of responses</a:t>
                </a:r>
                <a:endParaRPr lang="en-AU" sz="8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17738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2'!$A$2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2'!$B$1:$G$1</c:f>
              <c:strCache>
                <c:ptCount val="6"/>
                <c:pt idx="0">
                  <c:v>0 - 1 year</c:v>
                </c:pt>
                <c:pt idx="1">
                  <c:v>1 - 2 years</c:v>
                </c:pt>
                <c:pt idx="2">
                  <c:v>2 - 5 years</c:v>
                </c:pt>
                <c:pt idx="3">
                  <c:v>5 - 10 years</c:v>
                </c:pt>
                <c:pt idx="4">
                  <c:v>10 + years</c:v>
                </c:pt>
                <c:pt idx="5">
                  <c:v>Prefer not to answer</c:v>
                </c:pt>
              </c:strCache>
            </c:strRef>
          </c:cat>
          <c:val>
            <c:numRef>
              <c:f>'Chart 2'!$B$2:$G$2</c:f>
              <c:numCache>
                <c:formatCode>General</c:formatCode>
                <c:ptCount val="6"/>
                <c:pt idx="0">
                  <c:v>0</c:v>
                </c:pt>
                <c:pt idx="1">
                  <c:v>0</c:v>
                </c:pt>
                <c:pt idx="2">
                  <c:v>0</c:v>
                </c:pt>
                <c:pt idx="3">
                  <c:v>2</c:v>
                </c:pt>
                <c:pt idx="4">
                  <c:v>13</c:v>
                </c:pt>
                <c:pt idx="5">
                  <c:v>0</c:v>
                </c:pt>
              </c:numCache>
            </c:numRef>
          </c:val>
          <c:extLst>
            <c:ext xmlns:c16="http://schemas.microsoft.com/office/drawing/2014/chart" uri="{C3380CC4-5D6E-409C-BE32-E72D297353CC}">
              <c16:uniqueId val="{00000000-E50B-4112-9B5A-7EB5BDECB746}"/>
            </c:ext>
          </c:extLst>
        </c:ser>
        <c:dLbls>
          <c:dLblPos val="outEnd"/>
          <c:showLegendKey val="0"/>
          <c:showVal val="1"/>
          <c:showCatName val="0"/>
          <c:showSerName val="0"/>
          <c:showPercent val="0"/>
          <c:showBubbleSize val="0"/>
        </c:dLbls>
        <c:gapWidth val="219"/>
        <c:overlap val="-27"/>
        <c:axId val="1044099983"/>
        <c:axId val="1044096623"/>
      </c:barChart>
      <c:catAx>
        <c:axId val="10440999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4096623"/>
        <c:crosses val="autoZero"/>
        <c:auto val="1"/>
        <c:lblAlgn val="ctr"/>
        <c:lblOffset val="100"/>
        <c:noMultiLvlLbl val="0"/>
      </c:catAx>
      <c:valAx>
        <c:axId val="10440966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1">
                    <a:solidFill>
                      <a:sysClr val="windowText" lastClr="000000"/>
                    </a:solidFill>
                    <a:latin typeface="Arial" panose="020B0604020202020204" pitchFamily="34" charset="0"/>
                    <a:cs typeface="Arial" panose="020B0604020202020204" pitchFamily="34" charset="0"/>
                  </a:rPr>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4099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3'!$B$1</c:f>
              <c:strCache>
                <c:ptCount val="1"/>
                <c:pt idx="0">
                  <c:v>Male</c:v>
                </c:pt>
              </c:strCache>
            </c:strRef>
          </c:tx>
          <c:spPr>
            <a:solidFill>
              <a:schemeClr val="accent3">
                <a:lumMod val="75000"/>
              </a:schemeClr>
            </a:solidFill>
            <a:ln>
              <a:noFill/>
            </a:ln>
            <a:effectLst/>
          </c:spPr>
          <c:invertIfNegative val="0"/>
          <c:dPt>
            <c:idx val="0"/>
            <c:invertIfNegative val="0"/>
            <c:bubble3D val="0"/>
            <c:spPr>
              <a:solidFill>
                <a:schemeClr val="accent3">
                  <a:lumMod val="75000"/>
                </a:schemeClr>
              </a:solidFill>
              <a:ln>
                <a:noFill/>
              </a:ln>
              <a:effectLst/>
            </c:spPr>
            <c:extLst>
              <c:ext xmlns:c16="http://schemas.microsoft.com/office/drawing/2014/chart" uri="{C3380CC4-5D6E-409C-BE32-E72D297353CC}">
                <c16:uniqueId val="{00000001-9BC5-4DEB-A145-488DAA6050A3}"/>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3'!$A$2</c:f>
              <c:strCache>
                <c:ptCount val="1"/>
                <c:pt idx="0">
                  <c:v>Count</c:v>
                </c:pt>
              </c:strCache>
            </c:strRef>
          </c:cat>
          <c:val>
            <c:numRef>
              <c:f>'Chart 3'!$B$2</c:f>
              <c:numCache>
                <c:formatCode>General</c:formatCode>
                <c:ptCount val="1"/>
                <c:pt idx="0">
                  <c:v>12</c:v>
                </c:pt>
              </c:numCache>
            </c:numRef>
          </c:val>
          <c:extLst>
            <c:ext xmlns:c16="http://schemas.microsoft.com/office/drawing/2014/chart" uri="{C3380CC4-5D6E-409C-BE32-E72D297353CC}">
              <c16:uniqueId val="{00000002-9BC5-4DEB-A145-488DAA6050A3}"/>
            </c:ext>
          </c:extLst>
        </c:ser>
        <c:ser>
          <c:idx val="1"/>
          <c:order val="1"/>
          <c:tx>
            <c:strRef>
              <c:f>'Chart 3'!$C$1</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3'!$A$2</c:f>
              <c:strCache>
                <c:ptCount val="1"/>
                <c:pt idx="0">
                  <c:v>Count</c:v>
                </c:pt>
              </c:strCache>
            </c:strRef>
          </c:cat>
          <c:val>
            <c:numRef>
              <c:f>'Chart 3'!$C$2</c:f>
              <c:numCache>
                <c:formatCode>General</c:formatCode>
                <c:ptCount val="1"/>
                <c:pt idx="0">
                  <c:v>3</c:v>
                </c:pt>
              </c:numCache>
            </c:numRef>
          </c:val>
          <c:extLst>
            <c:ext xmlns:c16="http://schemas.microsoft.com/office/drawing/2014/chart" uri="{C3380CC4-5D6E-409C-BE32-E72D297353CC}">
              <c16:uniqueId val="{00000003-9BC5-4DEB-A145-488DAA6050A3}"/>
            </c:ext>
          </c:extLst>
        </c:ser>
        <c:ser>
          <c:idx val="2"/>
          <c:order val="2"/>
          <c:tx>
            <c:strRef>
              <c:f>'Chart 3'!$D$1</c:f>
              <c:strCache>
                <c:ptCount val="1"/>
                <c:pt idx="0">
                  <c:v>Prefer not to answer</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3'!$A$2</c:f>
              <c:strCache>
                <c:ptCount val="1"/>
                <c:pt idx="0">
                  <c:v>Count</c:v>
                </c:pt>
              </c:strCache>
            </c:strRef>
          </c:cat>
          <c:val>
            <c:numRef>
              <c:f>'Chart 3'!$D$2</c:f>
              <c:numCache>
                <c:formatCode>General</c:formatCode>
                <c:ptCount val="1"/>
                <c:pt idx="0">
                  <c:v>0</c:v>
                </c:pt>
              </c:numCache>
            </c:numRef>
          </c:val>
          <c:extLst>
            <c:ext xmlns:c16="http://schemas.microsoft.com/office/drawing/2014/chart" uri="{C3380CC4-5D6E-409C-BE32-E72D297353CC}">
              <c16:uniqueId val="{00000004-9BC5-4DEB-A145-488DAA6050A3}"/>
            </c:ext>
          </c:extLst>
        </c:ser>
        <c:ser>
          <c:idx val="3"/>
          <c:order val="3"/>
          <c:tx>
            <c:strRef>
              <c:f>'Chart 3'!$E$1</c:f>
              <c:strCache>
                <c:ptCount val="1"/>
                <c:pt idx="0">
                  <c:v>Other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3'!$A$2</c:f>
              <c:strCache>
                <c:ptCount val="1"/>
                <c:pt idx="0">
                  <c:v>Count</c:v>
                </c:pt>
              </c:strCache>
            </c:strRef>
          </c:cat>
          <c:val>
            <c:numRef>
              <c:f>'Chart 3'!$E$2</c:f>
              <c:numCache>
                <c:formatCode>General</c:formatCode>
                <c:ptCount val="1"/>
                <c:pt idx="0">
                  <c:v>0</c:v>
                </c:pt>
              </c:numCache>
            </c:numRef>
          </c:val>
          <c:extLst>
            <c:ext xmlns:c16="http://schemas.microsoft.com/office/drawing/2014/chart" uri="{C3380CC4-5D6E-409C-BE32-E72D297353CC}">
              <c16:uniqueId val="{00000005-9BC5-4DEB-A145-488DAA6050A3}"/>
            </c:ext>
          </c:extLst>
        </c:ser>
        <c:dLbls>
          <c:dLblPos val="outEnd"/>
          <c:showLegendKey val="0"/>
          <c:showVal val="1"/>
          <c:showCatName val="0"/>
          <c:showSerName val="0"/>
          <c:showPercent val="0"/>
          <c:showBubbleSize val="0"/>
        </c:dLbls>
        <c:gapWidth val="219"/>
        <c:overlap val="-27"/>
        <c:axId val="68906623"/>
        <c:axId val="68907103"/>
      </c:barChart>
      <c:catAx>
        <c:axId val="68906623"/>
        <c:scaling>
          <c:orientation val="minMax"/>
        </c:scaling>
        <c:delete val="1"/>
        <c:axPos val="b"/>
        <c:title>
          <c:tx>
            <c:rich>
              <a:bodyPr rot="0" spcFirstLastPara="1" vertOverflow="ellipsis" vert="horz" wrap="square" anchor="b" anchorCtr="0"/>
              <a:lstStyle/>
              <a:p>
                <a:pPr>
                  <a:defRPr sz="1000" b="0" i="0" u="none" strike="noStrike" kern="1200" baseline="0">
                    <a:solidFill>
                      <a:schemeClr val="tx1">
                        <a:lumMod val="65000"/>
                        <a:lumOff val="35000"/>
                      </a:schemeClr>
                    </a:solidFill>
                    <a:latin typeface="+mn-lt"/>
                    <a:ea typeface="+mn-ea"/>
                    <a:cs typeface="+mn-cs"/>
                  </a:defRPr>
                </a:pPr>
                <a:r>
                  <a:rPr lang="en-US" sz="800" b="1">
                    <a:solidFill>
                      <a:sysClr val="windowText" lastClr="000000"/>
                    </a:solidFill>
                    <a:latin typeface="Arial" panose="020B0604020202020204" pitchFamily="34" charset="0"/>
                    <a:cs typeface="Arial" panose="020B0604020202020204" pitchFamily="34" charset="0"/>
                  </a:rPr>
                  <a:t>Survey response options</a:t>
                </a:r>
              </a:p>
            </c:rich>
          </c:tx>
          <c:layout>
            <c:manualLayout>
              <c:xMode val="edge"/>
              <c:yMode val="edge"/>
              <c:x val="0.36251268591426072"/>
              <c:y val="0.90507349402719917"/>
            </c:manualLayout>
          </c:layout>
          <c:overlay val="0"/>
          <c:spPr>
            <a:noFill/>
            <a:ln>
              <a:noFill/>
            </a:ln>
            <a:effectLst/>
          </c:spPr>
          <c:txPr>
            <a:bodyPr rot="0" spcFirstLastPara="1" vertOverflow="ellipsis" vert="horz" wrap="square" anchor="b"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68907103"/>
        <c:crosses val="autoZero"/>
        <c:auto val="1"/>
        <c:lblAlgn val="ctr"/>
        <c:lblOffset val="100"/>
        <c:noMultiLvlLbl val="0"/>
      </c:catAx>
      <c:valAx>
        <c:axId val="689071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1">
                    <a:solidFill>
                      <a:sysClr val="windowText" lastClr="000000"/>
                    </a:solidFill>
                    <a:latin typeface="Arial" panose="020B0604020202020204" pitchFamily="34" charset="0"/>
                    <a:cs typeface="Arial" panose="020B0604020202020204" pitchFamily="34" charset="0"/>
                  </a:rPr>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8906623"/>
        <c:crosses val="autoZero"/>
        <c:crossBetween val="between"/>
      </c:valAx>
      <c:spPr>
        <a:noFill/>
        <a:ln>
          <a:noFill/>
        </a:ln>
        <a:effectLst/>
      </c:spPr>
    </c:plotArea>
    <c:legend>
      <c:legendPos val="b"/>
      <c:layout>
        <c:manualLayout>
          <c:xMode val="edge"/>
          <c:yMode val="edge"/>
          <c:x val="0.20448578302712161"/>
          <c:y val="0.82846856586982021"/>
          <c:w val="0.56083902012248465"/>
          <c:h val="6.081142102214303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4'!$A$2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4'!$B$1:$D$1</c:f>
              <c:strCache>
                <c:ptCount val="3"/>
                <c:pt idx="0">
                  <c:v>Yes</c:v>
                </c:pt>
                <c:pt idx="1">
                  <c:v>No</c:v>
                </c:pt>
                <c:pt idx="2">
                  <c:v>Prefer not to answer</c:v>
                </c:pt>
              </c:strCache>
            </c:strRef>
          </c:cat>
          <c:val>
            <c:numRef>
              <c:f>'Chart 4'!$B$2:$D$2</c:f>
              <c:numCache>
                <c:formatCode>General</c:formatCode>
                <c:ptCount val="3"/>
                <c:pt idx="0">
                  <c:v>5</c:v>
                </c:pt>
                <c:pt idx="1">
                  <c:v>10</c:v>
                </c:pt>
                <c:pt idx="2">
                  <c:v>0</c:v>
                </c:pt>
              </c:numCache>
            </c:numRef>
          </c:val>
          <c:extLst>
            <c:ext xmlns:c16="http://schemas.microsoft.com/office/drawing/2014/chart" uri="{C3380CC4-5D6E-409C-BE32-E72D297353CC}">
              <c16:uniqueId val="{00000000-89B9-4DF5-B469-867204E331E7}"/>
            </c:ext>
          </c:extLst>
        </c:ser>
        <c:dLbls>
          <c:dLblPos val="outEnd"/>
          <c:showLegendKey val="0"/>
          <c:showVal val="1"/>
          <c:showCatName val="0"/>
          <c:showSerName val="0"/>
          <c:showPercent val="0"/>
          <c:showBubbleSize val="0"/>
        </c:dLbls>
        <c:gapWidth val="219"/>
        <c:overlap val="-27"/>
        <c:axId val="1023246447"/>
        <c:axId val="1023245487"/>
      </c:barChart>
      <c:catAx>
        <c:axId val="10232464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23245487"/>
        <c:crosses val="autoZero"/>
        <c:auto val="1"/>
        <c:lblAlgn val="ctr"/>
        <c:lblOffset val="100"/>
        <c:noMultiLvlLbl val="0"/>
      </c:catAx>
      <c:valAx>
        <c:axId val="10232454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a:t>
                </a:r>
                <a:r>
                  <a:rPr lang="en-AU" sz="800" b="1" baseline="0">
                    <a:solidFill>
                      <a:sysClr val="windowText" lastClr="000000"/>
                    </a:solidFill>
                    <a:latin typeface="Arial" panose="020B0604020202020204" pitchFamily="34" charset="0"/>
                    <a:cs typeface="Arial" panose="020B0604020202020204" pitchFamily="34" charset="0"/>
                  </a:rPr>
                  <a:t> responses</a:t>
                </a:r>
                <a:endParaRPr lang="en-AU" sz="8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23246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5'!$A$2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5'!$B$1:$E$1</c:f>
              <c:strCache>
                <c:ptCount val="4"/>
                <c:pt idx="0">
                  <c:v>No</c:v>
                </c:pt>
                <c:pt idx="1">
                  <c:v>Yes - Aboriginal</c:v>
                </c:pt>
                <c:pt idx="2">
                  <c:v>Yes - Torres Strait Islander</c:v>
                </c:pt>
                <c:pt idx="3">
                  <c:v>Prefer not to answer</c:v>
                </c:pt>
              </c:strCache>
            </c:strRef>
          </c:cat>
          <c:val>
            <c:numRef>
              <c:f>'Chart 5'!$B$2:$E$2</c:f>
              <c:numCache>
                <c:formatCode>General</c:formatCode>
                <c:ptCount val="4"/>
                <c:pt idx="0">
                  <c:v>14</c:v>
                </c:pt>
                <c:pt idx="1">
                  <c:v>0</c:v>
                </c:pt>
                <c:pt idx="2">
                  <c:v>0</c:v>
                </c:pt>
                <c:pt idx="3">
                  <c:v>1</c:v>
                </c:pt>
              </c:numCache>
            </c:numRef>
          </c:val>
          <c:extLst>
            <c:ext xmlns:c16="http://schemas.microsoft.com/office/drawing/2014/chart" uri="{C3380CC4-5D6E-409C-BE32-E72D297353CC}">
              <c16:uniqueId val="{00000000-BEA1-4020-9E2C-0B1E186E9204}"/>
            </c:ext>
          </c:extLst>
        </c:ser>
        <c:dLbls>
          <c:dLblPos val="outEnd"/>
          <c:showLegendKey val="0"/>
          <c:showVal val="1"/>
          <c:showCatName val="0"/>
          <c:showSerName val="0"/>
          <c:showPercent val="0"/>
          <c:showBubbleSize val="0"/>
        </c:dLbls>
        <c:gapWidth val="219"/>
        <c:overlap val="-27"/>
        <c:axId val="864950463"/>
        <c:axId val="864948063"/>
      </c:barChart>
      <c:catAx>
        <c:axId val="864950463"/>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b="1">
                    <a:solidFill>
                      <a:sysClr val="windowText" lastClr="000000"/>
                    </a:solidFill>
                    <a:latin typeface="Arial" panose="020B0604020202020204" pitchFamily="34" charset="0"/>
                    <a:cs typeface="Arial" panose="020B0604020202020204" pitchFamily="34" charset="0"/>
                  </a:rPr>
                  <a:t>Survey response</a:t>
                </a:r>
                <a:r>
                  <a:rPr lang="en-AU" sz="800" b="1" baseline="0">
                    <a:solidFill>
                      <a:sysClr val="windowText" lastClr="000000"/>
                    </a:solidFill>
                    <a:latin typeface="Arial" panose="020B0604020202020204" pitchFamily="34" charset="0"/>
                    <a:cs typeface="Arial" panose="020B0604020202020204" pitchFamily="34" charset="0"/>
                  </a:rPr>
                  <a:t> options</a:t>
                </a:r>
                <a:endParaRPr lang="en-AU" sz="8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6584842519685046"/>
              <c:y val="0.9013673290838645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4948063"/>
        <c:crosses val="autoZero"/>
        <c:auto val="1"/>
        <c:lblAlgn val="ctr"/>
        <c:lblOffset val="100"/>
        <c:noMultiLvlLbl val="0"/>
      </c:catAx>
      <c:valAx>
        <c:axId val="864948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b="1">
                    <a:solidFill>
                      <a:sysClr val="windowText" lastClr="000000"/>
                    </a:solidFill>
                    <a:latin typeface="Arial" panose="020B0604020202020204" pitchFamily="34" charset="0"/>
                    <a:cs typeface="Arial" panose="020B0604020202020204" pitchFamily="34" charset="0"/>
                  </a:rPr>
                  <a:t>Number of responses</a:t>
                </a: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4950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6'!$A$2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6'!$B$1:$K$1</c:f>
              <c:strCache>
                <c:ptCount val="10"/>
                <c:pt idx="0">
                  <c:v>Australian Capital Territory</c:v>
                </c:pt>
                <c:pt idx="1">
                  <c:v>Queensland</c:v>
                </c:pt>
                <c:pt idx="2">
                  <c:v>Victoria</c:v>
                </c:pt>
                <c:pt idx="3">
                  <c:v>New South Wales</c:v>
                </c:pt>
                <c:pt idx="4">
                  <c:v>Tasmania</c:v>
                </c:pt>
                <c:pt idx="5">
                  <c:v>South Australia</c:v>
                </c:pt>
                <c:pt idx="6">
                  <c:v>Western Australia</c:v>
                </c:pt>
                <c:pt idx="7">
                  <c:v>Northen Territory</c:v>
                </c:pt>
                <c:pt idx="8">
                  <c:v>Prefer not to answer</c:v>
                </c:pt>
                <c:pt idx="9">
                  <c:v>Other</c:v>
                </c:pt>
              </c:strCache>
            </c:strRef>
          </c:cat>
          <c:val>
            <c:numRef>
              <c:f>'Chart 6'!$B$2:$K$2</c:f>
              <c:numCache>
                <c:formatCode>General</c:formatCode>
                <c:ptCount val="10"/>
                <c:pt idx="0">
                  <c:v>0</c:v>
                </c:pt>
                <c:pt idx="1">
                  <c:v>3</c:v>
                </c:pt>
                <c:pt idx="2">
                  <c:v>4</c:v>
                </c:pt>
                <c:pt idx="3">
                  <c:v>6</c:v>
                </c:pt>
                <c:pt idx="4">
                  <c:v>0</c:v>
                </c:pt>
                <c:pt idx="5">
                  <c:v>2</c:v>
                </c:pt>
                <c:pt idx="6">
                  <c:v>0</c:v>
                </c:pt>
                <c:pt idx="7">
                  <c:v>0</c:v>
                </c:pt>
                <c:pt idx="8">
                  <c:v>0</c:v>
                </c:pt>
                <c:pt idx="9">
                  <c:v>0</c:v>
                </c:pt>
              </c:numCache>
            </c:numRef>
          </c:val>
          <c:extLst>
            <c:ext xmlns:c16="http://schemas.microsoft.com/office/drawing/2014/chart" uri="{C3380CC4-5D6E-409C-BE32-E72D297353CC}">
              <c16:uniqueId val="{00000000-30A5-4143-A04C-DEAD6D438ECB}"/>
            </c:ext>
          </c:extLst>
        </c:ser>
        <c:dLbls>
          <c:dLblPos val="outEnd"/>
          <c:showLegendKey val="0"/>
          <c:showVal val="1"/>
          <c:showCatName val="0"/>
          <c:showSerName val="0"/>
          <c:showPercent val="0"/>
          <c:showBubbleSize val="0"/>
        </c:dLbls>
        <c:gapWidth val="219"/>
        <c:overlap val="-27"/>
        <c:axId val="1023246927"/>
        <c:axId val="1023248367"/>
      </c:barChart>
      <c:catAx>
        <c:axId val="10232469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a:t>
                </a:r>
                <a:r>
                  <a:rPr lang="en-AU" sz="800" b="1" baseline="0">
                    <a:solidFill>
                      <a:sysClr val="windowText" lastClr="000000"/>
                    </a:solidFill>
                    <a:latin typeface="Arial" panose="020B0604020202020204" pitchFamily="34" charset="0"/>
                    <a:cs typeface="Arial" panose="020B0604020202020204" pitchFamily="34" charset="0"/>
                  </a:rPr>
                  <a:t> options</a:t>
                </a:r>
                <a:endParaRPr lang="en-AU" sz="8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8594728783902016"/>
              <c:y val="0.887128762189397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23248367"/>
        <c:crosses val="autoZero"/>
        <c:auto val="1"/>
        <c:lblAlgn val="ctr"/>
        <c:lblOffset val="100"/>
        <c:noMultiLvlLbl val="0"/>
      </c:catAx>
      <c:valAx>
        <c:axId val="1023248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a:t>
                </a:r>
                <a:r>
                  <a:rPr lang="en-AU" sz="800" b="1" baseline="0">
                    <a:solidFill>
                      <a:sysClr val="windowText" lastClr="000000"/>
                    </a:solidFill>
                    <a:latin typeface="Arial" panose="020B0604020202020204" pitchFamily="34" charset="0"/>
                    <a:cs typeface="Arial" panose="020B0604020202020204" pitchFamily="34" charset="0"/>
                  </a:rPr>
                  <a:t> responses</a:t>
                </a:r>
                <a:endParaRPr lang="en-AU" sz="8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232469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98840769903762"/>
          <c:y val="5.0925925925925923E-2"/>
          <c:w val="0.85701159230096235"/>
          <c:h val="0.68589457567804024"/>
        </c:manualLayout>
      </c:layout>
      <c:barChart>
        <c:barDir val="col"/>
        <c:grouping val="clustered"/>
        <c:varyColors val="0"/>
        <c:ser>
          <c:idx val="0"/>
          <c:order val="0"/>
          <c:tx>
            <c:strRef>
              <c:f>'Chart 7'!$A$2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7'!$B$1:$G$1</c:f>
              <c:strCache>
                <c:ptCount val="6"/>
                <c:pt idx="0">
                  <c:v>Franchising</c:v>
                </c:pt>
                <c:pt idx="1">
                  <c:v>Business to business - payment</c:v>
                </c:pt>
                <c:pt idx="2">
                  <c:v>Business to business - other</c:v>
                </c:pt>
                <c:pt idx="3">
                  <c:v>Horticultural, dairy or oil code</c:v>
                </c:pt>
                <c:pt idx="4">
                  <c:v>All of the above</c:v>
                </c:pt>
                <c:pt idx="5">
                  <c:v>Other</c:v>
                </c:pt>
              </c:strCache>
            </c:strRef>
          </c:cat>
          <c:val>
            <c:numRef>
              <c:f>'Chart 7'!$B$2:$G$2</c:f>
              <c:numCache>
                <c:formatCode>General</c:formatCode>
                <c:ptCount val="6"/>
                <c:pt idx="0">
                  <c:v>12</c:v>
                </c:pt>
                <c:pt idx="1">
                  <c:v>7</c:v>
                </c:pt>
                <c:pt idx="2">
                  <c:v>6</c:v>
                </c:pt>
                <c:pt idx="3">
                  <c:v>2</c:v>
                </c:pt>
                <c:pt idx="4">
                  <c:v>3</c:v>
                </c:pt>
                <c:pt idx="5">
                  <c:v>4</c:v>
                </c:pt>
              </c:numCache>
            </c:numRef>
          </c:val>
          <c:extLst>
            <c:ext xmlns:c16="http://schemas.microsoft.com/office/drawing/2014/chart" uri="{C3380CC4-5D6E-409C-BE32-E72D297353CC}">
              <c16:uniqueId val="{00000000-4C8E-4523-A8FE-94FFF510C216}"/>
            </c:ext>
          </c:extLst>
        </c:ser>
        <c:dLbls>
          <c:dLblPos val="outEnd"/>
          <c:showLegendKey val="0"/>
          <c:showVal val="1"/>
          <c:showCatName val="0"/>
          <c:showSerName val="0"/>
          <c:showPercent val="0"/>
          <c:showBubbleSize val="0"/>
        </c:dLbls>
        <c:gapWidth val="219"/>
        <c:overlap val="-27"/>
        <c:axId val="917740175"/>
        <c:axId val="917741615"/>
      </c:barChart>
      <c:catAx>
        <c:axId val="9177401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a:t>
                </a:r>
                <a:r>
                  <a:rPr lang="en-AU" sz="800" b="1" baseline="0">
                    <a:solidFill>
                      <a:sysClr val="windowText" lastClr="000000"/>
                    </a:solidFill>
                    <a:latin typeface="Arial" panose="020B0604020202020204" pitchFamily="34" charset="0"/>
                    <a:cs typeface="Arial" panose="020B0604020202020204" pitchFamily="34" charset="0"/>
                  </a:rPr>
                  <a:t> response options</a:t>
                </a:r>
                <a:endParaRPr lang="en-AU" sz="8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5540398075240592"/>
              <c:y val="0.910308255263712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17741615"/>
        <c:crosses val="autoZero"/>
        <c:auto val="1"/>
        <c:lblAlgn val="ctr"/>
        <c:lblOffset val="100"/>
        <c:noMultiLvlLbl val="0"/>
      </c:catAx>
      <c:valAx>
        <c:axId val="917741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a:t>
                </a:r>
                <a:r>
                  <a:rPr lang="en-AU" sz="800" b="1" baseline="0">
                    <a:solidFill>
                      <a:sysClr val="windowText" lastClr="000000"/>
                    </a:solidFill>
                    <a:latin typeface="Arial" panose="020B0604020202020204" pitchFamily="34" charset="0"/>
                    <a:cs typeface="Arial" panose="020B0604020202020204" pitchFamily="34" charset="0"/>
                  </a:rPr>
                  <a:t> responses</a:t>
                </a:r>
                <a:endParaRPr lang="en-AU" sz="8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1774017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8'!$A$2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8'!$B$1:$E$1</c:f>
              <c:strCache>
                <c:ptCount val="4"/>
                <c:pt idx="0">
                  <c:v>Never</c:v>
                </c:pt>
                <c:pt idx="1">
                  <c:v>1 - 5 per year</c:v>
                </c:pt>
                <c:pt idx="2">
                  <c:v>5 - 10 per year</c:v>
                </c:pt>
                <c:pt idx="3">
                  <c:v>Over 10 mediations</c:v>
                </c:pt>
              </c:strCache>
            </c:strRef>
          </c:cat>
          <c:val>
            <c:numRef>
              <c:f>'Chart 8'!$B$2:$E$2</c:f>
              <c:numCache>
                <c:formatCode>General</c:formatCode>
                <c:ptCount val="4"/>
                <c:pt idx="0">
                  <c:v>0</c:v>
                </c:pt>
                <c:pt idx="1">
                  <c:v>15</c:v>
                </c:pt>
                <c:pt idx="2">
                  <c:v>0</c:v>
                </c:pt>
                <c:pt idx="3">
                  <c:v>0</c:v>
                </c:pt>
              </c:numCache>
            </c:numRef>
          </c:val>
          <c:extLst>
            <c:ext xmlns:c16="http://schemas.microsoft.com/office/drawing/2014/chart" uri="{C3380CC4-5D6E-409C-BE32-E72D297353CC}">
              <c16:uniqueId val="{00000000-0A8A-4C57-B36A-A42E2D3F08CA}"/>
            </c:ext>
          </c:extLst>
        </c:ser>
        <c:dLbls>
          <c:dLblPos val="outEnd"/>
          <c:showLegendKey val="0"/>
          <c:showVal val="1"/>
          <c:showCatName val="0"/>
          <c:showSerName val="0"/>
          <c:showPercent val="0"/>
          <c:showBubbleSize val="0"/>
        </c:dLbls>
        <c:gapWidth val="219"/>
        <c:overlap val="-27"/>
        <c:axId val="872814591"/>
        <c:axId val="872815071"/>
      </c:barChart>
      <c:catAx>
        <c:axId val="8728145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a:t>
                </a:r>
                <a:r>
                  <a:rPr lang="en-AU" sz="800" b="1" baseline="0">
                    <a:solidFill>
                      <a:sysClr val="windowText" lastClr="000000"/>
                    </a:solidFill>
                    <a:latin typeface="Arial" panose="020B0604020202020204" pitchFamily="34" charset="0"/>
                    <a:cs typeface="Arial" panose="020B0604020202020204" pitchFamily="34" charset="0"/>
                  </a:rPr>
                  <a:t> options</a:t>
                </a:r>
                <a:endParaRPr lang="en-AU" sz="8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66515091863517"/>
              <c:y val="0.906251333967869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2815071"/>
        <c:crosses val="autoZero"/>
        <c:auto val="1"/>
        <c:lblAlgn val="ctr"/>
        <c:lblOffset val="100"/>
        <c:noMultiLvlLbl val="0"/>
      </c:catAx>
      <c:valAx>
        <c:axId val="872815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a:t>
                </a:r>
                <a:r>
                  <a:rPr lang="en-AU" sz="800" b="1" baseline="0">
                    <a:solidFill>
                      <a:sysClr val="windowText" lastClr="000000"/>
                    </a:solidFill>
                    <a:latin typeface="Arial" panose="020B0604020202020204" pitchFamily="34" charset="0"/>
                    <a:cs typeface="Arial" panose="020B0604020202020204" pitchFamily="34" charset="0"/>
                  </a:rPr>
                  <a:t> responses</a:t>
                </a:r>
                <a:endParaRPr lang="en-AU" sz="8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2814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030146635439069E-2"/>
          <c:y val="7.0646217450958712E-2"/>
          <c:w val="0.92329511132777309"/>
          <c:h val="0.51236116454199776"/>
        </c:manualLayout>
      </c:layout>
      <c:barChart>
        <c:barDir val="col"/>
        <c:grouping val="clustered"/>
        <c:varyColors val="0"/>
        <c:ser>
          <c:idx val="0"/>
          <c:order val="0"/>
          <c:tx>
            <c:strRef>
              <c:f>'Chart 9'!$A$2</c:f>
              <c:strCache>
                <c:ptCount val="1"/>
                <c:pt idx="0">
                  <c:v>Very satisfied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9'!$B$1:$G$1</c:f>
              <c:strCache>
                <c:ptCount val="6"/>
                <c:pt idx="0">
                  <c:v>The process for scheduling a mediation</c:v>
                </c:pt>
                <c:pt idx="1">
                  <c:v>The cases provided are aligned with my skills and knowledge</c:v>
                </c:pt>
                <c:pt idx="2">
                  <c:v>Pre-mediation briefing provided by ASBFEO staff regarding the dispute and the disputants</c:v>
                </c:pt>
                <c:pt idx="3">
                  <c:v>Screening out aggressive disputants</c:v>
                </c:pt>
                <c:pt idx="4">
                  <c:v>Communication between the ASBFEO staff and yourself</c:v>
                </c:pt>
                <c:pt idx="5">
                  <c:v>The process for reporting mediation outcome</c:v>
                </c:pt>
              </c:strCache>
            </c:strRef>
          </c:cat>
          <c:val>
            <c:numRef>
              <c:f>'Chart 9'!$B$2:$G$2</c:f>
              <c:numCache>
                <c:formatCode>General</c:formatCode>
                <c:ptCount val="6"/>
                <c:pt idx="0">
                  <c:v>3</c:v>
                </c:pt>
                <c:pt idx="1">
                  <c:v>9</c:v>
                </c:pt>
                <c:pt idx="2">
                  <c:v>4</c:v>
                </c:pt>
                <c:pt idx="3">
                  <c:v>0</c:v>
                </c:pt>
                <c:pt idx="4">
                  <c:v>2</c:v>
                </c:pt>
                <c:pt idx="5">
                  <c:v>5</c:v>
                </c:pt>
              </c:numCache>
            </c:numRef>
          </c:val>
          <c:extLst>
            <c:ext xmlns:c16="http://schemas.microsoft.com/office/drawing/2014/chart" uri="{C3380CC4-5D6E-409C-BE32-E72D297353CC}">
              <c16:uniqueId val="{00000000-DF68-439E-BFCB-B01FF79A002F}"/>
            </c:ext>
          </c:extLst>
        </c:ser>
        <c:ser>
          <c:idx val="1"/>
          <c:order val="1"/>
          <c:tx>
            <c:strRef>
              <c:f>'Chart 9'!$A$3</c:f>
              <c:strCache>
                <c:ptCount val="1"/>
                <c:pt idx="0">
                  <c:v>Satisfied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9'!$B$1:$G$1</c:f>
              <c:strCache>
                <c:ptCount val="6"/>
                <c:pt idx="0">
                  <c:v>The process for scheduling a mediation</c:v>
                </c:pt>
                <c:pt idx="1">
                  <c:v>The cases provided are aligned with my skills and knowledge</c:v>
                </c:pt>
                <c:pt idx="2">
                  <c:v>Pre-mediation briefing provided by ASBFEO staff regarding the dispute and the disputants</c:v>
                </c:pt>
                <c:pt idx="3">
                  <c:v>Screening out aggressive disputants</c:v>
                </c:pt>
                <c:pt idx="4">
                  <c:v>Communication between the ASBFEO staff and yourself</c:v>
                </c:pt>
                <c:pt idx="5">
                  <c:v>The process for reporting mediation outcome</c:v>
                </c:pt>
              </c:strCache>
            </c:strRef>
          </c:cat>
          <c:val>
            <c:numRef>
              <c:f>'Chart 9'!$B$3:$G$3</c:f>
              <c:numCache>
                <c:formatCode>General</c:formatCode>
                <c:ptCount val="6"/>
                <c:pt idx="0">
                  <c:v>6</c:v>
                </c:pt>
                <c:pt idx="1">
                  <c:v>4</c:v>
                </c:pt>
                <c:pt idx="2">
                  <c:v>6</c:v>
                </c:pt>
                <c:pt idx="3">
                  <c:v>6</c:v>
                </c:pt>
                <c:pt idx="4">
                  <c:v>9</c:v>
                </c:pt>
                <c:pt idx="5">
                  <c:v>9</c:v>
                </c:pt>
              </c:numCache>
            </c:numRef>
          </c:val>
          <c:extLst>
            <c:ext xmlns:c16="http://schemas.microsoft.com/office/drawing/2014/chart" uri="{C3380CC4-5D6E-409C-BE32-E72D297353CC}">
              <c16:uniqueId val="{00000001-DF68-439E-BFCB-B01FF79A002F}"/>
            </c:ext>
          </c:extLst>
        </c:ser>
        <c:ser>
          <c:idx val="2"/>
          <c:order val="2"/>
          <c:tx>
            <c:strRef>
              <c:f>'Chart 9'!$A$4</c:f>
              <c:strCache>
                <c:ptCount val="1"/>
                <c:pt idx="0">
                  <c:v>Neither satisfied nor dissatisfied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9'!$B$1:$G$1</c:f>
              <c:strCache>
                <c:ptCount val="6"/>
                <c:pt idx="0">
                  <c:v>The process for scheduling a mediation</c:v>
                </c:pt>
                <c:pt idx="1">
                  <c:v>The cases provided are aligned with my skills and knowledge</c:v>
                </c:pt>
                <c:pt idx="2">
                  <c:v>Pre-mediation briefing provided by ASBFEO staff regarding the dispute and the disputants</c:v>
                </c:pt>
                <c:pt idx="3">
                  <c:v>Screening out aggressive disputants</c:v>
                </c:pt>
                <c:pt idx="4">
                  <c:v>Communication between the ASBFEO staff and yourself</c:v>
                </c:pt>
                <c:pt idx="5">
                  <c:v>The process for reporting mediation outcome</c:v>
                </c:pt>
              </c:strCache>
            </c:strRef>
          </c:cat>
          <c:val>
            <c:numRef>
              <c:f>'Chart 9'!$B$4:$G$4</c:f>
              <c:numCache>
                <c:formatCode>General</c:formatCode>
                <c:ptCount val="6"/>
                <c:pt idx="0">
                  <c:v>6</c:v>
                </c:pt>
                <c:pt idx="1">
                  <c:v>2</c:v>
                </c:pt>
                <c:pt idx="2">
                  <c:v>2</c:v>
                </c:pt>
                <c:pt idx="3">
                  <c:v>7</c:v>
                </c:pt>
                <c:pt idx="4">
                  <c:v>2</c:v>
                </c:pt>
                <c:pt idx="5">
                  <c:v>1</c:v>
                </c:pt>
              </c:numCache>
            </c:numRef>
          </c:val>
          <c:extLst>
            <c:ext xmlns:c16="http://schemas.microsoft.com/office/drawing/2014/chart" uri="{C3380CC4-5D6E-409C-BE32-E72D297353CC}">
              <c16:uniqueId val="{00000002-DF68-439E-BFCB-B01FF79A002F}"/>
            </c:ext>
          </c:extLst>
        </c:ser>
        <c:ser>
          <c:idx val="3"/>
          <c:order val="3"/>
          <c:tx>
            <c:strRef>
              <c:f>'Chart 9'!$A$5</c:f>
              <c:strCache>
                <c:ptCount val="1"/>
                <c:pt idx="0">
                  <c:v>Dissatisfied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9'!$B$1:$G$1</c:f>
              <c:strCache>
                <c:ptCount val="6"/>
                <c:pt idx="0">
                  <c:v>The process for scheduling a mediation</c:v>
                </c:pt>
                <c:pt idx="1">
                  <c:v>The cases provided are aligned with my skills and knowledge</c:v>
                </c:pt>
                <c:pt idx="2">
                  <c:v>Pre-mediation briefing provided by ASBFEO staff regarding the dispute and the disputants</c:v>
                </c:pt>
                <c:pt idx="3">
                  <c:v>Screening out aggressive disputants</c:v>
                </c:pt>
                <c:pt idx="4">
                  <c:v>Communication between the ASBFEO staff and yourself</c:v>
                </c:pt>
                <c:pt idx="5">
                  <c:v>The process for reporting mediation outcome</c:v>
                </c:pt>
              </c:strCache>
            </c:strRef>
          </c:cat>
          <c:val>
            <c:numRef>
              <c:f>'Chart 9'!$B$5:$G$5</c:f>
              <c:numCache>
                <c:formatCode>General</c:formatCode>
                <c:ptCount val="6"/>
                <c:pt idx="0">
                  <c:v>0</c:v>
                </c:pt>
                <c:pt idx="1">
                  <c:v>0</c:v>
                </c:pt>
                <c:pt idx="2">
                  <c:v>2</c:v>
                </c:pt>
                <c:pt idx="3">
                  <c:v>2</c:v>
                </c:pt>
                <c:pt idx="4">
                  <c:v>2</c:v>
                </c:pt>
                <c:pt idx="5">
                  <c:v>0</c:v>
                </c:pt>
              </c:numCache>
            </c:numRef>
          </c:val>
          <c:extLst>
            <c:ext xmlns:c16="http://schemas.microsoft.com/office/drawing/2014/chart" uri="{C3380CC4-5D6E-409C-BE32-E72D297353CC}">
              <c16:uniqueId val="{00000003-DF68-439E-BFCB-B01FF79A002F}"/>
            </c:ext>
          </c:extLst>
        </c:ser>
        <c:ser>
          <c:idx val="4"/>
          <c:order val="4"/>
          <c:tx>
            <c:strRef>
              <c:f>'Chart 9'!$A$6</c:f>
              <c:strCache>
                <c:ptCount val="1"/>
                <c:pt idx="0">
                  <c:v>Very dissatisfied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9'!$B$1:$G$1</c:f>
              <c:strCache>
                <c:ptCount val="6"/>
                <c:pt idx="0">
                  <c:v>The process for scheduling a mediation</c:v>
                </c:pt>
                <c:pt idx="1">
                  <c:v>The cases provided are aligned with my skills and knowledge</c:v>
                </c:pt>
                <c:pt idx="2">
                  <c:v>Pre-mediation briefing provided by ASBFEO staff regarding the dispute and the disputants</c:v>
                </c:pt>
                <c:pt idx="3">
                  <c:v>Screening out aggressive disputants</c:v>
                </c:pt>
                <c:pt idx="4">
                  <c:v>Communication between the ASBFEO staff and yourself</c:v>
                </c:pt>
                <c:pt idx="5">
                  <c:v>The process for reporting mediation outcome</c:v>
                </c:pt>
              </c:strCache>
            </c:strRef>
          </c:cat>
          <c:val>
            <c:numRef>
              <c:f>'Chart 9'!$B$6:$G$6</c:f>
              <c:numCache>
                <c:formatCode>General</c:formatCode>
                <c:ptCount val="6"/>
                <c:pt idx="0">
                  <c:v>0</c:v>
                </c:pt>
                <c:pt idx="1">
                  <c:v>0</c:v>
                </c:pt>
                <c:pt idx="2">
                  <c:v>1</c:v>
                </c:pt>
                <c:pt idx="3">
                  <c:v>0</c:v>
                </c:pt>
                <c:pt idx="4">
                  <c:v>0</c:v>
                </c:pt>
                <c:pt idx="5">
                  <c:v>0</c:v>
                </c:pt>
              </c:numCache>
            </c:numRef>
          </c:val>
          <c:extLst>
            <c:ext xmlns:c16="http://schemas.microsoft.com/office/drawing/2014/chart" uri="{C3380CC4-5D6E-409C-BE32-E72D297353CC}">
              <c16:uniqueId val="{00000004-DF68-439E-BFCB-B01FF79A002F}"/>
            </c:ext>
          </c:extLst>
        </c:ser>
        <c:dLbls>
          <c:showLegendKey val="0"/>
          <c:showVal val="0"/>
          <c:showCatName val="0"/>
          <c:showSerName val="0"/>
          <c:showPercent val="0"/>
          <c:showBubbleSize val="0"/>
        </c:dLbls>
        <c:gapWidth val="150"/>
        <c:overlap val="-25"/>
        <c:axId val="914441471"/>
        <c:axId val="914441951"/>
      </c:barChart>
      <c:catAx>
        <c:axId val="9144414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options</a:t>
                </a:r>
              </a:p>
            </c:rich>
          </c:tx>
          <c:layout>
            <c:manualLayout>
              <c:xMode val="edge"/>
              <c:yMode val="edge"/>
              <c:x val="0.3795536997982924"/>
              <c:y val="0.848207006206421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14441951"/>
        <c:crosses val="autoZero"/>
        <c:auto val="1"/>
        <c:lblAlgn val="ctr"/>
        <c:lblOffset val="100"/>
        <c:noMultiLvlLbl val="0"/>
      </c:catAx>
      <c:valAx>
        <c:axId val="914441951"/>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 responses</a:t>
                </a:r>
              </a:p>
            </c:rich>
          </c:tx>
          <c:layout>
            <c:manualLayout>
              <c:xMode val="edge"/>
              <c:yMode val="edge"/>
              <c:x val="1.4429690232193385E-2"/>
              <c:y val="0.309630272940562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914441471"/>
        <c:crosses val="autoZero"/>
        <c:crossBetween val="between"/>
      </c:valAx>
      <c:spPr>
        <a:noFill/>
        <a:ln>
          <a:noFill/>
        </a:ln>
        <a:effectLst/>
      </c:spPr>
    </c:plotArea>
    <c:legend>
      <c:legendPos val="t"/>
      <c:layout>
        <c:manualLayout>
          <c:xMode val="edge"/>
          <c:yMode val="edge"/>
          <c:x val="4.6046035968249598E-2"/>
          <c:y val="0.91881458831066121"/>
          <c:w val="0.9"/>
          <c:h val="6.3206335551858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10'!$A$2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10'!$B$1:$F$1</c:f>
              <c:strCache>
                <c:ptCount val="5"/>
                <c:pt idx="0">
                  <c:v>Extremely prepared</c:v>
                </c:pt>
                <c:pt idx="1">
                  <c:v>Moderately prepared</c:v>
                </c:pt>
                <c:pt idx="2">
                  <c:v>Somewhat prepared</c:v>
                </c:pt>
                <c:pt idx="3">
                  <c:v>Unprepared</c:v>
                </c:pt>
                <c:pt idx="4">
                  <c:v>Disordered</c:v>
                </c:pt>
              </c:strCache>
            </c:strRef>
          </c:cat>
          <c:val>
            <c:numRef>
              <c:f>'Chart 10'!$B$2:$F$2</c:f>
              <c:numCache>
                <c:formatCode>General</c:formatCode>
                <c:ptCount val="5"/>
                <c:pt idx="0">
                  <c:v>0</c:v>
                </c:pt>
                <c:pt idx="1">
                  <c:v>11</c:v>
                </c:pt>
                <c:pt idx="2">
                  <c:v>4</c:v>
                </c:pt>
                <c:pt idx="3">
                  <c:v>0</c:v>
                </c:pt>
                <c:pt idx="4">
                  <c:v>0</c:v>
                </c:pt>
              </c:numCache>
            </c:numRef>
          </c:val>
          <c:extLst>
            <c:ext xmlns:c16="http://schemas.microsoft.com/office/drawing/2014/chart" uri="{C3380CC4-5D6E-409C-BE32-E72D297353CC}">
              <c16:uniqueId val="{00000000-D762-4142-B5DB-75B0AD7C097A}"/>
            </c:ext>
          </c:extLst>
        </c:ser>
        <c:dLbls>
          <c:dLblPos val="outEnd"/>
          <c:showLegendKey val="0"/>
          <c:showVal val="1"/>
          <c:showCatName val="0"/>
          <c:showSerName val="0"/>
          <c:showPercent val="0"/>
          <c:showBubbleSize val="0"/>
        </c:dLbls>
        <c:gapWidth val="219"/>
        <c:overlap val="-27"/>
        <c:axId val="1269547583"/>
        <c:axId val="1269548063"/>
      </c:barChart>
      <c:catAx>
        <c:axId val="12695475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a:t>
                </a:r>
                <a:r>
                  <a:rPr lang="en-AU" sz="800" b="1" baseline="0">
                    <a:solidFill>
                      <a:sysClr val="windowText" lastClr="000000"/>
                    </a:solidFill>
                    <a:latin typeface="Arial" panose="020B0604020202020204" pitchFamily="34" charset="0"/>
                    <a:cs typeface="Arial" panose="020B0604020202020204" pitchFamily="34" charset="0"/>
                  </a:rPr>
                  <a:t> option</a:t>
                </a:r>
                <a:endParaRPr lang="en-AU" sz="8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9200564929936671"/>
              <c:y val="0.913439394052907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69548063"/>
        <c:crosses val="autoZero"/>
        <c:auto val="1"/>
        <c:lblAlgn val="ctr"/>
        <c:lblOffset val="100"/>
        <c:noMultiLvlLbl val="0"/>
      </c:catAx>
      <c:valAx>
        <c:axId val="1269548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6954758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2'!$A$2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2'!$B$1:$G$1</c:f>
              <c:strCache>
                <c:ptCount val="6"/>
                <c:pt idx="0">
                  <c:v>Response 1</c:v>
                </c:pt>
                <c:pt idx="1">
                  <c:v>Response 2</c:v>
                </c:pt>
                <c:pt idx="2">
                  <c:v>Response 3</c:v>
                </c:pt>
                <c:pt idx="3">
                  <c:v>Response 4</c:v>
                </c:pt>
                <c:pt idx="4">
                  <c:v>Response 5</c:v>
                </c:pt>
                <c:pt idx="5">
                  <c:v>Response 6</c:v>
                </c:pt>
              </c:strCache>
            </c:strRef>
          </c:cat>
          <c:val>
            <c:numRef>
              <c:f>'chart 2'!$B$2:$G$2</c:f>
              <c:numCache>
                <c:formatCode>General</c:formatCode>
                <c:ptCount val="6"/>
                <c:pt idx="0">
                  <c:v>35</c:v>
                </c:pt>
                <c:pt idx="1">
                  <c:v>12</c:v>
                </c:pt>
                <c:pt idx="2">
                  <c:v>13</c:v>
                </c:pt>
                <c:pt idx="3">
                  <c:v>6</c:v>
                </c:pt>
                <c:pt idx="4">
                  <c:v>40</c:v>
                </c:pt>
                <c:pt idx="5">
                  <c:v>96</c:v>
                </c:pt>
              </c:numCache>
            </c:numRef>
          </c:val>
          <c:extLst>
            <c:ext xmlns:c16="http://schemas.microsoft.com/office/drawing/2014/chart" uri="{C3380CC4-5D6E-409C-BE32-E72D297353CC}">
              <c16:uniqueId val="{00000000-8CEA-42F7-9842-602D0AE10803}"/>
            </c:ext>
          </c:extLst>
        </c:ser>
        <c:dLbls>
          <c:dLblPos val="outEnd"/>
          <c:showLegendKey val="0"/>
          <c:showVal val="1"/>
          <c:showCatName val="0"/>
          <c:showSerName val="0"/>
          <c:showPercent val="0"/>
          <c:showBubbleSize val="0"/>
        </c:dLbls>
        <c:gapWidth val="219"/>
        <c:overlap val="-27"/>
        <c:axId val="1521693120"/>
        <c:axId val="1521708000"/>
      </c:barChart>
      <c:catAx>
        <c:axId val="1521693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options</a:t>
                </a:r>
              </a:p>
            </c:rich>
          </c:tx>
          <c:layout>
            <c:manualLayout>
              <c:xMode val="edge"/>
              <c:yMode val="edge"/>
              <c:x val="0.39367663236826966"/>
              <c:y val="0.9114446859457191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21708000"/>
        <c:crosses val="autoZero"/>
        <c:auto val="1"/>
        <c:lblAlgn val="ctr"/>
        <c:lblOffset val="100"/>
        <c:noMultiLvlLbl val="0"/>
      </c:catAx>
      <c:valAx>
        <c:axId val="152170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a:t>
                </a:r>
                <a:r>
                  <a:rPr lang="en-AU" sz="800" b="1" baseline="0">
                    <a:solidFill>
                      <a:sysClr val="windowText" lastClr="000000"/>
                    </a:solidFill>
                    <a:latin typeface="Arial" panose="020B0604020202020204" pitchFamily="34" charset="0"/>
                    <a:cs typeface="Arial" panose="020B0604020202020204" pitchFamily="34" charset="0"/>
                  </a:rPr>
                  <a:t> of responses</a:t>
                </a:r>
                <a:endParaRPr lang="en-AU" sz="8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21693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12'!$A$2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12'!$B$1:$C$1</c:f>
              <c:strCache>
                <c:ptCount val="2"/>
                <c:pt idx="0">
                  <c:v>Yes</c:v>
                </c:pt>
                <c:pt idx="1">
                  <c:v>No</c:v>
                </c:pt>
              </c:strCache>
            </c:strRef>
          </c:cat>
          <c:val>
            <c:numRef>
              <c:f>'Chart 12'!$B$2:$C$2</c:f>
              <c:numCache>
                <c:formatCode>General</c:formatCode>
                <c:ptCount val="2"/>
                <c:pt idx="0">
                  <c:v>12</c:v>
                </c:pt>
                <c:pt idx="1">
                  <c:v>3</c:v>
                </c:pt>
              </c:numCache>
            </c:numRef>
          </c:val>
          <c:extLst>
            <c:ext xmlns:c16="http://schemas.microsoft.com/office/drawing/2014/chart" uri="{C3380CC4-5D6E-409C-BE32-E72D297353CC}">
              <c16:uniqueId val="{00000000-6E19-4298-BB5A-CCEE28118BF0}"/>
            </c:ext>
          </c:extLst>
        </c:ser>
        <c:dLbls>
          <c:dLblPos val="outEnd"/>
          <c:showLegendKey val="0"/>
          <c:showVal val="1"/>
          <c:showCatName val="0"/>
          <c:showSerName val="0"/>
          <c:showPercent val="0"/>
          <c:showBubbleSize val="0"/>
        </c:dLbls>
        <c:gapWidth val="219"/>
        <c:overlap val="-27"/>
        <c:axId val="1492385647"/>
        <c:axId val="1492388527"/>
      </c:barChart>
      <c:catAx>
        <c:axId val="14923856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a:t>
                </a:r>
              </a:p>
            </c:rich>
          </c:tx>
          <c:layout>
            <c:manualLayout>
              <c:xMode val="edge"/>
              <c:yMode val="edge"/>
              <c:x val="0.37547331583552057"/>
              <c:y val="0.901727302335383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92388527"/>
        <c:crosses val="autoZero"/>
        <c:auto val="1"/>
        <c:lblAlgn val="ctr"/>
        <c:lblOffset val="100"/>
        <c:noMultiLvlLbl val="0"/>
      </c:catAx>
      <c:valAx>
        <c:axId val="14923885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a:t>
                </a:r>
                <a:r>
                  <a:rPr lang="en-AU" sz="800" b="1" baseline="0">
                    <a:solidFill>
                      <a:sysClr val="windowText" lastClr="000000"/>
                    </a:solidFill>
                    <a:latin typeface="Arial" panose="020B0604020202020204" pitchFamily="34" charset="0"/>
                    <a:cs typeface="Arial" panose="020B0604020202020204" pitchFamily="34" charset="0"/>
                  </a:rPr>
                  <a:t> responses</a:t>
                </a:r>
                <a:endParaRPr lang="en-AU" sz="8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9238564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13'!$A$2</c:f>
              <c:strCache>
                <c:ptCount val="1"/>
                <c:pt idx="0">
                  <c:v>ASBFEO performs better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13'!$B$1:$H$1</c:f>
              <c:strCache>
                <c:ptCount val="7"/>
                <c:pt idx="0">
                  <c:v>Impartiality</c:v>
                </c:pt>
                <c:pt idx="1">
                  <c:v>Pre-mediation preparation of disputants</c:v>
                </c:pt>
                <c:pt idx="2">
                  <c:v>Dispute resolution model (mediation)</c:v>
                </c:pt>
                <c:pt idx="3">
                  <c:v>Accessibility for people from different cultural backgrounds</c:v>
                </c:pt>
                <c:pt idx="4">
                  <c:v>Accessibility for people living in rural or remote areas</c:v>
                </c:pt>
                <c:pt idx="5">
                  <c:v>Affordability</c:v>
                </c:pt>
                <c:pt idx="6">
                  <c:v>Independence</c:v>
                </c:pt>
              </c:strCache>
            </c:strRef>
          </c:cat>
          <c:val>
            <c:numRef>
              <c:f>'Chart 13'!$B$2:$H$2</c:f>
              <c:numCache>
                <c:formatCode>General</c:formatCode>
                <c:ptCount val="7"/>
                <c:pt idx="0">
                  <c:v>0</c:v>
                </c:pt>
                <c:pt idx="1">
                  <c:v>3</c:v>
                </c:pt>
                <c:pt idx="2">
                  <c:v>1</c:v>
                </c:pt>
                <c:pt idx="3">
                  <c:v>0</c:v>
                </c:pt>
                <c:pt idx="4">
                  <c:v>0</c:v>
                </c:pt>
                <c:pt idx="5">
                  <c:v>0</c:v>
                </c:pt>
                <c:pt idx="6">
                  <c:v>0</c:v>
                </c:pt>
              </c:numCache>
            </c:numRef>
          </c:val>
          <c:extLst>
            <c:ext xmlns:c16="http://schemas.microsoft.com/office/drawing/2014/chart" uri="{C3380CC4-5D6E-409C-BE32-E72D297353CC}">
              <c16:uniqueId val="{00000000-F81E-4EEA-ABAD-FDDEC82EB0E0}"/>
            </c:ext>
          </c:extLst>
        </c:ser>
        <c:ser>
          <c:idx val="1"/>
          <c:order val="1"/>
          <c:tx>
            <c:strRef>
              <c:f>'Chart 13'!$A$3</c:f>
              <c:strCache>
                <c:ptCount val="1"/>
                <c:pt idx="0">
                  <c:v>ASBFEO performs similarly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13'!$B$1:$H$1</c:f>
              <c:strCache>
                <c:ptCount val="7"/>
                <c:pt idx="0">
                  <c:v>Impartiality</c:v>
                </c:pt>
                <c:pt idx="1">
                  <c:v>Pre-mediation preparation of disputants</c:v>
                </c:pt>
                <c:pt idx="2">
                  <c:v>Dispute resolution model (mediation)</c:v>
                </c:pt>
                <c:pt idx="3">
                  <c:v>Accessibility for people from different cultural backgrounds</c:v>
                </c:pt>
                <c:pt idx="4">
                  <c:v>Accessibility for people living in rural or remote areas</c:v>
                </c:pt>
                <c:pt idx="5">
                  <c:v>Affordability</c:v>
                </c:pt>
                <c:pt idx="6">
                  <c:v>Independence</c:v>
                </c:pt>
              </c:strCache>
            </c:strRef>
          </c:cat>
          <c:val>
            <c:numRef>
              <c:f>'Chart 13'!$B$3:$H$3</c:f>
              <c:numCache>
                <c:formatCode>General</c:formatCode>
                <c:ptCount val="7"/>
                <c:pt idx="0">
                  <c:v>12</c:v>
                </c:pt>
                <c:pt idx="1">
                  <c:v>8</c:v>
                </c:pt>
                <c:pt idx="2">
                  <c:v>10</c:v>
                </c:pt>
                <c:pt idx="3">
                  <c:v>12</c:v>
                </c:pt>
                <c:pt idx="4">
                  <c:v>12</c:v>
                </c:pt>
                <c:pt idx="5">
                  <c:v>11</c:v>
                </c:pt>
                <c:pt idx="6">
                  <c:v>11</c:v>
                </c:pt>
              </c:numCache>
            </c:numRef>
          </c:val>
          <c:extLst>
            <c:ext xmlns:c16="http://schemas.microsoft.com/office/drawing/2014/chart" uri="{C3380CC4-5D6E-409C-BE32-E72D297353CC}">
              <c16:uniqueId val="{00000001-F81E-4EEA-ABAD-FDDEC82EB0E0}"/>
            </c:ext>
          </c:extLst>
        </c:ser>
        <c:ser>
          <c:idx val="2"/>
          <c:order val="2"/>
          <c:tx>
            <c:strRef>
              <c:f>'Chart 13'!$A$4</c:f>
              <c:strCache>
                <c:ptCount val="1"/>
                <c:pt idx="0">
                  <c:v>ASBFEO performs inferior</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13'!$B$1:$H$1</c:f>
              <c:strCache>
                <c:ptCount val="7"/>
                <c:pt idx="0">
                  <c:v>Impartiality</c:v>
                </c:pt>
                <c:pt idx="1">
                  <c:v>Pre-mediation preparation of disputants</c:v>
                </c:pt>
                <c:pt idx="2">
                  <c:v>Dispute resolution model (mediation)</c:v>
                </c:pt>
                <c:pt idx="3">
                  <c:v>Accessibility for people from different cultural backgrounds</c:v>
                </c:pt>
                <c:pt idx="4">
                  <c:v>Accessibility for people living in rural or remote areas</c:v>
                </c:pt>
                <c:pt idx="5">
                  <c:v>Affordability</c:v>
                </c:pt>
                <c:pt idx="6">
                  <c:v>Independence</c:v>
                </c:pt>
              </c:strCache>
            </c:strRef>
          </c:cat>
          <c:val>
            <c:numRef>
              <c:f>'Chart 13'!$B$4:$H$4</c:f>
              <c:numCache>
                <c:formatCode>General</c:formatCode>
                <c:ptCount val="7"/>
                <c:pt idx="0">
                  <c:v>0</c:v>
                </c:pt>
                <c:pt idx="1">
                  <c:v>1</c:v>
                </c:pt>
                <c:pt idx="2">
                  <c:v>1</c:v>
                </c:pt>
                <c:pt idx="3">
                  <c:v>0</c:v>
                </c:pt>
                <c:pt idx="4">
                  <c:v>0</c:v>
                </c:pt>
                <c:pt idx="5">
                  <c:v>1</c:v>
                </c:pt>
                <c:pt idx="6">
                  <c:v>0</c:v>
                </c:pt>
              </c:numCache>
            </c:numRef>
          </c:val>
          <c:extLst>
            <c:ext xmlns:c16="http://schemas.microsoft.com/office/drawing/2014/chart" uri="{C3380CC4-5D6E-409C-BE32-E72D297353CC}">
              <c16:uniqueId val="{00000002-F81E-4EEA-ABAD-FDDEC82EB0E0}"/>
            </c:ext>
          </c:extLst>
        </c:ser>
        <c:dLbls>
          <c:dLblPos val="outEnd"/>
          <c:showLegendKey val="0"/>
          <c:showVal val="1"/>
          <c:showCatName val="0"/>
          <c:showSerName val="0"/>
          <c:showPercent val="0"/>
          <c:showBubbleSize val="0"/>
        </c:dLbls>
        <c:gapWidth val="219"/>
        <c:overlap val="-27"/>
        <c:axId val="1743858303"/>
        <c:axId val="1743848703"/>
      </c:barChart>
      <c:catAx>
        <c:axId val="1743858303"/>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b="1"/>
                  <a:t>Survey response options</a:t>
                </a:r>
              </a:p>
            </c:rich>
          </c:tx>
          <c:layout>
            <c:manualLayout>
              <c:xMode val="edge"/>
              <c:yMode val="edge"/>
              <c:x val="0.38391808245579007"/>
              <c:y val="0.8673500509006295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43848703"/>
        <c:crosses val="autoZero"/>
        <c:auto val="1"/>
        <c:lblAlgn val="ctr"/>
        <c:lblOffset val="100"/>
        <c:noMultiLvlLbl val="0"/>
      </c:catAx>
      <c:valAx>
        <c:axId val="17438487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b="1"/>
                  <a:t>Number of responses</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43858303"/>
        <c:crosses val="autoZero"/>
        <c:crossBetween val="between"/>
      </c:valAx>
      <c:spPr>
        <a:noFill/>
        <a:ln>
          <a:noFill/>
        </a:ln>
        <a:effectLst/>
      </c:spPr>
    </c:plotArea>
    <c:legend>
      <c:legendPos val="b"/>
      <c:layout>
        <c:manualLayout>
          <c:xMode val="edge"/>
          <c:yMode val="edge"/>
          <c:x val="0.136555747510613"/>
          <c:y val="0.94176358562039908"/>
          <c:w val="0.7312983593570056"/>
          <c:h val="4.801809079832600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14'!$A$2</c:f>
              <c:strCache>
                <c:ptCount val="1"/>
                <c:pt idx="0">
                  <c:v>Very satisfied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14'!$B$1:$I$1</c:f>
              <c:strCache>
                <c:ptCount val="8"/>
                <c:pt idx="0">
                  <c:v>Response 1</c:v>
                </c:pt>
                <c:pt idx="1">
                  <c:v>Response 2</c:v>
                </c:pt>
                <c:pt idx="2">
                  <c:v>Response 3</c:v>
                </c:pt>
                <c:pt idx="3">
                  <c:v>Response 4</c:v>
                </c:pt>
                <c:pt idx="4">
                  <c:v>Response 5</c:v>
                </c:pt>
                <c:pt idx="5">
                  <c:v>Response 6</c:v>
                </c:pt>
                <c:pt idx="6">
                  <c:v>Response 7</c:v>
                </c:pt>
                <c:pt idx="7">
                  <c:v>Response 8</c:v>
                </c:pt>
              </c:strCache>
            </c:strRef>
          </c:cat>
          <c:val>
            <c:numRef>
              <c:f>'Chart 14'!$B$2:$I$2</c:f>
              <c:numCache>
                <c:formatCode>General</c:formatCode>
                <c:ptCount val="8"/>
                <c:pt idx="0">
                  <c:v>4</c:v>
                </c:pt>
                <c:pt idx="1">
                  <c:v>1</c:v>
                </c:pt>
                <c:pt idx="2">
                  <c:v>5</c:v>
                </c:pt>
                <c:pt idx="3">
                  <c:v>0</c:v>
                </c:pt>
                <c:pt idx="4">
                  <c:v>0</c:v>
                </c:pt>
                <c:pt idx="5">
                  <c:v>2</c:v>
                </c:pt>
                <c:pt idx="6">
                  <c:v>0</c:v>
                </c:pt>
                <c:pt idx="7">
                  <c:v>0</c:v>
                </c:pt>
              </c:numCache>
            </c:numRef>
          </c:val>
          <c:extLst>
            <c:ext xmlns:c16="http://schemas.microsoft.com/office/drawing/2014/chart" uri="{C3380CC4-5D6E-409C-BE32-E72D297353CC}">
              <c16:uniqueId val="{00000000-C3A5-448E-AF64-5528A9B4B21B}"/>
            </c:ext>
          </c:extLst>
        </c:ser>
        <c:ser>
          <c:idx val="1"/>
          <c:order val="1"/>
          <c:tx>
            <c:strRef>
              <c:f>'Chart 14'!$A$3</c:f>
              <c:strCache>
                <c:ptCount val="1"/>
                <c:pt idx="0">
                  <c:v>Satisfied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14'!$B$1:$I$1</c:f>
              <c:strCache>
                <c:ptCount val="8"/>
                <c:pt idx="0">
                  <c:v>Response 1</c:v>
                </c:pt>
                <c:pt idx="1">
                  <c:v>Response 2</c:v>
                </c:pt>
                <c:pt idx="2">
                  <c:v>Response 3</c:v>
                </c:pt>
                <c:pt idx="3">
                  <c:v>Response 4</c:v>
                </c:pt>
                <c:pt idx="4">
                  <c:v>Response 5</c:v>
                </c:pt>
                <c:pt idx="5">
                  <c:v>Response 6</c:v>
                </c:pt>
                <c:pt idx="6">
                  <c:v>Response 7</c:v>
                </c:pt>
                <c:pt idx="7">
                  <c:v>Response 8</c:v>
                </c:pt>
              </c:strCache>
            </c:strRef>
          </c:cat>
          <c:val>
            <c:numRef>
              <c:f>'Chart 14'!$B$3:$I$3</c:f>
              <c:numCache>
                <c:formatCode>General</c:formatCode>
                <c:ptCount val="8"/>
                <c:pt idx="0">
                  <c:v>9</c:v>
                </c:pt>
                <c:pt idx="1">
                  <c:v>8</c:v>
                </c:pt>
                <c:pt idx="2">
                  <c:v>8</c:v>
                </c:pt>
                <c:pt idx="3">
                  <c:v>5</c:v>
                </c:pt>
                <c:pt idx="4">
                  <c:v>2</c:v>
                </c:pt>
                <c:pt idx="5">
                  <c:v>4</c:v>
                </c:pt>
                <c:pt idx="6">
                  <c:v>4</c:v>
                </c:pt>
                <c:pt idx="7">
                  <c:v>3</c:v>
                </c:pt>
              </c:numCache>
            </c:numRef>
          </c:val>
          <c:extLst>
            <c:ext xmlns:c16="http://schemas.microsoft.com/office/drawing/2014/chart" uri="{C3380CC4-5D6E-409C-BE32-E72D297353CC}">
              <c16:uniqueId val="{00000001-C3A5-448E-AF64-5528A9B4B21B}"/>
            </c:ext>
          </c:extLst>
        </c:ser>
        <c:ser>
          <c:idx val="2"/>
          <c:order val="2"/>
          <c:tx>
            <c:strRef>
              <c:f>'Chart 14'!$A$4</c:f>
              <c:strCache>
                <c:ptCount val="1"/>
                <c:pt idx="0">
                  <c:v>Neither satisfied not dissatisfied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14'!$B$1:$I$1</c:f>
              <c:strCache>
                <c:ptCount val="8"/>
                <c:pt idx="0">
                  <c:v>Response 1</c:v>
                </c:pt>
                <c:pt idx="1">
                  <c:v>Response 2</c:v>
                </c:pt>
                <c:pt idx="2">
                  <c:v>Response 3</c:v>
                </c:pt>
                <c:pt idx="3">
                  <c:v>Response 4</c:v>
                </c:pt>
                <c:pt idx="4">
                  <c:v>Response 5</c:v>
                </c:pt>
                <c:pt idx="5">
                  <c:v>Response 6</c:v>
                </c:pt>
                <c:pt idx="6">
                  <c:v>Response 7</c:v>
                </c:pt>
                <c:pt idx="7">
                  <c:v>Response 8</c:v>
                </c:pt>
              </c:strCache>
            </c:strRef>
          </c:cat>
          <c:val>
            <c:numRef>
              <c:f>'Chart 14'!$B$4:$I$4</c:f>
              <c:numCache>
                <c:formatCode>General</c:formatCode>
                <c:ptCount val="8"/>
                <c:pt idx="0">
                  <c:v>2</c:v>
                </c:pt>
                <c:pt idx="1">
                  <c:v>4</c:v>
                </c:pt>
                <c:pt idx="2">
                  <c:v>2</c:v>
                </c:pt>
                <c:pt idx="3">
                  <c:v>4</c:v>
                </c:pt>
                <c:pt idx="4">
                  <c:v>10</c:v>
                </c:pt>
                <c:pt idx="5">
                  <c:v>7</c:v>
                </c:pt>
                <c:pt idx="6">
                  <c:v>10</c:v>
                </c:pt>
                <c:pt idx="7">
                  <c:v>7</c:v>
                </c:pt>
              </c:numCache>
            </c:numRef>
          </c:val>
          <c:extLst>
            <c:ext xmlns:c16="http://schemas.microsoft.com/office/drawing/2014/chart" uri="{C3380CC4-5D6E-409C-BE32-E72D297353CC}">
              <c16:uniqueId val="{00000002-C3A5-448E-AF64-5528A9B4B21B}"/>
            </c:ext>
          </c:extLst>
        </c:ser>
        <c:ser>
          <c:idx val="3"/>
          <c:order val="3"/>
          <c:tx>
            <c:strRef>
              <c:f>'Chart 14'!$A$5</c:f>
              <c:strCache>
                <c:ptCount val="1"/>
                <c:pt idx="0">
                  <c:v>Dissatisfied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14'!$B$1:$I$1</c:f>
              <c:strCache>
                <c:ptCount val="8"/>
                <c:pt idx="0">
                  <c:v>Response 1</c:v>
                </c:pt>
                <c:pt idx="1">
                  <c:v>Response 2</c:v>
                </c:pt>
                <c:pt idx="2">
                  <c:v>Response 3</c:v>
                </c:pt>
                <c:pt idx="3">
                  <c:v>Response 4</c:v>
                </c:pt>
                <c:pt idx="4">
                  <c:v>Response 5</c:v>
                </c:pt>
                <c:pt idx="5">
                  <c:v>Response 6</c:v>
                </c:pt>
                <c:pt idx="6">
                  <c:v>Response 7</c:v>
                </c:pt>
                <c:pt idx="7">
                  <c:v>Response 8</c:v>
                </c:pt>
              </c:strCache>
            </c:strRef>
          </c:cat>
          <c:val>
            <c:numRef>
              <c:f>'Chart 14'!$B$5:$I$5</c:f>
              <c:numCache>
                <c:formatCode>General</c:formatCode>
                <c:ptCount val="8"/>
                <c:pt idx="0">
                  <c:v>0</c:v>
                </c:pt>
                <c:pt idx="1">
                  <c:v>1</c:v>
                </c:pt>
                <c:pt idx="2">
                  <c:v>0</c:v>
                </c:pt>
                <c:pt idx="3">
                  <c:v>4</c:v>
                </c:pt>
                <c:pt idx="4">
                  <c:v>2</c:v>
                </c:pt>
                <c:pt idx="5">
                  <c:v>2</c:v>
                </c:pt>
                <c:pt idx="6">
                  <c:v>0</c:v>
                </c:pt>
                <c:pt idx="7">
                  <c:v>3</c:v>
                </c:pt>
              </c:numCache>
            </c:numRef>
          </c:val>
          <c:extLst>
            <c:ext xmlns:c16="http://schemas.microsoft.com/office/drawing/2014/chart" uri="{C3380CC4-5D6E-409C-BE32-E72D297353CC}">
              <c16:uniqueId val="{00000003-C3A5-448E-AF64-5528A9B4B21B}"/>
            </c:ext>
          </c:extLst>
        </c:ser>
        <c:ser>
          <c:idx val="4"/>
          <c:order val="4"/>
          <c:tx>
            <c:strRef>
              <c:f>'Chart 14'!$A$6</c:f>
              <c:strCache>
                <c:ptCount val="1"/>
                <c:pt idx="0">
                  <c:v>Very dissatisfied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14'!$B$1:$I$1</c:f>
              <c:strCache>
                <c:ptCount val="8"/>
                <c:pt idx="0">
                  <c:v>Response 1</c:v>
                </c:pt>
                <c:pt idx="1">
                  <c:v>Response 2</c:v>
                </c:pt>
                <c:pt idx="2">
                  <c:v>Response 3</c:v>
                </c:pt>
                <c:pt idx="3">
                  <c:v>Response 4</c:v>
                </c:pt>
                <c:pt idx="4">
                  <c:v>Response 5</c:v>
                </c:pt>
                <c:pt idx="5">
                  <c:v>Response 6</c:v>
                </c:pt>
                <c:pt idx="6">
                  <c:v>Response 7</c:v>
                </c:pt>
                <c:pt idx="7">
                  <c:v>Response 8</c:v>
                </c:pt>
              </c:strCache>
            </c:strRef>
          </c:cat>
          <c:val>
            <c:numRef>
              <c:f>'Chart 14'!$B$6:$I$6</c:f>
              <c:numCache>
                <c:formatCode>General</c:formatCode>
                <c:ptCount val="8"/>
                <c:pt idx="0">
                  <c:v>0</c:v>
                </c:pt>
                <c:pt idx="1">
                  <c:v>1</c:v>
                </c:pt>
                <c:pt idx="2">
                  <c:v>0</c:v>
                </c:pt>
                <c:pt idx="3">
                  <c:v>2</c:v>
                </c:pt>
                <c:pt idx="4">
                  <c:v>1</c:v>
                </c:pt>
                <c:pt idx="5">
                  <c:v>0</c:v>
                </c:pt>
                <c:pt idx="6">
                  <c:v>1</c:v>
                </c:pt>
                <c:pt idx="7">
                  <c:v>1</c:v>
                </c:pt>
              </c:numCache>
            </c:numRef>
          </c:val>
          <c:extLst>
            <c:ext xmlns:c16="http://schemas.microsoft.com/office/drawing/2014/chart" uri="{C3380CC4-5D6E-409C-BE32-E72D297353CC}">
              <c16:uniqueId val="{00000004-C3A5-448E-AF64-5528A9B4B21B}"/>
            </c:ext>
          </c:extLst>
        </c:ser>
        <c:dLbls>
          <c:dLblPos val="outEnd"/>
          <c:showLegendKey val="0"/>
          <c:showVal val="1"/>
          <c:showCatName val="0"/>
          <c:showSerName val="0"/>
          <c:showPercent val="0"/>
          <c:showBubbleSize val="0"/>
        </c:dLbls>
        <c:gapWidth val="219"/>
        <c:overlap val="-27"/>
        <c:axId val="1563369727"/>
        <c:axId val="1563371167"/>
      </c:barChart>
      <c:catAx>
        <c:axId val="15633697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options</a:t>
                </a:r>
              </a:p>
            </c:rich>
          </c:tx>
          <c:layout>
            <c:manualLayout>
              <c:xMode val="edge"/>
              <c:yMode val="edge"/>
              <c:x val="0.36298490813648293"/>
              <c:y val="0.905877806940799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3371167"/>
        <c:crosses val="autoZero"/>
        <c:auto val="1"/>
        <c:lblAlgn val="ctr"/>
        <c:lblOffset val="100"/>
        <c:noMultiLvlLbl val="0"/>
      </c:catAx>
      <c:valAx>
        <c:axId val="1563371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b="1">
                    <a:solidFill>
                      <a:sysClr val="windowText" lastClr="000000"/>
                    </a:solidFill>
                    <a:latin typeface="Arial" panose="020B0604020202020204" pitchFamily="34" charset="0"/>
                    <a:cs typeface="Arial" panose="020B0604020202020204" pitchFamily="34" charset="0"/>
                  </a:rPr>
                  <a:t>Number of responses</a:t>
                </a:r>
              </a:p>
            </c:rich>
          </c:tx>
          <c:layout>
            <c:manualLayout>
              <c:xMode val="edge"/>
              <c:yMode val="edge"/>
              <c:x val="1.9444446888000018E-2"/>
              <c:y val="0.18303157624645189"/>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336972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3"/>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4"/>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3.8476984432147678E-2"/>
          <c:y val="0.75329012330050382"/>
          <c:w val="0.94443088363954508"/>
          <c:h val="0.204284047827354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16'!$A$2</c:f>
              <c:strCache>
                <c:ptCount val="1"/>
                <c:pt idx="0">
                  <c:v>During every mediation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16'!$B$1:$H$1</c:f>
              <c:strCache>
                <c:ptCount val="7"/>
                <c:pt idx="0">
                  <c:v>Response 1</c:v>
                </c:pt>
                <c:pt idx="1">
                  <c:v>Response 2</c:v>
                </c:pt>
                <c:pt idx="2">
                  <c:v>Response 3</c:v>
                </c:pt>
                <c:pt idx="3">
                  <c:v>Response 4</c:v>
                </c:pt>
                <c:pt idx="4">
                  <c:v>Response 5</c:v>
                </c:pt>
                <c:pt idx="5">
                  <c:v>Response 6</c:v>
                </c:pt>
                <c:pt idx="6">
                  <c:v>Response 7</c:v>
                </c:pt>
              </c:strCache>
            </c:strRef>
          </c:cat>
          <c:val>
            <c:numRef>
              <c:f>'Chart 16'!$B$2:$H$2</c:f>
              <c:numCache>
                <c:formatCode>General</c:formatCode>
                <c:ptCount val="7"/>
                <c:pt idx="0">
                  <c:v>15</c:v>
                </c:pt>
                <c:pt idx="1">
                  <c:v>14</c:v>
                </c:pt>
                <c:pt idx="2">
                  <c:v>15</c:v>
                </c:pt>
                <c:pt idx="3">
                  <c:v>14</c:v>
                </c:pt>
                <c:pt idx="4">
                  <c:v>10</c:v>
                </c:pt>
                <c:pt idx="5">
                  <c:v>13</c:v>
                </c:pt>
                <c:pt idx="6">
                  <c:v>12</c:v>
                </c:pt>
              </c:numCache>
            </c:numRef>
          </c:val>
          <c:extLst>
            <c:ext xmlns:c16="http://schemas.microsoft.com/office/drawing/2014/chart" uri="{C3380CC4-5D6E-409C-BE32-E72D297353CC}">
              <c16:uniqueId val="{00000000-A691-4B63-B044-9A4D90540527}"/>
            </c:ext>
          </c:extLst>
        </c:ser>
        <c:ser>
          <c:idx val="1"/>
          <c:order val="1"/>
          <c:tx>
            <c:strRef>
              <c:f>'Chart 16'!$A$3</c:f>
              <c:strCache>
                <c:ptCount val="1"/>
                <c:pt idx="0">
                  <c:v>During most mediations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16'!$B$1:$H$1</c:f>
              <c:strCache>
                <c:ptCount val="7"/>
                <c:pt idx="0">
                  <c:v>Response 1</c:v>
                </c:pt>
                <c:pt idx="1">
                  <c:v>Response 2</c:v>
                </c:pt>
                <c:pt idx="2">
                  <c:v>Response 3</c:v>
                </c:pt>
                <c:pt idx="3">
                  <c:v>Response 4</c:v>
                </c:pt>
                <c:pt idx="4">
                  <c:v>Response 5</c:v>
                </c:pt>
                <c:pt idx="5">
                  <c:v>Response 6</c:v>
                </c:pt>
                <c:pt idx="6">
                  <c:v>Response 7</c:v>
                </c:pt>
              </c:strCache>
            </c:strRef>
          </c:cat>
          <c:val>
            <c:numRef>
              <c:f>'Chart 16'!$B$3:$H$3</c:f>
              <c:numCache>
                <c:formatCode>General</c:formatCode>
                <c:ptCount val="7"/>
                <c:pt idx="0">
                  <c:v>0</c:v>
                </c:pt>
                <c:pt idx="1">
                  <c:v>1</c:v>
                </c:pt>
                <c:pt idx="2">
                  <c:v>0</c:v>
                </c:pt>
                <c:pt idx="3">
                  <c:v>1</c:v>
                </c:pt>
                <c:pt idx="4">
                  <c:v>2</c:v>
                </c:pt>
                <c:pt idx="5">
                  <c:v>1</c:v>
                </c:pt>
                <c:pt idx="6">
                  <c:v>1</c:v>
                </c:pt>
              </c:numCache>
            </c:numRef>
          </c:val>
          <c:extLst>
            <c:ext xmlns:c16="http://schemas.microsoft.com/office/drawing/2014/chart" uri="{C3380CC4-5D6E-409C-BE32-E72D297353CC}">
              <c16:uniqueId val="{00000001-A691-4B63-B044-9A4D90540527}"/>
            </c:ext>
          </c:extLst>
        </c:ser>
        <c:ser>
          <c:idx val="2"/>
          <c:order val="2"/>
          <c:tx>
            <c:strRef>
              <c:f>'Chart 16'!$A$4</c:f>
              <c:strCache>
                <c:ptCount val="1"/>
                <c:pt idx="0">
                  <c:v>Occasional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16'!$B$1:$H$1</c:f>
              <c:strCache>
                <c:ptCount val="7"/>
                <c:pt idx="0">
                  <c:v>Response 1</c:v>
                </c:pt>
                <c:pt idx="1">
                  <c:v>Response 2</c:v>
                </c:pt>
                <c:pt idx="2">
                  <c:v>Response 3</c:v>
                </c:pt>
                <c:pt idx="3">
                  <c:v>Response 4</c:v>
                </c:pt>
                <c:pt idx="4">
                  <c:v>Response 5</c:v>
                </c:pt>
                <c:pt idx="5">
                  <c:v>Response 6</c:v>
                </c:pt>
                <c:pt idx="6">
                  <c:v>Response 7</c:v>
                </c:pt>
              </c:strCache>
            </c:strRef>
          </c:cat>
          <c:val>
            <c:numRef>
              <c:f>'Chart 16'!$B$4:$H$4</c:f>
              <c:numCache>
                <c:formatCode>General</c:formatCode>
                <c:ptCount val="7"/>
                <c:pt idx="0">
                  <c:v>0</c:v>
                </c:pt>
                <c:pt idx="1">
                  <c:v>0</c:v>
                </c:pt>
                <c:pt idx="2">
                  <c:v>0</c:v>
                </c:pt>
                <c:pt idx="3">
                  <c:v>0</c:v>
                </c:pt>
                <c:pt idx="4">
                  <c:v>2</c:v>
                </c:pt>
                <c:pt idx="5">
                  <c:v>1</c:v>
                </c:pt>
                <c:pt idx="6">
                  <c:v>0</c:v>
                </c:pt>
              </c:numCache>
            </c:numRef>
          </c:val>
          <c:extLst>
            <c:ext xmlns:c16="http://schemas.microsoft.com/office/drawing/2014/chart" uri="{C3380CC4-5D6E-409C-BE32-E72D297353CC}">
              <c16:uniqueId val="{00000002-A691-4B63-B044-9A4D90540527}"/>
            </c:ext>
          </c:extLst>
        </c:ser>
        <c:ser>
          <c:idx val="3"/>
          <c:order val="3"/>
          <c:tx>
            <c:strRef>
              <c:f>'Chart 16'!$A$5</c:f>
              <c:strCache>
                <c:ptCount val="1"/>
                <c:pt idx="0">
                  <c:v>Seldom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16'!$B$1:$H$1</c:f>
              <c:strCache>
                <c:ptCount val="7"/>
                <c:pt idx="0">
                  <c:v>Response 1</c:v>
                </c:pt>
                <c:pt idx="1">
                  <c:v>Response 2</c:v>
                </c:pt>
                <c:pt idx="2">
                  <c:v>Response 3</c:v>
                </c:pt>
                <c:pt idx="3">
                  <c:v>Response 4</c:v>
                </c:pt>
                <c:pt idx="4">
                  <c:v>Response 5</c:v>
                </c:pt>
                <c:pt idx="5">
                  <c:v>Response 6</c:v>
                </c:pt>
                <c:pt idx="6">
                  <c:v>Response 7</c:v>
                </c:pt>
              </c:strCache>
            </c:strRef>
          </c:cat>
          <c:val>
            <c:numRef>
              <c:f>'Chart 16'!$B$5:$H$5</c:f>
              <c:numCache>
                <c:formatCode>General</c:formatCode>
                <c:ptCount val="7"/>
                <c:pt idx="0">
                  <c:v>0</c:v>
                </c:pt>
                <c:pt idx="1">
                  <c:v>0</c:v>
                </c:pt>
                <c:pt idx="2">
                  <c:v>0</c:v>
                </c:pt>
                <c:pt idx="3">
                  <c:v>0</c:v>
                </c:pt>
                <c:pt idx="4">
                  <c:v>1</c:v>
                </c:pt>
                <c:pt idx="5">
                  <c:v>0</c:v>
                </c:pt>
                <c:pt idx="6">
                  <c:v>2</c:v>
                </c:pt>
              </c:numCache>
            </c:numRef>
          </c:val>
          <c:extLst>
            <c:ext xmlns:c16="http://schemas.microsoft.com/office/drawing/2014/chart" uri="{C3380CC4-5D6E-409C-BE32-E72D297353CC}">
              <c16:uniqueId val="{00000003-A691-4B63-B044-9A4D90540527}"/>
            </c:ext>
          </c:extLst>
        </c:ser>
        <c:dLbls>
          <c:dLblPos val="outEnd"/>
          <c:showLegendKey val="0"/>
          <c:showVal val="1"/>
          <c:showCatName val="0"/>
          <c:showSerName val="0"/>
          <c:showPercent val="0"/>
          <c:showBubbleSize val="0"/>
        </c:dLbls>
        <c:gapWidth val="219"/>
        <c:overlap val="-27"/>
        <c:axId val="1280462383"/>
        <c:axId val="1280459983"/>
      </c:barChart>
      <c:catAx>
        <c:axId val="12804623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options</a:t>
                </a:r>
              </a:p>
            </c:rich>
          </c:tx>
          <c:layout>
            <c:manualLayout>
              <c:xMode val="edge"/>
              <c:yMode val="edge"/>
              <c:x val="0.38221307507842611"/>
              <c:y val="0.818113171065193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0459983"/>
        <c:crosses val="autoZero"/>
        <c:auto val="1"/>
        <c:lblAlgn val="ctr"/>
        <c:lblOffset val="100"/>
        <c:noMultiLvlLbl val="0"/>
      </c:catAx>
      <c:valAx>
        <c:axId val="1280459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 responses</a:t>
                </a:r>
              </a:p>
            </c:rich>
          </c:tx>
          <c:layout>
            <c:manualLayout>
              <c:xMode val="edge"/>
              <c:yMode val="edge"/>
              <c:x val="2.1116846550915062E-2"/>
              <c:y val="0.200619770149866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0462383"/>
        <c:crosses val="autoZero"/>
        <c:crossBetween val="between"/>
      </c:valAx>
      <c:spPr>
        <a:noFill/>
        <a:ln>
          <a:noFill/>
        </a:ln>
        <a:effectLst/>
      </c:spPr>
    </c:plotArea>
    <c:legend>
      <c:legendPos val="b"/>
      <c:layout>
        <c:manualLayout>
          <c:xMode val="edge"/>
          <c:yMode val="edge"/>
          <c:x val="6.111119322191718E-2"/>
          <c:y val="0.90211464194031221"/>
          <c:w val="0.88394006999125108"/>
          <c:h val="6.872958588509769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18'!$A$2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18'!$B$1:$F$1</c:f>
              <c:strCache>
                <c:ptCount val="5"/>
                <c:pt idx="0">
                  <c:v>Strongly agree</c:v>
                </c:pt>
                <c:pt idx="1">
                  <c:v>Agree</c:v>
                </c:pt>
                <c:pt idx="2">
                  <c:v>Neither agree nor disagree</c:v>
                </c:pt>
                <c:pt idx="3">
                  <c:v>Disagree</c:v>
                </c:pt>
                <c:pt idx="4">
                  <c:v>Strongly disagree</c:v>
                </c:pt>
              </c:strCache>
            </c:strRef>
          </c:cat>
          <c:val>
            <c:numRef>
              <c:f>'Chart 18'!$B$2:$F$2</c:f>
              <c:numCache>
                <c:formatCode>General</c:formatCode>
                <c:ptCount val="5"/>
                <c:pt idx="0">
                  <c:v>1</c:v>
                </c:pt>
                <c:pt idx="1">
                  <c:v>5</c:v>
                </c:pt>
                <c:pt idx="2">
                  <c:v>7</c:v>
                </c:pt>
                <c:pt idx="3">
                  <c:v>1</c:v>
                </c:pt>
                <c:pt idx="4">
                  <c:v>0</c:v>
                </c:pt>
              </c:numCache>
            </c:numRef>
          </c:val>
          <c:extLst>
            <c:ext xmlns:c16="http://schemas.microsoft.com/office/drawing/2014/chart" uri="{C3380CC4-5D6E-409C-BE32-E72D297353CC}">
              <c16:uniqueId val="{00000000-8C26-436A-9E60-485BFF9EAFD6}"/>
            </c:ext>
          </c:extLst>
        </c:ser>
        <c:dLbls>
          <c:dLblPos val="outEnd"/>
          <c:showLegendKey val="0"/>
          <c:showVal val="1"/>
          <c:showCatName val="0"/>
          <c:showSerName val="0"/>
          <c:showPercent val="0"/>
          <c:showBubbleSize val="0"/>
        </c:dLbls>
        <c:gapWidth val="219"/>
        <c:overlap val="-27"/>
        <c:axId val="1589546063"/>
        <c:axId val="1589546543"/>
      </c:barChart>
      <c:catAx>
        <c:axId val="15895460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options</a:t>
                </a:r>
              </a:p>
            </c:rich>
          </c:tx>
          <c:layout>
            <c:manualLayout>
              <c:xMode val="edge"/>
              <c:yMode val="edge"/>
              <c:x val="0.39212475269995789"/>
              <c:y val="0.901367329083864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89546543"/>
        <c:crosses val="autoZero"/>
        <c:auto val="1"/>
        <c:lblAlgn val="ctr"/>
        <c:lblOffset val="100"/>
        <c:noMultiLvlLbl val="0"/>
      </c:catAx>
      <c:valAx>
        <c:axId val="15895465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 responses</a:t>
                </a:r>
              </a:p>
            </c:rich>
          </c:tx>
          <c:layout>
            <c:manualLayout>
              <c:xMode val="edge"/>
              <c:yMode val="edge"/>
              <c:x val="1.7875097754440846E-2"/>
              <c:y val="0.195001778623825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895460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19'!$A$2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19'!$B$1:$E$1</c:f>
              <c:strCache>
                <c:ptCount val="4"/>
                <c:pt idx="0">
                  <c:v>Strongly agree</c:v>
                </c:pt>
                <c:pt idx="1">
                  <c:v>Agree</c:v>
                </c:pt>
                <c:pt idx="2">
                  <c:v>Neither agree nor disagree, disagree</c:v>
                </c:pt>
                <c:pt idx="3">
                  <c:v>Strongly disagree</c:v>
                </c:pt>
              </c:strCache>
            </c:strRef>
          </c:cat>
          <c:val>
            <c:numRef>
              <c:f>'Chart 19'!$B$2:$E$2</c:f>
              <c:numCache>
                <c:formatCode>General</c:formatCode>
                <c:ptCount val="4"/>
                <c:pt idx="0">
                  <c:v>1</c:v>
                </c:pt>
                <c:pt idx="1">
                  <c:v>6</c:v>
                </c:pt>
                <c:pt idx="2">
                  <c:v>7</c:v>
                </c:pt>
                <c:pt idx="3">
                  <c:v>0</c:v>
                </c:pt>
              </c:numCache>
            </c:numRef>
          </c:val>
          <c:extLst>
            <c:ext xmlns:c16="http://schemas.microsoft.com/office/drawing/2014/chart" uri="{C3380CC4-5D6E-409C-BE32-E72D297353CC}">
              <c16:uniqueId val="{00000000-0B9B-400B-ACD3-BBCEA998465D}"/>
            </c:ext>
          </c:extLst>
        </c:ser>
        <c:dLbls>
          <c:dLblPos val="outEnd"/>
          <c:showLegendKey val="0"/>
          <c:showVal val="1"/>
          <c:showCatName val="0"/>
          <c:showSerName val="0"/>
          <c:showPercent val="0"/>
          <c:showBubbleSize val="0"/>
        </c:dLbls>
        <c:gapWidth val="219"/>
        <c:overlap val="-27"/>
        <c:axId val="418953599"/>
        <c:axId val="418956479"/>
      </c:barChart>
      <c:catAx>
        <c:axId val="4189535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options</a:t>
                </a:r>
              </a:p>
            </c:rich>
          </c:tx>
          <c:layout>
            <c:manualLayout>
              <c:xMode val="edge"/>
              <c:yMode val="edge"/>
              <c:x val="0.39212475269995789"/>
              <c:y val="0.900141157267002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8956479"/>
        <c:crosses val="autoZero"/>
        <c:auto val="1"/>
        <c:lblAlgn val="ctr"/>
        <c:lblOffset val="100"/>
        <c:noMultiLvlLbl val="0"/>
      </c:catAx>
      <c:valAx>
        <c:axId val="4189564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 responses</a:t>
                </a:r>
              </a:p>
            </c:rich>
          </c:tx>
          <c:layout>
            <c:manualLayout>
              <c:xMode val="edge"/>
              <c:yMode val="edge"/>
              <c:x val="1.3406323315830634E-2"/>
              <c:y val="0.205779100933938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89535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21'!$A$2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21'!$B$1:$F$1</c:f>
              <c:strCache>
                <c:ptCount val="5"/>
                <c:pt idx="0">
                  <c:v>Strongly agree</c:v>
                </c:pt>
                <c:pt idx="1">
                  <c:v>Agree</c:v>
                </c:pt>
                <c:pt idx="2">
                  <c:v>Neither agree nor disagree</c:v>
                </c:pt>
                <c:pt idx="3">
                  <c:v>Disagree</c:v>
                </c:pt>
                <c:pt idx="4">
                  <c:v>Strongly disagree</c:v>
                </c:pt>
              </c:strCache>
            </c:strRef>
          </c:cat>
          <c:val>
            <c:numRef>
              <c:f>'Chart 21'!$B$2:$F$2</c:f>
              <c:numCache>
                <c:formatCode>General</c:formatCode>
                <c:ptCount val="5"/>
                <c:pt idx="0">
                  <c:v>4</c:v>
                </c:pt>
                <c:pt idx="1">
                  <c:v>7</c:v>
                </c:pt>
                <c:pt idx="2">
                  <c:v>4</c:v>
                </c:pt>
                <c:pt idx="3">
                  <c:v>0</c:v>
                </c:pt>
                <c:pt idx="4">
                  <c:v>0</c:v>
                </c:pt>
              </c:numCache>
            </c:numRef>
          </c:val>
          <c:extLst>
            <c:ext xmlns:c16="http://schemas.microsoft.com/office/drawing/2014/chart" uri="{C3380CC4-5D6E-409C-BE32-E72D297353CC}">
              <c16:uniqueId val="{00000000-2C37-423E-961F-1E88446D3583}"/>
            </c:ext>
          </c:extLst>
        </c:ser>
        <c:dLbls>
          <c:dLblPos val="outEnd"/>
          <c:showLegendKey val="0"/>
          <c:showVal val="1"/>
          <c:showCatName val="0"/>
          <c:showSerName val="0"/>
          <c:showPercent val="0"/>
          <c:showBubbleSize val="0"/>
        </c:dLbls>
        <c:gapWidth val="219"/>
        <c:overlap val="-27"/>
        <c:axId val="1590988719"/>
        <c:axId val="1591003599"/>
      </c:barChart>
      <c:catAx>
        <c:axId val="15909887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options</a:t>
                </a:r>
              </a:p>
            </c:rich>
          </c:tx>
          <c:layout>
            <c:manualLayout>
              <c:xMode val="edge"/>
              <c:yMode val="edge"/>
              <c:x val="0.40061543832481872"/>
              <c:y val="0.915084983985495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91003599"/>
        <c:crosses val="autoZero"/>
        <c:auto val="1"/>
        <c:lblAlgn val="ctr"/>
        <c:lblOffset val="100"/>
        <c:noMultiLvlLbl val="0"/>
      </c:catAx>
      <c:valAx>
        <c:axId val="15910035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r>
                  <a:rPr lang="en-AU" sz="800" b="1">
                    <a:solidFill>
                      <a:schemeClr val="tx1">
                        <a:lumMod val="95000"/>
                        <a:lumOff val="5000"/>
                      </a:schemeClr>
                    </a:solidFill>
                    <a:latin typeface="Arial" panose="020B0604020202020204" pitchFamily="34" charset="0"/>
                    <a:cs typeface="Arial" panose="020B0604020202020204" pitchFamily="34" charset="0"/>
                  </a:rPr>
                  <a:t>Number of responses</a:t>
                </a:r>
              </a:p>
            </c:rich>
          </c:tx>
          <c:layout>
            <c:manualLayout>
              <c:xMode val="edge"/>
              <c:yMode val="edge"/>
              <c:x val="1.755926251097454E-2"/>
              <c:y val="0.223740828016935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909887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24'!$B$1</c:f>
              <c:strCache>
                <c:ptCount val="1"/>
                <c:pt idx="0">
                  <c:v>It improves their ability to represent their own views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24'!$A$2:$A$6</c:f>
              <c:strCache>
                <c:ptCount val="5"/>
                <c:pt idx="0">
                  <c:v>Strongly agree</c:v>
                </c:pt>
                <c:pt idx="1">
                  <c:v>Agree</c:v>
                </c:pt>
                <c:pt idx="2">
                  <c:v>Neither agree nor disagree</c:v>
                </c:pt>
                <c:pt idx="3">
                  <c:v>Disagree</c:v>
                </c:pt>
                <c:pt idx="4">
                  <c:v>Strongly disagree</c:v>
                </c:pt>
              </c:strCache>
            </c:strRef>
          </c:cat>
          <c:val>
            <c:numRef>
              <c:f>'Chart 24'!$B$2:$B$6</c:f>
              <c:numCache>
                <c:formatCode>General</c:formatCode>
                <c:ptCount val="5"/>
                <c:pt idx="0">
                  <c:v>5</c:v>
                </c:pt>
                <c:pt idx="1">
                  <c:v>8</c:v>
                </c:pt>
                <c:pt idx="2">
                  <c:v>1</c:v>
                </c:pt>
                <c:pt idx="3">
                  <c:v>1</c:v>
                </c:pt>
                <c:pt idx="4">
                  <c:v>0</c:v>
                </c:pt>
              </c:numCache>
            </c:numRef>
          </c:val>
          <c:extLst>
            <c:ext xmlns:c16="http://schemas.microsoft.com/office/drawing/2014/chart" uri="{C3380CC4-5D6E-409C-BE32-E72D297353CC}">
              <c16:uniqueId val="{00000000-DB3B-4B91-96AE-5BBDD79A0AD9}"/>
            </c:ext>
          </c:extLst>
        </c:ser>
        <c:ser>
          <c:idx val="1"/>
          <c:order val="1"/>
          <c:tx>
            <c:strRef>
              <c:f>'Chart 24'!$C$1</c:f>
              <c:strCache>
                <c:ptCount val="1"/>
                <c:pt idx="0">
                  <c:v>It makes them less willing to engage freely in the mediation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24'!$A$2:$A$6</c:f>
              <c:strCache>
                <c:ptCount val="5"/>
                <c:pt idx="0">
                  <c:v>Strongly agree</c:v>
                </c:pt>
                <c:pt idx="1">
                  <c:v>Agree</c:v>
                </c:pt>
                <c:pt idx="2">
                  <c:v>Neither agree nor disagree</c:v>
                </c:pt>
                <c:pt idx="3">
                  <c:v>Disagree</c:v>
                </c:pt>
                <c:pt idx="4">
                  <c:v>Strongly disagree</c:v>
                </c:pt>
              </c:strCache>
            </c:strRef>
          </c:cat>
          <c:val>
            <c:numRef>
              <c:f>'Chart 24'!$C$2:$C$6</c:f>
              <c:numCache>
                <c:formatCode>General</c:formatCode>
                <c:ptCount val="5"/>
                <c:pt idx="0">
                  <c:v>0</c:v>
                </c:pt>
                <c:pt idx="1">
                  <c:v>3</c:v>
                </c:pt>
                <c:pt idx="2">
                  <c:v>3</c:v>
                </c:pt>
                <c:pt idx="3">
                  <c:v>7</c:v>
                </c:pt>
                <c:pt idx="4">
                  <c:v>2</c:v>
                </c:pt>
              </c:numCache>
            </c:numRef>
          </c:val>
          <c:extLst>
            <c:ext xmlns:c16="http://schemas.microsoft.com/office/drawing/2014/chart" uri="{C3380CC4-5D6E-409C-BE32-E72D297353CC}">
              <c16:uniqueId val="{00000001-DB3B-4B91-96AE-5BBDD79A0AD9}"/>
            </c:ext>
          </c:extLst>
        </c:ser>
        <c:ser>
          <c:idx val="2"/>
          <c:order val="2"/>
          <c:tx>
            <c:strRef>
              <c:f>'Chart 24'!$D$1</c:f>
              <c:strCache>
                <c:ptCount val="1"/>
                <c:pt idx="0">
                  <c:v>It exacerbates power imbalances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24'!$A$2:$A$6</c:f>
              <c:strCache>
                <c:ptCount val="5"/>
                <c:pt idx="0">
                  <c:v>Strongly agree</c:v>
                </c:pt>
                <c:pt idx="1">
                  <c:v>Agree</c:v>
                </c:pt>
                <c:pt idx="2">
                  <c:v>Neither agree nor disagree</c:v>
                </c:pt>
                <c:pt idx="3">
                  <c:v>Disagree</c:v>
                </c:pt>
                <c:pt idx="4">
                  <c:v>Strongly disagree</c:v>
                </c:pt>
              </c:strCache>
            </c:strRef>
          </c:cat>
          <c:val>
            <c:numRef>
              <c:f>'Chart 24'!$D$2:$D$6</c:f>
              <c:numCache>
                <c:formatCode>General</c:formatCode>
                <c:ptCount val="5"/>
                <c:pt idx="0">
                  <c:v>1</c:v>
                </c:pt>
                <c:pt idx="1">
                  <c:v>1</c:v>
                </c:pt>
                <c:pt idx="2">
                  <c:v>8</c:v>
                </c:pt>
                <c:pt idx="3">
                  <c:v>4</c:v>
                </c:pt>
                <c:pt idx="4">
                  <c:v>1</c:v>
                </c:pt>
              </c:numCache>
            </c:numRef>
          </c:val>
          <c:extLst>
            <c:ext xmlns:c16="http://schemas.microsoft.com/office/drawing/2014/chart" uri="{C3380CC4-5D6E-409C-BE32-E72D297353CC}">
              <c16:uniqueId val="{00000002-DB3B-4B91-96AE-5BBDD79A0AD9}"/>
            </c:ext>
          </c:extLst>
        </c:ser>
        <c:ser>
          <c:idx val="3"/>
          <c:order val="3"/>
          <c:tx>
            <c:strRef>
              <c:f>'Chart 24'!$E$1</c:f>
              <c:strCache>
                <c:ptCount val="1"/>
                <c:pt idx="0">
                  <c:v>It improves the mediation overall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24'!$A$2:$A$6</c:f>
              <c:strCache>
                <c:ptCount val="5"/>
                <c:pt idx="0">
                  <c:v>Strongly agree</c:v>
                </c:pt>
                <c:pt idx="1">
                  <c:v>Agree</c:v>
                </c:pt>
                <c:pt idx="2">
                  <c:v>Neither agree nor disagree</c:v>
                </c:pt>
                <c:pt idx="3">
                  <c:v>Disagree</c:v>
                </c:pt>
                <c:pt idx="4">
                  <c:v>Strongly disagree</c:v>
                </c:pt>
              </c:strCache>
            </c:strRef>
          </c:cat>
          <c:val>
            <c:numRef>
              <c:f>'Chart 24'!$E$2:$E$6</c:f>
              <c:numCache>
                <c:formatCode>General</c:formatCode>
                <c:ptCount val="5"/>
                <c:pt idx="0">
                  <c:v>4</c:v>
                </c:pt>
                <c:pt idx="1">
                  <c:v>8</c:v>
                </c:pt>
                <c:pt idx="2">
                  <c:v>2</c:v>
                </c:pt>
                <c:pt idx="3">
                  <c:v>1</c:v>
                </c:pt>
                <c:pt idx="4">
                  <c:v>0</c:v>
                </c:pt>
              </c:numCache>
            </c:numRef>
          </c:val>
          <c:extLst>
            <c:ext xmlns:c16="http://schemas.microsoft.com/office/drawing/2014/chart" uri="{C3380CC4-5D6E-409C-BE32-E72D297353CC}">
              <c16:uniqueId val="{00000003-DB3B-4B91-96AE-5BBDD79A0AD9}"/>
            </c:ext>
          </c:extLst>
        </c:ser>
        <c:dLbls>
          <c:dLblPos val="outEnd"/>
          <c:showLegendKey val="0"/>
          <c:showVal val="1"/>
          <c:showCatName val="0"/>
          <c:showSerName val="0"/>
          <c:showPercent val="0"/>
          <c:showBubbleSize val="0"/>
        </c:dLbls>
        <c:gapWidth val="219"/>
        <c:overlap val="-27"/>
        <c:axId val="1553917167"/>
        <c:axId val="1553915247"/>
      </c:barChart>
      <c:catAx>
        <c:axId val="1553917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a:t>
                </a:r>
                <a:r>
                  <a:rPr lang="en-AU" sz="800" b="1" baseline="0">
                    <a:solidFill>
                      <a:sysClr val="windowText" lastClr="000000"/>
                    </a:solidFill>
                    <a:latin typeface="Arial" panose="020B0604020202020204" pitchFamily="34" charset="0"/>
                    <a:cs typeface="Arial" panose="020B0604020202020204" pitchFamily="34" charset="0"/>
                  </a:rPr>
                  <a:t> response options</a:t>
                </a:r>
                <a:endParaRPr lang="en-AU" sz="8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8282787418937569"/>
              <c:y val="0.655661442846386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53915247"/>
        <c:crosses val="autoZero"/>
        <c:auto val="1"/>
        <c:lblAlgn val="ctr"/>
        <c:lblOffset val="100"/>
        <c:noMultiLvlLbl val="0"/>
      </c:catAx>
      <c:valAx>
        <c:axId val="15539152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 responses</a:t>
                </a:r>
              </a:p>
            </c:rich>
          </c:tx>
          <c:layout>
            <c:manualLayout>
              <c:xMode val="edge"/>
              <c:yMode val="edge"/>
              <c:x val="1.5692817890597191E-2"/>
              <c:y val="0.31828890108347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53917167"/>
        <c:crosses val="autoZero"/>
        <c:crossBetween val="between"/>
      </c:valAx>
      <c:spPr>
        <a:noFill/>
        <a:ln>
          <a:noFill/>
        </a:ln>
        <a:effectLst/>
      </c:spPr>
    </c:plotArea>
    <c:legend>
      <c:legendPos val="b"/>
      <c:layout>
        <c:manualLayout>
          <c:xMode val="edge"/>
          <c:yMode val="edge"/>
          <c:x val="4.1068331177456188E-2"/>
          <c:y val="0.77035027989603178"/>
          <c:w val="0.91758872464837926"/>
          <c:h val="0.1500121236871322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25'!$A$2</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25'!$B$1:$I$1</c:f>
              <c:strCache>
                <c:ptCount val="8"/>
                <c:pt idx="0">
                  <c:v>Response 1</c:v>
                </c:pt>
                <c:pt idx="1">
                  <c:v>Response 2</c:v>
                </c:pt>
                <c:pt idx="2">
                  <c:v>Response 3</c:v>
                </c:pt>
                <c:pt idx="3">
                  <c:v>Response 4</c:v>
                </c:pt>
                <c:pt idx="4">
                  <c:v>Response 5</c:v>
                </c:pt>
                <c:pt idx="5">
                  <c:v>Response 6</c:v>
                </c:pt>
                <c:pt idx="6">
                  <c:v>Response 7</c:v>
                </c:pt>
                <c:pt idx="7">
                  <c:v>Response 8</c:v>
                </c:pt>
              </c:strCache>
            </c:strRef>
          </c:cat>
          <c:val>
            <c:numRef>
              <c:f>'Chart 25'!$B$2:$I$2</c:f>
              <c:numCache>
                <c:formatCode>General</c:formatCode>
                <c:ptCount val="8"/>
                <c:pt idx="0">
                  <c:v>0</c:v>
                </c:pt>
                <c:pt idx="1">
                  <c:v>1</c:v>
                </c:pt>
                <c:pt idx="2">
                  <c:v>0</c:v>
                </c:pt>
                <c:pt idx="3">
                  <c:v>3</c:v>
                </c:pt>
                <c:pt idx="4">
                  <c:v>3</c:v>
                </c:pt>
                <c:pt idx="5">
                  <c:v>1</c:v>
                </c:pt>
                <c:pt idx="6">
                  <c:v>1</c:v>
                </c:pt>
                <c:pt idx="7">
                  <c:v>1</c:v>
                </c:pt>
              </c:numCache>
            </c:numRef>
          </c:val>
          <c:extLst>
            <c:ext xmlns:c16="http://schemas.microsoft.com/office/drawing/2014/chart" uri="{C3380CC4-5D6E-409C-BE32-E72D297353CC}">
              <c16:uniqueId val="{00000000-1B83-4D40-A228-C363C37F7ACC}"/>
            </c:ext>
          </c:extLst>
        </c:ser>
        <c:ser>
          <c:idx val="1"/>
          <c:order val="1"/>
          <c:tx>
            <c:strRef>
              <c:f>'Chart 25'!$A$3</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25'!$B$1:$I$1</c:f>
              <c:strCache>
                <c:ptCount val="8"/>
                <c:pt idx="0">
                  <c:v>Response 1</c:v>
                </c:pt>
                <c:pt idx="1">
                  <c:v>Response 2</c:v>
                </c:pt>
                <c:pt idx="2">
                  <c:v>Response 3</c:v>
                </c:pt>
                <c:pt idx="3">
                  <c:v>Response 4</c:v>
                </c:pt>
                <c:pt idx="4">
                  <c:v>Response 5</c:v>
                </c:pt>
                <c:pt idx="5">
                  <c:v>Response 6</c:v>
                </c:pt>
                <c:pt idx="6">
                  <c:v>Response 7</c:v>
                </c:pt>
                <c:pt idx="7">
                  <c:v>Response 8</c:v>
                </c:pt>
              </c:strCache>
            </c:strRef>
          </c:cat>
          <c:val>
            <c:numRef>
              <c:f>'Chart 25'!$B$3:$I$3</c:f>
              <c:numCache>
                <c:formatCode>General</c:formatCode>
                <c:ptCount val="8"/>
                <c:pt idx="0">
                  <c:v>2</c:v>
                </c:pt>
                <c:pt idx="1">
                  <c:v>2</c:v>
                </c:pt>
                <c:pt idx="2">
                  <c:v>7</c:v>
                </c:pt>
                <c:pt idx="3">
                  <c:v>6</c:v>
                </c:pt>
                <c:pt idx="4">
                  <c:v>0</c:v>
                </c:pt>
                <c:pt idx="5">
                  <c:v>7</c:v>
                </c:pt>
                <c:pt idx="6">
                  <c:v>3</c:v>
                </c:pt>
                <c:pt idx="7">
                  <c:v>2</c:v>
                </c:pt>
              </c:numCache>
            </c:numRef>
          </c:val>
          <c:extLst>
            <c:ext xmlns:c16="http://schemas.microsoft.com/office/drawing/2014/chart" uri="{C3380CC4-5D6E-409C-BE32-E72D297353CC}">
              <c16:uniqueId val="{00000001-1B83-4D40-A228-C363C37F7ACC}"/>
            </c:ext>
          </c:extLst>
        </c:ser>
        <c:ser>
          <c:idx val="2"/>
          <c:order val="2"/>
          <c:tx>
            <c:strRef>
              <c:f>'Chart 25'!$A$4</c:f>
              <c:strCache>
                <c:ptCount val="1"/>
                <c:pt idx="0">
                  <c:v>Neither agree nor disagree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25'!$B$1:$I$1</c:f>
              <c:strCache>
                <c:ptCount val="8"/>
                <c:pt idx="0">
                  <c:v>Response 1</c:v>
                </c:pt>
                <c:pt idx="1">
                  <c:v>Response 2</c:v>
                </c:pt>
                <c:pt idx="2">
                  <c:v>Response 3</c:v>
                </c:pt>
                <c:pt idx="3">
                  <c:v>Response 4</c:v>
                </c:pt>
                <c:pt idx="4">
                  <c:v>Response 5</c:v>
                </c:pt>
                <c:pt idx="5">
                  <c:v>Response 6</c:v>
                </c:pt>
                <c:pt idx="6">
                  <c:v>Response 7</c:v>
                </c:pt>
                <c:pt idx="7">
                  <c:v>Response 8</c:v>
                </c:pt>
              </c:strCache>
            </c:strRef>
          </c:cat>
          <c:val>
            <c:numRef>
              <c:f>'Chart 25'!$B$4:$I$4</c:f>
              <c:numCache>
                <c:formatCode>General</c:formatCode>
                <c:ptCount val="8"/>
                <c:pt idx="0">
                  <c:v>3</c:v>
                </c:pt>
                <c:pt idx="1">
                  <c:v>2</c:v>
                </c:pt>
                <c:pt idx="2">
                  <c:v>4</c:v>
                </c:pt>
                <c:pt idx="3">
                  <c:v>5</c:v>
                </c:pt>
                <c:pt idx="4">
                  <c:v>3</c:v>
                </c:pt>
                <c:pt idx="5">
                  <c:v>3</c:v>
                </c:pt>
                <c:pt idx="6">
                  <c:v>7</c:v>
                </c:pt>
                <c:pt idx="7">
                  <c:v>3</c:v>
                </c:pt>
              </c:numCache>
            </c:numRef>
          </c:val>
          <c:extLst>
            <c:ext xmlns:c16="http://schemas.microsoft.com/office/drawing/2014/chart" uri="{C3380CC4-5D6E-409C-BE32-E72D297353CC}">
              <c16:uniqueId val="{00000002-1B83-4D40-A228-C363C37F7ACC}"/>
            </c:ext>
          </c:extLst>
        </c:ser>
        <c:ser>
          <c:idx val="3"/>
          <c:order val="3"/>
          <c:tx>
            <c:strRef>
              <c:f>'Chart 25'!$A$5</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25'!$B$1:$I$1</c:f>
              <c:strCache>
                <c:ptCount val="8"/>
                <c:pt idx="0">
                  <c:v>Response 1</c:v>
                </c:pt>
                <c:pt idx="1">
                  <c:v>Response 2</c:v>
                </c:pt>
                <c:pt idx="2">
                  <c:v>Response 3</c:v>
                </c:pt>
                <c:pt idx="3">
                  <c:v>Response 4</c:v>
                </c:pt>
                <c:pt idx="4">
                  <c:v>Response 5</c:v>
                </c:pt>
                <c:pt idx="5">
                  <c:v>Response 6</c:v>
                </c:pt>
                <c:pt idx="6">
                  <c:v>Response 7</c:v>
                </c:pt>
                <c:pt idx="7">
                  <c:v>Response 8</c:v>
                </c:pt>
              </c:strCache>
            </c:strRef>
          </c:cat>
          <c:val>
            <c:numRef>
              <c:f>'Chart 25'!$B$5:$I$5</c:f>
              <c:numCache>
                <c:formatCode>General</c:formatCode>
                <c:ptCount val="8"/>
                <c:pt idx="0">
                  <c:v>7</c:v>
                </c:pt>
                <c:pt idx="1">
                  <c:v>6</c:v>
                </c:pt>
                <c:pt idx="2">
                  <c:v>2</c:v>
                </c:pt>
                <c:pt idx="3">
                  <c:v>1</c:v>
                </c:pt>
                <c:pt idx="4">
                  <c:v>6</c:v>
                </c:pt>
                <c:pt idx="5">
                  <c:v>4</c:v>
                </c:pt>
                <c:pt idx="6">
                  <c:v>2</c:v>
                </c:pt>
                <c:pt idx="7">
                  <c:v>7</c:v>
                </c:pt>
              </c:numCache>
            </c:numRef>
          </c:val>
          <c:extLst>
            <c:ext xmlns:c16="http://schemas.microsoft.com/office/drawing/2014/chart" uri="{C3380CC4-5D6E-409C-BE32-E72D297353CC}">
              <c16:uniqueId val="{00000003-1B83-4D40-A228-C363C37F7ACC}"/>
            </c:ext>
          </c:extLst>
        </c:ser>
        <c:ser>
          <c:idx val="4"/>
          <c:order val="4"/>
          <c:tx>
            <c:strRef>
              <c:f>'Chart 25'!$A$6</c:f>
              <c:strCache>
                <c:ptCount val="1"/>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25'!$B$1:$I$1</c:f>
              <c:strCache>
                <c:ptCount val="8"/>
                <c:pt idx="0">
                  <c:v>Response 1</c:v>
                </c:pt>
                <c:pt idx="1">
                  <c:v>Response 2</c:v>
                </c:pt>
                <c:pt idx="2">
                  <c:v>Response 3</c:v>
                </c:pt>
                <c:pt idx="3">
                  <c:v>Response 4</c:v>
                </c:pt>
                <c:pt idx="4">
                  <c:v>Response 5</c:v>
                </c:pt>
                <c:pt idx="5">
                  <c:v>Response 6</c:v>
                </c:pt>
                <c:pt idx="6">
                  <c:v>Response 7</c:v>
                </c:pt>
                <c:pt idx="7">
                  <c:v>Response 8</c:v>
                </c:pt>
              </c:strCache>
            </c:strRef>
          </c:cat>
          <c:val>
            <c:numRef>
              <c:f>'Chart 25'!$B$6:$I$6</c:f>
              <c:numCache>
                <c:formatCode>General</c:formatCode>
                <c:ptCount val="8"/>
                <c:pt idx="0">
                  <c:v>3</c:v>
                </c:pt>
                <c:pt idx="1">
                  <c:v>4</c:v>
                </c:pt>
                <c:pt idx="2">
                  <c:v>1</c:v>
                </c:pt>
                <c:pt idx="3">
                  <c:v>0</c:v>
                </c:pt>
                <c:pt idx="4">
                  <c:v>3</c:v>
                </c:pt>
                <c:pt idx="5">
                  <c:v>0</c:v>
                </c:pt>
                <c:pt idx="6">
                  <c:v>2</c:v>
                </c:pt>
                <c:pt idx="7">
                  <c:v>2</c:v>
                </c:pt>
              </c:numCache>
            </c:numRef>
          </c:val>
          <c:extLst>
            <c:ext xmlns:c16="http://schemas.microsoft.com/office/drawing/2014/chart" uri="{C3380CC4-5D6E-409C-BE32-E72D297353CC}">
              <c16:uniqueId val="{00000004-1B83-4D40-A228-C363C37F7ACC}"/>
            </c:ext>
          </c:extLst>
        </c:ser>
        <c:dLbls>
          <c:dLblPos val="outEnd"/>
          <c:showLegendKey val="0"/>
          <c:showVal val="1"/>
          <c:showCatName val="0"/>
          <c:showSerName val="0"/>
          <c:showPercent val="0"/>
          <c:showBubbleSize val="0"/>
        </c:dLbls>
        <c:gapWidth val="219"/>
        <c:overlap val="-27"/>
        <c:axId val="1608073247"/>
        <c:axId val="1608072287"/>
      </c:barChart>
      <c:catAx>
        <c:axId val="16080732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a:t>
                </a:r>
                <a:r>
                  <a:rPr lang="en-AU" sz="800" b="1" baseline="0">
                    <a:solidFill>
                      <a:sysClr val="windowText" lastClr="000000"/>
                    </a:solidFill>
                    <a:latin typeface="Arial" panose="020B0604020202020204" pitchFamily="34" charset="0"/>
                    <a:cs typeface="Arial" panose="020B0604020202020204" pitchFamily="34" charset="0"/>
                  </a:rPr>
                  <a:t> response options</a:t>
                </a:r>
                <a:endParaRPr lang="en-AU" sz="8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8601661330795189"/>
              <c:y val="0.911665946136745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08072287"/>
        <c:crosses val="autoZero"/>
        <c:auto val="1"/>
        <c:lblAlgn val="ctr"/>
        <c:lblOffset val="100"/>
        <c:noMultiLvlLbl val="0"/>
      </c:catAx>
      <c:valAx>
        <c:axId val="16080722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 responses</a:t>
                </a:r>
              </a:p>
            </c:rich>
          </c:tx>
          <c:layout>
            <c:manualLayout>
              <c:xMode val="edge"/>
              <c:yMode val="edge"/>
              <c:x val="1.9444444444444445E-2"/>
              <c:y val="0.203122265966754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08073247"/>
        <c:crosses val="autoZero"/>
        <c:crossBetween val="between"/>
      </c:valAx>
      <c:spPr>
        <a:noFill/>
        <a:ln>
          <a:noFill/>
        </a:ln>
        <a:effectLst/>
      </c:spPr>
    </c:plotArea>
    <c:legend>
      <c:legendPos val="b"/>
      <c:layout>
        <c:manualLayout>
          <c:xMode val="edge"/>
          <c:yMode val="edge"/>
          <c:x val="5.5555555555555552E-2"/>
          <c:y val="0.81539297171186931"/>
          <c:w val="0.9"/>
          <c:h val="6.872958588509769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3'!$A$2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3'!$B$1:$G$1</c:f>
              <c:strCache>
                <c:ptCount val="6"/>
                <c:pt idx="0">
                  <c:v>Response 1</c:v>
                </c:pt>
                <c:pt idx="1">
                  <c:v>Response 2</c:v>
                </c:pt>
                <c:pt idx="2">
                  <c:v>Response 3</c:v>
                </c:pt>
                <c:pt idx="3">
                  <c:v>Response 4</c:v>
                </c:pt>
                <c:pt idx="4">
                  <c:v>Response 5</c:v>
                </c:pt>
                <c:pt idx="5">
                  <c:v>Response 6</c:v>
                </c:pt>
              </c:strCache>
            </c:strRef>
          </c:cat>
          <c:val>
            <c:numRef>
              <c:f>'chart 3'!$B$2:$G$2</c:f>
              <c:numCache>
                <c:formatCode>General</c:formatCode>
                <c:ptCount val="6"/>
                <c:pt idx="0">
                  <c:v>14</c:v>
                </c:pt>
                <c:pt idx="1">
                  <c:v>11</c:v>
                </c:pt>
                <c:pt idx="2">
                  <c:v>14</c:v>
                </c:pt>
                <c:pt idx="3">
                  <c:v>2</c:v>
                </c:pt>
                <c:pt idx="4">
                  <c:v>10</c:v>
                </c:pt>
                <c:pt idx="5">
                  <c:v>5</c:v>
                </c:pt>
              </c:numCache>
            </c:numRef>
          </c:val>
          <c:extLst>
            <c:ext xmlns:c16="http://schemas.microsoft.com/office/drawing/2014/chart" uri="{C3380CC4-5D6E-409C-BE32-E72D297353CC}">
              <c16:uniqueId val="{00000000-032E-4274-819D-D4F51A1CF6F8}"/>
            </c:ext>
          </c:extLst>
        </c:ser>
        <c:dLbls>
          <c:dLblPos val="outEnd"/>
          <c:showLegendKey val="0"/>
          <c:showVal val="1"/>
          <c:showCatName val="0"/>
          <c:showSerName val="0"/>
          <c:showPercent val="0"/>
          <c:showBubbleSize val="0"/>
        </c:dLbls>
        <c:gapWidth val="219"/>
        <c:overlap val="-27"/>
        <c:axId val="504013072"/>
        <c:axId val="504007312"/>
      </c:barChart>
      <c:catAx>
        <c:axId val="504013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options</a:t>
                </a:r>
              </a:p>
            </c:rich>
          </c:tx>
          <c:layout>
            <c:manualLayout>
              <c:xMode val="edge"/>
              <c:yMode val="edge"/>
              <c:x val="0.3917952877485108"/>
              <c:y val="0.91257558714251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4007312"/>
        <c:crosses val="autoZero"/>
        <c:auto val="1"/>
        <c:lblAlgn val="ctr"/>
        <c:lblOffset val="100"/>
        <c:noMultiLvlLbl val="0"/>
      </c:catAx>
      <c:valAx>
        <c:axId val="504007312"/>
        <c:scaling>
          <c:orientation val="minMax"/>
        </c:scaling>
        <c:delete val="0"/>
        <c:axPos val="l"/>
        <c:majorGridlines>
          <c:spPr>
            <a:ln w="9525" cap="flat" cmpd="sng" algn="ctr">
              <a:solidFill>
                <a:srgbClr val="E6E6E6"/>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4013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4'!$A$2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4'!$B$1:$D$1</c:f>
              <c:strCache>
                <c:ptCount val="3"/>
                <c:pt idx="0">
                  <c:v>Yes</c:v>
                </c:pt>
                <c:pt idx="1">
                  <c:v>No</c:v>
                </c:pt>
                <c:pt idx="2">
                  <c:v>Other</c:v>
                </c:pt>
              </c:strCache>
            </c:strRef>
          </c:cat>
          <c:val>
            <c:numRef>
              <c:f>'chart 4'!$B$2:$D$2</c:f>
              <c:numCache>
                <c:formatCode>General</c:formatCode>
                <c:ptCount val="3"/>
                <c:pt idx="0">
                  <c:v>8</c:v>
                </c:pt>
                <c:pt idx="1">
                  <c:v>5</c:v>
                </c:pt>
                <c:pt idx="2">
                  <c:v>1</c:v>
                </c:pt>
              </c:numCache>
            </c:numRef>
          </c:val>
          <c:extLst>
            <c:ext xmlns:c16="http://schemas.microsoft.com/office/drawing/2014/chart" uri="{C3380CC4-5D6E-409C-BE32-E72D297353CC}">
              <c16:uniqueId val="{00000000-6459-4686-9F94-3ECF20EF14C0}"/>
            </c:ext>
          </c:extLst>
        </c:ser>
        <c:dLbls>
          <c:dLblPos val="outEnd"/>
          <c:showLegendKey val="0"/>
          <c:showVal val="1"/>
          <c:showCatName val="0"/>
          <c:showSerName val="0"/>
          <c:showPercent val="0"/>
          <c:showBubbleSize val="0"/>
        </c:dLbls>
        <c:gapWidth val="219"/>
        <c:overlap val="-27"/>
        <c:axId val="825734287"/>
        <c:axId val="825735727"/>
      </c:barChart>
      <c:catAx>
        <c:axId val="825734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a:t>
                </a:r>
                <a:r>
                  <a:rPr lang="en-AU" sz="800" b="1" baseline="0">
                    <a:solidFill>
                      <a:sysClr val="windowText" lastClr="000000"/>
                    </a:solidFill>
                    <a:latin typeface="Arial" panose="020B0604020202020204" pitchFamily="34" charset="0"/>
                    <a:cs typeface="Arial" panose="020B0604020202020204" pitchFamily="34" charset="0"/>
                  </a:rPr>
                  <a:t> response options</a:t>
                </a:r>
                <a:endParaRPr lang="en-AU" sz="8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5735727"/>
        <c:crosses val="autoZero"/>
        <c:auto val="1"/>
        <c:lblAlgn val="ctr"/>
        <c:lblOffset val="100"/>
        <c:noMultiLvlLbl val="0"/>
      </c:catAx>
      <c:valAx>
        <c:axId val="825735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 responses</a:t>
                </a:r>
              </a:p>
            </c:rich>
          </c:tx>
          <c:layout>
            <c:manualLayout>
              <c:xMode val="edge"/>
              <c:yMode val="edge"/>
              <c:x val="2.0057945174949854E-2"/>
              <c:y val="0.24441870213539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57342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6'!$A$2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6'!$B$1:$G$1</c:f>
              <c:strCache>
                <c:ptCount val="6"/>
                <c:pt idx="0">
                  <c:v>Excellent</c:v>
                </c:pt>
                <c:pt idx="1">
                  <c:v>Very informative</c:v>
                </c:pt>
                <c:pt idx="2">
                  <c:v>Average</c:v>
                </c:pt>
                <c:pt idx="3">
                  <c:v>Poor</c:v>
                </c:pt>
                <c:pt idx="4">
                  <c:v>Not relevant</c:v>
                </c:pt>
                <c:pt idx="5">
                  <c:v>Other</c:v>
                </c:pt>
              </c:strCache>
            </c:strRef>
          </c:cat>
          <c:val>
            <c:numRef>
              <c:f>'chart 6'!$B$2:$G$2</c:f>
              <c:numCache>
                <c:formatCode>General</c:formatCode>
                <c:ptCount val="6"/>
                <c:pt idx="0">
                  <c:v>9</c:v>
                </c:pt>
                <c:pt idx="1">
                  <c:v>3</c:v>
                </c:pt>
                <c:pt idx="2">
                  <c:v>4</c:v>
                </c:pt>
                <c:pt idx="3">
                  <c:v>0</c:v>
                </c:pt>
                <c:pt idx="4">
                  <c:v>0</c:v>
                </c:pt>
                <c:pt idx="5">
                  <c:v>0</c:v>
                </c:pt>
              </c:numCache>
            </c:numRef>
          </c:val>
          <c:extLst>
            <c:ext xmlns:c16="http://schemas.microsoft.com/office/drawing/2014/chart" uri="{C3380CC4-5D6E-409C-BE32-E72D297353CC}">
              <c16:uniqueId val="{00000000-5657-49D8-85BA-03BAB446DF3F}"/>
            </c:ext>
          </c:extLst>
        </c:ser>
        <c:dLbls>
          <c:dLblPos val="outEnd"/>
          <c:showLegendKey val="0"/>
          <c:showVal val="1"/>
          <c:showCatName val="0"/>
          <c:showSerName val="0"/>
          <c:showPercent val="0"/>
          <c:showBubbleSize val="0"/>
        </c:dLbls>
        <c:gapWidth val="219"/>
        <c:overlap val="-27"/>
        <c:axId val="1743859263"/>
        <c:axId val="1743859743"/>
      </c:barChart>
      <c:catAx>
        <c:axId val="17438592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a:t>
                </a:r>
                <a:r>
                  <a:rPr lang="en-AU" sz="800" b="1" baseline="0">
                    <a:solidFill>
                      <a:sysClr val="windowText" lastClr="000000"/>
                    </a:solidFill>
                    <a:latin typeface="Arial" panose="020B0604020202020204" pitchFamily="34" charset="0"/>
                    <a:cs typeface="Arial" panose="020B0604020202020204" pitchFamily="34" charset="0"/>
                  </a:rPr>
                  <a:t> options</a:t>
                </a:r>
                <a:endParaRPr lang="en-AU" sz="8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0215974025857837"/>
              <c:y val="0.916252009729150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43859743"/>
        <c:crosses val="autoZero"/>
        <c:auto val="1"/>
        <c:lblAlgn val="ctr"/>
        <c:lblOffset val="100"/>
        <c:noMultiLvlLbl val="0"/>
      </c:catAx>
      <c:valAx>
        <c:axId val="1743859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438592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7'!$A$2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7'!$B$1:$G$1</c:f>
              <c:strCache>
                <c:ptCount val="6"/>
                <c:pt idx="0">
                  <c:v>Better guidance or instructions on assistance with disputes</c:v>
                </c:pt>
                <c:pt idx="1">
                  <c:v>Additional dispute resolution services</c:v>
                </c:pt>
                <c:pt idx="2">
                  <c:v>More timely assistance with disputes</c:v>
                </c:pt>
                <c:pt idx="3">
                  <c:v>Better representation of small business needs with Government</c:v>
                </c:pt>
                <c:pt idx="4">
                  <c:v>Provide more or better educational resources</c:v>
                </c:pt>
                <c:pt idx="5">
                  <c:v>Other</c:v>
                </c:pt>
              </c:strCache>
            </c:strRef>
          </c:cat>
          <c:val>
            <c:numRef>
              <c:f>'chart 7'!$B$2:$G$2</c:f>
              <c:numCache>
                <c:formatCode>General</c:formatCode>
                <c:ptCount val="6"/>
                <c:pt idx="0">
                  <c:v>5</c:v>
                </c:pt>
                <c:pt idx="1">
                  <c:v>12</c:v>
                </c:pt>
                <c:pt idx="2">
                  <c:v>1</c:v>
                </c:pt>
                <c:pt idx="3">
                  <c:v>8</c:v>
                </c:pt>
                <c:pt idx="4">
                  <c:v>7</c:v>
                </c:pt>
                <c:pt idx="5">
                  <c:v>9</c:v>
                </c:pt>
              </c:numCache>
            </c:numRef>
          </c:val>
          <c:extLst>
            <c:ext xmlns:c16="http://schemas.microsoft.com/office/drawing/2014/chart" uri="{C3380CC4-5D6E-409C-BE32-E72D297353CC}">
              <c16:uniqueId val="{00000000-3E4F-439C-9B29-8187C67C2170}"/>
            </c:ext>
          </c:extLst>
        </c:ser>
        <c:dLbls>
          <c:dLblPos val="outEnd"/>
          <c:showLegendKey val="0"/>
          <c:showVal val="1"/>
          <c:showCatName val="0"/>
          <c:showSerName val="0"/>
          <c:showPercent val="0"/>
          <c:showBubbleSize val="0"/>
        </c:dLbls>
        <c:gapWidth val="219"/>
        <c:overlap val="-27"/>
        <c:axId val="1669978751"/>
        <c:axId val="1669979231"/>
      </c:barChart>
      <c:catAx>
        <c:axId val="16699787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options</a:t>
                </a:r>
              </a:p>
            </c:rich>
          </c:tx>
          <c:layout>
            <c:manualLayout>
              <c:xMode val="edge"/>
              <c:yMode val="edge"/>
              <c:x val="0.39566614871588945"/>
              <c:y val="0.913214270003959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9979231"/>
        <c:crosses val="autoZero"/>
        <c:auto val="1"/>
        <c:lblAlgn val="ctr"/>
        <c:lblOffset val="100"/>
        <c:noMultiLvlLbl val="0"/>
      </c:catAx>
      <c:valAx>
        <c:axId val="16699792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a:t>
                </a:r>
                <a:r>
                  <a:rPr lang="en-AU" sz="800" b="1" baseline="0">
                    <a:solidFill>
                      <a:sysClr val="windowText" lastClr="000000"/>
                    </a:solidFill>
                    <a:latin typeface="Arial" panose="020B0604020202020204" pitchFamily="34" charset="0"/>
                    <a:cs typeface="Arial" panose="020B0604020202020204" pitchFamily="34" charset="0"/>
                  </a:rPr>
                  <a:t> of responses</a:t>
                </a:r>
                <a:endParaRPr lang="en-AU" sz="8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99787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8'!$A$2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8'!$B$1:$K$1</c:f>
              <c:strCache>
                <c:ptCount val="10"/>
                <c:pt idx="0">
                  <c:v>Response 1</c:v>
                </c:pt>
                <c:pt idx="1">
                  <c:v>Response 2</c:v>
                </c:pt>
                <c:pt idx="2">
                  <c:v>Response 3</c:v>
                </c:pt>
                <c:pt idx="3">
                  <c:v>Response 4</c:v>
                </c:pt>
                <c:pt idx="4">
                  <c:v>Response 5</c:v>
                </c:pt>
                <c:pt idx="5">
                  <c:v>Response 6</c:v>
                </c:pt>
                <c:pt idx="6">
                  <c:v>Response 7</c:v>
                </c:pt>
                <c:pt idx="7">
                  <c:v>Response 8</c:v>
                </c:pt>
                <c:pt idx="8">
                  <c:v>Response 9</c:v>
                </c:pt>
                <c:pt idx="9">
                  <c:v>Response 10</c:v>
                </c:pt>
              </c:strCache>
            </c:strRef>
          </c:cat>
          <c:val>
            <c:numRef>
              <c:f>'chart 8'!$B$2:$K$2</c:f>
              <c:numCache>
                <c:formatCode>General</c:formatCode>
                <c:ptCount val="10"/>
                <c:pt idx="0">
                  <c:v>18</c:v>
                </c:pt>
                <c:pt idx="1">
                  <c:v>10</c:v>
                </c:pt>
                <c:pt idx="2">
                  <c:v>15</c:v>
                </c:pt>
                <c:pt idx="3">
                  <c:v>26</c:v>
                </c:pt>
                <c:pt idx="4">
                  <c:v>16</c:v>
                </c:pt>
                <c:pt idx="5">
                  <c:v>87</c:v>
                </c:pt>
                <c:pt idx="6">
                  <c:v>19</c:v>
                </c:pt>
                <c:pt idx="7">
                  <c:v>1</c:v>
                </c:pt>
                <c:pt idx="8">
                  <c:v>2</c:v>
                </c:pt>
                <c:pt idx="9">
                  <c:v>30</c:v>
                </c:pt>
              </c:numCache>
            </c:numRef>
          </c:val>
          <c:extLst>
            <c:ext xmlns:c16="http://schemas.microsoft.com/office/drawing/2014/chart" uri="{C3380CC4-5D6E-409C-BE32-E72D297353CC}">
              <c16:uniqueId val="{00000000-A330-4F12-956B-84DB31535A58}"/>
            </c:ext>
          </c:extLst>
        </c:ser>
        <c:dLbls>
          <c:dLblPos val="outEnd"/>
          <c:showLegendKey val="0"/>
          <c:showVal val="1"/>
          <c:showCatName val="0"/>
          <c:showSerName val="0"/>
          <c:showPercent val="0"/>
          <c:showBubbleSize val="0"/>
        </c:dLbls>
        <c:gapWidth val="219"/>
        <c:overlap val="-27"/>
        <c:axId val="1062030400"/>
        <c:axId val="1062029440"/>
      </c:barChart>
      <c:catAx>
        <c:axId val="1062030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62029440"/>
        <c:crosses val="autoZero"/>
        <c:auto val="1"/>
        <c:lblAlgn val="ctr"/>
        <c:lblOffset val="100"/>
        <c:noMultiLvlLbl val="0"/>
      </c:catAx>
      <c:valAx>
        <c:axId val="106202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62030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11'!$A$2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11'!$B$1:$K$1</c:f>
              <c:strCache>
                <c:ptCount val="10"/>
                <c:pt idx="0">
                  <c:v>Response 1</c:v>
                </c:pt>
                <c:pt idx="1">
                  <c:v>Response 2</c:v>
                </c:pt>
                <c:pt idx="2">
                  <c:v>Response 3</c:v>
                </c:pt>
                <c:pt idx="3">
                  <c:v>Response 4</c:v>
                </c:pt>
                <c:pt idx="4">
                  <c:v>Response 5</c:v>
                </c:pt>
                <c:pt idx="5">
                  <c:v>Response 6</c:v>
                </c:pt>
                <c:pt idx="6">
                  <c:v>Response 7</c:v>
                </c:pt>
                <c:pt idx="7">
                  <c:v>Response 8</c:v>
                </c:pt>
                <c:pt idx="8">
                  <c:v>Response 9</c:v>
                </c:pt>
                <c:pt idx="9">
                  <c:v>Response 10</c:v>
                </c:pt>
              </c:strCache>
            </c:strRef>
          </c:cat>
          <c:val>
            <c:numRef>
              <c:f>'chart 11'!$B$2:$K$2</c:f>
              <c:numCache>
                <c:formatCode>General</c:formatCode>
                <c:ptCount val="10"/>
                <c:pt idx="0">
                  <c:v>1</c:v>
                </c:pt>
                <c:pt idx="1">
                  <c:v>46</c:v>
                </c:pt>
                <c:pt idx="2">
                  <c:v>11</c:v>
                </c:pt>
                <c:pt idx="3">
                  <c:v>0</c:v>
                </c:pt>
                <c:pt idx="4">
                  <c:v>24</c:v>
                </c:pt>
                <c:pt idx="5">
                  <c:v>31</c:v>
                </c:pt>
                <c:pt idx="6">
                  <c:v>13</c:v>
                </c:pt>
                <c:pt idx="7">
                  <c:v>185</c:v>
                </c:pt>
                <c:pt idx="8">
                  <c:v>3</c:v>
                </c:pt>
                <c:pt idx="9">
                  <c:v>16</c:v>
                </c:pt>
              </c:numCache>
            </c:numRef>
          </c:val>
          <c:extLst>
            <c:ext xmlns:c16="http://schemas.microsoft.com/office/drawing/2014/chart" uri="{C3380CC4-5D6E-409C-BE32-E72D297353CC}">
              <c16:uniqueId val="{00000000-0026-44CB-87AF-424550605F42}"/>
            </c:ext>
          </c:extLst>
        </c:ser>
        <c:dLbls>
          <c:dLblPos val="outEnd"/>
          <c:showLegendKey val="0"/>
          <c:showVal val="1"/>
          <c:showCatName val="0"/>
          <c:showSerName val="0"/>
          <c:showPercent val="0"/>
          <c:showBubbleSize val="0"/>
        </c:dLbls>
        <c:gapWidth val="219"/>
        <c:overlap val="-27"/>
        <c:axId val="1855799776"/>
        <c:axId val="79329104"/>
      </c:barChart>
      <c:catAx>
        <c:axId val="1855799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options</a:t>
                </a:r>
              </a:p>
            </c:rich>
          </c:tx>
          <c:layout>
            <c:manualLayout>
              <c:xMode val="edge"/>
              <c:yMode val="edge"/>
              <c:x val="0.38950090491377348"/>
              <c:y val="0.889468480485686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9329104"/>
        <c:crosses val="autoZero"/>
        <c:auto val="1"/>
        <c:lblAlgn val="ctr"/>
        <c:lblOffset val="100"/>
        <c:noMultiLvlLbl val="0"/>
      </c:catAx>
      <c:valAx>
        <c:axId val="79329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 responses</a:t>
                </a:r>
              </a:p>
            </c:rich>
          </c:tx>
          <c:layout>
            <c:manualLayout>
              <c:xMode val="edge"/>
              <c:yMode val="edge"/>
              <c:x val="1.7740325978489856E-2"/>
              <c:y val="0.216710098514311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5799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12'!$A$2</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12'!$B$1:$E$1</c:f>
              <c:strCache>
                <c:ptCount val="4"/>
                <c:pt idx="0">
                  <c:v>Culturally and linguistically diverse</c:v>
                </c:pt>
                <c:pt idx="1">
                  <c:v>First Nations</c:v>
                </c:pt>
                <c:pt idx="2">
                  <c:v>Regional or remote business location</c:v>
                </c:pt>
                <c:pt idx="3">
                  <c:v>Women</c:v>
                </c:pt>
              </c:strCache>
            </c:strRef>
          </c:cat>
          <c:val>
            <c:numRef>
              <c:f>'chart 12'!$B$2:$E$2</c:f>
              <c:numCache>
                <c:formatCode>General</c:formatCode>
                <c:ptCount val="4"/>
                <c:pt idx="0">
                  <c:v>26</c:v>
                </c:pt>
                <c:pt idx="1">
                  <c:v>10</c:v>
                </c:pt>
                <c:pt idx="2">
                  <c:v>84</c:v>
                </c:pt>
                <c:pt idx="3">
                  <c:v>116</c:v>
                </c:pt>
              </c:numCache>
            </c:numRef>
          </c:val>
          <c:extLst>
            <c:ext xmlns:c16="http://schemas.microsoft.com/office/drawing/2014/chart" uri="{C3380CC4-5D6E-409C-BE32-E72D297353CC}">
              <c16:uniqueId val="{00000000-9F11-4AE9-8673-8653F5A0BC80}"/>
            </c:ext>
          </c:extLst>
        </c:ser>
        <c:dLbls>
          <c:dLblPos val="outEnd"/>
          <c:showLegendKey val="0"/>
          <c:showVal val="1"/>
          <c:showCatName val="0"/>
          <c:showSerName val="0"/>
          <c:showPercent val="0"/>
          <c:showBubbleSize val="0"/>
        </c:dLbls>
        <c:gapWidth val="219"/>
        <c:overlap val="-27"/>
        <c:axId val="1668109359"/>
        <c:axId val="1668101679"/>
      </c:barChart>
      <c:catAx>
        <c:axId val="16681093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Survey response options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8101679"/>
        <c:crosses val="autoZero"/>
        <c:auto val="1"/>
        <c:lblAlgn val="ctr"/>
        <c:lblOffset val="100"/>
        <c:noMultiLvlLbl val="0"/>
      </c:catAx>
      <c:valAx>
        <c:axId val="16681016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800" b="1">
                    <a:solidFill>
                      <a:sysClr val="windowText" lastClr="000000"/>
                    </a:solidFill>
                    <a:latin typeface="Arial" panose="020B0604020202020204" pitchFamily="34" charset="0"/>
                    <a:cs typeface="Arial" panose="020B0604020202020204" pitchFamily="34" charset="0"/>
                  </a:rPr>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81093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129</Pages>
  <Words>35903</Words>
  <Characters>206031</Characters>
  <Application>Microsoft Office Word</Application>
  <DocSecurity>0</DocSecurity>
  <Lines>4277</Lines>
  <Paragraphs>2142</Paragraphs>
  <ScaleCrop>false</ScaleCrop>
  <HeadingPairs>
    <vt:vector size="2" baseType="variant">
      <vt:variant>
        <vt:lpstr>Title</vt:lpstr>
      </vt:variant>
      <vt:variant>
        <vt:i4>1</vt:i4>
      </vt:variant>
    </vt:vector>
  </HeadingPairs>
  <TitlesOfParts>
    <vt:vector size="1" baseType="lpstr">
      <vt:lpstr>Independent Review of Australian Small Business and Family Enterprise Ombudsman</vt:lpstr>
    </vt:vector>
  </TitlesOfParts>
  <Company/>
  <LinksUpToDate>false</LinksUpToDate>
  <CharactersWithSpaces>240639</CharactersWithSpaces>
  <SharedDoc>false</SharedDoc>
  <HLinks>
    <vt:vector size="1098" baseType="variant">
      <vt:variant>
        <vt:i4>6291494</vt:i4>
      </vt:variant>
      <vt:variant>
        <vt:i4>750</vt:i4>
      </vt:variant>
      <vt:variant>
        <vt:i4>0</vt:i4>
      </vt:variant>
      <vt:variant>
        <vt:i4>5</vt:i4>
      </vt:variant>
      <vt:variant>
        <vt:lpwstr>https://www.employment.govt.nz/resolving-problems/how-to-resolve-problems/mediation</vt:lpwstr>
      </vt:variant>
      <vt:variant>
        <vt:lpwstr>:~:text=Employment%20Mediation%20Services%20within%20the,will%20not%20be%20cross%2Dexamined.</vt:lpwstr>
      </vt:variant>
      <vt:variant>
        <vt:i4>5308502</vt:i4>
      </vt:variant>
      <vt:variant>
        <vt:i4>747</vt:i4>
      </vt:variant>
      <vt:variant>
        <vt:i4>0</vt:i4>
      </vt:variant>
      <vt:variant>
        <vt:i4>5</vt:i4>
      </vt:variant>
      <vt:variant>
        <vt:lpwstr>https://www.mbie.govt.nz/?q=inhouse%20mediation&amp;size=n_20_n</vt:lpwstr>
      </vt:variant>
      <vt:variant>
        <vt:lpwstr/>
      </vt:variant>
      <vt:variant>
        <vt:i4>917576</vt:i4>
      </vt:variant>
      <vt:variant>
        <vt:i4>744</vt:i4>
      </vt:variant>
      <vt:variant>
        <vt:i4>0</vt:i4>
      </vt:variant>
      <vt:variant>
        <vt:i4>5</vt:i4>
      </vt:variant>
      <vt:variant>
        <vt:lpwstr>https://www.epa.gov/resources-small-businesses/asbestos-and-small-business-ombudsman</vt:lpwstr>
      </vt:variant>
      <vt:variant>
        <vt:lpwstr/>
      </vt:variant>
      <vt:variant>
        <vt:i4>3080224</vt:i4>
      </vt:variant>
      <vt:variant>
        <vt:i4>741</vt:i4>
      </vt:variant>
      <vt:variant>
        <vt:i4>0</vt:i4>
      </vt:variant>
      <vt:variant>
        <vt:i4>5</vt:i4>
      </vt:variant>
      <vt:variant>
        <vt:lpwstr>https://www.sba.gov/about-sba/oversight-advocacy/office-national-ombudsman</vt:lpwstr>
      </vt:variant>
      <vt:variant>
        <vt:lpwstr/>
      </vt:variant>
      <vt:variant>
        <vt:i4>6029337</vt:i4>
      </vt:variant>
      <vt:variant>
        <vt:i4>738</vt:i4>
      </vt:variant>
      <vt:variant>
        <vt:i4>0</vt:i4>
      </vt:variant>
      <vt:variant>
        <vt:i4>5</vt:i4>
      </vt:variant>
      <vt:variant>
        <vt:lpwstr>https://opo-boa.gc.ca/index-eng.html</vt:lpwstr>
      </vt:variant>
      <vt:variant>
        <vt:lpwstr/>
      </vt:variant>
      <vt:variant>
        <vt:i4>6553717</vt:i4>
      </vt:variant>
      <vt:variant>
        <vt:i4>735</vt:i4>
      </vt:variant>
      <vt:variant>
        <vt:i4>0</vt:i4>
      </vt:variant>
      <vt:variant>
        <vt:i4>5</vt:i4>
      </vt:variant>
      <vt:variant>
        <vt:lpwstr>https://sme.financial-ombudsman.org.uk/</vt:lpwstr>
      </vt:variant>
      <vt:variant>
        <vt:lpwstr>:~:text=Dispute%20resolution%20that%27s%20fair%20and,businesses%20and%20financial%20services%20providers.</vt:lpwstr>
      </vt:variant>
      <vt:variant>
        <vt:i4>8323122</vt:i4>
      </vt:variant>
      <vt:variant>
        <vt:i4>732</vt:i4>
      </vt:variant>
      <vt:variant>
        <vt:i4>0</vt:i4>
      </vt:variant>
      <vt:variant>
        <vt:i4>5</vt:i4>
      </vt:variant>
      <vt:variant>
        <vt:lpwstr>https://www.smallbusinesscommissioner.gov.uk/about-us/</vt:lpwstr>
      </vt:variant>
      <vt:variant>
        <vt:lpwstr/>
      </vt:variant>
      <vt:variant>
        <vt:i4>851990</vt:i4>
      </vt:variant>
      <vt:variant>
        <vt:i4>729</vt:i4>
      </vt:variant>
      <vt:variant>
        <vt:i4>0</vt:i4>
      </vt:variant>
      <vt:variant>
        <vt:i4>5</vt:i4>
      </vt:variant>
      <vt:variant>
        <vt:lpwstr>https://treasury.gov.au/publication/p2024-525558</vt:lpwstr>
      </vt:variant>
      <vt:variant>
        <vt:lpwstr/>
      </vt:variant>
      <vt:variant>
        <vt:i4>2555970</vt:i4>
      </vt:variant>
      <vt:variant>
        <vt:i4>726</vt:i4>
      </vt:variant>
      <vt:variant>
        <vt:i4>0</vt:i4>
      </vt:variant>
      <vt:variant>
        <vt:i4>5</vt:i4>
      </vt:variant>
      <vt:variant>
        <vt:lpwstr>mailto:info@asbfeo.gov.au</vt:lpwstr>
      </vt:variant>
      <vt:variant>
        <vt:lpwstr/>
      </vt:variant>
      <vt:variant>
        <vt:i4>3080232</vt:i4>
      </vt:variant>
      <vt:variant>
        <vt:i4>723</vt:i4>
      </vt:variant>
      <vt:variant>
        <vt:i4>0</vt:i4>
      </vt:variant>
      <vt:variant>
        <vt:i4>5</vt:i4>
      </vt:variant>
      <vt:variant>
        <vt:lpwstr>https://aus01.safelinks.protection.outlook.com/?url=https%3A%2F%2Fwww.asbfeo.gov.au%2Fdisputes-assistance%2Fhow-we-help&amp;data=05%7C02%7CMichelle.Calder%40TREASURY.GOV.AU%7C50b6d77da70347ca0c5e08dd69cc4bea%7C214f1646202147cc8397e3d3a7ba7d9d%7C0%7C0%7C638783048349765986%7CUnknown%7CTWFpbGZsb3d8eyJFbXB0eU1hcGkiOnRydWUsIlYiOiIwLjAuMDAwMCIsIlAiOiJXaW4zMiIsIkFOIjoiTWFpbCIsIldUIjoyfQ%3D%3D%7C0%7C%7C%7C&amp;sdata=bEhU3cV7Ww4eFWaFtE%2Fo3xKsPP0IkTX2o05eClAHp8E%3D&amp;reserved=0</vt:lpwstr>
      </vt:variant>
      <vt:variant>
        <vt:lpwstr/>
      </vt:variant>
      <vt:variant>
        <vt:i4>5963797</vt:i4>
      </vt:variant>
      <vt:variant>
        <vt:i4>720</vt:i4>
      </vt:variant>
      <vt:variant>
        <vt:i4>0</vt:i4>
      </vt:variant>
      <vt:variant>
        <vt:i4>5</vt:i4>
      </vt:variant>
      <vt:variant>
        <vt:lpwstr>https://oia.pmc.gov.au/about</vt:lpwstr>
      </vt:variant>
      <vt:variant>
        <vt:lpwstr/>
      </vt:variant>
      <vt:variant>
        <vt:i4>4063283</vt:i4>
      </vt:variant>
      <vt:variant>
        <vt:i4>717</vt:i4>
      </vt:variant>
      <vt:variant>
        <vt:i4>0</vt:i4>
      </vt:variant>
      <vt:variant>
        <vt:i4>5</vt:i4>
      </vt:variant>
      <vt:variant>
        <vt:lpwstr>https://treasury.gov.au/sites/default/files/2024-10/p2024-590845-ar.pdf</vt:lpwstr>
      </vt:variant>
      <vt:variant>
        <vt:lpwstr/>
      </vt:variant>
      <vt:variant>
        <vt:i4>3735589</vt:i4>
      </vt:variant>
      <vt:variant>
        <vt:i4>714</vt:i4>
      </vt:variant>
      <vt:variant>
        <vt:i4>0</vt:i4>
      </vt:variant>
      <vt:variant>
        <vt:i4>5</vt:i4>
      </vt:variant>
      <vt:variant>
        <vt:lpwstr>https://aus01.safelinks.protection.outlook.com/?url=https%3A%2F%2Ftreasury.gov.au%2Fthe-department%2Fcorporate-publications%2Fannual-report&amp;data=05%7C02%7CNerida.Cole%40TREASURY.GOV.AU%7Cac812a14ca1b4a57c25508dd977070d0%7C214f1646202147cc8397e3d3a7ba7d9d%7C0%7C0%7C638833231387315350%7CUnknown%7CTWFpbGZsb3d8eyJFbXB0eU1hcGkiOnRydWUsIlYiOiIwLjAuMDAwMCIsIlAiOiJXaW4zMiIsIkFOIjoiTWFpbCIsIldUIjoyfQ%3D%3D%7C0%7C%7C%7C&amp;sdata=9ShMUTthibRP2%2BDxEzZXSrUZ18oRPtfg%2F07NT%2B87yRI%3D&amp;reserved=0</vt:lpwstr>
      </vt:variant>
      <vt:variant>
        <vt:lpwstr/>
      </vt:variant>
      <vt:variant>
        <vt:i4>3735589</vt:i4>
      </vt:variant>
      <vt:variant>
        <vt:i4>711</vt:i4>
      </vt:variant>
      <vt:variant>
        <vt:i4>0</vt:i4>
      </vt:variant>
      <vt:variant>
        <vt:i4>5</vt:i4>
      </vt:variant>
      <vt:variant>
        <vt:lpwstr>https://aus01.safelinks.protection.outlook.com/?url=https%3A%2F%2Ftreasury.gov.au%2Fthe-department%2Fcorporate-publications%2Fannual-report&amp;data=05%7C02%7CNerida.Cole%40TREASURY.GOV.AU%7Cac812a14ca1b4a57c25508dd977070d0%7C214f1646202147cc8397e3d3a7ba7d9d%7C0%7C0%7C638833231387303519%7CUnknown%7CTWFpbGZsb3d8eyJFbXB0eU1hcGkiOnRydWUsIlYiOiIwLjAuMDAwMCIsIlAiOiJXaW4zMiIsIkFOIjoiTWFpbCIsIldUIjoyfQ%3D%3D%7C0%7C%7C%7C&amp;sdata=MICzNjEIYNFTFTQ1VIXIfcgLV3U3Gl6813FXgadf8W4%3D&amp;reserved=0</vt:lpwstr>
      </vt:variant>
      <vt:variant>
        <vt:lpwstr/>
      </vt:variant>
      <vt:variant>
        <vt:i4>3735589</vt:i4>
      </vt:variant>
      <vt:variant>
        <vt:i4>708</vt:i4>
      </vt:variant>
      <vt:variant>
        <vt:i4>0</vt:i4>
      </vt:variant>
      <vt:variant>
        <vt:i4>5</vt:i4>
      </vt:variant>
      <vt:variant>
        <vt:lpwstr>https://aus01.safelinks.protection.outlook.com/?url=https%3A%2F%2Ftreasury.gov.au%2Fthe-department%2Fcorporate-publications%2Fannual-report&amp;data=05%7C02%7CNerida.Cole%40TREASURY.GOV.AU%7Cac812a14ca1b4a57c25508dd977070d0%7C214f1646202147cc8397e3d3a7ba7d9d%7C0%7C0%7C638833231387291645%7CUnknown%7CTWFpbGZsb3d8eyJFbXB0eU1hcGkiOnRydWUsIlYiOiIwLjAuMDAwMCIsIlAiOiJXaW4zMiIsIkFOIjoiTWFpbCIsIldUIjoyfQ%3D%3D%7C0%7C%7C%7C&amp;sdata=LHZtiFkuInzxpVNh6llKoLAcPMPMm2Mh5wuPgPa6%2FfQ%3D&amp;reserved=0</vt:lpwstr>
      </vt:variant>
      <vt:variant>
        <vt:lpwstr/>
      </vt:variant>
      <vt:variant>
        <vt:i4>3735589</vt:i4>
      </vt:variant>
      <vt:variant>
        <vt:i4>705</vt:i4>
      </vt:variant>
      <vt:variant>
        <vt:i4>0</vt:i4>
      </vt:variant>
      <vt:variant>
        <vt:i4>5</vt:i4>
      </vt:variant>
      <vt:variant>
        <vt:lpwstr>https://aus01.safelinks.protection.outlook.com/?url=https%3A%2F%2Ftreasury.gov.au%2Fthe-department%2Fcorporate-publications%2Fannual-report&amp;data=05%7C02%7CNerida.Cole%40TREASURY.GOV.AU%7Cac812a14ca1b4a57c25508dd977070d0%7C214f1646202147cc8397e3d3a7ba7d9d%7C0%7C0%7C638833231387279663%7CUnknown%7CTWFpbGZsb3d8eyJFbXB0eU1hcGkiOnRydWUsIlYiOiIwLjAuMDAwMCIsIlAiOiJXaW4zMiIsIkFOIjoiTWFpbCIsIldUIjoyfQ%3D%3D%7C0%7C%7C%7C&amp;sdata=J3pVLD6cwIJCLf7KwsU0F1fJHPQsjt4GNKWvqNvqSkA%3D&amp;reserved=0</vt:lpwstr>
      </vt:variant>
      <vt:variant>
        <vt:lpwstr/>
      </vt:variant>
      <vt:variant>
        <vt:i4>2621490</vt:i4>
      </vt:variant>
      <vt:variant>
        <vt:i4>702</vt:i4>
      </vt:variant>
      <vt:variant>
        <vt:i4>0</vt:i4>
      </vt:variant>
      <vt:variant>
        <vt:i4>5</vt:i4>
      </vt:variant>
      <vt:variant>
        <vt:lpwstr>https://www.legislation.gov.au/C2015A00123/latest/text</vt:lpwstr>
      </vt:variant>
      <vt:variant>
        <vt:lpwstr/>
      </vt:variant>
      <vt:variant>
        <vt:i4>1310780</vt:i4>
      </vt:variant>
      <vt:variant>
        <vt:i4>695</vt:i4>
      </vt:variant>
      <vt:variant>
        <vt:i4>0</vt:i4>
      </vt:variant>
      <vt:variant>
        <vt:i4>5</vt:i4>
      </vt:variant>
      <vt:variant>
        <vt:lpwstr/>
      </vt:variant>
      <vt:variant>
        <vt:lpwstr>_Toc199941026</vt:lpwstr>
      </vt:variant>
      <vt:variant>
        <vt:i4>1310780</vt:i4>
      </vt:variant>
      <vt:variant>
        <vt:i4>689</vt:i4>
      </vt:variant>
      <vt:variant>
        <vt:i4>0</vt:i4>
      </vt:variant>
      <vt:variant>
        <vt:i4>5</vt:i4>
      </vt:variant>
      <vt:variant>
        <vt:lpwstr/>
      </vt:variant>
      <vt:variant>
        <vt:lpwstr>_Toc199941025</vt:lpwstr>
      </vt:variant>
      <vt:variant>
        <vt:i4>1310780</vt:i4>
      </vt:variant>
      <vt:variant>
        <vt:i4>683</vt:i4>
      </vt:variant>
      <vt:variant>
        <vt:i4>0</vt:i4>
      </vt:variant>
      <vt:variant>
        <vt:i4>5</vt:i4>
      </vt:variant>
      <vt:variant>
        <vt:lpwstr/>
      </vt:variant>
      <vt:variant>
        <vt:lpwstr>_Toc199941024</vt:lpwstr>
      </vt:variant>
      <vt:variant>
        <vt:i4>1310780</vt:i4>
      </vt:variant>
      <vt:variant>
        <vt:i4>677</vt:i4>
      </vt:variant>
      <vt:variant>
        <vt:i4>0</vt:i4>
      </vt:variant>
      <vt:variant>
        <vt:i4>5</vt:i4>
      </vt:variant>
      <vt:variant>
        <vt:lpwstr/>
      </vt:variant>
      <vt:variant>
        <vt:lpwstr>_Toc199941023</vt:lpwstr>
      </vt:variant>
      <vt:variant>
        <vt:i4>1310780</vt:i4>
      </vt:variant>
      <vt:variant>
        <vt:i4>671</vt:i4>
      </vt:variant>
      <vt:variant>
        <vt:i4>0</vt:i4>
      </vt:variant>
      <vt:variant>
        <vt:i4>5</vt:i4>
      </vt:variant>
      <vt:variant>
        <vt:lpwstr/>
      </vt:variant>
      <vt:variant>
        <vt:lpwstr>_Toc199941022</vt:lpwstr>
      </vt:variant>
      <vt:variant>
        <vt:i4>1310780</vt:i4>
      </vt:variant>
      <vt:variant>
        <vt:i4>665</vt:i4>
      </vt:variant>
      <vt:variant>
        <vt:i4>0</vt:i4>
      </vt:variant>
      <vt:variant>
        <vt:i4>5</vt:i4>
      </vt:variant>
      <vt:variant>
        <vt:lpwstr/>
      </vt:variant>
      <vt:variant>
        <vt:lpwstr>_Toc199941021</vt:lpwstr>
      </vt:variant>
      <vt:variant>
        <vt:i4>1310780</vt:i4>
      </vt:variant>
      <vt:variant>
        <vt:i4>659</vt:i4>
      </vt:variant>
      <vt:variant>
        <vt:i4>0</vt:i4>
      </vt:variant>
      <vt:variant>
        <vt:i4>5</vt:i4>
      </vt:variant>
      <vt:variant>
        <vt:lpwstr/>
      </vt:variant>
      <vt:variant>
        <vt:lpwstr>_Toc199941020</vt:lpwstr>
      </vt:variant>
      <vt:variant>
        <vt:i4>1507388</vt:i4>
      </vt:variant>
      <vt:variant>
        <vt:i4>653</vt:i4>
      </vt:variant>
      <vt:variant>
        <vt:i4>0</vt:i4>
      </vt:variant>
      <vt:variant>
        <vt:i4>5</vt:i4>
      </vt:variant>
      <vt:variant>
        <vt:lpwstr/>
      </vt:variant>
      <vt:variant>
        <vt:lpwstr>_Toc199941019</vt:lpwstr>
      </vt:variant>
      <vt:variant>
        <vt:i4>1507388</vt:i4>
      </vt:variant>
      <vt:variant>
        <vt:i4>647</vt:i4>
      </vt:variant>
      <vt:variant>
        <vt:i4>0</vt:i4>
      </vt:variant>
      <vt:variant>
        <vt:i4>5</vt:i4>
      </vt:variant>
      <vt:variant>
        <vt:lpwstr/>
      </vt:variant>
      <vt:variant>
        <vt:lpwstr>_Toc199941018</vt:lpwstr>
      </vt:variant>
      <vt:variant>
        <vt:i4>1507388</vt:i4>
      </vt:variant>
      <vt:variant>
        <vt:i4>641</vt:i4>
      </vt:variant>
      <vt:variant>
        <vt:i4>0</vt:i4>
      </vt:variant>
      <vt:variant>
        <vt:i4>5</vt:i4>
      </vt:variant>
      <vt:variant>
        <vt:lpwstr/>
      </vt:variant>
      <vt:variant>
        <vt:lpwstr>_Toc199941017</vt:lpwstr>
      </vt:variant>
      <vt:variant>
        <vt:i4>1507388</vt:i4>
      </vt:variant>
      <vt:variant>
        <vt:i4>635</vt:i4>
      </vt:variant>
      <vt:variant>
        <vt:i4>0</vt:i4>
      </vt:variant>
      <vt:variant>
        <vt:i4>5</vt:i4>
      </vt:variant>
      <vt:variant>
        <vt:lpwstr/>
      </vt:variant>
      <vt:variant>
        <vt:lpwstr>_Toc199941016</vt:lpwstr>
      </vt:variant>
      <vt:variant>
        <vt:i4>1507388</vt:i4>
      </vt:variant>
      <vt:variant>
        <vt:i4>629</vt:i4>
      </vt:variant>
      <vt:variant>
        <vt:i4>0</vt:i4>
      </vt:variant>
      <vt:variant>
        <vt:i4>5</vt:i4>
      </vt:variant>
      <vt:variant>
        <vt:lpwstr/>
      </vt:variant>
      <vt:variant>
        <vt:lpwstr>_Toc199941015</vt:lpwstr>
      </vt:variant>
      <vt:variant>
        <vt:i4>1507388</vt:i4>
      </vt:variant>
      <vt:variant>
        <vt:i4>623</vt:i4>
      </vt:variant>
      <vt:variant>
        <vt:i4>0</vt:i4>
      </vt:variant>
      <vt:variant>
        <vt:i4>5</vt:i4>
      </vt:variant>
      <vt:variant>
        <vt:lpwstr/>
      </vt:variant>
      <vt:variant>
        <vt:lpwstr>_Toc199941014</vt:lpwstr>
      </vt:variant>
      <vt:variant>
        <vt:i4>1507388</vt:i4>
      </vt:variant>
      <vt:variant>
        <vt:i4>617</vt:i4>
      </vt:variant>
      <vt:variant>
        <vt:i4>0</vt:i4>
      </vt:variant>
      <vt:variant>
        <vt:i4>5</vt:i4>
      </vt:variant>
      <vt:variant>
        <vt:lpwstr/>
      </vt:variant>
      <vt:variant>
        <vt:lpwstr>_Toc199941013</vt:lpwstr>
      </vt:variant>
      <vt:variant>
        <vt:i4>1507388</vt:i4>
      </vt:variant>
      <vt:variant>
        <vt:i4>611</vt:i4>
      </vt:variant>
      <vt:variant>
        <vt:i4>0</vt:i4>
      </vt:variant>
      <vt:variant>
        <vt:i4>5</vt:i4>
      </vt:variant>
      <vt:variant>
        <vt:lpwstr/>
      </vt:variant>
      <vt:variant>
        <vt:lpwstr>_Toc199941012</vt:lpwstr>
      </vt:variant>
      <vt:variant>
        <vt:i4>1507388</vt:i4>
      </vt:variant>
      <vt:variant>
        <vt:i4>605</vt:i4>
      </vt:variant>
      <vt:variant>
        <vt:i4>0</vt:i4>
      </vt:variant>
      <vt:variant>
        <vt:i4>5</vt:i4>
      </vt:variant>
      <vt:variant>
        <vt:lpwstr/>
      </vt:variant>
      <vt:variant>
        <vt:lpwstr>_Toc199941011</vt:lpwstr>
      </vt:variant>
      <vt:variant>
        <vt:i4>1507388</vt:i4>
      </vt:variant>
      <vt:variant>
        <vt:i4>599</vt:i4>
      </vt:variant>
      <vt:variant>
        <vt:i4>0</vt:i4>
      </vt:variant>
      <vt:variant>
        <vt:i4>5</vt:i4>
      </vt:variant>
      <vt:variant>
        <vt:lpwstr/>
      </vt:variant>
      <vt:variant>
        <vt:lpwstr>_Toc199941010</vt:lpwstr>
      </vt:variant>
      <vt:variant>
        <vt:i4>1441852</vt:i4>
      </vt:variant>
      <vt:variant>
        <vt:i4>593</vt:i4>
      </vt:variant>
      <vt:variant>
        <vt:i4>0</vt:i4>
      </vt:variant>
      <vt:variant>
        <vt:i4>5</vt:i4>
      </vt:variant>
      <vt:variant>
        <vt:lpwstr/>
      </vt:variant>
      <vt:variant>
        <vt:lpwstr>_Toc199941009</vt:lpwstr>
      </vt:variant>
      <vt:variant>
        <vt:i4>1441852</vt:i4>
      </vt:variant>
      <vt:variant>
        <vt:i4>587</vt:i4>
      </vt:variant>
      <vt:variant>
        <vt:i4>0</vt:i4>
      </vt:variant>
      <vt:variant>
        <vt:i4>5</vt:i4>
      </vt:variant>
      <vt:variant>
        <vt:lpwstr/>
      </vt:variant>
      <vt:variant>
        <vt:lpwstr>_Toc199941008</vt:lpwstr>
      </vt:variant>
      <vt:variant>
        <vt:i4>1441852</vt:i4>
      </vt:variant>
      <vt:variant>
        <vt:i4>581</vt:i4>
      </vt:variant>
      <vt:variant>
        <vt:i4>0</vt:i4>
      </vt:variant>
      <vt:variant>
        <vt:i4>5</vt:i4>
      </vt:variant>
      <vt:variant>
        <vt:lpwstr/>
      </vt:variant>
      <vt:variant>
        <vt:lpwstr>_Toc199941007</vt:lpwstr>
      </vt:variant>
      <vt:variant>
        <vt:i4>1441852</vt:i4>
      </vt:variant>
      <vt:variant>
        <vt:i4>575</vt:i4>
      </vt:variant>
      <vt:variant>
        <vt:i4>0</vt:i4>
      </vt:variant>
      <vt:variant>
        <vt:i4>5</vt:i4>
      </vt:variant>
      <vt:variant>
        <vt:lpwstr/>
      </vt:variant>
      <vt:variant>
        <vt:lpwstr>_Toc199941006</vt:lpwstr>
      </vt:variant>
      <vt:variant>
        <vt:i4>1441852</vt:i4>
      </vt:variant>
      <vt:variant>
        <vt:i4>569</vt:i4>
      </vt:variant>
      <vt:variant>
        <vt:i4>0</vt:i4>
      </vt:variant>
      <vt:variant>
        <vt:i4>5</vt:i4>
      </vt:variant>
      <vt:variant>
        <vt:lpwstr/>
      </vt:variant>
      <vt:variant>
        <vt:lpwstr>_Toc199941005</vt:lpwstr>
      </vt:variant>
      <vt:variant>
        <vt:i4>1441852</vt:i4>
      </vt:variant>
      <vt:variant>
        <vt:i4>563</vt:i4>
      </vt:variant>
      <vt:variant>
        <vt:i4>0</vt:i4>
      </vt:variant>
      <vt:variant>
        <vt:i4>5</vt:i4>
      </vt:variant>
      <vt:variant>
        <vt:lpwstr/>
      </vt:variant>
      <vt:variant>
        <vt:lpwstr>_Toc199941004</vt:lpwstr>
      </vt:variant>
      <vt:variant>
        <vt:i4>1441852</vt:i4>
      </vt:variant>
      <vt:variant>
        <vt:i4>557</vt:i4>
      </vt:variant>
      <vt:variant>
        <vt:i4>0</vt:i4>
      </vt:variant>
      <vt:variant>
        <vt:i4>5</vt:i4>
      </vt:variant>
      <vt:variant>
        <vt:lpwstr/>
      </vt:variant>
      <vt:variant>
        <vt:lpwstr>_Toc199941003</vt:lpwstr>
      </vt:variant>
      <vt:variant>
        <vt:i4>1441852</vt:i4>
      </vt:variant>
      <vt:variant>
        <vt:i4>551</vt:i4>
      </vt:variant>
      <vt:variant>
        <vt:i4>0</vt:i4>
      </vt:variant>
      <vt:variant>
        <vt:i4>5</vt:i4>
      </vt:variant>
      <vt:variant>
        <vt:lpwstr/>
      </vt:variant>
      <vt:variant>
        <vt:lpwstr>_Toc199941002</vt:lpwstr>
      </vt:variant>
      <vt:variant>
        <vt:i4>1441852</vt:i4>
      </vt:variant>
      <vt:variant>
        <vt:i4>545</vt:i4>
      </vt:variant>
      <vt:variant>
        <vt:i4>0</vt:i4>
      </vt:variant>
      <vt:variant>
        <vt:i4>5</vt:i4>
      </vt:variant>
      <vt:variant>
        <vt:lpwstr/>
      </vt:variant>
      <vt:variant>
        <vt:lpwstr>_Toc199941001</vt:lpwstr>
      </vt:variant>
      <vt:variant>
        <vt:i4>1441852</vt:i4>
      </vt:variant>
      <vt:variant>
        <vt:i4>539</vt:i4>
      </vt:variant>
      <vt:variant>
        <vt:i4>0</vt:i4>
      </vt:variant>
      <vt:variant>
        <vt:i4>5</vt:i4>
      </vt:variant>
      <vt:variant>
        <vt:lpwstr/>
      </vt:variant>
      <vt:variant>
        <vt:lpwstr>_Toc199941000</vt:lpwstr>
      </vt:variant>
      <vt:variant>
        <vt:i4>1966133</vt:i4>
      </vt:variant>
      <vt:variant>
        <vt:i4>533</vt:i4>
      </vt:variant>
      <vt:variant>
        <vt:i4>0</vt:i4>
      </vt:variant>
      <vt:variant>
        <vt:i4>5</vt:i4>
      </vt:variant>
      <vt:variant>
        <vt:lpwstr/>
      </vt:variant>
      <vt:variant>
        <vt:lpwstr>_Toc199940999</vt:lpwstr>
      </vt:variant>
      <vt:variant>
        <vt:i4>1966133</vt:i4>
      </vt:variant>
      <vt:variant>
        <vt:i4>527</vt:i4>
      </vt:variant>
      <vt:variant>
        <vt:i4>0</vt:i4>
      </vt:variant>
      <vt:variant>
        <vt:i4>5</vt:i4>
      </vt:variant>
      <vt:variant>
        <vt:lpwstr/>
      </vt:variant>
      <vt:variant>
        <vt:lpwstr>_Toc199940998</vt:lpwstr>
      </vt:variant>
      <vt:variant>
        <vt:i4>1966133</vt:i4>
      </vt:variant>
      <vt:variant>
        <vt:i4>521</vt:i4>
      </vt:variant>
      <vt:variant>
        <vt:i4>0</vt:i4>
      </vt:variant>
      <vt:variant>
        <vt:i4>5</vt:i4>
      </vt:variant>
      <vt:variant>
        <vt:lpwstr/>
      </vt:variant>
      <vt:variant>
        <vt:lpwstr>_Toc199940997</vt:lpwstr>
      </vt:variant>
      <vt:variant>
        <vt:i4>1966133</vt:i4>
      </vt:variant>
      <vt:variant>
        <vt:i4>515</vt:i4>
      </vt:variant>
      <vt:variant>
        <vt:i4>0</vt:i4>
      </vt:variant>
      <vt:variant>
        <vt:i4>5</vt:i4>
      </vt:variant>
      <vt:variant>
        <vt:lpwstr/>
      </vt:variant>
      <vt:variant>
        <vt:lpwstr>_Toc199940996</vt:lpwstr>
      </vt:variant>
      <vt:variant>
        <vt:i4>1966133</vt:i4>
      </vt:variant>
      <vt:variant>
        <vt:i4>509</vt:i4>
      </vt:variant>
      <vt:variant>
        <vt:i4>0</vt:i4>
      </vt:variant>
      <vt:variant>
        <vt:i4>5</vt:i4>
      </vt:variant>
      <vt:variant>
        <vt:lpwstr/>
      </vt:variant>
      <vt:variant>
        <vt:lpwstr>_Toc199940995</vt:lpwstr>
      </vt:variant>
      <vt:variant>
        <vt:i4>1966133</vt:i4>
      </vt:variant>
      <vt:variant>
        <vt:i4>503</vt:i4>
      </vt:variant>
      <vt:variant>
        <vt:i4>0</vt:i4>
      </vt:variant>
      <vt:variant>
        <vt:i4>5</vt:i4>
      </vt:variant>
      <vt:variant>
        <vt:lpwstr/>
      </vt:variant>
      <vt:variant>
        <vt:lpwstr>_Toc199940994</vt:lpwstr>
      </vt:variant>
      <vt:variant>
        <vt:i4>1966133</vt:i4>
      </vt:variant>
      <vt:variant>
        <vt:i4>497</vt:i4>
      </vt:variant>
      <vt:variant>
        <vt:i4>0</vt:i4>
      </vt:variant>
      <vt:variant>
        <vt:i4>5</vt:i4>
      </vt:variant>
      <vt:variant>
        <vt:lpwstr/>
      </vt:variant>
      <vt:variant>
        <vt:lpwstr>_Toc199940993</vt:lpwstr>
      </vt:variant>
      <vt:variant>
        <vt:i4>1966133</vt:i4>
      </vt:variant>
      <vt:variant>
        <vt:i4>491</vt:i4>
      </vt:variant>
      <vt:variant>
        <vt:i4>0</vt:i4>
      </vt:variant>
      <vt:variant>
        <vt:i4>5</vt:i4>
      </vt:variant>
      <vt:variant>
        <vt:lpwstr/>
      </vt:variant>
      <vt:variant>
        <vt:lpwstr>_Toc199940992</vt:lpwstr>
      </vt:variant>
      <vt:variant>
        <vt:i4>1966133</vt:i4>
      </vt:variant>
      <vt:variant>
        <vt:i4>485</vt:i4>
      </vt:variant>
      <vt:variant>
        <vt:i4>0</vt:i4>
      </vt:variant>
      <vt:variant>
        <vt:i4>5</vt:i4>
      </vt:variant>
      <vt:variant>
        <vt:lpwstr/>
      </vt:variant>
      <vt:variant>
        <vt:lpwstr>_Toc199940991</vt:lpwstr>
      </vt:variant>
      <vt:variant>
        <vt:i4>1966133</vt:i4>
      </vt:variant>
      <vt:variant>
        <vt:i4>479</vt:i4>
      </vt:variant>
      <vt:variant>
        <vt:i4>0</vt:i4>
      </vt:variant>
      <vt:variant>
        <vt:i4>5</vt:i4>
      </vt:variant>
      <vt:variant>
        <vt:lpwstr/>
      </vt:variant>
      <vt:variant>
        <vt:lpwstr>_Toc199940990</vt:lpwstr>
      </vt:variant>
      <vt:variant>
        <vt:i4>2031669</vt:i4>
      </vt:variant>
      <vt:variant>
        <vt:i4>473</vt:i4>
      </vt:variant>
      <vt:variant>
        <vt:i4>0</vt:i4>
      </vt:variant>
      <vt:variant>
        <vt:i4>5</vt:i4>
      </vt:variant>
      <vt:variant>
        <vt:lpwstr/>
      </vt:variant>
      <vt:variant>
        <vt:lpwstr>_Toc199940989</vt:lpwstr>
      </vt:variant>
      <vt:variant>
        <vt:i4>2031669</vt:i4>
      </vt:variant>
      <vt:variant>
        <vt:i4>467</vt:i4>
      </vt:variant>
      <vt:variant>
        <vt:i4>0</vt:i4>
      </vt:variant>
      <vt:variant>
        <vt:i4>5</vt:i4>
      </vt:variant>
      <vt:variant>
        <vt:lpwstr/>
      </vt:variant>
      <vt:variant>
        <vt:lpwstr>_Toc199940988</vt:lpwstr>
      </vt:variant>
      <vt:variant>
        <vt:i4>2031669</vt:i4>
      </vt:variant>
      <vt:variant>
        <vt:i4>461</vt:i4>
      </vt:variant>
      <vt:variant>
        <vt:i4>0</vt:i4>
      </vt:variant>
      <vt:variant>
        <vt:i4>5</vt:i4>
      </vt:variant>
      <vt:variant>
        <vt:lpwstr/>
      </vt:variant>
      <vt:variant>
        <vt:lpwstr>_Toc199940987</vt:lpwstr>
      </vt:variant>
      <vt:variant>
        <vt:i4>2031669</vt:i4>
      </vt:variant>
      <vt:variant>
        <vt:i4>455</vt:i4>
      </vt:variant>
      <vt:variant>
        <vt:i4>0</vt:i4>
      </vt:variant>
      <vt:variant>
        <vt:i4>5</vt:i4>
      </vt:variant>
      <vt:variant>
        <vt:lpwstr/>
      </vt:variant>
      <vt:variant>
        <vt:lpwstr>_Toc199940986</vt:lpwstr>
      </vt:variant>
      <vt:variant>
        <vt:i4>2031669</vt:i4>
      </vt:variant>
      <vt:variant>
        <vt:i4>449</vt:i4>
      </vt:variant>
      <vt:variant>
        <vt:i4>0</vt:i4>
      </vt:variant>
      <vt:variant>
        <vt:i4>5</vt:i4>
      </vt:variant>
      <vt:variant>
        <vt:lpwstr/>
      </vt:variant>
      <vt:variant>
        <vt:lpwstr>_Toc199940985</vt:lpwstr>
      </vt:variant>
      <vt:variant>
        <vt:i4>2031669</vt:i4>
      </vt:variant>
      <vt:variant>
        <vt:i4>443</vt:i4>
      </vt:variant>
      <vt:variant>
        <vt:i4>0</vt:i4>
      </vt:variant>
      <vt:variant>
        <vt:i4>5</vt:i4>
      </vt:variant>
      <vt:variant>
        <vt:lpwstr/>
      </vt:variant>
      <vt:variant>
        <vt:lpwstr>_Toc199940984</vt:lpwstr>
      </vt:variant>
      <vt:variant>
        <vt:i4>2031669</vt:i4>
      </vt:variant>
      <vt:variant>
        <vt:i4>437</vt:i4>
      </vt:variant>
      <vt:variant>
        <vt:i4>0</vt:i4>
      </vt:variant>
      <vt:variant>
        <vt:i4>5</vt:i4>
      </vt:variant>
      <vt:variant>
        <vt:lpwstr/>
      </vt:variant>
      <vt:variant>
        <vt:lpwstr>_Toc199940983</vt:lpwstr>
      </vt:variant>
      <vt:variant>
        <vt:i4>2031669</vt:i4>
      </vt:variant>
      <vt:variant>
        <vt:i4>431</vt:i4>
      </vt:variant>
      <vt:variant>
        <vt:i4>0</vt:i4>
      </vt:variant>
      <vt:variant>
        <vt:i4>5</vt:i4>
      </vt:variant>
      <vt:variant>
        <vt:lpwstr/>
      </vt:variant>
      <vt:variant>
        <vt:lpwstr>_Toc199940982</vt:lpwstr>
      </vt:variant>
      <vt:variant>
        <vt:i4>2031669</vt:i4>
      </vt:variant>
      <vt:variant>
        <vt:i4>425</vt:i4>
      </vt:variant>
      <vt:variant>
        <vt:i4>0</vt:i4>
      </vt:variant>
      <vt:variant>
        <vt:i4>5</vt:i4>
      </vt:variant>
      <vt:variant>
        <vt:lpwstr/>
      </vt:variant>
      <vt:variant>
        <vt:lpwstr>_Toc199940981</vt:lpwstr>
      </vt:variant>
      <vt:variant>
        <vt:i4>2031669</vt:i4>
      </vt:variant>
      <vt:variant>
        <vt:i4>419</vt:i4>
      </vt:variant>
      <vt:variant>
        <vt:i4>0</vt:i4>
      </vt:variant>
      <vt:variant>
        <vt:i4>5</vt:i4>
      </vt:variant>
      <vt:variant>
        <vt:lpwstr/>
      </vt:variant>
      <vt:variant>
        <vt:lpwstr>_Toc199940980</vt:lpwstr>
      </vt:variant>
      <vt:variant>
        <vt:i4>1048629</vt:i4>
      </vt:variant>
      <vt:variant>
        <vt:i4>413</vt:i4>
      </vt:variant>
      <vt:variant>
        <vt:i4>0</vt:i4>
      </vt:variant>
      <vt:variant>
        <vt:i4>5</vt:i4>
      </vt:variant>
      <vt:variant>
        <vt:lpwstr/>
      </vt:variant>
      <vt:variant>
        <vt:lpwstr>_Toc199940979</vt:lpwstr>
      </vt:variant>
      <vt:variant>
        <vt:i4>1048629</vt:i4>
      </vt:variant>
      <vt:variant>
        <vt:i4>407</vt:i4>
      </vt:variant>
      <vt:variant>
        <vt:i4>0</vt:i4>
      </vt:variant>
      <vt:variant>
        <vt:i4>5</vt:i4>
      </vt:variant>
      <vt:variant>
        <vt:lpwstr/>
      </vt:variant>
      <vt:variant>
        <vt:lpwstr>_Toc199940978</vt:lpwstr>
      </vt:variant>
      <vt:variant>
        <vt:i4>1048629</vt:i4>
      </vt:variant>
      <vt:variant>
        <vt:i4>401</vt:i4>
      </vt:variant>
      <vt:variant>
        <vt:i4>0</vt:i4>
      </vt:variant>
      <vt:variant>
        <vt:i4>5</vt:i4>
      </vt:variant>
      <vt:variant>
        <vt:lpwstr/>
      </vt:variant>
      <vt:variant>
        <vt:lpwstr>_Toc199940977</vt:lpwstr>
      </vt:variant>
      <vt:variant>
        <vt:i4>1048629</vt:i4>
      </vt:variant>
      <vt:variant>
        <vt:i4>395</vt:i4>
      </vt:variant>
      <vt:variant>
        <vt:i4>0</vt:i4>
      </vt:variant>
      <vt:variant>
        <vt:i4>5</vt:i4>
      </vt:variant>
      <vt:variant>
        <vt:lpwstr/>
      </vt:variant>
      <vt:variant>
        <vt:lpwstr>_Toc199940976</vt:lpwstr>
      </vt:variant>
      <vt:variant>
        <vt:i4>1048629</vt:i4>
      </vt:variant>
      <vt:variant>
        <vt:i4>389</vt:i4>
      </vt:variant>
      <vt:variant>
        <vt:i4>0</vt:i4>
      </vt:variant>
      <vt:variant>
        <vt:i4>5</vt:i4>
      </vt:variant>
      <vt:variant>
        <vt:lpwstr/>
      </vt:variant>
      <vt:variant>
        <vt:lpwstr>_Toc199940975</vt:lpwstr>
      </vt:variant>
      <vt:variant>
        <vt:i4>1048629</vt:i4>
      </vt:variant>
      <vt:variant>
        <vt:i4>383</vt:i4>
      </vt:variant>
      <vt:variant>
        <vt:i4>0</vt:i4>
      </vt:variant>
      <vt:variant>
        <vt:i4>5</vt:i4>
      </vt:variant>
      <vt:variant>
        <vt:lpwstr/>
      </vt:variant>
      <vt:variant>
        <vt:lpwstr>_Toc199940974</vt:lpwstr>
      </vt:variant>
      <vt:variant>
        <vt:i4>1048629</vt:i4>
      </vt:variant>
      <vt:variant>
        <vt:i4>377</vt:i4>
      </vt:variant>
      <vt:variant>
        <vt:i4>0</vt:i4>
      </vt:variant>
      <vt:variant>
        <vt:i4>5</vt:i4>
      </vt:variant>
      <vt:variant>
        <vt:lpwstr/>
      </vt:variant>
      <vt:variant>
        <vt:lpwstr>_Toc199940973</vt:lpwstr>
      </vt:variant>
      <vt:variant>
        <vt:i4>1048629</vt:i4>
      </vt:variant>
      <vt:variant>
        <vt:i4>371</vt:i4>
      </vt:variant>
      <vt:variant>
        <vt:i4>0</vt:i4>
      </vt:variant>
      <vt:variant>
        <vt:i4>5</vt:i4>
      </vt:variant>
      <vt:variant>
        <vt:lpwstr/>
      </vt:variant>
      <vt:variant>
        <vt:lpwstr>_Toc199940972</vt:lpwstr>
      </vt:variant>
      <vt:variant>
        <vt:i4>1048629</vt:i4>
      </vt:variant>
      <vt:variant>
        <vt:i4>365</vt:i4>
      </vt:variant>
      <vt:variant>
        <vt:i4>0</vt:i4>
      </vt:variant>
      <vt:variant>
        <vt:i4>5</vt:i4>
      </vt:variant>
      <vt:variant>
        <vt:lpwstr/>
      </vt:variant>
      <vt:variant>
        <vt:lpwstr>_Toc199940971</vt:lpwstr>
      </vt:variant>
      <vt:variant>
        <vt:i4>1048629</vt:i4>
      </vt:variant>
      <vt:variant>
        <vt:i4>359</vt:i4>
      </vt:variant>
      <vt:variant>
        <vt:i4>0</vt:i4>
      </vt:variant>
      <vt:variant>
        <vt:i4>5</vt:i4>
      </vt:variant>
      <vt:variant>
        <vt:lpwstr/>
      </vt:variant>
      <vt:variant>
        <vt:lpwstr>_Toc199940970</vt:lpwstr>
      </vt:variant>
      <vt:variant>
        <vt:i4>1114165</vt:i4>
      </vt:variant>
      <vt:variant>
        <vt:i4>353</vt:i4>
      </vt:variant>
      <vt:variant>
        <vt:i4>0</vt:i4>
      </vt:variant>
      <vt:variant>
        <vt:i4>5</vt:i4>
      </vt:variant>
      <vt:variant>
        <vt:lpwstr/>
      </vt:variant>
      <vt:variant>
        <vt:lpwstr>_Toc199940969</vt:lpwstr>
      </vt:variant>
      <vt:variant>
        <vt:i4>1114165</vt:i4>
      </vt:variant>
      <vt:variant>
        <vt:i4>347</vt:i4>
      </vt:variant>
      <vt:variant>
        <vt:i4>0</vt:i4>
      </vt:variant>
      <vt:variant>
        <vt:i4>5</vt:i4>
      </vt:variant>
      <vt:variant>
        <vt:lpwstr/>
      </vt:variant>
      <vt:variant>
        <vt:lpwstr>_Toc199940968</vt:lpwstr>
      </vt:variant>
      <vt:variant>
        <vt:i4>1114165</vt:i4>
      </vt:variant>
      <vt:variant>
        <vt:i4>341</vt:i4>
      </vt:variant>
      <vt:variant>
        <vt:i4>0</vt:i4>
      </vt:variant>
      <vt:variant>
        <vt:i4>5</vt:i4>
      </vt:variant>
      <vt:variant>
        <vt:lpwstr/>
      </vt:variant>
      <vt:variant>
        <vt:lpwstr>_Toc199940967</vt:lpwstr>
      </vt:variant>
      <vt:variant>
        <vt:i4>1114165</vt:i4>
      </vt:variant>
      <vt:variant>
        <vt:i4>335</vt:i4>
      </vt:variant>
      <vt:variant>
        <vt:i4>0</vt:i4>
      </vt:variant>
      <vt:variant>
        <vt:i4>5</vt:i4>
      </vt:variant>
      <vt:variant>
        <vt:lpwstr/>
      </vt:variant>
      <vt:variant>
        <vt:lpwstr>_Toc199940966</vt:lpwstr>
      </vt:variant>
      <vt:variant>
        <vt:i4>1114165</vt:i4>
      </vt:variant>
      <vt:variant>
        <vt:i4>329</vt:i4>
      </vt:variant>
      <vt:variant>
        <vt:i4>0</vt:i4>
      </vt:variant>
      <vt:variant>
        <vt:i4>5</vt:i4>
      </vt:variant>
      <vt:variant>
        <vt:lpwstr/>
      </vt:variant>
      <vt:variant>
        <vt:lpwstr>_Toc199940965</vt:lpwstr>
      </vt:variant>
      <vt:variant>
        <vt:i4>1114165</vt:i4>
      </vt:variant>
      <vt:variant>
        <vt:i4>323</vt:i4>
      </vt:variant>
      <vt:variant>
        <vt:i4>0</vt:i4>
      </vt:variant>
      <vt:variant>
        <vt:i4>5</vt:i4>
      </vt:variant>
      <vt:variant>
        <vt:lpwstr/>
      </vt:variant>
      <vt:variant>
        <vt:lpwstr>_Toc199940964</vt:lpwstr>
      </vt:variant>
      <vt:variant>
        <vt:i4>1114165</vt:i4>
      </vt:variant>
      <vt:variant>
        <vt:i4>317</vt:i4>
      </vt:variant>
      <vt:variant>
        <vt:i4>0</vt:i4>
      </vt:variant>
      <vt:variant>
        <vt:i4>5</vt:i4>
      </vt:variant>
      <vt:variant>
        <vt:lpwstr/>
      </vt:variant>
      <vt:variant>
        <vt:lpwstr>_Toc199940963</vt:lpwstr>
      </vt:variant>
      <vt:variant>
        <vt:i4>1114165</vt:i4>
      </vt:variant>
      <vt:variant>
        <vt:i4>311</vt:i4>
      </vt:variant>
      <vt:variant>
        <vt:i4>0</vt:i4>
      </vt:variant>
      <vt:variant>
        <vt:i4>5</vt:i4>
      </vt:variant>
      <vt:variant>
        <vt:lpwstr/>
      </vt:variant>
      <vt:variant>
        <vt:lpwstr>_Toc199940962</vt:lpwstr>
      </vt:variant>
      <vt:variant>
        <vt:i4>1114165</vt:i4>
      </vt:variant>
      <vt:variant>
        <vt:i4>305</vt:i4>
      </vt:variant>
      <vt:variant>
        <vt:i4>0</vt:i4>
      </vt:variant>
      <vt:variant>
        <vt:i4>5</vt:i4>
      </vt:variant>
      <vt:variant>
        <vt:lpwstr/>
      </vt:variant>
      <vt:variant>
        <vt:lpwstr>_Toc199940961</vt:lpwstr>
      </vt:variant>
      <vt:variant>
        <vt:i4>1114165</vt:i4>
      </vt:variant>
      <vt:variant>
        <vt:i4>299</vt:i4>
      </vt:variant>
      <vt:variant>
        <vt:i4>0</vt:i4>
      </vt:variant>
      <vt:variant>
        <vt:i4>5</vt:i4>
      </vt:variant>
      <vt:variant>
        <vt:lpwstr/>
      </vt:variant>
      <vt:variant>
        <vt:lpwstr>_Toc199940960</vt:lpwstr>
      </vt:variant>
      <vt:variant>
        <vt:i4>1179701</vt:i4>
      </vt:variant>
      <vt:variant>
        <vt:i4>293</vt:i4>
      </vt:variant>
      <vt:variant>
        <vt:i4>0</vt:i4>
      </vt:variant>
      <vt:variant>
        <vt:i4>5</vt:i4>
      </vt:variant>
      <vt:variant>
        <vt:lpwstr/>
      </vt:variant>
      <vt:variant>
        <vt:lpwstr>_Toc199940959</vt:lpwstr>
      </vt:variant>
      <vt:variant>
        <vt:i4>1179701</vt:i4>
      </vt:variant>
      <vt:variant>
        <vt:i4>287</vt:i4>
      </vt:variant>
      <vt:variant>
        <vt:i4>0</vt:i4>
      </vt:variant>
      <vt:variant>
        <vt:i4>5</vt:i4>
      </vt:variant>
      <vt:variant>
        <vt:lpwstr/>
      </vt:variant>
      <vt:variant>
        <vt:lpwstr>_Toc199940958</vt:lpwstr>
      </vt:variant>
      <vt:variant>
        <vt:i4>1179701</vt:i4>
      </vt:variant>
      <vt:variant>
        <vt:i4>281</vt:i4>
      </vt:variant>
      <vt:variant>
        <vt:i4>0</vt:i4>
      </vt:variant>
      <vt:variant>
        <vt:i4>5</vt:i4>
      </vt:variant>
      <vt:variant>
        <vt:lpwstr/>
      </vt:variant>
      <vt:variant>
        <vt:lpwstr>_Toc199940957</vt:lpwstr>
      </vt:variant>
      <vt:variant>
        <vt:i4>1179701</vt:i4>
      </vt:variant>
      <vt:variant>
        <vt:i4>275</vt:i4>
      </vt:variant>
      <vt:variant>
        <vt:i4>0</vt:i4>
      </vt:variant>
      <vt:variant>
        <vt:i4>5</vt:i4>
      </vt:variant>
      <vt:variant>
        <vt:lpwstr/>
      </vt:variant>
      <vt:variant>
        <vt:lpwstr>_Toc199940956</vt:lpwstr>
      </vt:variant>
      <vt:variant>
        <vt:i4>1179701</vt:i4>
      </vt:variant>
      <vt:variant>
        <vt:i4>269</vt:i4>
      </vt:variant>
      <vt:variant>
        <vt:i4>0</vt:i4>
      </vt:variant>
      <vt:variant>
        <vt:i4>5</vt:i4>
      </vt:variant>
      <vt:variant>
        <vt:lpwstr/>
      </vt:variant>
      <vt:variant>
        <vt:lpwstr>_Toc199940955</vt:lpwstr>
      </vt:variant>
      <vt:variant>
        <vt:i4>1179701</vt:i4>
      </vt:variant>
      <vt:variant>
        <vt:i4>263</vt:i4>
      </vt:variant>
      <vt:variant>
        <vt:i4>0</vt:i4>
      </vt:variant>
      <vt:variant>
        <vt:i4>5</vt:i4>
      </vt:variant>
      <vt:variant>
        <vt:lpwstr/>
      </vt:variant>
      <vt:variant>
        <vt:lpwstr>_Toc199940954</vt:lpwstr>
      </vt:variant>
      <vt:variant>
        <vt:i4>1179701</vt:i4>
      </vt:variant>
      <vt:variant>
        <vt:i4>257</vt:i4>
      </vt:variant>
      <vt:variant>
        <vt:i4>0</vt:i4>
      </vt:variant>
      <vt:variant>
        <vt:i4>5</vt:i4>
      </vt:variant>
      <vt:variant>
        <vt:lpwstr/>
      </vt:variant>
      <vt:variant>
        <vt:lpwstr>_Toc199940953</vt:lpwstr>
      </vt:variant>
      <vt:variant>
        <vt:i4>1179701</vt:i4>
      </vt:variant>
      <vt:variant>
        <vt:i4>251</vt:i4>
      </vt:variant>
      <vt:variant>
        <vt:i4>0</vt:i4>
      </vt:variant>
      <vt:variant>
        <vt:i4>5</vt:i4>
      </vt:variant>
      <vt:variant>
        <vt:lpwstr/>
      </vt:variant>
      <vt:variant>
        <vt:lpwstr>_Toc199940952</vt:lpwstr>
      </vt:variant>
      <vt:variant>
        <vt:i4>1179701</vt:i4>
      </vt:variant>
      <vt:variant>
        <vt:i4>245</vt:i4>
      </vt:variant>
      <vt:variant>
        <vt:i4>0</vt:i4>
      </vt:variant>
      <vt:variant>
        <vt:i4>5</vt:i4>
      </vt:variant>
      <vt:variant>
        <vt:lpwstr/>
      </vt:variant>
      <vt:variant>
        <vt:lpwstr>_Toc199940951</vt:lpwstr>
      </vt:variant>
      <vt:variant>
        <vt:i4>1179701</vt:i4>
      </vt:variant>
      <vt:variant>
        <vt:i4>239</vt:i4>
      </vt:variant>
      <vt:variant>
        <vt:i4>0</vt:i4>
      </vt:variant>
      <vt:variant>
        <vt:i4>5</vt:i4>
      </vt:variant>
      <vt:variant>
        <vt:lpwstr/>
      </vt:variant>
      <vt:variant>
        <vt:lpwstr>_Toc199940950</vt:lpwstr>
      </vt:variant>
      <vt:variant>
        <vt:i4>1245237</vt:i4>
      </vt:variant>
      <vt:variant>
        <vt:i4>233</vt:i4>
      </vt:variant>
      <vt:variant>
        <vt:i4>0</vt:i4>
      </vt:variant>
      <vt:variant>
        <vt:i4>5</vt:i4>
      </vt:variant>
      <vt:variant>
        <vt:lpwstr/>
      </vt:variant>
      <vt:variant>
        <vt:lpwstr>_Toc199940949</vt:lpwstr>
      </vt:variant>
      <vt:variant>
        <vt:i4>1245237</vt:i4>
      </vt:variant>
      <vt:variant>
        <vt:i4>227</vt:i4>
      </vt:variant>
      <vt:variant>
        <vt:i4>0</vt:i4>
      </vt:variant>
      <vt:variant>
        <vt:i4>5</vt:i4>
      </vt:variant>
      <vt:variant>
        <vt:lpwstr/>
      </vt:variant>
      <vt:variant>
        <vt:lpwstr>_Toc199940948</vt:lpwstr>
      </vt:variant>
      <vt:variant>
        <vt:i4>1245237</vt:i4>
      </vt:variant>
      <vt:variant>
        <vt:i4>221</vt:i4>
      </vt:variant>
      <vt:variant>
        <vt:i4>0</vt:i4>
      </vt:variant>
      <vt:variant>
        <vt:i4>5</vt:i4>
      </vt:variant>
      <vt:variant>
        <vt:lpwstr/>
      </vt:variant>
      <vt:variant>
        <vt:lpwstr>_Toc199940947</vt:lpwstr>
      </vt:variant>
      <vt:variant>
        <vt:i4>1245237</vt:i4>
      </vt:variant>
      <vt:variant>
        <vt:i4>215</vt:i4>
      </vt:variant>
      <vt:variant>
        <vt:i4>0</vt:i4>
      </vt:variant>
      <vt:variant>
        <vt:i4>5</vt:i4>
      </vt:variant>
      <vt:variant>
        <vt:lpwstr/>
      </vt:variant>
      <vt:variant>
        <vt:lpwstr>_Toc199940946</vt:lpwstr>
      </vt:variant>
      <vt:variant>
        <vt:i4>1245237</vt:i4>
      </vt:variant>
      <vt:variant>
        <vt:i4>209</vt:i4>
      </vt:variant>
      <vt:variant>
        <vt:i4>0</vt:i4>
      </vt:variant>
      <vt:variant>
        <vt:i4>5</vt:i4>
      </vt:variant>
      <vt:variant>
        <vt:lpwstr/>
      </vt:variant>
      <vt:variant>
        <vt:lpwstr>_Toc199940945</vt:lpwstr>
      </vt:variant>
      <vt:variant>
        <vt:i4>1245237</vt:i4>
      </vt:variant>
      <vt:variant>
        <vt:i4>203</vt:i4>
      </vt:variant>
      <vt:variant>
        <vt:i4>0</vt:i4>
      </vt:variant>
      <vt:variant>
        <vt:i4>5</vt:i4>
      </vt:variant>
      <vt:variant>
        <vt:lpwstr/>
      </vt:variant>
      <vt:variant>
        <vt:lpwstr>_Toc199940944</vt:lpwstr>
      </vt:variant>
      <vt:variant>
        <vt:i4>1245237</vt:i4>
      </vt:variant>
      <vt:variant>
        <vt:i4>197</vt:i4>
      </vt:variant>
      <vt:variant>
        <vt:i4>0</vt:i4>
      </vt:variant>
      <vt:variant>
        <vt:i4>5</vt:i4>
      </vt:variant>
      <vt:variant>
        <vt:lpwstr/>
      </vt:variant>
      <vt:variant>
        <vt:lpwstr>_Toc199940943</vt:lpwstr>
      </vt:variant>
      <vt:variant>
        <vt:i4>1245237</vt:i4>
      </vt:variant>
      <vt:variant>
        <vt:i4>191</vt:i4>
      </vt:variant>
      <vt:variant>
        <vt:i4>0</vt:i4>
      </vt:variant>
      <vt:variant>
        <vt:i4>5</vt:i4>
      </vt:variant>
      <vt:variant>
        <vt:lpwstr/>
      </vt:variant>
      <vt:variant>
        <vt:lpwstr>_Toc199940942</vt:lpwstr>
      </vt:variant>
      <vt:variant>
        <vt:i4>1245237</vt:i4>
      </vt:variant>
      <vt:variant>
        <vt:i4>185</vt:i4>
      </vt:variant>
      <vt:variant>
        <vt:i4>0</vt:i4>
      </vt:variant>
      <vt:variant>
        <vt:i4>5</vt:i4>
      </vt:variant>
      <vt:variant>
        <vt:lpwstr/>
      </vt:variant>
      <vt:variant>
        <vt:lpwstr>_Toc199940941</vt:lpwstr>
      </vt:variant>
      <vt:variant>
        <vt:i4>1245237</vt:i4>
      </vt:variant>
      <vt:variant>
        <vt:i4>179</vt:i4>
      </vt:variant>
      <vt:variant>
        <vt:i4>0</vt:i4>
      </vt:variant>
      <vt:variant>
        <vt:i4>5</vt:i4>
      </vt:variant>
      <vt:variant>
        <vt:lpwstr/>
      </vt:variant>
      <vt:variant>
        <vt:lpwstr>_Toc199940940</vt:lpwstr>
      </vt:variant>
      <vt:variant>
        <vt:i4>1310773</vt:i4>
      </vt:variant>
      <vt:variant>
        <vt:i4>173</vt:i4>
      </vt:variant>
      <vt:variant>
        <vt:i4>0</vt:i4>
      </vt:variant>
      <vt:variant>
        <vt:i4>5</vt:i4>
      </vt:variant>
      <vt:variant>
        <vt:lpwstr/>
      </vt:variant>
      <vt:variant>
        <vt:lpwstr>_Toc199940939</vt:lpwstr>
      </vt:variant>
      <vt:variant>
        <vt:i4>1310773</vt:i4>
      </vt:variant>
      <vt:variant>
        <vt:i4>167</vt:i4>
      </vt:variant>
      <vt:variant>
        <vt:i4>0</vt:i4>
      </vt:variant>
      <vt:variant>
        <vt:i4>5</vt:i4>
      </vt:variant>
      <vt:variant>
        <vt:lpwstr/>
      </vt:variant>
      <vt:variant>
        <vt:lpwstr>_Toc199940938</vt:lpwstr>
      </vt:variant>
      <vt:variant>
        <vt:i4>1310773</vt:i4>
      </vt:variant>
      <vt:variant>
        <vt:i4>161</vt:i4>
      </vt:variant>
      <vt:variant>
        <vt:i4>0</vt:i4>
      </vt:variant>
      <vt:variant>
        <vt:i4>5</vt:i4>
      </vt:variant>
      <vt:variant>
        <vt:lpwstr/>
      </vt:variant>
      <vt:variant>
        <vt:lpwstr>_Toc199940937</vt:lpwstr>
      </vt:variant>
      <vt:variant>
        <vt:i4>1310773</vt:i4>
      </vt:variant>
      <vt:variant>
        <vt:i4>155</vt:i4>
      </vt:variant>
      <vt:variant>
        <vt:i4>0</vt:i4>
      </vt:variant>
      <vt:variant>
        <vt:i4>5</vt:i4>
      </vt:variant>
      <vt:variant>
        <vt:lpwstr/>
      </vt:variant>
      <vt:variant>
        <vt:lpwstr>_Toc199940936</vt:lpwstr>
      </vt:variant>
      <vt:variant>
        <vt:i4>1310773</vt:i4>
      </vt:variant>
      <vt:variant>
        <vt:i4>149</vt:i4>
      </vt:variant>
      <vt:variant>
        <vt:i4>0</vt:i4>
      </vt:variant>
      <vt:variant>
        <vt:i4>5</vt:i4>
      </vt:variant>
      <vt:variant>
        <vt:lpwstr/>
      </vt:variant>
      <vt:variant>
        <vt:lpwstr>_Toc199940935</vt:lpwstr>
      </vt:variant>
      <vt:variant>
        <vt:i4>1310773</vt:i4>
      </vt:variant>
      <vt:variant>
        <vt:i4>143</vt:i4>
      </vt:variant>
      <vt:variant>
        <vt:i4>0</vt:i4>
      </vt:variant>
      <vt:variant>
        <vt:i4>5</vt:i4>
      </vt:variant>
      <vt:variant>
        <vt:lpwstr/>
      </vt:variant>
      <vt:variant>
        <vt:lpwstr>_Toc199940934</vt:lpwstr>
      </vt:variant>
      <vt:variant>
        <vt:i4>1310773</vt:i4>
      </vt:variant>
      <vt:variant>
        <vt:i4>137</vt:i4>
      </vt:variant>
      <vt:variant>
        <vt:i4>0</vt:i4>
      </vt:variant>
      <vt:variant>
        <vt:i4>5</vt:i4>
      </vt:variant>
      <vt:variant>
        <vt:lpwstr/>
      </vt:variant>
      <vt:variant>
        <vt:lpwstr>_Toc199940933</vt:lpwstr>
      </vt:variant>
      <vt:variant>
        <vt:i4>1310773</vt:i4>
      </vt:variant>
      <vt:variant>
        <vt:i4>131</vt:i4>
      </vt:variant>
      <vt:variant>
        <vt:i4>0</vt:i4>
      </vt:variant>
      <vt:variant>
        <vt:i4>5</vt:i4>
      </vt:variant>
      <vt:variant>
        <vt:lpwstr/>
      </vt:variant>
      <vt:variant>
        <vt:lpwstr>_Toc199940932</vt:lpwstr>
      </vt:variant>
      <vt:variant>
        <vt:i4>1310773</vt:i4>
      </vt:variant>
      <vt:variant>
        <vt:i4>125</vt:i4>
      </vt:variant>
      <vt:variant>
        <vt:i4>0</vt:i4>
      </vt:variant>
      <vt:variant>
        <vt:i4>5</vt:i4>
      </vt:variant>
      <vt:variant>
        <vt:lpwstr/>
      </vt:variant>
      <vt:variant>
        <vt:lpwstr>_Toc199940931</vt:lpwstr>
      </vt:variant>
      <vt:variant>
        <vt:i4>1310773</vt:i4>
      </vt:variant>
      <vt:variant>
        <vt:i4>119</vt:i4>
      </vt:variant>
      <vt:variant>
        <vt:i4>0</vt:i4>
      </vt:variant>
      <vt:variant>
        <vt:i4>5</vt:i4>
      </vt:variant>
      <vt:variant>
        <vt:lpwstr/>
      </vt:variant>
      <vt:variant>
        <vt:lpwstr>_Toc199940930</vt:lpwstr>
      </vt:variant>
      <vt:variant>
        <vt:i4>1376309</vt:i4>
      </vt:variant>
      <vt:variant>
        <vt:i4>113</vt:i4>
      </vt:variant>
      <vt:variant>
        <vt:i4>0</vt:i4>
      </vt:variant>
      <vt:variant>
        <vt:i4>5</vt:i4>
      </vt:variant>
      <vt:variant>
        <vt:lpwstr/>
      </vt:variant>
      <vt:variant>
        <vt:lpwstr>_Toc199940929</vt:lpwstr>
      </vt:variant>
      <vt:variant>
        <vt:i4>1376309</vt:i4>
      </vt:variant>
      <vt:variant>
        <vt:i4>107</vt:i4>
      </vt:variant>
      <vt:variant>
        <vt:i4>0</vt:i4>
      </vt:variant>
      <vt:variant>
        <vt:i4>5</vt:i4>
      </vt:variant>
      <vt:variant>
        <vt:lpwstr/>
      </vt:variant>
      <vt:variant>
        <vt:lpwstr>_Toc199940928</vt:lpwstr>
      </vt:variant>
      <vt:variant>
        <vt:i4>1376309</vt:i4>
      </vt:variant>
      <vt:variant>
        <vt:i4>101</vt:i4>
      </vt:variant>
      <vt:variant>
        <vt:i4>0</vt:i4>
      </vt:variant>
      <vt:variant>
        <vt:i4>5</vt:i4>
      </vt:variant>
      <vt:variant>
        <vt:lpwstr/>
      </vt:variant>
      <vt:variant>
        <vt:lpwstr>_Toc199940927</vt:lpwstr>
      </vt:variant>
      <vt:variant>
        <vt:i4>1376309</vt:i4>
      </vt:variant>
      <vt:variant>
        <vt:i4>95</vt:i4>
      </vt:variant>
      <vt:variant>
        <vt:i4>0</vt:i4>
      </vt:variant>
      <vt:variant>
        <vt:i4>5</vt:i4>
      </vt:variant>
      <vt:variant>
        <vt:lpwstr/>
      </vt:variant>
      <vt:variant>
        <vt:lpwstr>_Toc199940926</vt:lpwstr>
      </vt:variant>
      <vt:variant>
        <vt:i4>1376309</vt:i4>
      </vt:variant>
      <vt:variant>
        <vt:i4>89</vt:i4>
      </vt:variant>
      <vt:variant>
        <vt:i4>0</vt:i4>
      </vt:variant>
      <vt:variant>
        <vt:i4>5</vt:i4>
      </vt:variant>
      <vt:variant>
        <vt:lpwstr/>
      </vt:variant>
      <vt:variant>
        <vt:lpwstr>_Toc199940925</vt:lpwstr>
      </vt:variant>
      <vt:variant>
        <vt:i4>1376309</vt:i4>
      </vt:variant>
      <vt:variant>
        <vt:i4>83</vt:i4>
      </vt:variant>
      <vt:variant>
        <vt:i4>0</vt:i4>
      </vt:variant>
      <vt:variant>
        <vt:i4>5</vt:i4>
      </vt:variant>
      <vt:variant>
        <vt:lpwstr/>
      </vt:variant>
      <vt:variant>
        <vt:lpwstr>_Toc199940924</vt:lpwstr>
      </vt:variant>
      <vt:variant>
        <vt:i4>1376309</vt:i4>
      </vt:variant>
      <vt:variant>
        <vt:i4>77</vt:i4>
      </vt:variant>
      <vt:variant>
        <vt:i4>0</vt:i4>
      </vt:variant>
      <vt:variant>
        <vt:i4>5</vt:i4>
      </vt:variant>
      <vt:variant>
        <vt:lpwstr/>
      </vt:variant>
      <vt:variant>
        <vt:lpwstr>_Toc199940923</vt:lpwstr>
      </vt:variant>
      <vt:variant>
        <vt:i4>1376309</vt:i4>
      </vt:variant>
      <vt:variant>
        <vt:i4>71</vt:i4>
      </vt:variant>
      <vt:variant>
        <vt:i4>0</vt:i4>
      </vt:variant>
      <vt:variant>
        <vt:i4>5</vt:i4>
      </vt:variant>
      <vt:variant>
        <vt:lpwstr/>
      </vt:variant>
      <vt:variant>
        <vt:lpwstr>_Toc199940922</vt:lpwstr>
      </vt:variant>
      <vt:variant>
        <vt:i4>1376309</vt:i4>
      </vt:variant>
      <vt:variant>
        <vt:i4>65</vt:i4>
      </vt:variant>
      <vt:variant>
        <vt:i4>0</vt:i4>
      </vt:variant>
      <vt:variant>
        <vt:i4>5</vt:i4>
      </vt:variant>
      <vt:variant>
        <vt:lpwstr/>
      </vt:variant>
      <vt:variant>
        <vt:lpwstr>_Toc199940921</vt:lpwstr>
      </vt:variant>
      <vt:variant>
        <vt:i4>1376309</vt:i4>
      </vt:variant>
      <vt:variant>
        <vt:i4>59</vt:i4>
      </vt:variant>
      <vt:variant>
        <vt:i4>0</vt:i4>
      </vt:variant>
      <vt:variant>
        <vt:i4>5</vt:i4>
      </vt:variant>
      <vt:variant>
        <vt:lpwstr/>
      </vt:variant>
      <vt:variant>
        <vt:lpwstr>_Toc199940920</vt:lpwstr>
      </vt:variant>
      <vt:variant>
        <vt:i4>1441845</vt:i4>
      </vt:variant>
      <vt:variant>
        <vt:i4>53</vt:i4>
      </vt:variant>
      <vt:variant>
        <vt:i4>0</vt:i4>
      </vt:variant>
      <vt:variant>
        <vt:i4>5</vt:i4>
      </vt:variant>
      <vt:variant>
        <vt:lpwstr/>
      </vt:variant>
      <vt:variant>
        <vt:lpwstr>_Toc199940919</vt:lpwstr>
      </vt:variant>
      <vt:variant>
        <vt:i4>1441845</vt:i4>
      </vt:variant>
      <vt:variant>
        <vt:i4>47</vt:i4>
      </vt:variant>
      <vt:variant>
        <vt:i4>0</vt:i4>
      </vt:variant>
      <vt:variant>
        <vt:i4>5</vt:i4>
      </vt:variant>
      <vt:variant>
        <vt:lpwstr/>
      </vt:variant>
      <vt:variant>
        <vt:lpwstr>_Toc199940918</vt:lpwstr>
      </vt:variant>
      <vt:variant>
        <vt:i4>1441845</vt:i4>
      </vt:variant>
      <vt:variant>
        <vt:i4>41</vt:i4>
      </vt:variant>
      <vt:variant>
        <vt:i4>0</vt:i4>
      </vt:variant>
      <vt:variant>
        <vt:i4>5</vt:i4>
      </vt:variant>
      <vt:variant>
        <vt:lpwstr/>
      </vt:variant>
      <vt:variant>
        <vt:lpwstr>_Toc199940917</vt:lpwstr>
      </vt:variant>
      <vt:variant>
        <vt:i4>1441845</vt:i4>
      </vt:variant>
      <vt:variant>
        <vt:i4>35</vt:i4>
      </vt:variant>
      <vt:variant>
        <vt:i4>0</vt:i4>
      </vt:variant>
      <vt:variant>
        <vt:i4>5</vt:i4>
      </vt:variant>
      <vt:variant>
        <vt:lpwstr/>
      </vt:variant>
      <vt:variant>
        <vt:lpwstr>_Toc199940916</vt:lpwstr>
      </vt:variant>
      <vt:variant>
        <vt:i4>1441845</vt:i4>
      </vt:variant>
      <vt:variant>
        <vt:i4>29</vt:i4>
      </vt:variant>
      <vt:variant>
        <vt:i4>0</vt:i4>
      </vt:variant>
      <vt:variant>
        <vt:i4>5</vt:i4>
      </vt:variant>
      <vt:variant>
        <vt:lpwstr/>
      </vt:variant>
      <vt:variant>
        <vt:lpwstr>_Toc199940915</vt:lpwstr>
      </vt:variant>
      <vt:variant>
        <vt:i4>1441845</vt:i4>
      </vt:variant>
      <vt:variant>
        <vt:i4>23</vt:i4>
      </vt:variant>
      <vt:variant>
        <vt:i4>0</vt:i4>
      </vt:variant>
      <vt:variant>
        <vt:i4>5</vt:i4>
      </vt:variant>
      <vt:variant>
        <vt:lpwstr/>
      </vt:variant>
      <vt:variant>
        <vt:lpwstr>_Toc199940914</vt:lpwstr>
      </vt:variant>
      <vt:variant>
        <vt:i4>1441845</vt:i4>
      </vt:variant>
      <vt:variant>
        <vt:i4>17</vt:i4>
      </vt:variant>
      <vt:variant>
        <vt:i4>0</vt:i4>
      </vt:variant>
      <vt:variant>
        <vt:i4>5</vt:i4>
      </vt:variant>
      <vt:variant>
        <vt:lpwstr/>
      </vt:variant>
      <vt:variant>
        <vt:lpwstr>_Toc199940913</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2621489</vt:i4>
      </vt:variant>
      <vt:variant>
        <vt:i4>138</vt:i4>
      </vt:variant>
      <vt:variant>
        <vt:i4>0</vt:i4>
      </vt:variant>
      <vt:variant>
        <vt:i4>5</vt:i4>
      </vt:variant>
      <vt:variant>
        <vt:lpwstr>https://www.asbfeo.gov.au/media-centre/media-releases/transcript-payment-surcharges-and-need-least-cost-routing-cut-payment</vt:lpwstr>
      </vt:variant>
      <vt:variant>
        <vt:lpwstr/>
      </vt:variant>
      <vt:variant>
        <vt:i4>5701645</vt:i4>
      </vt:variant>
      <vt:variant>
        <vt:i4>135</vt:i4>
      </vt:variant>
      <vt:variant>
        <vt:i4>0</vt:i4>
      </vt:variant>
      <vt:variant>
        <vt:i4>5</vt:i4>
      </vt:variant>
      <vt:variant>
        <vt:lpwstr>https://www.asbfeo.gov.au/media-centre/media-releases/payment-surcharges-and-need-least-cost-routing-cut-fees</vt:lpwstr>
      </vt:variant>
      <vt:variant>
        <vt:lpwstr/>
      </vt:variant>
      <vt:variant>
        <vt:i4>5505113</vt:i4>
      </vt:variant>
      <vt:variant>
        <vt:i4>132</vt:i4>
      </vt:variant>
      <vt:variant>
        <vt:i4>0</vt:i4>
      </vt:variant>
      <vt:variant>
        <vt:i4>5</vt:i4>
      </vt:variant>
      <vt:variant>
        <vt:lpwstr>https://www.asbfeo.gov.au/media-centre/quarterly-reports</vt:lpwstr>
      </vt:variant>
      <vt:variant>
        <vt:lpwstr/>
      </vt:variant>
      <vt:variant>
        <vt:i4>5505113</vt:i4>
      </vt:variant>
      <vt:variant>
        <vt:i4>129</vt:i4>
      </vt:variant>
      <vt:variant>
        <vt:i4>0</vt:i4>
      </vt:variant>
      <vt:variant>
        <vt:i4>5</vt:i4>
      </vt:variant>
      <vt:variant>
        <vt:lpwstr>https://www.asbfeo.gov.au/media-centre/quarterly-reports</vt:lpwstr>
      </vt:variant>
      <vt:variant>
        <vt:lpwstr/>
      </vt:variant>
      <vt:variant>
        <vt:i4>5505113</vt:i4>
      </vt:variant>
      <vt:variant>
        <vt:i4>126</vt:i4>
      </vt:variant>
      <vt:variant>
        <vt:i4>0</vt:i4>
      </vt:variant>
      <vt:variant>
        <vt:i4>5</vt:i4>
      </vt:variant>
      <vt:variant>
        <vt:lpwstr>https://www.asbfeo.gov.au/media-centre/quarterly-reports</vt:lpwstr>
      </vt:variant>
      <vt:variant>
        <vt:lpwstr/>
      </vt:variant>
      <vt:variant>
        <vt:i4>6357048</vt:i4>
      </vt:variant>
      <vt:variant>
        <vt:i4>123</vt:i4>
      </vt:variant>
      <vt:variant>
        <vt:i4>0</vt:i4>
      </vt:variant>
      <vt:variant>
        <vt:i4>5</vt:i4>
      </vt:variant>
      <vt:variant>
        <vt:lpwstr>https://www.cpaaustralia.com.au/tools-and-resources/business-management/small-business-resources/asia-pacific-small-business-survey</vt:lpwstr>
      </vt:variant>
      <vt:variant>
        <vt:lpwstr/>
      </vt:variant>
      <vt:variant>
        <vt:i4>1966097</vt:i4>
      </vt:variant>
      <vt:variant>
        <vt:i4>120</vt:i4>
      </vt:variant>
      <vt:variant>
        <vt:i4>0</vt:i4>
      </vt:variant>
      <vt:variant>
        <vt:i4>5</vt:i4>
      </vt:variant>
      <vt:variant>
        <vt:lpwstr>https://www.asbfeo.gov.au/media-centre/op-eds</vt:lpwstr>
      </vt:variant>
      <vt:variant>
        <vt:lpwstr/>
      </vt:variant>
      <vt:variant>
        <vt:i4>4849750</vt:i4>
      </vt:variant>
      <vt:variant>
        <vt:i4>117</vt:i4>
      </vt:variant>
      <vt:variant>
        <vt:i4>0</vt:i4>
      </vt:variant>
      <vt:variant>
        <vt:i4>5</vt:i4>
      </vt:variant>
      <vt:variant>
        <vt:lpwstr>https://www.asbfeo.gov.au/media-centre/media-releases</vt:lpwstr>
      </vt:variant>
      <vt:variant>
        <vt:lpwstr/>
      </vt:variant>
      <vt:variant>
        <vt:i4>2883632</vt:i4>
      </vt:variant>
      <vt:variant>
        <vt:i4>114</vt:i4>
      </vt:variant>
      <vt:variant>
        <vt:i4>0</vt:i4>
      </vt:variant>
      <vt:variant>
        <vt:i4>5</vt:i4>
      </vt:variant>
      <vt:variant>
        <vt:lpwstr>https://www.legislation.gov.au/C2004A01106/latest/text</vt:lpwstr>
      </vt:variant>
      <vt:variant>
        <vt:lpwstr/>
      </vt:variant>
      <vt:variant>
        <vt:i4>8192107</vt:i4>
      </vt:variant>
      <vt:variant>
        <vt:i4>111</vt:i4>
      </vt:variant>
      <vt:variant>
        <vt:i4>0</vt:i4>
      </vt:variant>
      <vt:variant>
        <vt:i4>5</vt:i4>
      </vt:variant>
      <vt:variant>
        <vt:lpwstr>https://www.fairwork.gov.au/sites/default/files/2024-10/office-of-the-fair-work-ombudsman-annual-report-2023-24.pdf</vt:lpwstr>
      </vt:variant>
      <vt:variant>
        <vt:lpwstr/>
      </vt:variant>
      <vt:variant>
        <vt:i4>2621490</vt:i4>
      </vt:variant>
      <vt:variant>
        <vt:i4>108</vt:i4>
      </vt:variant>
      <vt:variant>
        <vt:i4>0</vt:i4>
      </vt:variant>
      <vt:variant>
        <vt:i4>5</vt:i4>
      </vt:variant>
      <vt:variant>
        <vt:lpwstr>https://www.legislation.gov.au/C2015A00123/latest/text</vt:lpwstr>
      </vt:variant>
      <vt:variant>
        <vt:lpwstr/>
      </vt:variant>
      <vt:variant>
        <vt:i4>7798840</vt:i4>
      </vt:variant>
      <vt:variant>
        <vt:i4>105</vt:i4>
      </vt:variant>
      <vt:variant>
        <vt:i4>0</vt:i4>
      </vt:variant>
      <vt:variant>
        <vt:i4>5</vt:i4>
      </vt:variant>
      <vt:variant>
        <vt:lpwstr>https://treasury.gov.au/small-business</vt:lpwstr>
      </vt:variant>
      <vt:variant>
        <vt:lpwstr/>
      </vt:variant>
      <vt:variant>
        <vt:i4>6029338</vt:i4>
      </vt:variant>
      <vt:variant>
        <vt:i4>102</vt:i4>
      </vt:variant>
      <vt:variant>
        <vt:i4>0</vt:i4>
      </vt:variant>
      <vt:variant>
        <vt:i4>5</vt:i4>
      </vt:variant>
      <vt:variant>
        <vt:lpwstr>https://business.gov.au/expertise-and-advice/ausindustry</vt:lpwstr>
      </vt:variant>
      <vt:variant>
        <vt:lpwstr/>
      </vt:variant>
      <vt:variant>
        <vt:i4>196631</vt:i4>
      </vt:variant>
      <vt:variant>
        <vt:i4>99</vt:i4>
      </vt:variant>
      <vt:variant>
        <vt:i4>0</vt:i4>
      </vt:variant>
      <vt:variant>
        <vt:i4>5</vt:i4>
      </vt:variant>
      <vt:variant>
        <vt:lpwstr>https://treasury.gov.au/publication/p2021-203908</vt:lpwstr>
      </vt:variant>
      <vt:variant>
        <vt:lpwstr/>
      </vt:variant>
      <vt:variant>
        <vt:i4>2883638</vt:i4>
      </vt:variant>
      <vt:variant>
        <vt:i4>96</vt:i4>
      </vt:variant>
      <vt:variant>
        <vt:i4>0</vt:i4>
      </vt:variant>
      <vt:variant>
        <vt:i4>5</vt:i4>
      </vt:variant>
      <vt:variant>
        <vt:lpwstr>https://treasury.gov.au/publication/review-of-the-australian-small-business-and-family-enterprise-ombudsman</vt:lpwstr>
      </vt:variant>
      <vt:variant>
        <vt:lpwstr/>
      </vt:variant>
      <vt:variant>
        <vt:i4>4194323</vt:i4>
      </vt:variant>
      <vt:variant>
        <vt:i4>93</vt:i4>
      </vt:variant>
      <vt:variant>
        <vt:i4>0</vt:i4>
      </vt:variant>
      <vt:variant>
        <vt:i4>5</vt:i4>
      </vt:variant>
      <vt:variant>
        <vt:lpwstr>https://www.aph.gov.au/Parliamentary_Business/Bills_Legislation/Bills_Search_Results/Result?bId=r5473</vt:lpwstr>
      </vt:variant>
      <vt:variant>
        <vt:lpwstr/>
      </vt:variant>
      <vt:variant>
        <vt:i4>196631</vt:i4>
      </vt:variant>
      <vt:variant>
        <vt:i4>90</vt:i4>
      </vt:variant>
      <vt:variant>
        <vt:i4>0</vt:i4>
      </vt:variant>
      <vt:variant>
        <vt:i4>5</vt:i4>
      </vt:variant>
      <vt:variant>
        <vt:lpwstr>https://treasury.gov.au/publication/p2021-203908</vt:lpwstr>
      </vt:variant>
      <vt:variant>
        <vt:lpwstr/>
      </vt:variant>
      <vt:variant>
        <vt:i4>2883638</vt:i4>
      </vt:variant>
      <vt:variant>
        <vt:i4>87</vt:i4>
      </vt:variant>
      <vt:variant>
        <vt:i4>0</vt:i4>
      </vt:variant>
      <vt:variant>
        <vt:i4>5</vt:i4>
      </vt:variant>
      <vt:variant>
        <vt:lpwstr>https://treasury.gov.au/publication/review-of-the-australian-small-business-and-family-enterprise-ombudsman</vt:lpwstr>
      </vt:variant>
      <vt:variant>
        <vt:lpwstr/>
      </vt:variant>
      <vt:variant>
        <vt:i4>5505113</vt:i4>
      </vt:variant>
      <vt:variant>
        <vt:i4>84</vt:i4>
      </vt:variant>
      <vt:variant>
        <vt:i4>0</vt:i4>
      </vt:variant>
      <vt:variant>
        <vt:i4>5</vt:i4>
      </vt:variant>
      <vt:variant>
        <vt:lpwstr>https://www.asbfeo.gov.au/media-centre/quarterly-reports</vt:lpwstr>
      </vt:variant>
      <vt:variant>
        <vt:lpwstr/>
      </vt:variant>
      <vt:variant>
        <vt:i4>5505113</vt:i4>
      </vt:variant>
      <vt:variant>
        <vt:i4>81</vt:i4>
      </vt:variant>
      <vt:variant>
        <vt:i4>0</vt:i4>
      </vt:variant>
      <vt:variant>
        <vt:i4>5</vt:i4>
      </vt:variant>
      <vt:variant>
        <vt:lpwstr>https://www.asbfeo.gov.au/media-centre/quarterly-reports</vt:lpwstr>
      </vt:variant>
      <vt:variant>
        <vt:lpwstr/>
      </vt:variant>
      <vt:variant>
        <vt:i4>5046292</vt:i4>
      </vt:variant>
      <vt:variant>
        <vt:i4>78</vt:i4>
      </vt:variant>
      <vt:variant>
        <vt:i4>0</vt:i4>
      </vt:variant>
      <vt:variant>
        <vt:i4>5</vt:i4>
      </vt:variant>
      <vt:variant>
        <vt:lpwstr>https://business.gov.au/people/suppliers</vt:lpwstr>
      </vt:variant>
      <vt:variant>
        <vt:lpwstr/>
      </vt:variant>
      <vt:variant>
        <vt:i4>4194323</vt:i4>
      </vt:variant>
      <vt:variant>
        <vt:i4>75</vt:i4>
      </vt:variant>
      <vt:variant>
        <vt:i4>0</vt:i4>
      </vt:variant>
      <vt:variant>
        <vt:i4>5</vt:i4>
      </vt:variant>
      <vt:variant>
        <vt:lpwstr>https://www.aph.gov.au/Parliamentary_Business/Bills_Legislation/Bills_Search_Results/Result?bId=r5473</vt:lpwstr>
      </vt:variant>
      <vt:variant>
        <vt:lpwstr/>
      </vt:variant>
      <vt:variant>
        <vt:i4>196631</vt:i4>
      </vt:variant>
      <vt:variant>
        <vt:i4>72</vt:i4>
      </vt:variant>
      <vt:variant>
        <vt:i4>0</vt:i4>
      </vt:variant>
      <vt:variant>
        <vt:i4>5</vt:i4>
      </vt:variant>
      <vt:variant>
        <vt:lpwstr>https://treasury.gov.au/publication/p2021-203908</vt:lpwstr>
      </vt:variant>
      <vt:variant>
        <vt:lpwstr/>
      </vt:variant>
      <vt:variant>
        <vt:i4>7798840</vt:i4>
      </vt:variant>
      <vt:variant>
        <vt:i4>69</vt:i4>
      </vt:variant>
      <vt:variant>
        <vt:i4>0</vt:i4>
      </vt:variant>
      <vt:variant>
        <vt:i4>5</vt:i4>
      </vt:variant>
      <vt:variant>
        <vt:lpwstr>https://treasury.gov.au/small-business</vt:lpwstr>
      </vt:variant>
      <vt:variant>
        <vt:lpwstr/>
      </vt:variant>
      <vt:variant>
        <vt:i4>6029338</vt:i4>
      </vt:variant>
      <vt:variant>
        <vt:i4>66</vt:i4>
      </vt:variant>
      <vt:variant>
        <vt:i4>0</vt:i4>
      </vt:variant>
      <vt:variant>
        <vt:i4>5</vt:i4>
      </vt:variant>
      <vt:variant>
        <vt:lpwstr>https://business.gov.au/expertise-and-advice/ausindustry</vt:lpwstr>
      </vt:variant>
      <vt:variant>
        <vt:lpwstr/>
      </vt:variant>
      <vt:variant>
        <vt:i4>6422572</vt:i4>
      </vt:variant>
      <vt:variant>
        <vt:i4>63</vt:i4>
      </vt:variant>
      <vt:variant>
        <vt:i4>0</vt:i4>
      </vt:variant>
      <vt:variant>
        <vt:i4>5</vt:i4>
      </vt:variant>
      <vt:variant>
        <vt:lpwstr>https://www.rba.gov.au/publications/bulletin/2024/oct/</vt:lpwstr>
      </vt:variant>
      <vt:variant>
        <vt:lpwstr/>
      </vt:variant>
      <vt:variant>
        <vt:i4>2883638</vt:i4>
      </vt:variant>
      <vt:variant>
        <vt:i4>60</vt:i4>
      </vt:variant>
      <vt:variant>
        <vt:i4>0</vt:i4>
      </vt:variant>
      <vt:variant>
        <vt:i4>5</vt:i4>
      </vt:variant>
      <vt:variant>
        <vt:lpwstr>https://treasury.gov.au/publication/review-of-the-australian-small-business-and-family-enterprise-ombudsman</vt:lpwstr>
      </vt:variant>
      <vt:variant>
        <vt:lpwstr/>
      </vt:variant>
      <vt:variant>
        <vt:i4>3735589</vt:i4>
      </vt:variant>
      <vt:variant>
        <vt:i4>57</vt:i4>
      </vt:variant>
      <vt:variant>
        <vt:i4>0</vt:i4>
      </vt:variant>
      <vt:variant>
        <vt:i4>5</vt:i4>
      </vt:variant>
      <vt:variant>
        <vt:lpwstr>https://aus01.safelinks.protection.outlook.com/?url=https%3A%2F%2Ftreasury.gov.au%2Fthe-department%2Fcorporate-publications%2Fannual-report&amp;data=05%7C02%7CNerida.Cole%40TREASURY.GOV.AU%7Cac812a14ca1b4a57c25508dd977070d0%7C214f1646202147cc8397e3d3a7ba7d9d%7C0%7C0%7C638833231387315350%7CUnknown%7CTWFpbGZsb3d8eyJFbXB0eU1hcGkiOnRydWUsIlYiOiIwLjAuMDAwMCIsIlAiOiJXaW4zMiIsIkFOIjoiTWFpbCIsIldUIjoyfQ%3D%3D%7C0%7C%7C%7C&amp;sdata=9ShMUTthibRP2%2BDxEzZXSrUZ18oRPtfg%2F07NT%2B87yRI%3D&amp;reserved=0</vt:lpwstr>
      </vt:variant>
      <vt:variant>
        <vt:lpwstr/>
      </vt:variant>
      <vt:variant>
        <vt:i4>3735589</vt:i4>
      </vt:variant>
      <vt:variant>
        <vt:i4>54</vt:i4>
      </vt:variant>
      <vt:variant>
        <vt:i4>0</vt:i4>
      </vt:variant>
      <vt:variant>
        <vt:i4>5</vt:i4>
      </vt:variant>
      <vt:variant>
        <vt:lpwstr>https://aus01.safelinks.protection.outlook.com/?url=https%3A%2F%2Ftreasury.gov.au%2Fthe-department%2Fcorporate-publications%2Fannual-report&amp;data=05%7C02%7CNerida.Cole%40TREASURY.GOV.AU%7Cac812a14ca1b4a57c25508dd977070d0%7C214f1646202147cc8397e3d3a7ba7d9d%7C0%7C0%7C638833231387303519%7CUnknown%7CTWFpbGZsb3d8eyJFbXB0eU1hcGkiOnRydWUsIlYiOiIwLjAuMDAwMCIsIlAiOiJXaW4zMiIsIkFOIjoiTWFpbCIsIldUIjoyfQ%3D%3D%7C0%7C%7C%7C&amp;sdata=MICzNjEIYNFTFTQ1VIXIfcgLV3U3Gl6813FXgadf8W4%3D&amp;reserved=0</vt:lpwstr>
      </vt:variant>
      <vt:variant>
        <vt:lpwstr/>
      </vt:variant>
      <vt:variant>
        <vt:i4>3735589</vt:i4>
      </vt:variant>
      <vt:variant>
        <vt:i4>51</vt:i4>
      </vt:variant>
      <vt:variant>
        <vt:i4>0</vt:i4>
      </vt:variant>
      <vt:variant>
        <vt:i4>5</vt:i4>
      </vt:variant>
      <vt:variant>
        <vt:lpwstr>https://aus01.safelinks.protection.outlook.com/?url=https%3A%2F%2Ftreasury.gov.au%2Fthe-department%2Fcorporate-publications%2Fannual-report&amp;data=05%7C02%7CNerida.Cole%40TREASURY.GOV.AU%7Cac812a14ca1b4a57c25508dd977070d0%7C214f1646202147cc8397e3d3a7ba7d9d%7C0%7C0%7C638833231387291645%7CUnknown%7CTWFpbGZsb3d8eyJFbXB0eU1hcGkiOnRydWUsIlYiOiIwLjAuMDAwMCIsIlAiOiJXaW4zMiIsIkFOIjoiTWFpbCIsIldUIjoyfQ%3D%3D%7C0%7C%7C%7C&amp;sdata=LHZtiFkuInzxpVNh6llKoLAcPMPMm2Mh5wuPgPa6%2FfQ%3D&amp;reserved=0</vt:lpwstr>
      </vt:variant>
      <vt:variant>
        <vt:lpwstr/>
      </vt:variant>
      <vt:variant>
        <vt:i4>3735589</vt:i4>
      </vt:variant>
      <vt:variant>
        <vt:i4>48</vt:i4>
      </vt:variant>
      <vt:variant>
        <vt:i4>0</vt:i4>
      </vt:variant>
      <vt:variant>
        <vt:i4>5</vt:i4>
      </vt:variant>
      <vt:variant>
        <vt:lpwstr>https://aus01.safelinks.protection.outlook.com/?url=https%3A%2F%2Ftreasury.gov.au%2Fthe-department%2Fcorporate-publications%2Fannual-report&amp;data=05%7C02%7CNerida.Cole%40TREASURY.GOV.AU%7Cac812a14ca1b4a57c25508dd977070d0%7C214f1646202147cc8397e3d3a7ba7d9d%7C0%7C0%7C638833231387279663%7CUnknown%7CTWFpbGZsb3d8eyJFbXB0eU1hcGkiOnRydWUsIlYiOiIwLjAuMDAwMCIsIlAiOiJXaW4zMiIsIkFOIjoiTWFpbCIsIldUIjoyfQ%3D%3D%7C0%7C%7C%7C&amp;sdata=J3pVLD6cwIJCLf7KwsU0F1fJHPQsjt4GNKWvqNvqSkA%3D&amp;reserved=0</vt:lpwstr>
      </vt:variant>
      <vt:variant>
        <vt:lpwstr/>
      </vt:variant>
      <vt:variant>
        <vt:i4>196631</vt:i4>
      </vt:variant>
      <vt:variant>
        <vt:i4>45</vt:i4>
      </vt:variant>
      <vt:variant>
        <vt:i4>0</vt:i4>
      </vt:variant>
      <vt:variant>
        <vt:i4>5</vt:i4>
      </vt:variant>
      <vt:variant>
        <vt:lpwstr>https://treasury.gov.au/publication/p2021-203908</vt:lpwstr>
      </vt:variant>
      <vt:variant>
        <vt:lpwstr/>
      </vt:variant>
      <vt:variant>
        <vt:i4>8192051</vt:i4>
      </vt:variant>
      <vt:variant>
        <vt:i4>42</vt:i4>
      </vt:variant>
      <vt:variant>
        <vt:i4>0</vt:i4>
      </vt:variant>
      <vt:variant>
        <vt:i4>5</vt:i4>
      </vt:variant>
      <vt:variant>
        <vt:lpwstr>https://asbfeo.gov.au/about-us</vt:lpwstr>
      </vt:variant>
      <vt:variant>
        <vt:lpwstr/>
      </vt:variant>
      <vt:variant>
        <vt:i4>196631</vt:i4>
      </vt:variant>
      <vt:variant>
        <vt:i4>39</vt:i4>
      </vt:variant>
      <vt:variant>
        <vt:i4>0</vt:i4>
      </vt:variant>
      <vt:variant>
        <vt:i4>5</vt:i4>
      </vt:variant>
      <vt:variant>
        <vt:lpwstr>https://treasury.gov.au/publication/p2021-203908</vt:lpwstr>
      </vt:variant>
      <vt:variant>
        <vt:lpwstr/>
      </vt:variant>
      <vt:variant>
        <vt:i4>196631</vt:i4>
      </vt:variant>
      <vt:variant>
        <vt:i4>36</vt:i4>
      </vt:variant>
      <vt:variant>
        <vt:i4>0</vt:i4>
      </vt:variant>
      <vt:variant>
        <vt:i4>5</vt:i4>
      </vt:variant>
      <vt:variant>
        <vt:lpwstr>https://treasury.gov.au/publication/p2021-203908</vt:lpwstr>
      </vt:variant>
      <vt:variant>
        <vt:lpwstr/>
      </vt:variant>
      <vt:variant>
        <vt:i4>6029338</vt:i4>
      </vt:variant>
      <vt:variant>
        <vt:i4>33</vt:i4>
      </vt:variant>
      <vt:variant>
        <vt:i4>0</vt:i4>
      </vt:variant>
      <vt:variant>
        <vt:i4>5</vt:i4>
      </vt:variant>
      <vt:variant>
        <vt:lpwstr>https://business.gov.au/expertise-and-advice/ausindustry</vt:lpwstr>
      </vt:variant>
      <vt:variant>
        <vt:lpwstr/>
      </vt:variant>
      <vt:variant>
        <vt:i4>4063283</vt:i4>
      </vt:variant>
      <vt:variant>
        <vt:i4>30</vt:i4>
      </vt:variant>
      <vt:variant>
        <vt:i4>0</vt:i4>
      </vt:variant>
      <vt:variant>
        <vt:i4>5</vt:i4>
      </vt:variant>
      <vt:variant>
        <vt:lpwstr>https://treasury.gov.au/sites/default/files/2024-10/p2024-590845-ar.pdf</vt:lpwstr>
      </vt:variant>
      <vt:variant>
        <vt:lpwstr/>
      </vt:variant>
      <vt:variant>
        <vt:i4>4063283</vt:i4>
      </vt:variant>
      <vt:variant>
        <vt:i4>27</vt:i4>
      </vt:variant>
      <vt:variant>
        <vt:i4>0</vt:i4>
      </vt:variant>
      <vt:variant>
        <vt:i4>5</vt:i4>
      </vt:variant>
      <vt:variant>
        <vt:lpwstr>https://treasury.gov.au/sites/default/files/2024-10/p2024-590845-ar.pdf</vt:lpwstr>
      </vt:variant>
      <vt:variant>
        <vt:lpwstr/>
      </vt:variant>
      <vt:variant>
        <vt:i4>1245275</vt:i4>
      </vt:variant>
      <vt:variant>
        <vt:i4>24</vt:i4>
      </vt:variant>
      <vt:variant>
        <vt:i4>0</vt:i4>
      </vt:variant>
      <vt:variant>
        <vt:i4>5</vt:i4>
      </vt:variant>
      <vt:variant>
        <vt:lpwstr>https://newsletter.asbfeo.gov.au/october-2024</vt:lpwstr>
      </vt:variant>
      <vt:variant>
        <vt:lpwstr/>
      </vt:variant>
      <vt:variant>
        <vt:i4>3211316</vt:i4>
      </vt:variant>
      <vt:variant>
        <vt:i4>21</vt:i4>
      </vt:variant>
      <vt:variant>
        <vt:i4>0</vt:i4>
      </vt:variant>
      <vt:variant>
        <vt:i4>5</vt:i4>
      </vt:variant>
      <vt:variant>
        <vt:lpwstr>https://oia.pmc.gov.au/published-impact-analyses-and-reports/australian-small-business-and-family-enterprise-ombudsman</vt:lpwstr>
      </vt:variant>
      <vt:variant>
        <vt:lpwstr/>
      </vt:variant>
      <vt:variant>
        <vt:i4>4194323</vt:i4>
      </vt:variant>
      <vt:variant>
        <vt:i4>18</vt:i4>
      </vt:variant>
      <vt:variant>
        <vt:i4>0</vt:i4>
      </vt:variant>
      <vt:variant>
        <vt:i4>5</vt:i4>
      </vt:variant>
      <vt:variant>
        <vt:lpwstr>https://www.aph.gov.au/Parliamentary_Business/Bills_Legislation/Bills_Search_Results/Result?bId=r5473</vt:lpwstr>
      </vt:variant>
      <vt:variant>
        <vt:lpwstr/>
      </vt:variant>
      <vt:variant>
        <vt:i4>4194323</vt:i4>
      </vt:variant>
      <vt:variant>
        <vt:i4>15</vt:i4>
      </vt:variant>
      <vt:variant>
        <vt:i4>0</vt:i4>
      </vt:variant>
      <vt:variant>
        <vt:i4>5</vt:i4>
      </vt:variant>
      <vt:variant>
        <vt:lpwstr>https://www.aph.gov.au/Parliamentary_Business/Bills_Legislation/Bills_Search_Results/Result?bId=r5473</vt:lpwstr>
      </vt:variant>
      <vt:variant>
        <vt:lpwstr/>
      </vt:variant>
      <vt:variant>
        <vt:i4>2621490</vt:i4>
      </vt:variant>
      <vt:variant>
        <vt:i4>12</vt:i4>
      </vt:variant>
      <vt:variant>
        <vt:i4>0</vt:i4>
      </vt:variant>
      <vt:variant>
        <vt:i4>5</vt:i4>
      </vt:variant>
      <vt:variant>
        <vt:lpwstr>https://www.legislation.gov.au/C2015A00123/latest/text</vt:lpwstr>
      </vt:variant>
      <vt:variant>
        <vt:lpwstr/>
      </vt:variant>
      <vt:variant>
        <vt:i4>196631</vt:i4>
      </vt:variant>
      <vt:variant>
        <vt:i4>9</vt:i4>
      </vt:variant>
      <vt:variant>
        <vt:i4>0</vt:i4>
      </vt:variant>
      <vt:variant>
        <vt:i4>5</vt:i4>
      </vt:variant>
      <vt:variant>
        <vt:lpwstr>https://treasury.gov.au/publication/p2021-203908</vt:lpwstr>
      </vt:variant>
      <vt:variant>
        <vt:lpwstr/>
      </vt:variant>
      <vt:variant>
        <vt:i4>4194323</vt:i4>
      </vt:variant>
      <vt:variant>
        <vt:i4>6</vt:i4>
      </vt:variant>
      <vt:variant>
        <vt:i4>0</vt:i4>
      </vt:variant>
      <vt:variant>
        <vt:i4>5</vt:i4>
      </vt:variant>
      <vt:variant>
        <vt:lpwstr>https://www.aph.gov.au/Parliamentary_Business/Bills_Legislation/Bills_Search_Results/Result?bId=r5473</vt:lpwstr>
      </vt:variant>
      <vt:variant>
        <vt:lpwstr/>
      </vt:variant>
      <vt:variant>
        <vt:i4>8192127</vt:i4>
      </vt:variant>
      <vt:variant>
        <vt:i4>3</vt:i4>
      </vt:variant>
      <vt:variant>
        <vt:i4>0</vt:i4>
      </vt:variant>
      <vt:variant>
        <vt:i4>5</vt:i4>
      </vt:variant>
      <vt:variant>
        <vt:lpwstr>https://treasury.gov.au/sites/default/files/2025-02/p2025-624843-s.pdf</vt:lpwstr>
      </vt:variant>
      <vt:variant>
        <vt:lpwstr/>
      </vt:variant>
      <vt:variant>
        <vt:i4>3997817</vt:i4>
      </vt:variant>
      <vt:variant>
        <vt:i4>0</vt:i4>
      </vt:variant>
      <vt:variant>
        <vt:i4>0</vt:i4>
      </vt:variant>
      <vt:variant>
        <vt:i4>5</vt:i4>
      </vt:variant>
      <vt:variant>
        <vt:lpwstr>https://ministers.treasury.gov.au/ministers/julie-collins-2024/speeches/address-launch-state-small-business-data-report-parliament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Australian Small Business and Family Enterprise Ombudsman</dc:title>
  <dc:subject/>
  <dc:creator>Australian Government; Ms Judy O’Connell</dc:creator>
  <cp:keywords/>
  <cp:lastModifiedBy/>
  <cp:revision>1</cp:revision>
  <dcterms:created xsi:type="dcterms:W3CDTF">2025-08-27T05:33:00Z</dcterms:created>
  <dcterms:modified xsi:type="dcterms:W3CDTF">2025-08-27T05:35:00Z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2025-08-27T05:35:00Z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28fb4790-97a4-4f99-8614-4a22eae2ea0b</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