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BA439" w14:textId="77777777" w:rsidR="00394664" w:rsidRDefault="00BF004D" w:rsidP="0072627D">
      <w:pPr>
        <w:pStyle w:val="NoSpacing"/>
        <w:sectPr w:rsidR="00394664" w:rsidSect="00C279C1">
          <w:footerReference w:type="default" r:id="rId7"/>
          <w:pgSz w:w="12240" w:h="15840"/>
          <w:pgMar w:top="142" w:right="964" w:bottom="964" w:left="964" w:header="142" w:footer="311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8EBC6C1" wp14:editId="71C71C49">
            <wp:simplePos x="0" y="0"/>
            <wp:positionH relativeFrom="column">
              <wp:posOffset>-602615</wp:posOffset>
            </wp:positionH>
            <wp:positionV relativeFrom="paragraph">
              <wp:posOffset>0</wp:posOffset>
            </wp:positionV>
            <wp:extent cx="7753350" cy="1470660"/>
            <wp:effectExtent l="0" t="0" r="0" b="0"/>
            <wp:wrapThrough wrapText="bothSides">
              <wp:wrapPolygon edited="0">
                <wp:start x="0" y="0"/>
                <wp:lineTo x="0" y="21264"/>
                <wp:lineTo x="21547" y="21264"/>
                <wp:lineTo x="21547" y="0"/>
                <wp:lineTo x="0" y="0"/>
              </wp:wrapPolygon>
            </wp:wrapThrough>
            <wp:docPr id="5" name="Picture 5" descr="Australian Government | Attorney-General's Depar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7EDD4" w14:textId="7C04A0DC" w:rsidR="00151A0A" w:rsidRPr="00852B60" w:rsidRDefault="00BB3D2C" w:rsidP="00151A0A">
      <w:pPr>
        <w:spacing w:before="240"/>
        <w:jc w:val="right"/>
      </w:pPr>
      <w:r>
        <w:t xml:space="preserve">March </w:t>
      </w:r>
      <w:r w:rsidR="00394DE7">
        <w:t>2023</w:t>
      </w:r>
    </w:p>
    <w:p w14:paraId="4DBBD706" w14:textId="669A127E" w:rsidR="001D2CAC" w:rsidRPr="008C25B8" w:rsidRDefault="001D2CAC" w:rsidP="008C25B8">
      <w:pPr>
        <w:pStyle w:val="Heading1"/>
      </w:pPr>
      <w:bookmarkStart w:id="0" w:name="_GoBack"/>
      <w:r w:rsidRPr="008C25B8">
        <w:t xml:space="preserve">Ministerial Roundtable on </w:t>
      </w:r>
      <w:r w:rsidR="00CE25A0" w:rsidRPr="008C25B8">
        <w:t>Personal</w:t>
      </w:r>
      <w:r w:rsidR="00477271" w:rsidRPr="008C25B8">
        <w:t> </w:t>
      </w:r>
      <w:r w:rsidR="00CE25A0" w:rsidRPr="008C25B8">
        <w:t>Insolvency</w:t>
      </w:r>
      <w:r w:rsidR="00477271" w:rsidRPr="008C25B8">
        <w:t>: summary</w:t>
      </w:r>
      <w:bookmarkEnd w:id="0"/>
    </w:p>
    <w:p w14:paraId="54B7047F" w14:textId="77777777" w:rsidR="00CE25A0" w:rsidRPr="00CE25A0" w:rsidRDefault="00CE25A0" w:rsidP="00CE25A0">
      <w:pPr>
        <w:spacing w:before="240"/>
        <w:rPr>
          <w:sz w:val="24"/>
          <w:szCs w:val="24"/>
        </w:rPr>
      </w:pPr>
      <w:r w:rsidRPr="00CE25A0">
        <w:rPr>
          <w:sz w:val="24"/>
          <w:szCs w:val="24"/>
        </w:rPr>
        <w:t>On 02 March 2023 the Attorney-General, the Hon Mark Dreyfus KC MP, convened a national roundtable with key stakeholders across all sectors of the personal insolvency system.</w:t>
      </w:r>
    </w:p>
    <w:p w14:paraId="0C34705B" w14:textId="4A1ADF3A" w:rsidR="00CE25A0" w:rsidRPr="00CE25A0" w:rsidRDefault="00CE25A0" w:rsidP="00CE25A0">
      <w:pPr>
        <w:spacing w:before="240"/>
        <w:rPr>
          <w:sz w:val="24"/>
          <w:szCs w:val="24"/>
        </w:rPr>
      </w:pPr>
      <w:r w:rsidRPr="00CE25A0">
        <w:rPr>
          <w:sz w:val="24"/>
          <w:szCs w:val="24"/>
        </w:rPr>
        <w:t>The roundtable provided a</w:t>
      </w:r>
      <w:r w:rsidR="00F45960">
        <w:rPr>
          <w:sz w:val="24"/>
          <w:szCs w:val="24"/>
        </w:rPr>
        <w:t>n</w:t>
      </w:r>
      <w:r w:rsidRPr="00CE25A0">
        <w:rPr>
          <w:sz w:val="24"/>
          <w:szCs w:val="24"/>
        </w:rPr>
        <w:t xml:space="preserve"> opportunity for practitioners and groups representing both creditor and debtor interests to engage </w:t>
      </w:r>
      <w:r w:rsidR="00EF7289">
        <w:rPr>
          <w:sz w:val="24"/>
          <w:szCs w:val="24"/>
        </w:rPr>
        <w:t>directly</w:t>
      </w:r>
      <w:r w:rsidRPr="00CE25A0">
        <w:rPr>
          <w:sz w:val="24"/>
          <w:szCs w:val="24"/>
        </w:rPr>
        <w:t xml:space="preserve"> with Government </w:t>
      </w:r>
      <w:r w:rsidR="005F6CD0">
        <w:rPr>
          <w:sz w:val="24"/>
          <w:szCs w:val="24"/>
        </w:rPr>
        <w:t xml:space="preserve">to discuss </w:t>
      </w:r>
      <w:r w:rsidRPr="00CE25A0">
        <w:rPr>
          <w:sz w:val="24"/>
          <w:szCs w:val="24"/>
        </w:rPr>
        <w:t xml:space="preserve">the pressure points </w:t>
      </w:r>
      <w:r w:rsidR="005F6CD0">
        <w:rPr>
          <w:sz w:val="24"/>
          <w:szCs w:val="24"/>
        </w:rPr>
        <w:t>in</w:t>
      </w:r>
      <w:r w:rsidR="005F6CD0" w:rsidRPr="00CE25A0">
        <w:rPr>
          <w:sz w:val="24"/>
          <w:szCs w:val="24"/>
        </w:rPr>
        <w:t xml:space="preserve"> </w:t>
      </w:r>
      <w:r w:rsidRPr="00CE25A0">
        <w:rPr>
          <w:sz w:val="24"/>
          <w:szCs w:val="24"/>
        </w:rPr>
        <w:t>the current system, critical reform areas and longer-term strategic challenges.</w:t>
      </w:r>
    </w:p>
    <w:p w14:paraId="3D9C21D0" w14:textId="7E09AFD8" w:rsidR="00E3737E" w:rsidRDefault="001D2CAC" w:rsidP="00CE25A0">
      <w:pPr>
        <w:spacing w:before="240"/>
        <w:rPr>
          <w:sz w:val="24"/>
          <w:szCs w:val="24"/>
        </w:rPr>
      </w:pPr>
      <w:r w:rsidRPr="00CF3564">
        <w:rPr>
          <w:sz w:val="24"/>
          <w:szCs w:val="24"/>
        </w:rPr>
        <w:t xml:space="preserve">The Roundtable brought together </w:t>
      </w:r>
      <w:r w:rsidR="0039762A" w:rsidRPr="00CF3564">
        <w:rPr>
          <w:sz w:val="24"/>
          <w:szCs w:val="24"/>
        </w:rPr>
        <w:t>2</w:t>
      </w:r>
      <w:r w:rsidR="00374294">
        <w:rPr>
          <w:sz w:val="24"/>
          <w:szCs w:val="24"/>
        </w:rPr>
        <w:t>3</w:t>
      </w:r>
      <w:r w:rsidR="00495E89" w:rsidRPr="00CF3564">
        <w:rPr>
          <w:sz w:val="24"/>
          <w:szCs w:val="24"/>
        </w:rPr>
        <w:t xml:space="preserve"> </w:t>
      </w:r>
      <w:r w:rsidRPr="00CF3564">
        <w:rPr>
          <w:sz w:val="24"/>
          <w:szCs w:val="24"/>
        </w:rPr>
        <w:t>organisations from a wide range of sectors with a</w:t>
      </w:r>
      <w:r w:rsidR="00782588" w:rsidRPr="00CF3564">
        <w:rPr>
          <w:sz w:val="24"/>
          <w:szCs w:val="24"/>
        </w:rPr>
        <w:t>n</w:t>
      </w:r>
      <w:r w:rsidRPr="00CF3564">
        <w:rPr>
          <w:sz w:val="24"/>
          <w:szCs w:val="24"/>
        </w:rPr>
        <w:t xml:space="preserve"> </w:t>
      </w:r>
      <w:r w:rsidR="00782588" w:rsidRPr="00CF3564">
        <w:rPr>
          <w:sz w:val="24"/>
          <w:szCs w:val="24"/>
        </w:rPr>
        <w:t xml:space="preserve">interest in </w:t>
      </w:r>
      <w:r w:rsidR="0039762A" w:rsidRPr="00CF3564">
        <w:rPr>
          <w:sz w:val="24"/>
          <w:szCs w:val="24"/>
        </w:rPr>
        <w:t>personal insolvency</w:t>
      </w:r>
      <w:r w:rsidRPr="00CF3564">
        <w:rPr>
          <w:sz w:val="24"/>
          <w:szCs w:val="24"/>
        </w:rPr>
        <w:t>,</w:t>
      </w:r>
      <w:r w:rsidR="0039762A" w:rsidRPr="00CF3564">
        <w:rPr>
          <w:sz w:val="24"/>
          <w:szCs w:val="24"/>
        </w:rPr>
        <w:t xml:space="preserve"> including trustees, banking associations and consumer legal centres</w:t>
      </w:r>
      <w:r w:rsidRPr="00CF3564">
        <w:rPr>
          <w:sz w:val="24"/>
          <w:szCs w:val="24"/>
        </w:rPr>
        <w:t xml:space="preserve"> </w:t>
      </w:r>
      <w:r w:rsidR="00F03BB4" w:rsidRPr="00CF3564">
        <w:rPr>
          <w:sz w:val="24"/>
          <w:szCs w:val="24"/>
        </w:rPr>
        <w:t>(</w:t>
      </w:r>
      <w:r w:rsidR="005F6CD0">
        <w:rPr>
          <w:sz w:val="24"/>
          <w:szCs w:val="24"/>
        </w:rPr>
        <w:t>p</w:t>
      </w:r>
      <w:r w:rsidR="008D79FE" w:rsidRPr="00CF3564">
        <w:rPr>
          <w:sz w:val="24"/>
          <w:szCs w:val="24"/>
        </w:rPr>
        <w:t>articipants</w:t>
      </w:r>
      <w:r w:rsidR="00F03BB4" w:rsidRPr="00CF3564">
        <w:rPr>
          <w:sz w:val="24"/>
          <w:szCs w:val="24"/>
        </w:rPr>
        <w:t xml:space="preserve"> are listed below in the </w:t>
      </w:r>
      <w:r w:rsidR="00F03BB4" w:rsidRPr="00CF3564">
        <w:rPr>
          <w:b/>
          <w:sz w:val="24"/>
          <w:szCs w:val="24"/>
        </w:rPr>
        <w:t>Appen</w:t>
      </w:r>
      <w:r w:rsidR="005F6CD0">
        <w:rPr>
          <w:b/>
          <w:sz w:val="24"/>
          <w:szCs w:val="24"/>
        </w:rPr>
        <w:t>dix</w:t>
      </w:r>
      <w:r w:rsidR="00F03BB4" w:rsidRPr="00CF3564">
        <w:rPr>
          <w:sz w:val="24"/>
          <w:szCs w:val="24"/>
        </w:rPr>
        <w:t>.)</w:t>
      </w:r>
      <w:r w:rsidR="00477271" w:rsidRPr="00477271">
        <w:rPr>
          <w:sz w:val="24"/>
          <w:szCs w:val="24"/>
        </w:rPr>
        <w:t xml:space="preserve"> </w:t>
      </w:r>
    </w:p>
    <w:p w14:paraId="3A34E86E" w14:textId="34FE92BD" w:rsidR="001D2CAC" w:rsidRPr="00EB4F31" w:rsidRDefault="001D2CAC" w:rsidP="001D2CAC">
      <w:pPr>
        <w:spacing w:before="240"/>
        <w:rPr>
          <w:sz w:val="24"/>
          <w:szCs w:val="24"/>
        </w:rPr>
      </w:pPr>
      <w:r w:rsidRPr="00EB4F31">
        <w:rPr>
          <w:sz w:val="24"/>
          <w:szCs w:val="24"/>
        </w:rPr>
        <w:t>The purpose of th</w:t>
      </w:r>
      <w:r w:rsidR="00477271">
        <w:rPr>
          <w:sz w:val="24"/>
          <w:szCs w:val="24"/>
        </w:rPr>
        <w:t>e</w:t>
      </w:r>
      <w:r w:rsidRPr="00EB4F31">
        <w:rPr>
          <w:sz w:val="24"/>
          <w:szCs w:val="24"/>
        </w:rPr>
        <w:t xml:space="preserve"> Roundtable was to </w:t>
      </w:r>
      <w:r w:rsidR="00E3737E">
        <w:rPr>
          <w:sz w:val="24"/>
          <w:szCs w:val="24"/>
        </w:rPr>
        <w:t xml:space="preserve">provide an opportunity for dialogue between key stakeholders on </w:t>
      </w:r>
      <w:r w:rsidR="0039762A">
        <w:rPr>
          <w:sz w:val="24"/>
          <w:szCs w:val="24"/>
        </w:rPr>
        <w:t xml:space="preserve">personal insolvency </w:t>
      </w:r>
      <w:r w:rsidRPr="00EB4F31">
        <w:rPr>
          <w:sz w:val="24"/>
          <w:szCs w:val="24"/>
        </w:rPr>
        <w:t xml:space="preserve">priorities and emerging issues, and </w:t>
      </w:r>
      <w:r w:rsidR="00E3737E">
        <w:rPr>
          <w:sz w:val="24"/>
          <w:szCs w:val="24"/>
        </w:rPr>
        <w:t xml:space="preserve">to </w:t>
      </w:r>
      <w:r w:rsidRPr="00EB4F31">
        <w:rPr>
          <w:sz w:val="24"/>
          <w:szCs w:val="24"/>
        </w:rPr>
        <w:t xml:space="preserve">increase effective collaboration between government and key stakeholders in the development of </w:t>
      </w:r>
      <w:r w:rsidR="0039762A">
        <w:rPr>
          <w:sz w:val="24"/>
          <w:szCs w:val="24"/>
        </w:rPr>
        <w:t>personal insolvency</w:t>
      </w:r>
      <w:r w:rsidRPr="00EB4F31">
        <w:rPr>
          <w:sz w:val="24"/>
          <w:szCs w:val="24"/>
        </w:rPr>
        <w:t xml:space="preserve"> law reform. </w:t>
      </w:r>
    </w:p>
    <w:p w14:paraId="1AC5A957" w14:textId="686EEA0D" w:rsidR="001D2CAC" w:rsidRPr="008C25B8" w:rsidRDefault="00394DE7" w:rsidP="008C25B8">
      <w:pPr>
        <w:pStyle w:val="Heading2"/>
      </w:pPr>
      <w:r w:rsidRPr="008C25B8">
        <w:t xml:space="preserve">Consideration of </w:t>
      </w:r>
      <w:r w:rsidR="00477271" w:rsidRPr="008C25B8">
        <w:t>p</w:t>
      </w:r>
      <w:r w:rsidR="0039762A" w:rsidRPr="008C25B8">
        <w:t xml:space="preserve">ersonal </w:t>
      </w:r>
      <w:r w:rsidR="00477271" w:rsidRPr="008C25B8">
        <w:t>i</w:t>
      </w:r>
      <w:r w:rsidR="0039762A" w:rsidRPr="008C25B8">
        <w:t xml:space="preserve">nsolvency </w:t>
      </w:r>
      <w:r w:rsidR="00477271" w:rsidRPr="008C25B8">
        <w:t>i</w:t>
      </w:r>
      <w:r w:rsidR="0039762A" w:rsidRPr="008C25B8">
        <w:t>ssues</w:t>
      </w:r>
    </w:p>
    <w:p w14:paraId="53CC7EFE" w14:textId="7DA94C0F" w:rsidR="0039762A" w:rsidRPr="00495E89" w:rsidRDefault="0039762A" w:rsidP="0039762A">
      <w:pPr>
        <w:spacing w:before="240"/>
        <w:rPr>
          <w:sz w:val="24"/>
          <w:szCs w:val="24"/>
        </w:rPr>
      </w:pPr>
      <w:r w:rsidRPr="0039762A">
        <w:rPr>
          <w:sz w:val="24"/>
          <w:szCs w:val="24"/>
        </w:rPr>
        <w:t xml:space="preserve">The following issues were identified </w:t>
      </w:r>
      <w:r>
        <w:rPr>
          <w:sz w:val="24"/>
          <w:szCs w:val="24"/>
        </w:rPr>
        <w:t xml:space="preserve">by </w:t>
      </w:r>
      <w:r w:rsidR="005F6CD0">
        <w:rPr>
          <w:sz w:val="24"/>
          <w:szCs w:val="24"/>
        </w:rPr>
        <w:t>attendees</w:t>
      </w:r>
      <w:r w:rsidR="0004159A">
        <w:rPr>
          <w:sz w:val="24"/>
          <w:szCs w:val="24"/>
        </w:rPr>
        <w:t xml:space="preserve"> as being priority issues</w:t>
      </w:r>
      <w:r w:rsidR="005F6CD0">
        <w:rPr>
          <w:sz w:val="24"/>
          <w:szCs w:val="24"/>
        </w:rPr>
        <w:t xml:space="preserve"> for</w:t>
      </w:r>
      <w:r w:rsidRPr="0039762A">
        <w:rPr>
          <w:sz w:val="24"/>
          <w:szCs w:val="24"/>
        </w:rPr>
        <w:t xml:space="preserve"> further explor</w:t>
      </w:r>
      <w:r w:rsidR="005F6CD0">
        <w:rPr>
          <w:sz w:val="24"/>
          <w:szCs w:val="24"/>
        </w:rPr>
        <w:t>ation</w:t>
      </w:r>
      <w:r w:rsidRPr="0039762A">
        <w:rPr>
          <w:sz w:val="24"/>
          <w:szCs w:val="24"/>
        </w:rPr>
        <w:t xml:space="preserve"> </w:t>
      </w:r>
      <w:r w:rsidR="0004159A">
        <w:rPr>
          <w:sz w:val="24"/>
          <w:szCs w:val="24"/>
        </w:rPr>
        <w:t xml:space="preserve">and policy analysis </w:t>
      </w:r>
      <w:r w:rsidRPr="0039762A">
        <w:rPr>
          <w:sz w:val="24"/>
          <w:szCs w:val="24"/>
        </w:rPr>
        <w:t>by the department.</w:t>
      </w:r>
      <w:r>
        <w:rPr>
          <w:sz w:val="24"/>
          <w:szCs w:val="24"/>
        </w:rPr>
        <w:t xml:space="preserve"> </w:t>
      </w:r>
    </w:p>
    <w:p w14:paraId="072A0F69" w14:textId="4D68A511" w:rsidR="0039762A" w:rsidRPr="0039762A" w:rsidRDefault="0039762A" w:rsidP="0039762A">
      <w:pPr>
        <w:rPr>
          <w:i/>
          <w:sz w:val="24"/>
          <w:szCs w:val="24"/>
        </w:rPr>
      </w:pPr>
      <w:r w:rsidRPr="0039762A">
        <w:rPr>
          <w:i/>
          <w:sz w:val="24"/>
          <w:szCs w:val="24"/>
        </w:rPr>
        <w:t>Increasing the bankruptcy threshold value from $10,000</w:t>
      </w:r>
    </w:p>
    <w:p w14:paraId="739DD6DB" w14:textId="007CC899" w:rsidR="0039762A" w:rsidRPr="0039762A" w:rsidRDefault="00501916" w:rsidP="0039762A">
      <w:pPr>
        <w:rPr>
          <w:sz w:val="24"/>
          <w:szCs w:val="24"/>
        </w:rPr>
      </w:pPr>
      <w:r>
        <w:rPr>
          <w:sz w:val="24"/>
          <w:szCs w:val="24"/>
        </w:rPr>
        <w:t>Participant</w:t>
      </w:r>
      <w:r w:rsidR="0039762A" w:rsidRPr="0039762A">
        <w:rPr>
          <w:sz w:val="24"/>
          <w:szCs w:val="24"/>
        </w:rPr>
        <w:t xml:space="preserve">s discussed what an appropriate value for the bankruptcy threshold </w:t>
      </w:r>
      <w:r w:rsidR="005F6CD0">
        <w:rPr>
          <w:sz w:val="24"/>
          <w:szCs w:val="24"/>
        </w:rPr>
        <w:t xml:space="preserve">would be, </w:t>
      </w:r>
      <w:r w:rsidR="0039762A" w:rsidRPr="0039762A">
        <w:rPr>
          <w:sz w:val="24"/>
          <w:szCs w:val="24"/>
        </w:rPr>
        <w:t xml:space="preserve">with a range of views expressed including proposals to increase the threshold up to $20,000, $50,000 </w:t>
      </w:r>
      <w:r w:rsidR="006E667E">
        <w:rPr>
          <w:sz w:val="24"/>
          <w:szCs w:val="24"/>
        </w:rPr>
        <w:t>or</w:t>
      </w:r>
      <w:r w:rsidR="0039762A" w:rsidRPr="0039762A">
        <w:rPr>
          <w:sz w:val="24"/>
          <w:szCs w:val="24"/>
        </w:rPr>
        <w:t xml:space="preserve"> </w:t>
      </w:r>
      <w:r w:rsidR="005F6CD0">
        <w:rPr>
          <w:sz w:val="24"/>
          <w:szCs w:val="24"/>
        </w:rPr>
        <w:t xml:space="preserve">to </w:t>
      </w:r>
      <w:r w:rsidR="0039762A" w:rsidRPr="0039762A">
        <w:rPr>
          <w:sz w:val="24"/>
          <w:szCs w:val="24"/>
        </w:rPr>
        <w:t>annual</w:t>
      </w:r>
      <w:r w:rsidR="005F6CD0">
        <w:rPr>
          <w:sz w:val="24"/>
          <w:szCs w:val="24"/>
        </w:rPr>
        <w:t>ly</w:t>
      </w:r>
      <w:r w:rsidR="0039762A" w:rsidRPr="0039762A">
        <w:rPr>
          <w:sz w:val="24"/>
          <w:szCs w:val="24"/>
        </w:rPr>
        <w:t xml:space="preserve"> index the threshold. </w:t>
      </w:r>
      <w:r w:rsidR="00CC764E">
        <w:rPr>
          <w:sz w:val="24"/>
          <w:szCs w:val="24"/>
        </w:rPr>
        <w:t>There was general consensus that the threshold ought to be lifted</w:t>
      </w:r>
      <w:r w:rsidR="0092674E">
        <w:rPr>
          <w:sz w:val="24"/>
          <w:szCs w:val="24"/>
        </w:rPr>
        <w:t>, however there were contested views on what the threshold should be.</w:t>
      </w:r>
    </w:p>
    <w:p w14:paraId="094873BE" w14:textId="36C9F72D" w:rsidR="0039762A" w:rsidRPr="0039762A" w:rsidRDefault="00501916" w:rsidP="0039762A">
      <w:pPr>
        <w:rPr>
          <w:sz w:val="24"/>
          <w:szCs w:val="24"/>
        </w:rPr>
      </w:pPr>
      <w:r>
        <w:rPr>
          <w:sz w:val="24"/>
          <w:szCs w:val="24"/>
        </w:rPr>
        <w:t>Participant</w:t>
      </w:r>
      <w:r w:rsidR="0039762A" w:rsidRPr="0039762A">
        <w:rPr>
          <w:sz w:val="24"/>
          <w:szCs w:val="24"/>
        </w:rPr>
        <w:t xml:space="preserve">s discussed the need for the bankruptcy threshold to balance the competing needs of different system users including consumer debtors with few assets, more sophisticated debtors with </w:t>
      </w:r>
      <w:r w:rsidR="0039762A" w:rsidRPr="0039762A">
        <w:rPr>
          <w:sz w:val="24"/>
          <w:szCs w:val="24"/>
        </w:rPr>
        <w:lastRenderedPageBreak/>
        <w:t>more complex asset holdings and creditors (including small business owners and larger financial institutions) and the impact of a higher threshold on lending confidence.</w:t>
      </w:r>
    </w:p>
    <w:p w14:paraId="3B8CEDF5" w14:textId="77777777" w:rsidR="0039762A" w:rsidRPr="0039762A" w:rsidRDefault="0039762A" w:rsidP="0039762A">
      <w:pPr>
        <w:rPr>
          <w:sz w:val="24"/>
          <w:szCs w:val="24"/>
        </w:rPr>
      </w:pPr>
      <w:r w:rsidRPr="0039762A">
        <w:rPr>
          <w:sz w:val="24"/>
          <w:szCs w:val="24"/>
        </w:rPr>
        <w:t xml:space="preserve">An appropriate bankruptcy threshold value should ensure bankruptcy remains an option of last resort, while minimising the opportunities for debtors to incur additional debt. </w:t>
      </w:r>
    </w:p>
    <w:p w14:paraId="289190BE" w14:textId="2E7D0003" w:rsidR="0039762A" w:rsidRPr="0039762A" w:rsidRDefault="0039762A" w:rsidP="0039762A">
      <w:pPr>
        <w:rPr>
          <w:i/>
          <w:sz w:val="24"/>
          <w:szCs w:val="24"/>
        </w:rPr>
      </w:pPr>
      <w:r w:rsidRPr="0039762A">
        <w:rPr>
          <w:i/>
          <w:sz w:val="24"/>
          <w:szCs w:val="24"/>
        </w:rPr>
        <w:t xml:space="preserve">Options for a shorter discharge period from bankruptcy for some bankrupts </w:t>
      </w:r>
    </w:p>
    <w:p w14:paraId="736AA076" w14:textId="5AD87C15" w:rsidR="0039762A" w:rsidRPr="0039762A" w:rsidRDefault="00467E0F" w:rsidP="0039762A">
      <w:pPr>
        <w:rPr>
          <w:sz w:val="24"/>
          <w:szCs w:val="24"/>
        </w:rPr>
      </w:pPr>
      <w:r>
        <w:rPr>
          <w:sz w:val="24"/>
          <w:szCs w:val="24"/>
        </w:rPr>
        <w:t>Participants had a</w:t>
      </w:r>
      <w:r w:rsidR="0039762A" w:rsidRPr="0039762A">
        <w:rPr>
          <w:sz w:val="24"/>
          <w:szCs w:val="24"/>
        </w:rPr>
        <w:t xml:space="preserve"> productive discussion </w:t>
      </w:r>
      <w:r>
        <w:rPr>
          <w:sz w:val="24"/>
          <w:szCs w:val="24"/>
        </w:rPr>
        <w:t xml:space="preserve">on </w:t>
      </w:r>
      <w:r w:rsidR="0039762A" w:rsidRPr="0039762A">
        <w:rPr>
          <w:sz w:val="24"/>
          <w:szCs w:val="24"/>
        </w:rPr>
        <w:t xml:space="preserve">the appropriate default discharge period for bankruptcy and </w:t>
      </w:r>
      <w:r w:rsidR="0092674E">
        <w:rPr>
          <w:sz w:val="24"/>
          <w:szCs w:val="24"/>
        </w:rPr>
        <w:t xml:space="preserve">divergent opinions on </w:t>
      </w:r>
      <w:r w:rsidR="0039762A" w:rsidRPr="0039762A">
        <w:rPr>
          <w:sz w:val="24"/>
          <w:szCs w:val="24"/>
        </w:rPr>
        <w:t xml:space="preserve">whether </w:t>
      </w:r>
      <w:r w:rsidR="0092674E">
        <w:rPr>
          <w:sz w:val="24"/>
          <w:szCs w:val="24"/>
        </w:rPr>
        <w:t>the period</w:t>
      </w:r>
      <w:r w:rsidR="0039762A" w:rsidRPr="0039762A">
        <w:rPr>
          <w:sz w:val="24"/>
          <w:szCs w:val="24"/>
        </w:rPr>
        <w:t xml:space="preserve"> should remain at 3-years</w:t>
      </w:r>
      <w:r w:rsidR="0092674E">
        <w:rPr>
          <w:sz w:val="24"/>
          <w:szCs w:val="24"/>
        </w:rPr>
        <w:t xml:space="preserve"> or</w:t>
      </w:r>
      <w:r w:rsidR="0039762A" w:rsidRPr="0039762A">
        <w:rPr>
          <w:sz w:val="24"/>
          <w:szCs w:val="24"/>
        </w:rPr>
        <w:t xml:space="preserve"> </w:t>
      </w:r>
      <w:r w:rsidR="006E667E">
        <w:rPr>
          <w:sz w:val="24"/>
          <w:szCs w:val="24"/>
        </w:rPr>
        <w:t>be reduced</w:t>
      </w:r>
      <w:r w:rsidR="0039762A" w:rsidRPr="0039762A">
        <w:rPr>
          <w:sz w:val="24"/>
          <w:szCs w:val="24"/>
        </w:rPr>
        <w:t xml:space="preserve"> to 1-year. </w:t>
      </w:r>
      <w:r w:rsidR="006E667E">
        <w:rPr>
          <w:sz w:val="24"/>
          <w:szCs w:val="24"/>
        </w:rPr>
        <w:t xml:space="preserve">With regard to a reduction in the bankruptcy period, </w:t>
      </w:r>
      <w:r w:rsidR="00501916">
        <w:rPr>
          <w:sz w:val="24"/>
          <w:szCs w:val="24"/>
        </w:rPr>
        <w:t>participant</w:t>
      </w:r>
      <w:r w:rsidR="006E667E">
        <w:rPr>
          <w:sz w:val="24"/>
          <w:szCs w:val="24"/>
        </w:rPr>
        <w:t xml:space="preserve">s canvassed a range of potential </w:t>
      </w:r>
      <w:r>
        <w:rPr>
          <w:sz w:val="24"/>
          <w:szCs w:val="24"/>
        </w:rPr>
        <w:t>options,</w:t>
      </w:r>
      <w:r w:rsidR="006E667E">
        <w:rPr>
          <w:sz w:val="24"/>
          <w:szCs w:val="24"/>
        </w:rPr>
        <w:t xml:space="preserve"> including whether the reduction of a bankruptcy term should be afforded to all bankrupts and whether </w:t>
      </w:r>
      <w:r w:rsidR="0039762A" w:rsidRPr="0039762A">
        <w:rPr>
          <w:sz w:val="24"/>
          <w:szCs w:val="24"/>
        </w:rPr>
        <w:t xml:space="preserve">such a process </w:t>
      </w:r>
      <w:r w:rsidR="006E667E">
        <w:rPr>
          <w:sz w:val="24"/>
          <w:szCs w:val="24"/>
        </w:rPr>
        <w:t>ought to be</w:t>
      </w:r>
      <w:r w:rsidR="0039762A" w:rsidRPr="0039762A">
        <w:rPr>
          <w:sz w:val="24"/>
          <w:szCs w:val="24"/>
        </w:rPr>
        <w:t xml:space="preserve"> debtor or trustee initiated. A further alternative raised by </w:t>
      </w:r>
      <w:r>
        <w:rPr>
          <w:sz w:val="24"/>
          <w:szCs w:val="24"/>
        </w:rPr>
        <w:t xml:space="preserve">some </w:t>
      </w:r>
      <w:r w:rsidR="00501916">
        <w:rPr>
          <w:sz w:val="24"/>
          <w:szCs w:val="24"/>
        </w:rPr>
        <w:t>participants</w:t>
      </w:r>
      <w:r w:rsidR="0039762A" w:rsidRPr="0039762A">
        <w:rPr>
          <w:sz w:val="24"/>
          <w:szCs w:val="24"/>
        </w:rPr>
        <w:t xml:space="preserve"> was a simpler process for ‘no asset’ bankruptcies</w:t>
      </w:r>
      <w:r w:rsidR="006E667E">
        <w:rPr>
          <w:sz w:val="24"/>
          <w:szCs w:val="24"/>
        </w:rPr>
        <w:t>, modelled on New Zealand</w:t>
      </w:r>
      <w:r w:rsidR="0092674E">
        <w:rPr>
          <w:sz w:val="24"/>
          <w:szCs w:val="24"/>
        </w:rPr>
        <w:t>’s No</w:t>
      </w:r>
      <w:r w:rsidR="00A53BF8">
        <w:rPr>
          <w:sz w:val="24"/>
          <w:szCs w:val="24"/>
        </w:rPr>
        <w:t> </w:t>
      </w:r>
      <w:r w:rsidR="0092674E">
        <w:rPr>
          <w:sz w:val="24"/>
          <w:szCs w:val="24"/>
        </w:rPr>
        <w:t>Asset Procedure</w:t>
      </w:r>
      <w:r w:rsidR="006E667E">
        <w:rPr>
          <w:sz w:val="24"/>
          <w:szCs w:val="24"/>
        </w:rPr>
        <w:t>.</w:t>
      </w:r>
      <w:r w:rsidR="006E667E" w:rsidRPr="006E667E">
        <w:rPr>
          <w:sz w:val="24"/>
          <w:szCs w:val="24"/>
        </w:rPr>
        <w:t xml:space="preserve"> </w:t>
      </w:r>
      <w:r w:rsidR="00501916">
        <w:rPr>
          <w:sz w:val="24"/>
          <w:szCs w:val="24"/>
        </w:rPr>
        <w:t>Participant</w:t>
      </w:r>
      <w:r w:rsidR="006E667E">
        <w:rPr>
          <w:sz w:val="24"/>
          <w:szCs w:val="24"/>
        </w:rPr>
        <w:t xml:space="preserve">s noted there would be merit </w:t>
      </w:r>
      <w:r w:rsidR="006E667E" w:rsidRPr="0039762A">
        <w:rPr>
          <w:sz w:val="24"/>
          <w:szCs w:val="24"/>
        </w:rPr>
        <w:t xml:space="preserve">for low income </w:t>
      </w:r>
      <w:proofErr w:type="spellStart"/>
      <w:r w:rsidR="00A53BF8" w:rsidRPr="0039762A">
        <w:rPr>
          <w:sz w:val="24"/>
          <w:szCs w:val="24"/>
        </w:rPr>
        <w:t>assetless</w:t>
      </w:r>
      <w:proofErr w:type="spellEnd"/>
      <w:r w:rsidR="006E667E" w:rsidRPr="0039762A">
        <w:rPr>
          <w:sz w:val="24"/>
          <w:szCs w:val="24"/>
        </w:rPr>
        <w:t xml:space="preserve"> bankrupt estates</w:t>
      </w:r>
      <w:r w:rsidR="0092674E">
        <w:rPr>
          <w:sz w:val="24"/>
          <w:szCs w:val="24"/>
        </w:rPr>
        <w:t xml:space="preserve"> to be</w:t>
      </w:r>
      <w:r w:rsidR="006E667E" w:rsidRPr="0039762A">
        <w:rPr>
          <w:sz w:val="24"/>
          <w:szCs w:val="24"/>
        </w:rPr>
        <w:t xml:space="preserve"> discharged more quickly.</w:t>
      </w:r>
    </w:p>
    <w:p w14:paraId="5C9ACE18" w14:textId="1E146AB3" w:rsidR="0039762A" w:rsidRPr="0039762A" w:rsidRDefault="00467E0F" w:rsidP="0039762A">
      <w:pPr>
        <w:rPr>
          <w:sz w:val="24"/>
          <w:szCs w:val="24"/>
        </w:rPr>
      </w:pPr>
      <w:r>
        <w:rPr>
          <w:sz w:val="24"/>
          <w:szCs w:val="24"/>
        </w:rPr>
        <w:t>It was</w:t>
      </w:r>
      <w:r w:rsidR="00274389">
        <w:rPr>
          <w:sz w:val="24"/>
          <w:szCs w:val="24"/>
        </w:rPr>
        <w:t xml:space="preserve"> </w:t>
      </w:r>
      <w:r w:rsidR="0039762A" w:rsidRPr="0039762A">
        <w:rPr>
          <w:sz w:val="24"/>
          <w:szCs w:val="24"/>
        </w:rPr>
        <w:t>recognised</w:t>
      </w:r>
      <w:r w:rsidR="00274389">
        <w:rPr>
          <w:sz w:val="24"/>
          <w:szCs w:val="24"/>
        </w:rPr>
        <w:t>, however,</w:t>
      </w:r>
      <w:r w:rsidR="0039762A" w:rsidRPr="0039762A">
        <w:rPr>
          <w:sz w:val="24"/>
          <w:szCs w:val="24"/>
        </w:rPr>
        <w:t xml:space="preserve"> tha</w:t>
      </w:r>
      <w:r w:rsidR="006E667E">
        <w:rPr>
          <w:sz w:val="24"/>
          <w:szCs w:val="24"/>
        </w:rPr>
        <w:t>t a 1-year bankruptcy may be insufficient time to administer</w:t>
      </w:r>
      <w:r w:rsidR="0039762A" w:rsidRPr="0039762A">
        <w:rPr>
          <w:sz w:val="24"/>
          <w:szCs w:val="24"/>
        </w:rPr>
        <w:t xml:space="preserve"> complex estates </w:t>
      </w:r>
      <w:r w:rsidR="006E667E">
        <w:rPr>
          <w:sz w:val="24"/>
          <w:szCs w:val="24"/>
        </w:rPr>
        <w:t>or non-compliant bankrupts</w:t>
      </w:r>
      <w:r w:rsidR="0039762A" w:rsidRPr="0039762A">
        <w:rPr>
          <w:sz w:val="24"/>
          <w:szCs w:val="24"/>
        </w:rPr>
        <w:t xml:space="preserve">. </w:t>
      </w:r>
      <w:r w:rsidR="00501916">
        <w:rPr>
          <w:sz w:val="24"/>
          <w:szCs w:val="24"/>
        </w:rPr>
        <w:t>Participant</w:t>
      </w:r>
      <w:r w:rsidR="0092674E">
        <w:rPr>
          <w:sz w:val="24"/>
          <w:szCs w:val="24"/>
        </w:rPr>
        <w:t>s noted that</w:t>
      </w:r>
      <w:r w:rsidR="00D3476A">
        <w:rPr>
          <w:sz w:val="24"/>
          <w:szCs w:val="24"/>
        </w:rPr>
        <w:t xml:space="preserve"> </w:t>
      </w:r>
      <w:r w:rsidR="0092674E">
        <w:rPr>
          <w:sz w:val="24"/>
          <w:szCs w:val="24"/>
        </w:rPr>
        <w:t>t</w:t>
      </w:r>
      <w:r>
        <w:rPr>
          <w:sz w:val="24"/>
          <w:szCs w:val="24"/>
        </w:rPr>
        <w:t>his would need to be considered in any future policy analysis on this issue.</w:t>
      </w:r>
    </w:p>
    <w:p w14:paraId="39E1590B" w14:textId="7CE88D0E" w:rsidR="0039762A" w:rsidRPr="0039762A" w:rsidRDefault="0039762A" w:rsidP="0039762A">
      <w:pPr>
        <w:rPr>
          <w:i/>
          <w:sz w:val="24"/>
          <w:szCs w:val="24"/>
        </w:rPr>
      </w:pPr>
      <w:r w:rsidRPr="0039762A">
        <w:rPr>
          <w:i/>
          <w:sz w:val="24"/>
          <w:szCs w:val="24"/>
        </w:rPr>
        <w:t xml:space="preserve">Options for easier annulment for inappropriate bankruptcies </w:t>
      </w:r>
    </w:p>
    <w:p w14:paraId="17445270" w14:textId="77777777" w:rsidR="00501916" w:rsidRDefault="0039762A" w:rsidP="0039762A">
      <w:pPr>
        <w:rPr>
          <w:sz w:val="24"/>
          <w:szCs w:val="24"/>
        </w:rPr>
      </w:pPr>
      <w:r w:rsidRPr="0039762A">
        <w:rPr>
          <w:sz w:val="24"/>
          <w:szCs w:val="24"/>
        </w:rPr>
        <w:t>There was agreement across stakeholder groups that the annulment process</w:t>
      </w:r>
      <w:r w:rsidR="000E5D62">
        <w:rPr>
          <w:sz w:val="24"/>
          <w:szCs w:val="24"/>
        </w:rPr>
        <w:t xml:space="preserve">, which allows a bankrupt </w:t>
      </w:r>
      <w:r w:rsidR="000E5D62" w:rsidRPr="00A53BF8">
        <w:rPr>
          <w:sz w:val="24"/>
          <w:szCs w:val="24"/>
        </w:rPr>
        <w:t xml:space="preserve">to </w:t>
      </w:r>
      <w:r w:rsidR="0092674E" w:rsidRPr="00A53BF8">
        <w:rPr>
          <w:sz w:val="24"/>
          <w:szCs w:val="24"/>
        </w:rPr>
        <w:t xml:space="preserve">have their bankruptcy </w:t>
      </w:r>
      <w:r w:rsidR="00C45DB8" w:rsidRPr="00A53BF8">
        <w:rPr>
          <w:sz w:val="24"/>
          <w:szCs w:val="24"/>
        </w:rPr>
        <w:t>discharged early</w:t>
      </w:r>
      <w:r w:rsidR="000E5D62" w:rsidRPr="00A53BF8">
        <w:rPr>
          <w:sz w:val="24"/>
          <w:szCs w:val="24"/>
        </w:rPr>
        <w:t>,</w:t>
      </w:r>
      <w:r w:rsidRPr="00A53BF8">
        <w:rPr>
          <w:sz w:val="24"/>
          <w:szCs w:val="24"/>
        </w:rPr>
        <w:t xml:space="preserve"> be improved where there is evidence that a bankruptcy should be annulled</w:t>
      </w:r>
      <w:r w:rsidR="00D3476A" w:rsidRPr="00A53BF8">
        <w:rPr>
          <w:sz w:val="24"/>
          <w:szCs w:val="24"/>
        </w:rPr>
        <w:t xml:space="preserve"> in certain circumstances</w:t>
      </w:r>
      <w:r w:rsidRPr="00A53BF8">
        <w:rPr>
          <w:sz w:val="24"/>
          <w:szCs w:val="24"/>
        </w:rPr>
        <w:t xml:space="preserve">.  </w:t>
      </w:r>
    </w:p>
    <w:p w14:paraId="1521CB2C" w14:textId="5C281A18" w:rsidR="0039762A" w:rsidRPr="0039762A" w:rsidRDefault="000E5D62" w:rsidP="0039762A">
      <w:pPr>
        <w:rPr>
          <w:sz w:val="24"/>
          <w:szCs w:val="24"/>
        </w:rPr>
      </w:pPr>
      <w:r w:rsidRPr="00A53BF8">
        <w:rPr>
          <w:sz w:val="24"/>
          <w:szCs w:val="24"/>
        </w:rPr>
        <w:t>This would mean, f</w:t>
      </w:r>
      <w:r w:rsidR="0039762A" w:rsidRPr="00A53BF8">
        <w:rPr>
          <w:sz w:val="24"/>
          <w:szCs w:val="24"/>
        </w:rPr>
        <w:t xml:space="preserve">or example, </w:t>
      </w:r>
      <w:r w:rsidRPr="00A53BF8">
        <w:rPr>
          <w:sz w:val="24"/>
          <w:szCs w:val="24"/>
        </w:rPr>
        <w:t xml:space="preserve">that </w:t>
      </w:r>
      <w:r w:rsidR="0039762A" w:rsidRPr="00A53BF8">
        <w:rPr>
          <w:sz w:val="24"/>
          <w:szCs w:val="24"/>
        </w:rPr>
        <w:t>where there is evidence the debts leading to the bankruptcy are the result of financial abuse</w:t>
      </w:r>
      <w:r w:rsidRPr="00A53BF8">
        <w:rPr>
          <w:sz w:val="24"/>
          <w:szCs w:val="24"/>
        </w:rPr>
        <w:t xml:space="preserve"> that a bankrupt could </w:t>
      </w:r>
      <w:r w:rsidR="00C45DB8" w:rsidRPr="00A53BF8">
        <w:rPr>
          <w:sz w:val="24"/>
          <w:szCs w:val="24"/>
        </w:rPr>
        <w:t>have their bankruptcy annulled</w:t>
      </w:r>
      <w:r w:rsidR="0039762A" w:rsidRPr="00A53BF8">
        <w:rPr>
          <w:sz w:val="24"/>
          <w:szCs w:val="24"/>
        </w:rPr>
        <w:t>.</w:t>
      </w:r>
      <w:r w:rsidR="0039762A" w:rsidRPr="0039762A">
        <w:rPr>
          <w:sz w:val="24"/>
          <w:szCs w:val="24"/>
        </w:rPr>
        <w:t xml:space="preserve"> </w:t>
      </w:r>
      <w:r w:rsidR="00501916">
        <w:rPr>
          <w:sz w:val="24"/>
          <w:szCs w:val="24"/>
        </w:rPr>
        <w:t>Participants</w:t>
      </w:r>
      <w:r w:rsidR="00274389">
        <w:rPr>
          <w:sz w:val="24"/>
          <w:szCs w:val="24"/>
        </w:rPr>
        <w:t xml:space="preserve"> noted that d</w:t>
      </w:r>
      <w:r w:rsidR="0039762A" w:rsidRPr="0039762A">
        <w:rPr>
          <w:sz w:val="24"/>
          <w:szCs w:val="24"/>
        </w:rPr>
        <w:t>ue to the obligations on trustees in bankruptcy</w:t>
      </w:r>
      <w:r w:rsidR="00C45DB8" w:rsidRPr="00C45DB8">
        <w:rPr>
          <w:sz w:val="24"/>
          <w:szCs w:val="24"/>
        </w:rPr>
        <w:t xml:space="preserve"> </w:t>
      </w:r>
      <w:r w:rsidR="00C45DB8" w:rsidRPr="0039762A">
        <w:rPr>
          <w:sz w:val="24"/>
          <w:szCs w:val="24"/>
        </w:rPr>
        <w:t xml:space="preserve">even with early notice </w:t>
      </w:r>
      <w:r w:rsidR="00C45DB8">
        <w:rPr>
          <w:sz w:val="24"/>
          <w:szCs w:val="24"/>
        </w:rPr>
        <w:t xml:space="preserve">that </w:t>
      </w:r>
      <w:r w:rsidR="00C45DB8" w:rsidRPr="0039762A">
        <w:rPr>
          <w:sz w:val="24"/>
          <w:szCs w:val="24"/>
        </w:rPr>
        <w:t xml:space="preserve">a bankrupt will seek to annul </w:t>
      </w:r>
      <w:r w:rsidR="00C45DB8">
        <w:rPr>
          <w:sz w:val="24"/>
          <w:szCs w:val="24"/>
        </w:rPr>
        <w:t>a</w:t>
      </w:r>
      <w:r w:rsidR="00C45DB8" w:rsidRPr="0039762A">
        <w:rPr>
          <w:sz w:val="24"/>
          <w:szCs w:val="24"/>
        </w:rPr>
        <w:t xml:space="preserve"> bankruptcy</w:t>
      </w:r>
      <w:r>
        <w:rPr>
          <w:sz w:val="24"/>
          <w:szCs w:val="24"/>
        </w:rPr>
        <w:t>,</w:t>
      </w:r>
      <w:r w:rsidR="00274389">
        <w:rPr>
          <w:sz w:val="24"/>
          <w:szCs w:val="24"/>
        </w:rPr>
        <w:t xml:space="preserve"> costs incurred can be significant</w:t>
      </w:r>
      <w:r w:rsidR="00C45DB8">
        <w:rPr>
          <w:sz w:val="24"/>
          <w:szCs w:val="24"/>
        </w:rPr>
        <w:t xml:space="preserve">. </w:t>
      </w:r>
      <w:r w:rsidR="00501916">
        <w:rPr>
          <w:sz w:val="24"/>
          <w:szCs w:val="24"/>
        </w:rPr>
        <w:t>Participants</w:t>
      </w:r>
      <w:r w:rsidR="00C45DB8">
        <w:rPr>
          <w:sz w:val="24"/>
          <w:szCs w:val="24"/>
        </w:rPr>
        <w:t xml:space="preserve"> noted that improvements in the annulment process would allow the procedure to be more effective and less costly.</w:t>
      </w:r>
    </w:p>
    <w:p w14:paraId="4C7C1819" w14:textId="00783A04" w:rsidR="0039762A" w:rsidRPr="0039762A" w:rsidRDefault="0039762A" w:rsidP="0039762A">
      <w:pPr>
        <w:rPr>
          <w:i/>
          <w:sz w:val="24"/>
          <w:szCs w:val="24"/>
        </w:rPr>
      </w:pPr>
      <w:r w:rsidRPr="0039762A">
        <w:rPr>
          <w:i/>
          <w:sz w:val="24"/>
          <w:szCs w:val="24"/>
        </w:rPr>
        <w:t>Increasing the period for a debtor to respond to a bankruptcy notice from 21 days</w:t>
      </w:r>
    </w:p>
    <w:p w14:paraId="5A1DA034" w14:textId="34730F72" w:rsidR="000E5D62" w:rsidRDefault="0039762A" w:rsidP="0039762A">
      <w:pPr>
        <w:rPr>
          <w:sz w:val="24"/>
          <w:szCs w:val="24"/>
        </w:rPr>
      </w:pPr>
      <w:r w:rsidRPr="0039762A">
        <w:rPr>
          <w:sz w:val="24"/>
          <w:szCs w:val="24"/>
        </w:rPr>
        <w:t xml:space="preserve">There was robust discussion among </w:t>
      </w:r>
      <w:r w:rsidR="00501916">
        <w:rPr>
          <w:sz w:val="24"/>
          <w:szCs w:val="24"/>
        </w:rPr>
        <w:t>participant</w:t>
      </w:r>
      <w:r w:rsidRPr="0039762A">
        <w:rPr>
          <w:sz w:val="24"/>
          <w:szCs w:val="24"/>
        </w:rPr>
        <w:t xml:space="preserve">s </w:t>
      </w:r>
      <w:r w:rsidR="000E5D62">
        <w:rPr>
          <w:sz w:val="24"/>
          <w:szCs w:val="24"/>
        </w:rPr>
        <w:t>about</w:t>
      </w:r>
      <w:r w:rsidR="000E5D62" w:rsidRPr="0039762A">
        <w:rPr>
          <w:sz w:val="24"/>
          <w:szCs w:val="24"/>
        </w:rPr>
        <w:t xml:space="preserve"> </w:t>
      </w:r>
      <w:r w:rsidRPr="0039762A">
        <w:rPr>
          <w:sz w:val="24"/>
          <w:szCs w:val="24"/>
        </w:rPr>
        <w:t>the appropriate period for a bankruptcy notice</w:t>
      </w:r>
      <w:r w:rsidR="00274389">
        <w:rPr>
          <w:sz w:val="24"/>
          <w:szCs w:val="24"/>
        </w:rPr>
        <w:t>,</w:t>
      </w:r>
      <w:r w:rsidRPr="0039762A">
        <w:rPr>
          <w:sz w:val="24"/>
          <w:szCs w:val="24"/>
        </w:rPr>
        <w:t xml:space="preserve"> </w:t>
      </w:r>
      <w:r w:rsidR="00274389">
        <w:rPr>
          <w:sz w:val="24"/>
          <w:szCs w:val="24"/>
        </w:rPr>
        <w:t xml:space="preserve">and whether </w:t>
      </w:r>
      <w:r w:rsidR="000E5D62">
        <w:rPr>
          <w:sz w:val="24"/>
          <w:szCs w:val="24"/>
        </w:rPr>
        <w:t>the current</w:t>
      </w:r>
      <w:r w:rsidR="00274389">
        <w:rPr>
          <w:sz w:val="24"/>
          <w:szCs w:val="24"/>
        </w:rPr>
        <w:t xml:space="preserve"> 21-day notice period was sufficient. </w:t>
      </w:r>
    </w:p>
    <w:p w14:paraId="4FB54B00" w14:textId="6D6869F2" w:rsidR="0039762A" w:rsidRPr="0039762A" w:rsidRDefault="00501916" w:rsidP="0039762A">
      <w:pPr>
        <w:rPr>
          <w:sz w:val="24"/>
          <w:szCs w:val="24"/>
        </w:rPr>
      </w:pPr>
      <w:r>
        <w:rPr>
          <w:sz w:val="24"/>
          <w:szCs w:val="24"/>
        </w:rPr>
        <w:t>Participants</w:t>
      </w:r>
      <w:r w:rsidR="00274389">
        <w:rPr>
          <w:sz w:val="24"/>
          <w:szCs w:val="24"/>
        </w:rPr>
        <w:t xml:space="preserve"> canvassed a range of options, </w:t>
      </w:r>
      <w:r w:rsidR="0039762A" w:rsidRPr="0039762A">
        <w:rPr>
          <w:sz w:val="24"/>
          <w:szCs w:val="24"/>
        </w:rPr>
        <w:t xml:space="preserve">including a proposal that </w:t>
      </w:r>
      <w:r w:rsidR="00274389">
        <w:rPr>
          <w:sz w:val="24"/>
          <w:szCs w:val="24"/>
        </w:rPr>
        <w:t>the notice period be increased to</w:t>
      </w:r>
      <w:r w:rsidR="0039762A" w:rsidRPr="0039762A">
        <w:rPr>
          <w:sz w:val="24"/>
          <w:szCs w:val="24"/>
        </w:rPr>
        <w:t xml:space="preserve"> 60 days.</w:t>
      </w:r>
      <w:r w:rsidR="00274389" w:rsidRPr="00274389">
        <w:rPr>
          <w:sz w:val="24"/>
          <w:szCs w:val="24"/>
        </w:rPr>
        <w:t xml:space="preserve"> </w:t>
      </w:r>
      <w:r w:rsidR="00274389">
        <w:rPr>
          <w:sz w:val="24"/>
          <w:szCs w:val="24"/>
        </w:rPr>
        <w:t>S</w:t>
      </w:r>
      <w:r w:rsidR="000E5D62">
        <w:rPr>
          <w:sz w:val="24"/>
          <w:szCs w:val="24"/>
        </w:rPr>
        <w:t xml:space="preserve">ome </w:t>
      </w:r>
      <w:r>
        <w:rPr>
          <w:sz w:val="24"/>
          <w:szCs w:val="24"/>
        </w:rPr>
        <w:t xml:space="preserve">participants </w:t>
      </w:r>
      <w:r w:rsidR="00211A6D">
        <w:rPr>
          <w:sz w:val="24"/>
          <w:szCs w:val="24"/>
        </w:rPr>
        <w:t>noted</w:t>
      </w:r>
      <w:r w:rsidR="00274389" w:rsidRPr="0039762A">
        <w:rPr>
          <w:sz w:val="24"/>
          <w:szCs w:val="24"/>
        </w:rPr>
        <w:t xml:space="preserve"> it can be difficult for debtors to obtain appropriate and timely advice about bankruptcy and a debtor’s options in response to the bankruptcy notice under the current 21-day period.</w:t>
      </w:r>
    </w:p>
    <w:p w14:paraId="790B299F" w14:textId="50A1B4E3" w:rsidR="0039762A" w:rsidRPr="0039762A" w:rsidRDefault="000E5D62" w:rsidP="0039762A">
      <w:pPr>
        <w:rPr>
          <w:sz w:val="24"/>
          <w:szCs w:val="24"/>
        </w:rPr>
      </w:pPr>
      <w:r>
        <w:rPr>
          <w:sz w:val="24"/>
          <w:szCs w:val="24"/>
        </w:rPr>
        <w:lastRenderedPageBreak/>
        <w:t>Other</w:t>
      </w:r>
      <w:r w:rsidR="0039762A" w:rsidRPr="0039762A">
        <w:rPr>
          <w:sz w:val="24"/>
          <w:szCs w:val="24"/>
        </w:rPr>
        <w:t xml:space="preserve"> </w:t>
      </w:r>
      <w:r w:rsidR="00501916">
        <w:rPr>
          <w:sz w:val="24"/>
          <w:szCs w:val="24"/>
        </w:rPr>
        <w:t>participant</w:t>
      </w:r>
      <w:r w:rsidR="0039762A" w:rsidRPr="0039762A">
        <w:rPr>
          <w:sz w:val="24"/>
          <w:szCs w:val="24"/>
        </w:rPr>
        <w:t xml:space="preserve">s noted that </w:t>
      </w:r>
      <w:r w:rsidR="00274389">
        <w:rPr>
          <w:sz w:val="24"/>
          <w:szCs w:val="24"/>
        </w:rPr>
        <w:t>a</w:t>
      </w:r>
      <w:r w:rsidR="0039762A" w:rsidRPr="0039762A">
        <w:rPr>
          <w:sz w:val="24"/>
          <w:szCs w:val="24"/>
        </w:rPr>
        <w:t xml:space="preserve"> bankruptcy notice </w:t>
      </w:r>
      <w:r w:rsidR="00274389">
        <w:rPr>
          <w:sz w:val="24"/>
          <w:szCs w:val="24"/>
        </w:rPr>
        <w:t xml:space="preserve">is often the final step in the process and usually </w:t>
      </w:r>
      <w:r w:rsidR="0039762A" w:rsidRPr="0039762A">
        <w:rPr>
          <w:sz w:val="24"/>
          <w:szCs w:val="24"/>
        </w:rPr>
        <w:t>follows a court judgement and demands for payment</w:t>
      </w:r>
      <w:r w:rsidR="00274389">
        <w:rPr>
          <w:sz w:val="24"/>
          <w:szCs w:val="24"/>
        </w:rPr>
        <w:t>. In this regard, they noted a</w:t>
      </w:r>
      <w:r w:rsidR="0039762A" w:rsidRPr="0039762A">
        <w:rPr>
          <w:sz w:val="24"/>
          <w:szCs w:val="24"/>
        </w:rPr>
        <w:t xml:space="preserve"> debtor</w:t>
      </w:r>
      <w:r w:rsidR="00274389">
        <w:rPr>
          <w:sz w:val="24"/>
          <w:szCs w:val="24"/>
        </w:rPr>
        <w:t xml:space="preserve"> ought to</w:t>
      </w:r>
      <w:r w:rsidR="0039762A" w:rsidRPr="0039762A">
        <w:rPr>
          <w:sz w:val="24"/>
          <w:szCs w:val="24"/>
        </w:rPr>
        <w:t xml:space="preserve"> have been on notice of the issue for longer than the 21 days from the service of the bankruptcy notice. </w:t>
      </w:r>
    </w:p>
    <w:p w14:paraId="3C48A4CF" w14:textId="25DD5416" w:rsidR="0039762A" w:rsidRPr="0039762A" w:rsidRDefault="00DE6333" w:rsidP="0039762A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39762A" w:rsidRPr="0039762A">
        <w:rPr>
          <w:sz w:val="24"/>
          <w:szCs w:val="24"/>
        </w:rPr>
        <w:t>n alternative</w:t>
      </w:r>
      <w:r>
        <w:rPr>
          <w:sz w:val="24"/>
          <w:szCs w:val="24"/>
        </w:rPr>
        <w:t xml:space="preserve"> option of an extension to the 21-day period was also canvassed where a debtor is able to</w:t>
      </w:r>
      <w:r w:rsidR="0039762A" w:rsidRPr="00397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produce </w:t>
      </w:r>
      <w:r w:rsidR="0039762A" w:rsidRPr="0039762A">
        <w:rPr>
          <w:sz w:val="24"/>
          <w:szCs w:val="24"/>
        </w:rPr>
        <w:t xml:space="preserve">evidence of financial or legal advice obtained </w:t>
      </w:r>
      <w:r>
        <w:rPr>
          <w:sz w:val="24"/>
          <w:szCs w:val="24"/>
        </w:rPr>
        <w:t>which necessitates a further period for consideration</w:t>
      </w:r>
      <w:r w:rsidR="0039762A" w:rsidRPr="0039762A">
        <w:rPr>
          <w:sz w:val="24"/>
          <w:szCs w:val="24"/>
        </w:rPr>
        <w:t>.</w:t>
      </w:r>
    </w:p>
    <w:p w14:paraId="49E77057" w14:textId="28F2093C" w:rsidR="0039762A" w:rsidRPr="0039762A" w:rsidRDefault="0039762A" w:rsidP="0039762A">
      <w:pPr>
        <w:rPr>
          <w:sz w:val="24"/>
          <w:szCs w:val="24"/>
        </w:rPr>
      </w:pPr>
      <w:r w:rsidRPr="0039762A">
        <w:rPr>
          <w:sz w:val="24"/>
          <w:szCs w:val="24"/>
        </w:rPr>
        <w:t>Alternative suggestions to varying the notice period</w:t>
      </w:r>
      <w:r w:rsidR="000E5D62">
        <w:rPr>
          <w:sz w:val="24"/>
          <w:szCs w:val="24"/>
        </w:rPr>
        <w:t xml:space="preserve"> discussed by participants</w:t>
      </w:r>
      <w:r w:rsidRPr="0039762A">
        <w:rPr>
          <w:sz w:val="24"/>
          <w:szCs w:val="24"/>
        </w:rPr>
        <w:t xml:space="preserve"> includ</w:t>
      </w:r>
      <w:r w:rsidR="000E5D62">
        <w:rPr>
          <w:sz w:val="24"/>
          <w:szCs w:val="24"/>
        </w:rPr>
        <w:t>ed</w:t>
      </w:r>
      <w:r w:rsidRPr="0039762A">
        <w:rPr>
          <w:sz w:val="24"/>
          <w:szCs w:val="24"/>
        </w:rPr>
        <w:t xml:space="preserve"> increasing funding for financial counselling and legal assistance services and better information </w:t>
      </w:r>
      <w:r w:rsidR="000E5D62">
        <w:rPr>
          <w:sz w:val="24"/>
          <w:szCs w:val="24"/>
        </w:rPr>
        <w:t xml:space="preserve">be included with the bankruptcy notice </w:t>
      </w:r>
      <w:r w:rsidRPr="0039762A">
        <w:rPr>
          <w:sz w:val="24"/>
          <w:szCs w:val="24"/>
        </w:rPr>
        <w:t xml:space="preserve">provided to debtors. </w:t>
      </w:r>
    </w:p>
    <w:p w14:paraId="4ECD9CF6" w14:textId="1F565C89" w:rsidR="0039762A" w:rsidRPr="0039762A" w:rsidRDefault="0039762A" w:rsidP="0039762A">
      <w:pPr>
        <w:rPr>
          <w:i/>
          <w:sz w:val="24"/>
          <w:szCs w:val="24"/>
        </w:rPr>
      </w:pPr>
      <w:r w:rsidRPr="0039762A">
        <w:rPr>
          <w:i/>
          <w:sz w:val="24"/>
          <w:szCs w:val="24"/>
        </w:rPr>
        <w:t xml:space="preserve">Options to identify and scope measures to address poor practice </w:t>
      </w:r>
    </w:p>
    <w:p w14:paraId="410B5DA9" w14:textId="65FF97F0" w:rsidR="0039762A" w:rsidRPr="0039762A" w:rsidRDefault="0004159A" w:rsidP="0039762A">
      <w:pPr>
        <w:rPr>
          <w:sz w:val="24"/>
          <w:szCs w:val="24"/>
        </w:rPr>
      </w:pPr>
      <w:r>
        <w:rPr>
          <w:sz w:val="24"/>
          <w:szCs w:val="24"/>
        </w:rPr>
        <w:t>Participants</w:t>
      </w:r>
      <w:r w:rsidRPr="0039762A">
        <w:rPr>
          <w:sz w:val="24"/>
          <w:szCs w:val="24"/>
        </w:rPr>
        <w:t xml:space="preserve"> </w:t>
      </w:r>
      <w:r w:rsidR="0039762A" w:rsidRPr="0039762A">
        <w:rPr>
          <w:sz w:val="24"/>
          <w:szCs w:val="24"/>
        </w:rPr>
        <w:t>agreed that the problem of ‘untrustworthy advisors’</w:t>
      </w:r>
      <w:r>
        <w:rPr>
          <w:sz w:val="24"/>
          <w:szCs w:val="24"/>
        </w:rPr>
        <w:t>,</w:t>
      </w:r>
      <w:r w:rsidR="0039762A" w:rsidRPr="0039762A">
        <w:rPr>
          <w:sz w:val="24"/>
          <w:szCs w:val="24"/>
        </w:rPr>
        <w:t xml:space="preserve"> should be prioritised but also noted the term </w:t>
      </w:r>
      <w:r w:rsidR="006137FC">
        <w:rPr>
          <w:sz w:val="24"/>
          <w:szCs w:val="24"/>
        </w:rPr>
        <w:t>lacked scope and was too</w:t>
      </w:r>
      <w:r w:rsidR="0039762A" w:rsidRPr="0039762A">
        <w:rPr>
          <w:sz w:val="24"/>
          <w:szCs w:val="24"/>
        </w:rPr>
        <w:t xml:space="preserve"> emotive. </w:t>
      </w:r>
      <w:r w:rsidR="00501916">
        <w:rPr>
          <w:sz w:val="24"/>
          <w:szCs w:val="24"/>
        </w:rPr>
        <w:t>Participant</w:t>
      </w:r>
      <w:r w:rsidR="0039762A" w:rsidRPr="0039762A">
        <w:rPr>
          <w:sz w:val="24"/>
          <w:szCs w:val="24"/>
        </w:rPr>
        <w:t xml:space="preserve">s noted that the provision of legal, financial, tax or insolvency advice is regulated but </w:t>
      </w:r>
      <w:r w:rsidR="00CF3564">
        <w:rPr>
          <w:sz w:val="24"/>
          <w:szCs w:val="24"/>
        </w:rPr>
        <w:t>other</w:t>
      </w:r>
      <w:r w:rsidR="0039762A" w:rsidRPr="0039762A">
        <w:rPr>
          <w:sz w:val="24"/>
          <w:szCs w:val="24"/>
        </w:rPr>
        <w:t xml:space="preserve"> </w:t>
      </w:r>
      <w:r w:rsidR="00C45DB8">
        <w:rPr>
          <w:sz w:val="24"/>
          <w:szCs w:val="24"/>
        </w:rPr>
        <w:t>advisors</w:t>
      </w:r>
      <w:r w:rsidR="0039762A" w:rsidRPr="0039762A">
        <w:rPr>
          <w:sz w:val="24"/>
          <w:szCs w:val="24"/>
        </w:rPr>
        <w:t>, particular</w:t>
      </w:r>
      <w:r w:rsidR="00CF3564">
        <w:rPr>
          <w:sz w:val="24"/>
          <w:szCs w:val="24"/>
        </w:rPr>
        <w:t>ly</w:t>
      </w:r>
      <w:r w:rsidR="0039762A" w:rsidRPr="0039762A">
        <w:rPr>
          <w:sz w:val="24"/>
          <w:szCs w:val="24"/>
        </w:rPr>
        <w:t xml:space="preserve"> in the pre-insolvency space </w:t>
      </w:r>
      <w:r w:rsidR="00CF3564">
        <w:rPr>
          <w:sz w:val="24"/>
          <w:szCs w:val="24"/>
        </w:rPr>
        <w:t>that provide</w:t>
      </w:r>
      <w:r w:rsidR="0039762A" w:rsidRPr="0039762A">
        <w:rPr>
          <w:sz w:val="24"/>
          <w:szCs w:val="24"/>
        </w:rPr>
        <w:t xml:space="preserve"> unlicenced advice to vulnerable debtors</w:t>
      </w:r>
      <w:r w:rsidR="00C45DB8">
        <w:rPr>
          <w:sz w:val="24"/>
          <w:szCs w:val="24"/>
        </w:rPr>
        <w:t xml:space="preserve"> remain unregulated</w:t>
      </w:r>
      <w:r w:rsidR="00CF3564">
        <w:rPr>
          <w:sz w:val="24"/>
          <w:szCs w:val="24"/>
        </w:rPr>
        <w:t xml:space="preserve">. </w:t>
      </w:r>
    </w:p>
    <w:p w14:paraId="6C15037E" w14:textId="77777777" w:rsidR="0039762A" w:rsidRPr="0039762A" w:rsidRDefault="0039762A" w:rsidP="0039762A">
      <w:pPr>
        <w:rPr>
          <w:sz w:val="24"/>
          <w:szCs w:val="24"/>
        </w:rPr>
      </w:pPr>
      <w:r w:rsidRPr="0039762A">
        <w:rPr>
          <w:sz w:val="24"/>
          <w:szCs w:val="24"/>
        </w:rPr>
        <w:t>Proposals included:</w:t>
      </w:r>
    </w:p>
    <w:p w14:paraId="7D33F693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increased information gathering powers for regulators;</w:t>
      </w:r>
    </w:p>
    <w:p w14:paraId="4D8764B4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 xml:space="preserve">new offences of accessorial liability; </w:t>
      </w:r>
    </w:p>
    <w:p w14:paraId="5E2F3E9B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a cross regulator taskforce;</w:t>
      </w:r>
    </w:p>
    <w:p w14:paraId="5581ABC1" w14:textId="103E75EA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high profile prosecutions</w:t>
      </w:r>
      <w:r w:rsidR="00CF3564">
        <w:rPr>
          <w:sz w:val="24"/>
          <w:szCs w:val="24"/>
        </w:rPr>
        <w:t>.</w:t>
      </w:r>
    </w:p>
    <w:p w14:paraId="6AA6F715" w14:textId="091130F1" w:rsidR="0039762A" w:rsidRPr="0039762A" w:rsidRDefault="0039762A" w:rsidP="0039762A">
      <w:pPr>
        <w:rPr>
          <w:sz w:val="24"/>
          <w:szCs w:val="24"/>
        </w:rPr>
      </w:pPr>
      <w:r w:rsidRPr="00C45DB8">
        <w:rPr>
          <w:sz w:val="24"/>
          <w:szCs w:val="24"/>
        </w:rPr>
        <w:t xml:space="preserve">Examples of poor practice </w:t>
      </w:r>
      <w:r w:rsidR="0004159A" w:rsidRPr="00C45DB8">
        <w:rPr>
          <w:sz w:val="24"/>
          <w:szCs w:val="24"/>
        </w:rPr>
        <w:t xml:space="preserve">by </w:t>
      </w:r>
      <w:r w:rsidR="00C45DB8" w:rsidRPr="00A53BF8">
        <w:rPr>
          <w:sz w:val="24"/>
          <w:szCs w:val="24"/>
        </w:rPr>
        <w:t xml:space="preserve">pre-insolvency advisors </w:t>
      </w:r>
      <w:r w:rsidRPr="00C45DB8">
        <w:rPr>
          <w:sz w:val="24"/>
          <w:szCs w:val="24"/>
        </w:rPr>
        <w:t xml:space="preserve">were also </w:t>
      </w:r>
      <w:r w:rsidR="0004159A" w:rsidRPr="00C45DB8">
        <w:rPr>
          <w:sz w:val="24"/>
          <w:szCs w:val="24"/>
        </w:rPr>
        <w:t>shared</w:t>
      </w:r>
      <w:r w:rsidR="0004159A" w:rsidRPr="001C6761">
        <w:rPr>
          <w:sz w:val="24"/>
          <w:szCs w:val="24"/>
        </w:rPr>
        <w:t xml:space="preserve"> </w:t>
      </w:r>
      <w:r w:rsidRPr="001C6761">
        <w:rPr>
          <w:sz w:val="24"/>
          <w:szCs w:val="24"/>
        </w:rPr>
        <w:t>throughout the roundtable</w:t>
      </w:r>
      <w:r w:rsidR="0004159A" w:rsidRPr="001C6761">
        <w:rPr>
          <w:sz w:val="24"/>
          <w:szCs w:val="24"/>
        </w:rPr>
        <w:t xml:space="preserve"> as examples of </w:t>
      </w:r>
      <w:r w:rsidR="00C45DB8" w:rsidRPr="00A53BF8">
        <w:rPr>
          <w:sz w:val="24"/>
          <w:szCs w:val="24"/>
        </w:rPr>
        <w:t>untrustworthy advisors</w:t>
      </w:r>
      <w:r w:rsidRPr="00C45DB8">
        <w:rPr>
          <w:sz w:val="24"/>
          <w:szCs w:val="24"/>
        </w:rPr>
        <w:t>.</w:t>
      </w:r>
    </w:p>
    <w:p w14:paraId="2261D705" w14:textId="77777777" w:rsidR="0039762A" w:rsidRPr="0039762A" w:rsidRDefault="0039762A" w:rsidP="0039762A">
      <w:pPr>
        <w:rPr>
          <w:i/>
          <w:sz w:val="24"/>
          <w:szCs w:val="24"/>
        </w:rPr>
      </w:pPr>
      <w:r w:rsidRPr="0039762A">
        <w:rPr>
          <w:i/>
          <w:sz w:val="24"/>
          <w:szCs w:val="24"/>
        </w:rPr>
        <w:t xml:space="preserve">Other issues </w:t>
      </w:r>
    </w:p>
    <w:p w14:paraId="1E828DFF" w14:textId="50289BB9" w:rsidR="0039762A" w:rsidRPr="0039762A" w:rsidRDefault="0004159A" w:rsidP="0039762A">
      <w:pPr>
        <w:rPr>
          <w:sz w:val="24"/>
          <w:szCs w:val="24"/>
        </w:rPr>
      </w:pPr>
      <w:r>
        <w:rPr>
          <w:sz w:val="24"/>
          <w:szCs w:val="24"/>
        </w:rPr>
        <w:t>In addition to the above five areas of reform that participants identified as priorit</w:t>
      </w:r>
      <w:r w:rsidR="00D3476A">
        <w:rPr>
          <w:sz w:val="24"/>
          <w:szCs w:val="24"/>
        </w:rPr>
        <w:t xml:space="preserve">ies </w:t>
      </w:r>
      <w:r>
        <w:rPr>
          <w:sz w:val="24"/>
          <w:szCs w:val="24"/>
        </w:rPr>
        <w:t xml:space="preserve">for policy development, the following </w:t>
      </w:r>
      <w:r w:rsidR="0039762A" w:rsidRPr="0039762A">
        <w:rPr>
          <w:sz w:val="24"/>
          <w:szCs w:val="24"/>
        </w:rPr>
        <w:t>issues</w:t>
      </w:r>
      <w:r>
        <w:rPr>
          <w:sz w:val="24"/>
          <w:szCs w:val="24"/>
        </w:rPr>
        <w:t xml:space="preserve"> were also raised</w:t>
      </w:r>
      <w:r w:rsidR="0039762A" w:rsidRPr="0039762A">
        <w:rPr>
          <w:sz w:val="24"/>
          <w:szCs w:val="24"/>
        </w:rPr>
        <w:t xml:space="preserve"> for consideration </w:t>
      </w:r>
      <w:r>
        <w:rPr>
          <w:sz w:val="24"/>
          <w:szCs w:val="24"/>
        </w:rPr>
        <w:t>by the department</w:t>
      </w:r>
      <w:r w:rsidR="0039762A" w:rsidRPr="0039762A">
        <w:rPr>
          <w:sz w:val="24"/>
          <w:szCs w:val="24"/>
        </w:rPr>
        <w:t xml:space="preserve">: </w:t>
      </w:r>
    </w:p>
    <w:p w14:paraId="118E2570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lifetime listings on the National Personal Insolvency Index (NPII);</w:t>
      </w:r>
    </w:p>
    <w:p w14:paraId="153EFD33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options for legislated mediation prior to sequestration;</w:t>
      </w:r>
    </w:p>
    <w:p w14:paraId="2C845A41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better education or financial literacy training for bankrupts, small business owners and/or the community generally;</w:t>
      </w:r>
    </w:p>
    <w:p w14:paraId="6C874973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the appropriate duration of debt agreements;</w:t>
      </w:r>
    </w:p>
    <w:p w14:paraId="1D19B8D1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lastRenderedPageBreak/>
        <w:t>•</w:t>
      </w:r>
      <w:r w:rsidRPr="0039762A">
        <w:rPr>
          <w:sz w:val="24"/>
          <w:szCs w:val="24"/>
        </w:rPr>
        <w:tab/>
        <w:t xml:space="preserve">difficulties for small businesses who may be engaged in both corporate and personal insolvency proceedings; </w:t>
      </w:r>
    </w:p>
    <w:p w14:paraId="7ED3DD19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a small business specific insolvency regime;</w:t>
      </w:r>
    </w:p>
    <w:p w14:paraId="4E61C655" w14:textId="3D89510E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 xml:space="preserve">ensuring any amendments to the </w:t>
      </w:r>
      <w:r w:rsidRPr="00A53BF8">
        <w:rPr>
          <w:i/>
          <w:sz w:val="24"/>
          <w:szCs w:val="24"/>
        </w:rPr>
        <w:t>Bankruptcy Act</w:t>
      </w:r>
      <w:r w:rsidR="0060017E" w:rsidRPr="00A53BF8">
        <w:rPr>
          <w:i/>
          <w:sz w:val="24"/>
          <w:szCs w:val="24"/>
        </w:rPr>
        <w:t xml:space="preserve"> 1966</w:t>
      </w:r>
      <w:r w:rsidRPr="0039762A">
        <w:rPr>
          <w:sz w:val="24"/>
          <w:szCs w:val="24"/>
        </w:rPr>
        <w:t xml:space="preserve"> </w:t>
      </w:r>
      <w:r w:rsidR="001C6761">
        <w:rPr>
          <w:sz w:val="24"/>
          <w:szCs w:val="24"/>
        </w:rPr>
        <w:t xml:space="preserve">(Bankruptcy Act) </w:t>
      </w:r>
      <w:r w:rsidRPr="0039762A">
        <w:rPr>
          <w:sz w:val="24"/>
          <w:szCs w:val="24"/>
        </w:rPr>
        <w:t>are appropriately monitored over time to measure their effectiveness;</w:t>
      </w:r>
    </w:p>
    <w:p w14:paraId="1802858B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 xml:space="preserve">better access and use of insolvency data held by regulators; </w:t>
      </w:r>
    </w:p>
    <w:p w14:paraId="33C9F718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harmonisation across corporate and personal insolvency systems;</w:t>
      </w:r>
    </w:p>
    <w:p w14:paraId="66192623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consistent treatment of fines in bankruptcy across all states and territories;</w:t>
      </w:r>
    </w:p>
    <w:p w14:paraId="6DD9056C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examples of poor creditor behaviour and options for industry specific codes of practice;</w:t>
      </w:r>
    </w:p>
    <w:p w14:paraId="39B1F1FA" w14:textId="1080FA6B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 xml:space="preserve">amendments to gambling offences under the </w:t>
      </w:r>
      <w:r w:rsidRPr="0060017E">
        <w:rPr>
          <w:sz w:val="24"/>
          <w:szCs w:val="24"/>
        </w:rPr>
        <w:t>Bankruptcy Act</w:t>
      </w:r>
      <w:r w:rsidRPr="0039762A">
        <w:rPr>
          <w:sz w:val="24"/>
          <w:szCs w:val="24"/>
        </w:rPr>
        <w:t>;</w:t>
      </w:r>
    </w:p>
    <w:p w14:paraId="7A9CD377" w14:textId="3F139D42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better responses to family violence</w:t>
      </w:r>
      <w:r w:rsidR="00C45DB8">
        <w:rPr>
          <w:sz w:val="24"/>
          <w:szCs w:val="24"/>
        </w:rPr>
        <w:t xml:space="preserve"> in the bankruptcy context. For example, where perpetrators of family violence use the bankruptcy system to harass or coerce their partner</w:t>
      </w:r>
      <w:r w:rsidRPr="0039762A">
        <w:rPr>
          <w:sz w:val="24"/>
          <w:szCs w:val="24"/>
        </w:rPr>
        <w:t xml:space="preserve">; </w:t>
      </w:r>
    </w:p>
    <w:p w14:paraId="6D697FA7" w14:textId="6E84C444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</w:r>
      <w:r w:rsidR="0060017E">
        <w:rPr>
          <w:sz w:val="24"/>
          <w:szCs w:val="24"/>
        </w:rPr>
        <w:t xml:space="preserve">general </w:t>
      </w:r>
      <w:r w:rsidRPr="0039762A">
        <w:rPr>
          <w:sz w:val="24"/>
          <w:szCs w:val="24"/>
        </w:rPr>
        <w:t>modernisation of the Bankruptcy Act</w:t>
      </w:r>
      <w:r w:rsidR="00C45DB8" w:rsidRPr="00C45DB8">
        <w:rPr>
          <w:sz w:val="24"/>
          <w:szCs w:val="24"/>
        </w:rPr>
        <w:t xml:space="preserve"> </w:t>
      </w:r>
      <w:r w:rsidR="00C45DB8">
        <w:rPr>
          <w:sz w:val="24"/>
          <w:szCs w:val="24"/>
        </w:rPr>
        <w:t>and a review of the</w:t>
      </w:r>
      <w:r w:rsidR="00D3476A">
        <w:rPr>
          <w:sz w:val="24"/>
          <w:szCs w:val="24"/>
        </w:rPr>
        <w:t xml:space="preserve"> </w:t>
      </w:r>
      <w:r w:rsidR="00C45DB8" w:rsidRPr="0039762A">
        <w:rPr>
          <w:sz w:val="24"/>
          <w:szCs w:val="24"/>
        </w:rPr>
        <w:t>insolvency system</w:t>
      </w:r>
      <w:r w:rsidRPr="0039762A">
        <w:rPr>
          <w:sz w:val="24"/>
          <w:szCs w:val="24"/>
        </w:rPr>
        <w:t xml:space="preserve">; </w:t>
      </w:r>
    </w:p>
    <w:p w14:paraId="03531A97" w14:textId="3F94D509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 xml:space="preserve">amendment to Part </w:t>
      </w:r>
      <w:r w:rsidR="00AB7AA3">
        <w:rPr>
          <w:sz w:val="24"/>
          <w:szCs w:val="24"/>
        </w:rPr>
        <w:t>I</w:t>
      </w:r>
      <w:r w:rsidRPr="0039762A">
        <w:rPr>
          <w:sz w:val="24"/>
          <w:szCs w:val="24"/>
        </w:rPr>
        <w:t>X of the Bankruptcy Act</w:t>
      </w:r>
      <w:r w:rsidR="0060017E">
        <w:rPr>
          <w:sz w:val="24"/>
          <w:szCs w:val="24"/>
        </w:rPr>
        <w:t>, which covers</w:t>
      </w:r>
      <w:r w:rsidR="00C45DB8">
        <w:rPr>
          <w:sz w:val="24"/>
          <w:szCs w:val="24"/>
        </w:rPr>
        <w:t xml:space="preserve"> debt agreements</w:t>
      </w:r>
      <w:r w:rsidRPr="0039762A">
        <w:rPr>
          <w:sz w:val="24"/>
          <w:szCs w:val="24"/>
        </w:rPr>
        <w:t xml:space="preserve">; </w:t>
      </w:r>
    </w:p>
    <w:p w14:paraId="262FBC25" w14:textId="6F8A124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the treatment of capital gains tax in bankruptcy;</w:t>
      </w:r>
      <w:r w:rsidR="00C45DB8">
        <w:rPr>
          <w:sz w:val="24"/>
          <w:szCs w:val="24"/>
        </w:rPr>
        <w:t xml:space="preserve"> and</w:t>
      </w:r>
    </w:p>
    <w:p w14:paraId="23C6DC7D" w14:textId="77777777" w:rsidR="0039762A" w:rsidRPr="0039762A" w:rsidRDefault="0039762A" w:rsidP="00A53BF8">
      <w:pPr>
        <w:ind w:left="709" w:hanging="425"/>
        <w:rPr>
          <w:sz w:val="24"/>
          <w:szCs w:val="24"/>
        </w:rPr>
      </w:pPr>
      <w:r w:rsidRPr="0039762A">
        <w:rPr>
          <w:sz w:val="24"/>
          <w:szCs w:val="24"/>
        </w:rPr>
        <w:t>•</w:t>
      </w:r>
      <w:r w:rsidRPr="0039762A">
        <w:rPr>
          <w:sz w:val="24"/>
          <w:szCs w:val="24"/>
        </w:rPr>
        <w:tab/>
        <w:t>the difficulties faced by bankrupts pursuing complaints against financial services providers.</w:t>
      </w:r>
    </w:p>
    <w:p w14:paraId="234A5921" w14:textId="4C36EEFA" w:rsidR="001D2CAC" w:rsidRPr="00495E89" w:rsidRDefault="0039762A" w:rsidP="0039762A">
      <w:pPr>
        <w:rPr>
          <w:sz w:val="24"/>
          <w:szCs w:val="24"/>
        </w:rPr>
      </w:pPr>
      <w:r w:rsidRPr="0039762A">
        <w:rPr>
          <w:sz w:val="24"/>
          <w:szCs w:val="24"/>
        </w:rPr>
        <w:t xml:space="preserve">The department would like to thank </w:t>
      </w:r>
      <w:r w:rsidR="00501916">
        <w:rPr>
          <w:sz w:val="24"/>
          <w:szCs w:val="24"/>
        </w:rPr>
        <w:t>participant</w:t>
      </w:r>
      <w:r w:rsidRPr="0039762A">
        <w:rPr>
          <w:sz w:val="24"/>
          <w:szCs w:val="24"/>
        </w:rPr>
        <w:t>s for their time and contributions to robust and productive discussions. The roundtable provided</w:t>
      </w:r>
      <w:r w:rsidR="0060017E">
        <w:rPr>
          <w:sz w:val="24"/>
          <w:szCs w:val="24"/>
        </w:rPr>
        <w:t xml:space="preserve"> valuable insights into key stakeholder views on what is working and what could benefit from further government consideration </w:t>
      </w:r>
      <w:r w:rsidR="00D3476A">
        <w:rPr>
          <w:sz w:val="24"/>
          <w:szCs w:val="24"/>
        </w:rPr>
        <w:t>of</w:t>
      </w:r>
      <w:r w:rsidR="0060017E">
        <w:rPr>
          <w:sz w:val="24"/>
          <w:szCs w:val="24"/>
        </w:rPr>
        <w:t xml:space="preserve"> the personal insolvency </w:t>
      </w:r>
      <w:r w:rsidR="00D3476A">
        <w:rPr>
          <w:sz w:val="24"/>
          <w:szCs w:val="24"/>
        </w:rPr>
        <w:t>system</w:t>
      </w:r>
      <w:r w:rsidR="0060017E">
        <w:rPr>
          <w:sz w:val="24"/>
          <w:szCs w:val="24"/>
        </w:rPr>
        <w:t>.</w:t>
      </w:r>
      <w:r w:rsidRPr="0039762A">
        <w:rPr>
          <w:sz w:val="24"/>
          <w:szCs w:val="24"/>
        </w:rPr>
        <w:t xml:space="preserve"> </w:t>
      </w:r>
      <w:r w:rsidR="0060017E">
        <w:rPr>
          <w:sz w:val="24"/>
          <w:szCs w:val="24"/>
        </w:rPr>
        <w:t>The department will consider the outcomes from the roundtable and</w:t>
      </w:r>
      <w:r w:rsidR="001C6761">
        <w:rPr>
          <w:sz w:val="24"/>
          <w:szCs w:val="24"/>
        </w:rPr>
        <w:t xml:space="preserve"> brief the Attorney-General on potential reforms arising from the</w:t>
      </w:r>
      <w:r w:rsidR="00D3476A">
        <w:rPr>
          <w:sz w:val="24"/>
          <w:szCs w:val="24"/>
        </w:rPr>
        <w:t xml:space="preserve"> priority issues raised at the</w:t>
      </w:r>
      <w:r w:rsidR="001C6761">
        <w:rPr>
          <w:sz w:val="24"/>
          <w:szCs w:val="24"/>
        </w:rPr>
        <w:t xml:space="preserve"> Roundtable.</w:t>
      </w:r>
    </w:p>
    <w:p w14:paraId="65E89358" w14:textId="77777777" w:rsidR="0039762A" w:rsidRDefault="003976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E13351E" w14:textId="6B603BF2" w:rsidR="00E836B1" w:rsidRPr="008C25B8" w:rsidRDefault="00E836B1" w:rsidP="008C25B8">
      <w:pPr>
        <w:pStyle w:val="Heading3"/>
      </w:pPr>
      <w:r w:rsidRPr="008C25B8">
        <w:lastRenderedPageBreak/>
        <w:t>Appendix</w:t>
      </w:r>
    </w:p>
    <w:p w14:paraId="5BBA8867" w14:textId="79D80D0F" w:rsidR="001D2CAC" w:rsidRPr="00561097" w:rsidRDefault="00BB3D2C" w:rsidP="008C25B8">
      <w:pPr>
        <w:pStyle w:val="Heading2"/>
      </w:pPr>
      <w:r w:rsidRPr="00561097">
        <w:t>Participants</w:t>
      </w:r>
    </w:p>
    <w:p w14:paraId="1E0FD141" w14:textId="52AB5CF7" w:rsidR="001D2CAC" w:rsidRPr="00561097" w:rsidRDefault="001D2CAC" w:rsidP="001D2CAC">
      <w:pPr>
        <w:pStyle w:val="Bullet1"/>
        <w:numPr>
          <w:ilvl w:val="0"/>
          <w:numId w:val="0"/>
        </w:numPr>
        <w:rPr>
          <w:sz w:val="24"/>
          <w:szCs w:val="24"/>
        </w:rPr>
      </w:pPr>
      <w:r w:rsidRPr="00561097">
        <w:rPr>
          <w:sz w:val="24"/>
          <w:szCs w:val="24"/>
        </w:rPr>
        <w:t xml:space="preserve">The </w:t>
      </w:r>
      <w:r w:rsidR="00BB3D2C" w:rsidRPr="00561097">
        <w:rPr>
          <w:sz w:val="24"/>
          <w:szCs w:val="24"/>
        </w:rPr>
        <w:t xml:space="preserve">participants </w:t>
      </w:r>
      <w:r w:rsidR="0060017E">
        <w:rPr>
          <w:sz w:val="24"/>
          <w:szCs w:val="24"/>
        </w:rPr>
        <w:t>attending the</w:t>
      </w:r>
      <w:r w:rsidRPr="00561097">
        <w:rPr>
          <w:sz w:val="24"/>
          <w:szCs w:val="24"/>
        </w:rPr>
        <w:t xml:space="preserve"> Ministerial Roundtable </w:t>
      </w:r>
      <w:r w:rsidR="0039762A" w:rsidRPr="00561097">
        <w:rPr>
          <w:sz w:val="24"/>
          <w:szCs w:val="24"/>
        </w:rPr>
        <w:t>on Personal Insolvency</w:t>
      </w:r>
      <w:r w:rsidRPr="00561097">
        <w:rPr>
          <w:sz w:val="24"/>
          <w:szCs w:val="24"/>
        </w:rPr>
        <w:t xml:space="preserve"> </w:t>
      </w:r>
      <w:r w:rsidR="00801442" w:rsidRPr="00561097">
        <w:rPr>
          <w:sz w:val="24"/>
          <w:szCs w:val="24"/>
        </w:rPr>
        <w:t>were:</w:t>
      </w:r>
    </w:p>
    <w:p w14:paraId="179F47F8" w14:textId="05603898" w:rsidR="00CF3564" w:rsidRPr="00561097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561097">
        <w:rPr>
          <w:sz w:val="24"/>
          <w:szCs w:val="24"/>
        </w:rPr>
        <w:t xml:space="preserve">Association of Independent Insolvency Practitioners (AIIP) </w:t>
      </w:r>
    </w:p>
    <w:p w14:paraId="032830F1" w14:textId="77777777" w:rsidR="00CF3564" w:rsidRPr="00561097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561097">
        <w:rPr>
          <w:sz w:val="24"/>
          <w:szCs w:val="24"/>
        </w:rPr>
        <w:t>Australian Banking Association (ABA)</w:t>
      </w:r>
    </w:p>
    <w:p w14:paraId="37EA4C31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Australian Financial Complaints Authority (AFCA)</w:t>
      </w:r>
    </w:p>
    <w:p w14:paraId="3279C7F3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Australian Institute of Credit Management (AICM)</w:t>
      </w:r>
    </w:p>
    <w:p w14:paraId="04F87F16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Australian Restructuring Insolvency and Turnaround Association (ARITA)</w:t>
      </w:r>
    </w:p>
    <w:p w14:paraId="4C301F3F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Australian Retail Credit Association (ARCA)</w:t>
      </w:r>
    </w:p>
    <w:p w14:paraId="6D2B8CD3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Australian Small Business and Family Enterprise Ombudsman (ASBFEO)</w:t>
      </w:r>
    </w:p>
    <w:p w14:paraId="3AC66BCB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Chartered Accountants Australia and New Zealand (CA ANZ)</w:t>
      </w:r>
      <w:r w:rsidRPr="00CF3564">
        <w:rPr>
          <w:sz w:val="24"/>
          <w:szCs w:val="24"/>
        </w:rPr>
        <w:tab/>
      </w:r>
      <w:r w:rsidRPr="00CF3564">
        <w:rPr>
          <w:sz w:val="24"/>
          <w:szCs w:val="24"/>
        </w:rPr>
        <w:tab/>
      </w:r>
    </w:p>
    <w:p w14:paraId="5F804D8A" w14:textId="432362DF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CPA Australia</w:t>
      </w:r>
    </w:p>
    <w:p w14:paraId="1AFC3FBB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 xml:space="preserve">Consumer Action Law Centre (CALC) </w:t>
      </w:r>
    </w:p>
    <w:p w14:paraId="5A25AC4B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 xml:space="preserve">Consumer Credit Law Centre SA (Uniting Communities) </w:t>
      </w:r>
    </w:p>
    <w:p w14:paraId="724F9E66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 xml:space="preserve">Financial Counselling Association WA </w:t>
      </w:r>
    </w:p>
    <w:p w14:paraId="737C9122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Financial Counselling Australia (FCA)</w:t>
      </w:r>
      <w:r w:rsidRPr="00CF3564">
        <w:rPr>
          <w:sz w:val="24"/>
          <w:szCs w:val="24"/>
        </w:rPr>
        <w:tab/>
      </w:r>
    </w:p>
    <w:p w14:paraId="71CC7997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Financial Counselling Service and Consumer Law Centre of ACT (CARE Inc)</w:t>
      </w:r>
    </w:p>
    <w:p w14:paraId="4C619023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 xml:space="preserve">Financial Rights Legal Centre </w:t>
      </w:r>
      <w:r w:rsidRPr="00CF3564">
        <w:rPr>
          <w:sz w:val="24"/>
          <w:szCs w:val="24"/>
        </w:rPr>
        <w:tab/>
      </w:r>
    </w:p>
    <w:p w14:paraId="12B2C44B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Indigenous Consumer Advocacy Network</w:t>
      </w:r>
    </w:p>
    <w:p w14:paraId="6F2121DF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Law Council of Australia (LCA) Business Law Section</w:t>
      </w:r>
      <w:r w:rsidRPr="00CF3564">
        <w:rPr>
          <w:sz w:val="24"/>
          <w:szCs w:val="24"/>
        </w:rPr>
        <w:tab/>
      </w:r>
    </w:p>
    <w:p w14:paraId="338A3F49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Legal Aid Queensland</w:t>
      </w:r>
    </w:p>
    <w:p w14:paraId="59AA9382" w14:textId="131CD97E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Murrays Legal</w:t>
      </w:r>
    </w:p>
    <w:p w14:paraId="7FE9C0B5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Personal Insolvency Professionals Association (PIPA)</w:t>
      </w:r>
    </w:p>
    <w:p w14:paraId="4592E1D4" w14:textId="77777777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 xml:space="preserve">Queensland university of Technology Consumer Policy and Regulation Research Group </w:t>
      </w:r>
    </w:p>
    <w:p w14:paraId="0B299C82" w14:textId="577784CC" w:rsidR="00CF3564" w:rsidRPr="00374294" w:rsidRDefault="00374294" w:rsidP="0037429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374294">
        <w:rPr>
          <w:sz w:val="24"/>
          <w:szCs w:val="24"/>
        </w:rPr>
        <w:t>National Emergency Management Authority (NEMA) on behalf of the Rural Financial Counselling Service Nationally</w:t>
      </w:r>
    </w:p>
    <w:p w14:paraId="06999696" w14:textId="5665D874" w:rsidR="00CF3564" w:rsidRPr="00CF3564" w:rsidRDefault="00CF3564" w:rsidP="00CF3564">
      <w:pPr>
        <w:pStyle w:val="Bullet1"/>
        <w:numPr>
          <w:ilvl w:val="0"/>
          <w:numId w:val="12"/>
        </w:numPr>
        <w:rPr>
          <w:sz w:val="24"/>
          <w:szCs w:val="24"/>
        </w:rPr>
      </w:pPr>
      <w:r w:rsidRPr="00CF3564">
        <w:rPr>
          <w:sz w:val="24"/>
          <w:szCs w:val="24"/>
        </w:rPr>
        <w:t>Small Business Debt Helpline</w:t>
      </w:r>
    </w:p>
    <w:sectPr w:rsidR="00CF3564" w:rsidRPr="00CF3564" w:rsidSect="005F6CD0">
      <w:footerReference w:type="default" r:id="rId9"/>
      <w:type w:val="continuous"/>
      <w:pgSz w:w="12240" w:h="15840"/>
      <w:pgMar w:top="851" w:right="964" w:bottom="964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C785" w14:textId="77777777" w:rsidR="00D00591" w:rsidRDefault="00D00591" w:rsidP="006150CB">
      <w:r>
        <w:separator/>
      </w:r>
    </w:p>
  </w:endnote>
  <w:endnote w:type="continuationSeparator" w:id="0">
    <w:p w14:paraId="039C0645" w14:textId="77777777" w:rsidR="00D00591" w:rsidRDefault="00D00591" w:rsidP="0061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18C0" w14:textId="77777777" w:rsidR="006150CB" w:rsidRPr="00453257" w:rsidRDefault="00394664" w:rsidP="00394664">
    <w:pPr>
      <w:pStyle w:val="Footer"/>
      <w:ind w:left="-284"/>
    </w:pPr>
    <w:r>
      <w:rPr>
        <w:noProof/>
        <w:lang w:eastAsia="en-AU"/>
      </w:rPr>
      <w:drawing>
        <wp:inline distT="0" distB="0" distL="0" distR="0" wp14:anchorId="05CE0DD9" wp14:editId="4CF5DFED">
          <wp:extent cx="7086534" cy="75485"/>
          <wp:effectExtent l="0" t="0" r="0" b="1270"/>
          <wp:docPr id="1" name="Picture 1" descr="Horizontal l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ctdc01fs01p\user_folder$\jonesj\Desktop\stri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534" cy="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2CBC" w14:textId="77777777" w:rsidR="006150CB" w:rsidRDefault="006150CB" w:rsidP="0061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5D4F5" w14:textId="77777777" w:rsidR="00D00591" w:rsidRDefault="00D00591" w:rsidP="006150CB">
      <w:r>
        <w:separator/>
      </w:r>
    </w:p>
  </w:footnote>
  <w:footnote w:type="continuationSeparator" w:id="0">
    <w:p w14:paraId="6A02F329" w14:textId="77777777" w:rsidR="00D00591" w:rsidRDefault="00D00591" w:rsidP="0061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55E6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18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D2721E"/>
    <w:multiLevelType w:val="multilevel"/>
    <w:tmpl w:val="EFDC8A06"/>
    <w:numStyleLink w:val="Bullet2"/>
  </w:abstractNum>
  <w:abstractNum w:abstractNumId="3" w15:restartNumberingAfterBreak="0">
    <w:nsid w:val="17932166"/>
    <w:multiLevelType w:val="multilevel"/>
    <w:tmpl w:val="EFDC8A06"/>
    <w:styleLink w:val="Bulle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7583B"/>
    <w:multiLevelType w:val="hybridMultilevel"/>
    <w:tmpl w:val="0BAAE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C5C5C"/>
      </w:rPr>
    </w:lvl>
    <w:lvl w:ilvl="1" w:tplc="7610D95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4D738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65078"/>
    <w:multiLevelType w:val="hybridMultilevel"/>
    <w:tmpl w:val="C6F2ED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15FB9"/>
    <w:multiLevelType w:val="hybridMultilevel"/>
    <w:tmpl w:val="BF3AA932"/>
    <w:lvl w:ilvl="0" w:tplc="3484F22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5C5C5C"/>
      </w:rPr>
    </w:lvl>
    <w:lvl w:ilvl="1" w:tplc="7610D95C">
      <w:start w:val="1"/>
      <w:numFmt w:val="bullet"/>
      <w:pStyle w:val="ListBullet"/>
      <w:lvlText w:val=""/>
      <w:lvlJc w:val="left"/>
      <w:pPr>
        <w:ind w:left="1353" w:hanging="360"/>
      </w:pPr>
      <w:rPr>
        <w:rFonts w:ascii="Symbol" w:hAnsi="Symbol" w:hint="default"/>
        <w:color w:val="4D738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D14A3"/>
    <w:multiLevelType w:val="hybridMultilevel"/>
    <w:tmpl w:val="F0604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8"/>
    <w:rsid w:val="00006616"/>
    <w:rsid w:val="0004159A"/>
    <w:rsid w:val="000547E4"/>
    <w:rsid w:val="00055ADC"/>
    <w:rsid w:val="000779BE"/>
    <w:rsid w:val="00096B7A"/>
    <w:rsid w:val="000C00B2"/>
    <w:rsid w:val="000E5A68"/>
    <w:rsid w:val="000E5D62"/>
    <w:rsid w:val="000F3D72"/>
    <w:rsid w:val="00110DC4"/>
    <w:rsid w:val="00111065"/>
    <w:rsid w:val="0011430B"/>
    <w:rsid w:val="00151A0A"/>
    <w:rsid w:val="00155194"/>
    <w:rsid w:val="00192F33"/>
    <w:rsid w:val="001C296C"/>
    <w:rsid w:val="001C3719"/>
    <w:rsid w:val="001C6761"/>
    <w:rsid w:val="001D2CAC"/>
    <w:rsid w:val="00210151"/>
    <w:rsid w:val="00211A6D"/>
    <w:rsid w:val="00220D86"/>
    <w:rsid w:val="00230B26"/>
    <w:rsid w:val="002473F9"/>
    <w:rsid w:val="00253442"/>
    <w:rsid w:val="00274389"/>
    <w:rsid w:val="002A0994"/>
    <w:rsid w:val="002C36D2"/>
    <w:rsid w:val="002D2C52"/>
    <w:rsid w:val="00327D59"/>
    <w:rsid w:val="00350ACC"/>
    <w:rsid w:val="00361F03"/>
    <w:rsid w:val="00372C25"/>
    <w:rsid w:val="00374294"/>
    <w:rsid w:val="00380C26"/>
    <w:rsid w:val="00384052"/>
    <w:rsid w:val="00394664"/>
    <w:rsid w:val="00394DE7"/>
    <w:rsid w:val="00395615"/>
    <w:rsid w:val="0039762A"/>
    <w:rsid w:val="003A4E3D"/>
    <w:rsid w:val="003B28B8"/>
    <w:rsid w:val="003B406C"/>
    <w:rsid w:val="003E611C"/>
    <w:rsid w:val="003F67DC"/>
    <w:rsid w:val="00421298"/>
    <w:rsid w:val="00440A0C"/>
    <w:rsid w:val="004450A3"/>
    <w:rsid w:val="00453257"/>
    <w:rsid w:val="00467E0F"/>
    <w:rsid w:val="004738C3"/>
    <w:rsid w:val="00477271"/>
    <w:rsid w:val="00495E89"/>
    <w:rsid w:val="004A1D2F"/>
    <w:rsid w:val="004B749D"/>
    <w:rsid w:val="004F60C7"/>
    <w:rsid w:val="00501916"/>
    <w:rsid w:val="00506E14"/>
    <w:rsid w:val="00507B60"/>
    <w:rsid w:val="00541931"/>
    <w:rsid w:val="00561097"/>
    <w:rsid w:val="005C1BB3"/>
    <w:rsid w:val="005C2EE6"/>
    <w:rsid w:val="005D3FEF"/>
    <w:rsid w:val="005F2D73"/>
    <w:rsid w:val="005F6B09"/>
    <w:rsid w:val="005F6CD0"/>
    <w:rsid w:val="0060017E"/>
    <w:rsid w:val="006137FC"/>
    <w:rsid w:val="006150CB"/>
    <w:rsid w:val="00637D06"/>
    <w:rsid w:val="006633D4"/>
    <w:rsid w:val="00677860"/>
    <w:rsid w:val="006869BF"/>
    <w:rsid w:val="006B68B2"/>
    <w:rsid w:val="006E066D"/>
    <w:rsid w:val="006E667E"/>
    <w:rsid w:val="0072627D"/>
    <w:rsid w:val="00782588"/>
    <w:rsid w:val="00782BD2"/>
    <w:rsid w:val="0078532C"/>
    <w:rsid w:val="00793314"/>
    <w:rsid w:val="007B0031"/>
    <w:rsid w:val="007C2CFD"/>
    <w:rsid w:val="007F7E3E"/>
    <w:rsid w:val="00801442"/>
    <w:rsid w:val="00803FC0"/>
    <w:rsid w:val="008341F6"/>
    <w:rsid w:val="008539EC"/>
    <w:rsid w:val="00870EF5"/>
    <w:rsid w:val="008820A8"/>
    <w:rsid w:val="00885E1D"/>
    <w:rsid w:val="00885F87"/>
    <w:rsid w:val="008934DA"/>
    <w:rsid w:val="008A0760"/>
    <w:rsid w:val="008C25B8"/>
    <w:rsid w:val="008D2EF7"/>
    <w:rsid w:val="008D79FE"/>
    <w:rsid w:val="008E2328"/>
    <w:rsid w:val="009243EF"/>
    <w:rsid w:val="0092674E"/>
    <w:rsid w:val="009333BA"/>
    <w:rsid w:val="0098671E"/>
    <w:rsid w:val="00A04287"/>
    <w:rsid w:val="00A14516"/>
    <w:rsid w:val="00A34221"/>
    <w:rsid w:val="00A53BF8"/>
    <w:rsid w:val="00A817FB"/>
    <w:rsid w:val="00A92178"/>
    <w:rsid w:val="00AB605F"/>
    <w:rsid w:val="00AB7AA3"/>
    <w:rsid w:val="00AD7280"/>
    <w:rsid w:val="00B40485"/>
    <w:rsid w:val="00B57730"/>
    <w:rsid w:val="00B74535"/>
    <w:rsid w:val="00B97BAE"/>
    <w:rsid w:val="00BA55C9"/>
    <w:rsid w:val="00BB3D2C"/>
    <w:rsid w:val="00BD45F3"/>
    <w:rsid w:val="00BE3047"/>
    <w:rsid w:val="00BF004D"/>
    <w:rsid w:val="00C200FC"/>
    <w:rsid w:val="00C26F09"/>
    <w:rsid w:val="00C279C1"/>
    <w:rsid w:val="00C45DB8"/>
    <w:rsid w:val="00C64093"/>
    <w:rsid w:val="00CB27A1"/>
    <w:rsid w:val="00CC764E"/>
    <w:rsid w:val="00CE0477"/>
    <w:rsid w:val="00CE25A0"/>
    <w:rsid w:val="00CF3564"/>
    <w:rsid w:val="00D00591"/>
    <w:rsid w:val="00D048E5"/>
    <w:rsid w:val="00D22BD6"/>
    <w:rsid w:val="00D3476A"/>
    <w:rsid w:val="00D56C31"/>
    <w:rsid w:val="00D86A50"/>
    <w:rsid w:val="00D90CA7"/>
    <w:rsid w:val="00DB52F1"/>
    <w:rsid w:val="00DE05AB"/>
    <w:rsid w:val="00DE6333"/>
    <w:rsid w:val="00E34811"/>
    <w:rsid w:val="00E3737E"/>
    <w:rsid w:val="00E401EB"/>
    <w:rsid w:val="00E701B5"/>
    <w:rsid w:val="00E836B1"/>
    <w:rsid w:val="00E85399"/>
    <w:rsid w:val="00EB4F31"/>
    <w:rsid w:val="00ED7761"/>
    <w:rsid w:val="00EF3CEB"/>
    <w:rsid w:val="00EF7289"/>
    <w:rsid w:val="00F03BB4"/>
    <w:rsid w:val="00F45960"/>
    <w:rsid w:val="00F52E16"/>
    <w:rsid w:val="00F53562"/>
    <w:rsid w:val="00F6591F"/>
    <w:rsid w:val="00F76A7D"/>
    <w:rsid w:val="00F96D60"/>
    <w:rsid w:val="00FA0FF3"/>
    <w:rsid w:val="00FA4F18"/>
    <w:rsid w:val="00F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F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0CB"/>
    <w:pPr>
      <w:spacing w:after="200" w:line="276" w:lineRule="auto"/>
    </w:pPr>
    <w:rPr>
      <w:rFonts w:cs="Calibri"/>
      <w:w w:val="105"/>
      <w:kern w:val="40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C25B8"/>
    <w:pPr>
      <w:outlineLvl w:val="0"/>
    </w:pPr>
    <w:rPr>
      <w:kern w:val="3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5B8"/>
    <w:pPr>
      <w:spacing w:before="240"/>
      <w:outlineLvl w:val="1"/>
    </w:pPr>
    <w:rPr>
      <w:rFonts w:eastAsia="SimSun" w:cs="Angsana New"/>
      <w:b/>
      <w:bCs/>
      <w:color w:val="404040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5B8"/>
    <w:pPr>
      <w:spacing w:before="120" w:after="0"/>
      <w:jc w:val="right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671E"/>
    <w:pPr>
      <w:outlineLvl w:val="3"/>
    </w:pPr>
    <w:rPr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25B8"/>
    <w:rPr>
      <w:rFonts w:eastAsia="SimSun" w:cs="Angsana New"/>
      <w:b/>
      <w:bCs/>
      <w:iCs/>
      <w:color w:val="404040"/>
      <w:w w:val="105"/>
      <w:kern w:val="32"/>
      <w:sz w:val="52"/>
      <w:szCs w:val="52"/>
      <w:u w:val="single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50CB"/>
    <w:pPr>
      <w:spacing w:before="240" w:after="60" w:line="240" w:lineRule="auto"/>
      <w:outlineLvl w:val="0"/>
    </w:pPr>
    <w:rPr>
      <w:rFonts w:eastAsia="SimSun" w:cs="Angsana New"/>
      <w:b/>
      <w:bCs/>
      <w:noProof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150CB"/>
    <w:rPr>
      <w:rFonts w:eastAsia="SimSun" w:cs="Angsana New"/>
      <w:b/>
      <w:bCs/>
      <w:noProof/>
      <w:w w:val="105"/>
      <w:kern w:val="28"/>
      <w:sz w:val="5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C25B8"/>
    <w:rPr>
      <w:rFonts w:eastAsia="SimSun" w:cs="Angsana New"/>
      <w:b/>
      <w:bCs/>
      <w:color w:val="404040"/>
      <w:w w:val="105"/>
      <w:kern w:val="40"/>
      <w:sz w:val="32"/>
      <w:szCs w:val="32"/>
      <w:u w:val="single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150CB"/>
    <w:pPr>
      <w:jc w:val="right"/>
    </w:pPr>
    <w:rPr>
      <w:sz w:val="28"/>
      <w:szCs w:val="28"/>
    </w:rPr>
  </w:style>
  <w:style w:type="character" w:customStyle="1" w:styleId="SubtitleChar">
    <w:name w:val="Subtitle Char"/>
    <w:link w:val="Subtitle"/>
    <w:uiPriority w:val="11"/>
    <w:rsid w:val="006150CB"/>
    <w:rPr>
      <w:rFonts w:eastAsia="SimSun" w:cs="Angsana New"/>
      <w:b/>
      <w:bCs/>
      <w:noProof/>
      <w:w w:val="105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8C25B8"/>
    <w:rPr>
      <w:rFonts w:cs="Calibri"/>
      <w:b/>
      <w:w w:val="105"/>
      <w:kern w:val="4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50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50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BB3"/>
    <w:rPr>
      <w:rFonts w:ascii="Tahoma" w:hAnsi="Tahoma" w:cs="Tahoma"/>
      <w:w w:val="105"/>
      <w:kern w:val="40"/>
      <w:sz w:val="16"/>
      <w:szCs w:val="16"/>
      <w:lang w:eastAsia="en-US"/>
    </w:rPr>
  </w:style>
  <w:style w:type="paragraph" w:customStyle="1" w:styleId="Bullet1">
    <w:name w:val="Bullet 1"/>
    <w:basedOn w:val="ListBullet2"/>
    <w:autoRedefine/>
    <w:qFormat/>
    <w:rsid w:val="00151A0A"/>
    <w:pPr>
      <w:numPr>
        <w:ilvl w:val="0"/>
      </w:numPr>
    </w:pPr>
  </w:style>
  <w:style w:type="numbering" w:customStyle="1" w:styleId="Bullet2">
    <w:name w:val="Bullet 2"/>
    <w:basedOn w:val="NoList"/>
    <w:uiPriority w:val="99"/>
    <w:rsid w:val="0011430B"/>
    <w:pPr>
      <w:numPr>
        <w:numId w:val="2"/>
      </w:numPr>
    </w:pPr>
  </w:style>
  <w:style w:type="paragraph" w:styleId="ListBullet2">
    <w:name w:val="List Bullet 2"/>
    <w:basedOn w:val="ListBullet"/>
    <w:autoRedefine/>
    <w:uiPriority w:val="99"/>
    <w:unhideWhenUsed/>
    <w:qFormat/>
    <w:rsid w:val="00151A0A"/>
    <w:pPr>
      <w:ind w:left="1134" w:hanging="567"/>
    </w:pPr>
  </w:style>
  <w:style w:type="character" w:customStyle="1" w:styleId="Heading4Char">
    <w:name w:val="Heading 4 Char"/>
    <w:basedOn w:val="DefaultParagraphFont"/>
    <w:link w:val="Heading4"/>
    <w:uiPriority w:val="9"/>
    <w:rsid w:val="0098671E"/>
    <w:rPr>
      <w:rFonts w:eastAsia="SimSun" w:cs="Angsana New"/>
      <w:b/>
      <w:bCs/>
      <w:color w:val="595959" w:themeColor="text1" w:themeTint="A6"/>
      <w:w w:val="105"/>
      <w:kern w:val="40"/>
      <w:sz w:val="26"/>
      <w:szCs w:val="26"/>
      <w:lang w:eastAsia="en-US"/>
    </w:rPr>
  </w:style>
  <w:style w:type="paragraph" w:styleId="ListBullet">
    <w:name w:val="List Bullet"/>
    <w:aliases w:val="List Bullet 1"/>
    <w:basedOn w:val="Normal"/>
    <w:uiPriority w:val="99"/>
    <w:unhideWhenUsed/>
    <w:rsid w:val="0011430B"/>
    <w:pPr>
      <w:numPr>
        <w:ilvl w:val="1"/>
        <w:numId w:val="1"/>
      </w:numPr>
      <w:ind w:left="1440"/>
      <w:contextualSpacing/>
    </w:pPr>
  </w:style>
  <w:style w:type="character" w:styleId="Strong">
    <w:name w:val="Strong"/>
    <w:basedOn w:val="DefaultParagraphFont"/>
    <w:uiPriority w:val="22"/>
    <w:rsid w:val="0011430B"/>
    <w:rPr>
      <w:b/>
      <w:bCs/>
    </w:rPr>
  </w:style>
  <w:style w:type="character" w:styleId="SubtleEmphasis">
    <w:name w:val="Subtle Emphasis"/>
    <w:basedOn w:val="DefaultParagraphFont"/>
    <w:uiPriority w:val="19"/>
    <w:rsid w:val="0011430B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D2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AC"/>
    <w:pPr>
      <w:spacing w:after="160" w:line="240" w:lineRule="auto"/>
    </w:pPr>
    <w:rPr>
      <w:rFonts w:asciiTheme="minorHAnsi" w:eastAsiaTheme="minorHAnsi" w:hAnsiTheme="minorHAnsi" w:cstheme="minorBidi"/>
      <w:w w:val="100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AC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D2C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w w:val="100"/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28"/>
    <w:pPr>
      <w:spacing w:after="200"/>
    </w:pPr>
    <w:rPr>
      <w:rFonts w:ascii="Calibri" w:eastAsia="Calibri" w:hAnsi="Calibri" w:cs="Calibri"/>
      <w:b/>
      <w:bCs/>
      <w:w w:val="105"/>
      <w:kern w:val="4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28"/>
    <w:rPr>
      <w:rFonts w:asciiTheme="minorHAnsi" w:eastAsiaTheme="minorHAnsi" w:hAnsiTheme="minorHAnsi" w:cs="Calibri"/>
      <w:b/>
      <w:bCs/>
      <w:w w:val="105"/>
      <w:kern w:val="40"/>
      <w:lang w:eastAsia="en-US"/>
    </w:rPr>
  </w:style>
  <w:style w:type="paragraph" w:styleId="Revision">
    <w:name w:val="Revision"/>
    <w:hidden/>
    <w:uiPriority w:val="99"/>
    <w:semiHidden/>
    <w:rsid w:val="00A92178"/>
    <w:rPr>
      <w:rFonts w:cs="Calibri"/>
      <w:w w:val="105"/>
      <w:kern w:val="40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35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14516"/>
    <w:rPr>
      <w:rFonts w:cs="Calibri"/>
      <w:w w:val="105"/>
      <w:kern w:val="4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8022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2023-03-22T03:17:00Z</dcterms:created>
  <dcterms:modified xsi:type="dcterms:W3CDTF">2024-01-29T04:49:00Z</dcterms:modified>
</cp:coreProperties>
</file>