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eastAsia="Times New Roman" w:hAnsi="Calibri Light" w:cs="Times New Roman"/>
          <w:b w:val="0"/>
          <w:noProof w:val="0"/>
          <w:color w:val="auto"/>
          <w:spacing w:val="0"/>
          <w:kern w:val="0"/>
          <w:sz w:val="22"/>
          <w:szCs w:val="20"/>
        </w:rPr>
        <w:id w:val="-1442289537"/>
        <w:docPartObj>
          <w:docPartGallery w:val="Cover Pages"/>
          <w:docPartUnique/>
        </w:docPartObj>
      </w:sdtPr>
      <w:sdtEndPr/>
      <w:sdtContent>
        <w:p w14:paraId="341FAB32" w14:textId="4C19788F" w:rsidR="00A97160" w:rsidRPr="004E1852" w:rsidRDefault="00A97160" w:rsidP="00942B84">
          <w:pPr>
            <w:pStyle w:val="Title"/>
          </w:pPr>
          <w:r w:rsidRPr="004E1852">
            <w:drawing>
              <wp:anchor distT="0" distB="0" distL="114300" distR="114300" simplePos="0" relativeHeight="251658240" behindDoc="1" locked="0" layoutInCell="1" allowOverlap="1" wp14:anchorId="289E8597" wp14:editId="103D9096">
                <wp:simplePos x="0" y="0"/>
                <wp:positionH relativeFrom="margin">
                  <wp:posOffset>-910369</wp:posOffset>
                </wp:positionH>
                <wp:positionV relativeFrom="page">
                  <wp:posOffset>-9939</wp:posOffset>
                </wp:positionV>
                <wp:extent cx="7570799" cy="107090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9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B84" w:rsidRPr="004E1852">
            <w:t xml:space="preserve">Economic Reform Roundtable </w:t>
          </w:r>
        </w:p>
        <w:p w14:paraId="3DF75BF4" w14:textId="54FFFF59" w:rsidR="00A97160" w:rsidRPr="007E0796" w:rsidRDefault="006E29D7" w:rsidP="007E0796">
          <w:pPr>
            <w:pStyle w:val="Subtitle"/>
          </w:pPr>
          <w:r>
            <w:t xml:space="preserve">Budget </w:t>
          </w:r>
          <w:r w:rsidR="00266D8D">
            <w:t>s</w:t>
          </w:r>
          <w:r>
            <w:t xml:space="preserve">ustainability </w:t>
          </w:r>
          <w:r w:rsidR="00266D8D">
            <w:t>and tax reform</w:t>
          </w:r>
        </w:p>
        <w:p w14:paraId="558F81B9" w14:textId="1291134C" w:rsidR="00A97160" w:rsidRPr="00942B84" w:rsidRDefault="00A97160" w:rsidP="00942B84">
          <w:pPr>
            <w:pStyle w:val="ReportDate"/>
          </w:pPr>
        </w:p>
        <w:p w14:paraId="7D706720" w14:textId="77777777" w:rsidR="00A97160" w:rsidRDefault="00A97160">
          <w:pPr>
            <w:spacing w:before="0" w:after="160" w:line="259" w:lineRule="auto"/>
          </w:pPr>
          <w:r>
            <w:br w:type="page"/>
          </w:r>
        </w:p>
      </w:sdtContent>
    </w:sdt>
    <w:p w14:paraId="67A19DAD" w14:textId="1EFB4133" w:rsidR="000E0B74" w:rsidRDefault="000E0B74" w:rsidP="005877AC">
      <w:pPr>
        <w:spacing w:before="0" w:after="160" w:line="259" w:lineRule="auto"/>
      </w:pPr>
      <w:r w:rsidRPr="00661BF0">
        <w:lastRenderedPageBreak/>
        <w:t xml:space="preserve">© Commonwealth of Australia </w:t>
      </w:r>
      <w:r w:rsidRPr="00866641">
        <w:t>20</w:t>
      </w:r>
      <w:r w:rsidR="00866641" w:rsidRPr="00866641">
        <w:t>25</w:t>
      </w:r>
    </w:p>
    <w:p w14:paraId="3E2AE9FD" w14:textId="06D98C29" w:rsidR="006469CC" w:rsidRPr="00A30513" w:rsidRDefault="006469CC" w:rsidP="00A75B97">
      <w:r>
        <w:t xml:space="preserve">ISBN: </w:t>
      </w:r>
      <w:r w:rsidR="00A30513" w:rsidRPr="00A30513">
        <w:t>978-1-923278-22-6</w:t>
      </w:r>
    </w:p>
    <w:p w14:paraId="499BBB94" w14:textId="1491B0F5" w:rsidR="00A30513" w:rsidRPr="00086F82" w:rsidRDefault="00A30513" w:rsidP="00A30513">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AC102B">
          <w:rPr>
            <w:rStyle w:val="Hyperlink"/>
          </w:rPr>
          <w:t>Creative Commons Attribution 4.0 International</w:t>
        </w:r>
      </w:hyperlink>
      <w:r>
        <w:rPr>
          <w:rFonts w:cstheme="minorHAnsi"/>
          <w:sz w:val="24"/>
          <w:szCs w:val="24"/>
        </w:rPr>
        <w:t xml:space="preserve"> </w:t>
      </w:r>
      <w:r w:rsidRPr="002F1BC2">
        <w:t xml:space="preserve">licence, with the exception of the Commonwealth Coat of Arms, the </w:t>
      </w:r>
      <w:r w:rsidRPr="00F92740">
        <w:t>Australian Government</w:t>
      </w:r>
      <w:r w:rsidRPr="002F1BC2">
        <w:t xml:space="preserve">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r>
        <w:rPr>
          <w:rFonts w:cstheme="minorHAnsi"/>
          <w:sz w:val="24"/>
          <w:szCs w:val="24"/>
        </w:rPr>
        <w:br/>
      </w:r>
      <w:hyperlink r:id="rId9" w:history="1">
        <w:r>
          <w:rPr>
            <w:rStyle w:val="Hyperlink"/>
          </w:rPr>
          <w:t>creativecommons.org/licenses/by/4.0/legal code</w:t>
        </w:r>
      </w:hyperlink>
      <w:r>
        <w:rPr>
          <w:rFonts w:cstheme="minorHAnsi"/>
          <w:sz w:val="24"/>
          <w:szCs w:val="24"/>
        </w:rPr>
        <w:t xml:space="preserve">. </w:t>
      </w:r>
    </w:p>
    <w:p w14:paraId="57A1BDAF" w14:textId="77777777" w:rsidR="000E0B74" w:rsidRDefault="000E0B74" w:rsidP="000E0B74">
      <w:pPr>
        <w:pStyle w:val="ChartGraphic"/>
        <w:jc w:val="left"/>
      </w:pPr>
      <w:r w:rsidRPr="00E56DFB">
        <w:rPr>
          <w:noProof/>
        </w:rPr>
        <w:drawing>
          <wp:inline distT="0" distB="0" distL="0" distR="0" wp14:anchorId="05657CAE" wp14:editId="216CE4E5">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2C62153" w14:textId="1D6E6BD5" w:rsidR="00A30513" w:rsidRPr="006627B4" w:rsidRDefault="00A30513" w:rsidP="00A30513">
      <w:pPr>
        <w:tabs>
          <w:tab w:val="left" w:pos="1650"/>
        </w:tabs>
      </w:pPr>
      <w:r w:rsidRPr="006627B4">
        <w:t xml:space="preserve">Use of </w:t>
      </w:r>
      <w:r w:rsidRPr="00F92740">
        <w:t>Australian Government</w:t>
      </w:r>
      <w:r w:rsidRPr="006627B4">
        <w:t xml:space="preserve"> material under a</w:t>
      </w:r>
      <w:r w:rsidRPr="00476F09">
        <w:rPr>
          <w:rFonts w:cstheme="minorHAnsi"/>
          <w:sz w:val="24"/>
          <w:szCs w:val="24"/>
        </w:rPr>
        <w:t xml:space="preserve"> </w:t>
      </w:r>
      <w:hyperlink r:id="rId11" w:history="1">
        <w:r w:rsidRPr="00AC102B">
          <w:rPr>
            <w:rStyle w:val="Hyperlink"/>
          </w:rPr>
          <w:t>Creative Commons Attribution 4.0 International</w:t>
        </w:r>
      </w:hyperlink>
      <w:r w:rsidRPr="00AC102B">
        <w:rPr>
          <w:rFonts w:ascii="Calibri" w:hAnsi="Calibri"/>
          <w:color w:val="000000"/>
        </w:rPr>
        <w:t xml:space="preserve"> </w:t>
      </w:r>
      <w:r w:rsidRPr="006627B4">
        <w:t xml:space="preserve">licence requires you to attribute the work (but not in any way that suggests that </w:t>
      </w:r>
      <w:r w:rsidR="00052B90">
        <w:t xml:space="preserve">the </w:t>
      </w:r>
      <w:r w:rsidRPr="00F92740">
        <w:t>Australian Government</w:t>
      </w:r>
      <w:r w:rsidRPr="006627B4">
        <w:t xml:space="preserve"> endorse</w:t>
      </w:r>
      <w:r>
        <w:t>s you or your use of the work).</w:t>
      </w:r>
    </w:p>
    <w:p w14:paraId="05F920DB" w14:textId="77777777" w:rsidR="00A30513" w:rsidRPr="00372D99" w:rsidRDefault="00A30513" w:rsidP="00A30513">
      <w:pPr>
        <w:rPr>
          <w:rStyle w:val="Strong"/>
        </w:rPr>
      </w:pPr>
      <w:r w:rsidRPr="00F92740">
        <w:rPr>
          <w:b/>
          <w:bCs/>
        </w:rPr>
        <w:t>Australian Government</w:t>
      </w:r>
      <w:r w:rsidRPr="00372D99">
        <w:rPr>
          <w:rStyle w:val="Strong"/>
        </w:rPr>
        <w:t xml:space="preserve"> material used </w:t>
      </w:r>
      <w:r>
        <w:rPr>
          <w:rStyle w:val="Strong"/>
        </w:rPr>
        <w:t>‘</w:t>
      </w:r>
      <w:r w:rsidRPr="00372D99">
        <w:rPr>
          <w:rStyle w:val="Strong"/>
        </w:rPr>
        <w:t>as supplied</w:t>
      </w:r>
      <w:r>
        <w:rPr>
          <w:rStyle w:val="Strong"/>
        </w:rPr>
        <w:t>’</w:t>
      </w:r>
    </w:p>
    <w:p w14:paraId="416E31C6" w14:textId="77777777" w:rsidR="00A30513" w:rsidRPr="00476F09" w:rsidRDefault="00A30513" w:rsidP="00A30513">
      <w:r w:rsidRPr="00476F09">
        <w:t xml:space="preserve">Provided you have not modified or transformed </w:t>
      </w:r>
      <w:r w:rsidRPr="00F92740">
        <w:t>Australian Government</w:t>
      </w:r>
      <w:r w:rsidRPr="006627B4">
        <w:t xml:space="preserve"> </w:t>
      </w:r>
      <w:r w:rsidRPr="00476F09">
        <w:t>material in any way including, for example, by</w:t>
      </w:r>
      <w:r>
        <w:t xml:space="preserve"> </w:t>
      </w:r>
      <w:r w:rsidRPr="0096692D">
        <w:t xml:space="preserve">changing the </w:t>
      </w:r>
      <w:r w:rsidRPr="00F92740">
        <w:t>Australian Government</w:t>
      </w:r>
      <w:r w:rsidRPr="006627B4">
        <w:t xml:space="preserve"> </w:t>
      </w:r>
      <w:r w:rsidRPr="0096692D">
        <w:t>text; calculating percentage changes; graphing or charting data</w:t>
      </w:r>
      <w:r>
        <w:t>;</w:t>
      </w:r>
      <w:r w:rsidRPr="0096692D">
        <w:t xml:space="preserve"> or deriving new statistics from published </w:t>
      </w:r>
      <w:r w:rsidRPr="00F92740">
        <w:t>Australian Government</w:t>
      </w:r>
      <w:r w:rsidRPr="006627B4">
        <w:t xml:space="preserve"> </w:t>
      </w:r>
      <w:r w:rsidRPr="0096692D">
        <w:t>statistics</w:t>
      </w:r>
      <w:r>
        <w:t xml:space="preserve"> – then </w:t>
      </w:r>
      <w:r w:rsidRPr="00F92740">
        <w:t>Australian Government</w:t>
      </w:r>
      <w:r w:rsidRPr="006627B4">
        <w:t xml:space="preserve"> </w:t>
      </w:r>
      <w:r>
        <w:t>prefers t</w:t>
      </w:r>
      <w:r w:rsidRPr="00476F09">
        <w:t xml:space="preserve">he following attribution: </w:t>
      </w:r>
    </w:p>
    <w:p w14:paraId="3B785CF3" w14:textId="77777777" w:rsidR="00A30513" w:rsidRPr="00372D99" w:rsidRDefault="00A30513" w:rsidP="00A30513">
      <w:pPr>
        <w:ind w:firstLine="720"/>
        <w:rPr>
          <w:rStyle w:val="Emphasis"/>
        </w:rPr>
      </w:pPr>
      <w:r w:rsidRPr="00372D99">
        <w:t>Source:</w:t>
      </w:r>
      <w:r w:rsidRPr="00372D99">
        <w:rPr>
          <w:rStyle w:val="Emphasis"/>
        </w:rPr>
        <w:t xml:space="preserve"> </w:t>
      </w:r>
      <w:r w:rsidRPr="00F92740">
        <w:rPr>
          <w:rStyle w:val="Emphasis"/>
        </w:rPr>
        <w:t>The Commonwealth of Australia.</w:t>
      </w:r>
    </w:p>
    <w:p w14:paraId="1392B3A4" w14:textId="77777777" w:rsidR="00A30513" w:rsidRPr="00372D99" w:rsidRDefault="00A30513" w:rsidP="00A30513">
      <w:pPr>
        <w:rPr>
          <w:rStyle w:val="Strong"/>
        </w:rPr>
      </w:pPr>
      <w:r w:rsidRPr="00372D99">
        <w:rPr>
          <w:rStyle w:val="Strong"/>
        </w:rPr>
        <w:t>Derivative material</w:t>
      </w:r>
    </w:p>
    <w:p w14:paraId="7E025A7D" w14:textId="77777777" w:rsidR="00A30513" w:rsidRPr="006627B4" w:rsidRDefault="00A30513" w:rsidP="00A30513">
      <w:r w:rsidRPr="006627B4">
        <w:t xml:space="preserve">If you have modified or transformed </w:t>
      </w:r>
      <w:r w:rsidRPr="00F92740">
        <w:t>Australian Government</w:t>
      </w:r>
      <w:r w:rsidRPr="006627B4">
        <w:t xml:space="preserve"> material, or derived new material from those of the </w:t>
      </w:r>
      <w:r w:rsidRPr="00F92740">
        <w:t>Australian Government</w:t>
      </w:r>
      <w:r w:rsidRPr="006627B4">
        <w:t xml:space="preserve"> in any way, then </w:t>
      </w:r>
      <w:r w:rsidRPr="00F92740">
        <w:t>Australian Government</w:t>
      </w:r>
      <w:r w:rsidRPr="006627B4">
        <w:t xml:space="preserve"> prefers the following attribution: </w:t>
      </w:r>
    </w:p>
    <w:p w14:paraId="3B566B4A" w14:textId="77777777" w:rsidR="00A30513" w:rsidRPr="00372D99" w:rsidRDefault="00A30513" w:rsidP="00A30513">
      <w:pPr>
        <w:ind w:firstLine="720"/>
        <w:rPr>
          <w:rStyle w:val="Emphasis"/>
        </w:rPr>
      </w:pPr>
      <w:r w:rsidRPr="00372D99">
        <w:rPr>
          <w:rStyle w:val="Emphasis"/>
        </w:rPr>
        <w:t xml:space="preserve">Based on </w:t>
      </w:r>
      <w:r w:rsidRPr="00F92740">
        <w:rPr>
          <w:rStyle w:val="Emphasis"/>
        </w:rPr>
        <w:t>Commonwealth of Australia</w:t>
      </w:r>
      <w:r w:rsidRPr="00AC2B70" w:rsidDel="002A3368">
        <w:rPr>
          <w:rStyle w:val="Emphasis"/>
        </w:rPr>
        <w:t xml:space="preserve"> </w:t>
      </w:r>
      <w:r w:rsidRPr="00372D99">
        <w:rPr>
          <w:rStyle w:val="Emphasis"/>
        </w:rPr>
        <w:t>data.</w:t>
      </w:r>
    </w:p>
    <w:p w14:paraId="7D5ED5B6" w14:textId="77777777" w:rsidR="00A30513" w:rsidRPr="00372D99" w:rsidRDefault="00A30513" w:rsidP="00A30513">
      <w:pPr>
        <w:rPr>
          <w:rStyle w:val="Strong"/>
        </w:rPr>
      </w:pPr>
      <w:r w:rsidRPr="00372D99">
        <w:rPr>
          <w:rStyle w:val="Strong"/>
        </w:rPr>
        <w:t>Use of the Coat of Arms</w:t>
      </w:r>
    </w:p>
    <w:p w14:paraId="3A39B389" w14:textId="77777777" w:rsidR="00A30513" w:rsidRPr="005C503A" w:rsidRDefault="00A30513" w:rsidP="00A30513">
      <w:r w:rsidRPr="005C503A">
        <w:t xml:space="preserve">The terms under which the Coat of Arms can be used are set out on the Department of the Prime Minister and Cabinet website (see </w:t>
      </w:r>
      <w:hyperlink r:id="rId12" w:history="1">
        <w:r>
          <w:rPr>
            <w:rStyle w:val="Hyperlink"/>
          </w:rPr>
          <w:t>www.pmc.gov.au/government/commonwealth</w:t>
        </w:r>
        <w:r>
          <w:rPr>
            <w:rStyle w:val="Hyperlink"/>
          </w:rPr>
          <w:noBreakHyphen/>
          <w:t>coat</w:t>
        </w:r>
        <w:r>
          <w:rPr>
            <w:rStyle w:val="Hyperlink"/>
          </w:rPr>
          <w:noBreakHyphen/>
          <w:t>arms</w:t>
        </w:r>
      </w:hyperlink>
      <w:r w:rsidRPr="005C503A">
        <w:t>).</w:t>
      </w:r>
    </w:p>
    <w:p w14:paraId="52A95188" w14:textId="77777777" w:rsidR="00A30513" w:rsidRPr="00372D99" w:rsidRDefault="00A30513" w:rsidP="00A30513">
      <w:pPr>
        <w:rPr>
          <w:rStyle w:val="Strong"/>
        </w:rPr>
      </w:pPr>
      <w:r w:rsidRPr="00372D99">
        <w:rPr>
          <w:rStyle w:val="Strong"/>
        </w:rPr>
        <w:t>Other uses</w:t>
      </w:r>
    </w:p>
    <w:p w14:paraId="44A9A22D" w14:textId="77777777" w:rsidR="00A30513" w:rsidRPr="006627B4" w:rsidRDefault="00A30513" w:rsidP="00A30513">
      <w:r>
        <w:t>E</w:t>
      </w:r>
      <w:r w:rsidRPr="006627B4">
        <w:t>nquiries regarding this licence and any other use of this document are welcome at:</w:t>
      </w:r>
    </w:p>
    <w:p w14:paraId="6BA9701D" w14:textId="77777777" w:rsidR="00DF7CBD" w:rsidRDefault="000E0B74" w:rsidP="00DF7CBD">
      <w:pPr>
        <w:ind w:left="720"/>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386297">
          <w:rPr>
            <w:rStyle w:val="Hyperlink"/>
          </w:rPr>
          <w:t>media@treasury.gov.au</w:t>
        </w:r>
      </w:hyperlink>
    </w:p>
    <w:p w14:paraId="05E9F333" w14:textId="23E1FB5E" w:rsidR="00C13326" w:rsidRPr="00C13326" w:rsidRDefault="00C13326" w:rsidP="00C13326">
      <w:pPr>
        <w:rPr>
          <w:rStyle w:val="Emphasis"/>
        </w:rPr>
      </w:pPr>
      <w:r w:rsidRPr="00C13326">
        <w:rPr>
          <w:rStyle w:val="Emphasis"/>
        </w:rPr>
        <w:t xml:space="preserve">In the spirit of reconciliation, the </w:t>
      </w:r>
      <w:r w:rsidR="00DD53B7">
        <w:rPr>
          <w:rStyle w:val="Emphasis"/>
        </w:rPr>
        <w:t>Australian Government</w:t>
      </w:r>
      <w:r w:rsidRPr="00C13326">
        <w:rPr>
          <w:rStyle w:val="Emphasis"/>
        </w:rPr>
        <w:t xml:space="preserve"> acknowledges the Traditional Custodians of country throughout Australia and their connections to land, sea and community. We pay our respect to their Elders past and present and extend that respect to all Aboriginal and Torres Strait Islander peoples.</w:t>
      </w:r>
    </w:p>
    <w:p w14:paraId="2F11BC84" w14:textId="77777777" w:rsidR="00D32709" w:rsidRDefault="00D32709" w:rsidP="00D32709"/>
    <w:p w14:paraId="5679F2D0" w14:textId="77777777" w:rsidR="00D32709" w:rsidRPr="00D32709" w:rsidRDefault="00D32709" w:rsidP="00D32709">
      <w:pPr>
        <w:sectPr w:rsidR="00D32709" w:rsidRPr="00D32709" w:rsidSect="004506A5">
          <w:pgSz w:w="11906" w:h="16838" w:code="9"/>
          <w:pgMar w:top="1843" w:right="1418" w:bottom="1418" w:left="1418" w:header="709" w:footer="709" w:gutter="0"/>
          <w:pgNumType w:fmt="lowerRoman" w:start="0"/>
          <w:cols w:space="708"/>
          <w:titlePg/>
          <w:docGrid w:linePitch="360"/>
        </w:sectPr>
      </w:pPr>
    </w:p>
    <w:p w14:paraId="0BA428EC" w14:textId="77777777" w:rsidR="001F5441" w:rsidRDefault="001F5441" w:rsidP="001F5441">
      <w:pPr>
        <w:pStyle w:val="Heading1"/>
      </w:pPr>
      <w:r>
        <w:lastRenderedPageBreak/>
        <w:t>Budget sustainability and tax reform</w:t>
      </w:r>
    </w:p>
    <w:p w14:paraId="0C7FA20E" w14:textId="77777777" w:rsidR="001F5441" w:rsidRPr="00240B97" w:rsidRDefault="001F5441" w:rsidP="001F5441">
      <w:pPr>
        <w:rPr>
          <w:b/>
          <w:bCs/>
          <w:szCs w:val="22"/>
        </w:rPr>
      </w:pPr>
      <w:r w:rsidRPr="00240B97">
        <w:rPr>
          <w:bCs/>
          <w:szCs w:val="22"/>
        </w:rPr>
        <w:t>Budget sustainability is a critical foundation to growing living standards over time. It ensures we can sustainably fund the services Australians rely on, respond to shocks and maintain the confidence of international capital markets.</w:t>
      </w:r>
    </w:p>
    <w:p w14:paraId="59BCE949" w14:textId="75ABBDB8" w:rsidR="001F5441" w:rsidRDefault="001F5441" w:rsidP="001F5441">
      <w:pPr>
        <w:rPr>
          <w:bCs/>
          <w:szCs w:val="22"/>
        </w:rPr>
      </w:pPr>
      <w:r w:rsidRPr="00240B97">
        <w:rPr>
          <w:bCs/>
          <w:szCs w:val="22"/>
        </w:rPr>
        <w:t>The structure of our tax system is an important component of budget sustainability, along with high quality and efficient government spending. Our tax system and quality of public spending also have important implications for productivity and intergenerational equity.</w:t>
      </w:r>
    </w:p>
    <w:p w14:paraId="6E868607" w14:textId="77777777" w:rsidR="001F5441" w:rsidRDefault="001F5441" w:rsidP="001F5441">
      <w:pPr>
        <w:pBdr>
          <w:bottom w:val="single" w:sz="6" w:space="1" w:color="auto"/>
        </w:pBdr>
      </w:pPr>
    </w:p>
    <w:p w14:paraId="26212E26" w14:textId="08D11FC8" w:rsidR="00831E47" w:rsidRPr="00E9024B" w:rsidRDefault="00DA2825" w:rsidP="00E9024B">
      <w:pPr>
        <w:pStyle w:val="Heading1"/>
      </w:pPr>
      <w:r w:rsidRPr="00E9024B">
        <w:t>Recent trends</w:t>
      </w:r>
    </w:p>
    <w:p w14:paraId="3095BA41" w14:textId="462C56AC" w:rsidR="00A81C2C" w:rsidRPr="000B7514" w:rsidRDefault="00A81C2C" w:rsidP="000B7514">
      <w:pPr>
        <w:pStyle w:val="Bullet"/>
      </w:pPr>
      <w:r w:rsidRPr="000B7514">
        <w:t>Australia has one of the strongest fiscal positions amongst peer economies. This includes lower general government debt-to-GDP than the G20 average and all major advanced economies, and smaller deficits expected in 2025 than most (Charts 1 and 2).</w:t>
      </w:r>
    </w:p>
    <w:p w14:paraId="7B172434" w14:textId="77777777" w:rsidR="00A81C2C" w:rsidRPr="000B7514" w:rsidRDefault="00A81C2C" w:rsidP="000B7514">
      <w:pPr>
        <w:pStyle w:val="Bullet"/>
      </w:pPr>
      <w:r w:rsidRPr="000B7514">
        <w:t>Australia is one of only nine countries to maintain a AAA sovereign credit rating from all three major ratings agencies.</w:t>
      </w:r>
    </w:p>
    <w:tbl>
      <w:tblPr>
        <w:tblStyle w:val="TableGrid"/>
        <w:tblW w:w="0" w:type="auto"/>
        <w:tblLook w:val="04A0" w:firstRow="1" w:lastRow="0" w:firstColumn="1" w:lastColumn="0" w:noHBand="0" w:noVBand="1"/>
      </w:tblPr>
      <w:tblGrid>
        <w:gridCol w:w="4536"/>
        <w:gridCol w:w="4536"/>
      </w:tblGrid>
      <w:tr w:rsidR="004E520D" w14:paraId="4F28A767" w14:textId="77777777" w:rsidTr="00E43619">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auto"/>
          </w:tcPr>
          <w:p w14:paraId="5A072512" w14:textId="3C53F6BF" w:rsidR="004E520D" w:rsidRPr="00D60656" w:rsidRDefault="00B84996" w:rsidP="00023ECC">
            <w:pPr>
              <w:pStyle w:val="ChartSecondHeading"/>
            </w:pPr>
            <w:r w:rsidRPr="00D60656">
              <w:t>Chart 1: International comparison of general government gross debt (2025)</w:t>
            </w:r>
          </w:p>
        </w:tc>
        <w:tc>
          <w:tcPr>
            <w:tcW w:w="4536" w:type="dxa"/>
            <w:shd w:val="clear" w:color="auto" w:fill="auto"/>
          </w:tcPr>
          <w:p w14:paraId="5F25FB5A" w14:textId="2744DEAE" w:rsidR="004E520D" w:rsidRPr="00D60656" w:rsidRDefault="000C6EC7" w:rsidP="00023ECC">
            <w:pPr>
              <w:pStyle w:val="ChartSecondHeading"/>
            </w:pPr>
            <w:r w:rsidRPr="00D60656">
              <w:t>Chart 2: International comparison of general government fiscal balance (2025)</w:t>
            </w:r>
          </w:p>
        </w:tc>
      </w:tr>
      <w:tr w:rsidR="004E520D" w14:paraId="58F37AED" w14:textId="77777777" w:rsidTr="00E43619">
        <w:tc>
          <w:tcPr>
            <w:tcW w:w="4536" w:type="dxa"/>
          </w:tcPr>
          <w:p w14:paraId="5986F25F" w14:textId="3D6C37CD" w:rsidR="004E520D" w:rsidRDefault="00C92F48" w:rsidP="00C468B2">
            <w:pPr>
              <w:jc w:val="center"/>
            </w:pPr>
            <w:r w:rsidRPr="00322A74">
              <w:rPr>
                <w:noProof/>
              </w:rPr>
              <w:drawing>
                <wp:inline distT="0" distB="0" distL="0" distR="0" wp14:anchorId="7BA581FF" wp14:editId="1778FB44">
                  <wp:extent cx="2296795" cy="2428875"/>
                  <wp:effectExtent l="0" t="0" r="8255" b="0"/>
                  <wp:docPr id="2087578265" name="Picture 2" descr="This chart shows International Monetary Fund projections of the general government gross debt-to-GDP ratio of Australia, selected advanced economies, and the average of G20 economies for the 2025 calendar year. Australia’s general government debt as a share of GDP is expected to be 50.9 per cent in 2025. This compares to the advanced economy average of 110.1 per cent in 2025. The estimate of Commonwealth government debt as a share of GDP in 2024-25, represented by a black dot, is 33.7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78265" name="Picture 2" descr="This chart shows International Monetary Fund projections of the general government gross debt-to-GDP ratio of Australia, selected advanced economies, and the average of G20 economies for the 2025 calendar year. Australia’s general government debt as a share of GDP is expected to be 50.9 per cent in 2025. This compares to the advanced economy average of 110.1 per cent in 2025. The estimate of Commonwealth government debt as a share of GDP in 2024-25, represented by a black dot, is 33.7 per c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6795" cy="2428875"/>
                          </a:xfrm>
                          <a:prstGeom prst="rect">
                            <a:avLst/>
                          </a:prstGeom>
                          <a:noFill/>
                          <a:ln>
                            <a:noFill/>
                          </a:ln>
                        </pic:spPr>
                      </pic:pic>
                    </a:graphicData>
                  </a:graphic>
                </wp:inline>
              </w:drawing>
            </w:r>
          </w:p>
          <w:p w14:paraId="65AAEFFC" w14:textId="223DB882" w:rsidR="00095040" w:rsidRPr="004E1ABF" w:rsidRDefault="002B4537" w:rsidP="00023ECC">
            <w:pPr>
              <w:pStyle w:val="ChartorTableNote"/>
            </w:pPr>
            <w:r w:rsidRPr="004E1ABF">
              <w:t>Source: Treasury, International Monetary Fund.</w:t>
            </w:r>
          </w:p>
        </w:tc>
        <w:tc>
          <w:tcPr>
            <w:tcW w:w="4536" w:type="dxa"/>
          </w:tcPr>
          <w:p w14:paraId="58917DA8" w14:textId="5FF5C219" w:rsidR="004E520D" w:rsidRDefault="007C73F2" w:rsidP="00095040">
            <w:pPr>
              <w:jc w:val="center"/>
            </w:pPr>
            <w:r w:rsidRPr="006727FC">
              <w:rPr>
                <w:noProof/>
              </w:rPr>
              <w:drawing>
                <wp:inline distT="0" distB="0" distL="0" distR="0" wp14:anchorId="7224238E" wp14:editId="6F74F3B2">
                  <wp:extent cx="2296795" cy="2428875"/>
                  <wp:effectExtent l="0" t="0" r="8255" b="0"/>
                  <wp:docPr id="2134055634" name="Picture 3" descr="This chart shows International Monetary Fund projections of the general government fiscal balance to GDP ratio of Australia, selected advanced economies and the average of G20 economies for the 2025 calendar year. Australia’s general government fiscal balance as a share of GDP is expected to be -2.6 per cent in 2025. This compares to the advanced economy average of -4.3 per cent in 2025. The estimate of the Commonwealth fiscal balance as a share of GDP in 2024-25, represented by a black dot, is -1.8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55634" name="Picture 3" descr="This chart shows International Monetary Fund projections of the general government fiscal balance to GDP ratio of Australia, selected advanced economies and the average of G20 economies for the 2025 calendar year. Australia’s general government fiscal balance as a share of GDP is expected to be -2.6 per cent in 2025. This compares to the advanced economy average of -4.3 per cent in 2025. The estimate of the Commonwealth fiscal balance as a share of GDP in 2024-25, represented by a black dot, is -1.8 per c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6795" cy="2428875"/>
                          </a:xfrm>
                          <a:prstGeom prst="rect">
                            <a:avLst/>
                          </a:prstGeom>
                          <a:noFill/>
                          <a:ln>
                            <a:noFill/>
                          </a:ln>
                        </pic:spPr>
                      </pic:pic>
                    </a:graphicData>
                  </a:graphic>
                </wp:inline>
              </w:drawing>
            </w:r>
          </w:p>
          <w:p w14:paraId="69C58105" w14:textId="32FFE550" w:rsidR="00BF2054" w:rsidRPr="004E1ABF" w:rsidRDefault="00BF2054" w:rsidP="00023ECC">
            <w:pPr>
              <w:pStyle w:val="ChartorTableNote"/>
            </w:pPr>
            <w:r w:rsidRPr="004E1ABF">
              <w:t>Source: Treasury, International Monetary Fund.</w:t>
            </w:r>
          </w:p>
        </w:tc>
      </w:tr>
    </w:tbl>
    <w:p w14:paraId="7D637F83" w14:textId="7EDE0B11" w:rsidR="00BA7611" w:rsidRPr="000B7514" w:rsidRDefault="00BA7611" w:rsidP="00C854EA">
      <w:pPr>
        <w:pStyle w:val="Bullet"/>
        <w:spacing w:before="240"/>
      </w:pPr>
      <w:r w:rsidRPr="000B7514">
        <w:t>Budget surpluses were delivered in 2022</w:t>
      </w:r>
      <w:r w:rsidR="003A0CA3">
        <w:t>–</w:t>
      </w:r>
      <w:r w:rsidRPr="000B7514">
        <w:t>23 and in 2023</w:t>
      </w:r>
      <w:r w:rsidR="003A0CA3">
        <w:t>–</w:t>
      </w:r>
      <w:r w:rsidRPr="000B7514">
        <w:t>24. This was the first time in almost two</w:t>
      </w:r>
      <w:r w:rsidR="0031674A">
        <w:t> </w:t>
      </w:r>
      <w:r w:rsidRPr="000B7514">
        <w:t xml:space="preserve">decades that consecutive surpluses were achieved. </w:t>
      </w:r>
    </w:p>
    <w:p w14:paraId="6D1FCC22" w14:textId="54EDB60F" w:rsidR="00BA7611" w:rsidRPr="000B7514" w:rsidRDefault="00BA7611" w:rsidP="000B7514">
      <w:pPr>
        <w:pStyle w:val="Bullet"/>
      </w:pPr>
      <w:r w:rsidRPr="000B7514">
        <w:t>The return to surplus was primarily driven by lower payments, with payments as a share of GDP falling from its peak of 31.4 per cent of GDP in 2020</w:t>
      </w:r>
      <w:r w:rsidR="003A0CA3">
        <w:t>–</w:t>
      </w:r>
      <w:r w:rsidRPr="000B7514">
        <w:t>21 to 24.4 per cent of GDP in 2022</w:t>
      </w:r>
      <w:r w:rsidR="003A0CA3">
        <w:t>–</w:t>
      </w:r>
      <w:r w:rsidRPr="000B7514">
        <w:t xml:space="preserve">23. The reduction in payments reflects the end of pandemic support, limiting real spending growth, and finding savings. </w:t>
      </w:r>
    </w:p>
    <w:p w14:paraId="77E724D1" w14:textId="0255F9F4" w:rsidR="00BA7611" w:rsidRPr="000B7514" w:rsidRDefault="00BA7611" w:rsidP="000B7514">
      <w:pPr>
        <w:pStyle w:val="Bullet"/>
      </w:pPr>
      <w:r w:rsidRPr="000B7514">
        <w:lastRenderedPageBreak/>
        <w:t>Tax receipts also contributed to the improvement in the budget position, with taxation as a share of GDP rising from 22.7 per cent of GDP in 2020</w:t>
      </w:r>
      <w:r w:rsidR="003A0CA3">
        <w:t>–</w:t>
      </w:r>
      <w:r w:rsidRPr="000B7514">
        <w:t>21 to 23.4 per cent of GDP in 2022</w:t>
      </w:r>
      <w:r w:rsidR="003A0CA3">
        <w:t>–</w:t>
      </w:r>
      <w:r w:rsidRPr="000B7514">
        <w:t xml:space="preserve">23 (Chart 3). </w:t>
      </w:r>
    </w:p>
    <w:p w14:paraId="797C587D" w14:textId="32E15EDA" w:rsidR="00BA7611" w:rsidRPr="000B7514" w:rsidRDefault="00BA7611" w:rsidP="000B7514">
      <w:pPr>
        <w:pStyle w:val="Bullet"/>
      </w:pPr>
      <w:r w:rsidRPr="000B7514">
        <w:t>The Budget is expected to have returned to deficit in 2024</w:t>
      </w:r>
      <w:r w:rsidR="003A0CA3">
        <w:t>–</w:t>
      </w:r>
      <w:r w:rsidRPr="000B7514">
        <w:t xml:space="preserve">25. The Budget has been in deficit for 14 out of the last 20 years, including every year in the decade prior to COVID. </w:t>
      </w:r>
      <w:r w:rsidR="00E006D7">
        <w:t>Preliminary advice indicates that</w:t>
      </w:r>
      <w:r w:rsidRPr="000B7514">
        <w:t xml:space="preserve"> the deficit</w:t>
      </w:r>
      <w:r w:rsidR="00E006D7">
        <w:t xml:space="preserve"> in 2024</w:t>
      </w:r>
      <w:r w:rsidR="003A0CA3">
        <w:t>–</w:t>
      </w:r>
      <w:r w:rsidR="00E006D7">
        <w:t>25</w:t>
      </w:r>
      <w:r w:rsidRPr="000B7514">
        <w:t xml:space="preserve"> is expected to be around ½ per cent of GDP</w:t>
      </w:r>
      <w:r w:rsidR="00F5619C">
        <w:t>, around half the size of the estimated deficit at the 2025</w:t>
      </w:r>
      <w:r w:rsidR="003A0CA3">
        <w:t>–</w:t>
      </w:r>
      <w:r w:rsidR="00F5619C">
        <w:t>26 Budget</w:t>
      </w:r>
      <w:r w:rsidRPr="000B7514">
        <w:t>.</w:t>
      </w:r>
      <w:r w:rsidRPr="000B7514" w:rsidDel="00F751E0">
        <w:t xml:space="preserve"> </w:t>
      </w:r>
      <w:r w:rsidRPr="000B7514">
        <w:t xml:space="preserve">The </w:t>
      </w:r>
      <w:r w:rsidR="006E1BDA">
        <w:t>B</w:t>
      </w:r>
      <w:r w:rsidRPr="000B7514">
        <w:t xml:space="preserve">udget is forecast to continue to be in deficit over the forward estimates by an average of 1.2 per cent of GDP. Over the decade prior to COVID, deficits averaged 2.2 per cent of GDP. </w:t>
      </w:r>
    </w:p>
    <w:p w14:paraId="325BA946" w14:textId="096CA17B" w:rsidR="00BA7611" w:rsidRPr="000B7514" w:rsidRDefault="00BA7611" w:rsidP="000B7514">
      <w:pPr>
        <w:pStyle w:val="Bullet"/>
      </w:pPr>
      <w:r w:rsidRPr="000B7514">
        <w:t>The return to deficit reflects higher payments and lower receipts. Payments as a share of GDP are forecast to rise from 25.2 per cent of GDP in 2023</w:t>
      </w:r>
      <w:r w:rsidR="003A0CA3">
        <w:t>–</w:t>
      </w:r>
      <w:r w:rsidRPr="000B7514">
        <w:t>24 to 26.4 per cent of GDP in 2028</w:t>
      </w:r>
      <w:r w:rsidR="003A0CA3">
        <w:t>–</w:t>
      </w:r>
      <w:r w:rsidRPr="000B7514">
        <w:t>29. Receipts as a share of GDP are forecast to fall from 25.8 per cent of GDP in 2023</w:t>
      </w:r>
      <w:r w:rsidR="003A0CA3">
        <w:t>–</w:t>
      </w:r>
      <w:r w:rsidRPr="000B7514">
        <w:t>24 to 25.3 per cent of GDP in 2028</w:t>
      </w:r>
      <w:r w:rsidR="003A0CA3">
        <w:t>–</w:t>
      </w:r>
      <w:r w:rsidRPr="000B7514">
        <w:t>29.</w:t>
      </w:r>
    </w:p>
    <w:tbl>
      <w:tblPr>
        <w:tblStyle w:val="TableGrid"/>
        <w:tblW w:w="0" w:type="auto"/>
        <w:tblLook w:val="04A0" w:firstRow="1" w:lastRow="0" w:firstColumn="1" w:lastColumn="0" w:noHBand="0" w:noVBand="1"/>
      </w:tblPr>
      <w:tblGrid>
        <w:gridCol w:w="9072"/>
      </w:tblGrid>
      <w:tr w:rsidR="00344047" w14:paraId="33973400" w14:textId="77777777" w:rsidTr="006C4017">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p w14:paraId="42D65567" w14:textId="2537C1F0" w:rsidR="00344047" w:rsidRPr="00F2542A" w:rsidRDefault="00C03637" w:rsidP="000A7675">
            <w:pPr>
              <w:pStyle w:val="ChartSecondHeading"/>
              <w:spacing w:after="0"/>
            </w:pPr>
            <w:r w:rsidRPr="00851766">
              <w:t>Chart 3: Payments and receipts</w:t>
            </w:r>
            <w:r w:rsidR="0024435C" w:rsidRPr="009C27F2">
              <w:t>, 2025</w:t>
            </w:r>
            <w:r w:rsidR="003A0CA3">
              <w:t>–</w:t>
            </w:r>
            <w:r w:rsidR="0024435C" w:rsidRPr="009C27F2">
              <w:t>26 Budget</w:t>
            </w:r>
          </w:p>
        </w:tc>
      </w:tr>
      <w:tr w:rsidR="00344047" w14:paraId="42B73A7B" w14:textId="77777777" w:rsidTr="006C4017">
        <w:trPr>
          <w:trHeight w:val="3494"/>
        </w:trPr>
        <w:tc>
          <w:tcPr>
            <w:tcW w:w="9072" w:type="dxa"/>
          </w:tcPr>
          <w:p w14:paraId="4AB2A6D6" w14:textId="77705401" w:rsidR="00344047" w:rsidRDefault="00632FAC" w:rsidP="000A7675">
            <w:pPr>
              <w:spacing w:before="0" w:after="0"/>
              <w:jc w:val="center"/>
            </w:pPr>
            <w:r w:rsidRPr="00632FAC">
              <w:rPr>
                <w:noProof/>
              </w:rPr>
              <w:drawing>
                <wp:inline distT="0" distB="0" distL="0" distR="0" wp14:anchorId="54C263F8" wp14:editId="32666644">
                  <wp:extent cx="5400675" cy="2524125"/>
                  <wp:effectExtent l="0" t="0" r="0" b="0"/>
                  <wp:docPr id="1546238002" name="Picture 2" descr="This line chart shows projections for total payments and total receipts as a share of GDP. Historically receipts and payments have typically varied between 22 and 26 per cent of GDP, with spikes in payments-to-GDP and falls in receipts-to-GDP following economic downturns. Total payments are projected to remain elevated above historic levels in the projection period - increasing from 26.2 per cent of GDP in 2024-25 to 26.8 per cent of GDP in 2035-36. Total receipts are projected to increase from 25.3 per cent of GDP in 2024-25 to 26.8 per cent of GDP in 20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38002" name="Picture 2" descr="This line chart shows projections for total payments and total receipts as a share of GDP. Historically receipts and payments have typically varied between 22 and 26 per cent of GDP, with spikes in payments-to-GDP and falls in receipts-to-GDP following economic downturns. Total payments are projected to remain elevated above historic levels in the projection period - increasing from 26.2 per cent of GDP in 2024-25 to 26.8 per cent of GDP in 2035-36. Total receipts are projected to increase from 25.3 per cent of GDP in 2024-25 to 26.8 per cent of GDP in 2035-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2524125"/>
                          </a:xfrm>
                          <a:prstGeom prst="rect">
                            <a:avLst/>
                          </a:prstGeom>
                          <a:noFill/>
                          <a:ln>
                            <a:noFill/>
                          </a:ln>
                        </pic:spPr>
                      </pic:pic>
                    </a:graphicData>
                  </a:graphic>
                </wp:inline>
              </w:drawing>
            </w:r>
          </w:p>
        </w:tc>
      </w:tr>
      <w:tr w:rsidR="00344047" w14:paraId="07ABBA8E" w14:textId="77777777" w:rsidTr="006C4017">
        <w:tc>
          <w:tcPr>
            <w:tcW w:w="9072" w:type="dxa"/>
          </w:tcPr>
          <w:p w14:paraId="0A4B5941" w14:textId="257FBDCC" w:rsidR="00344047" w:rsidRPr="00023ECC" w:rsidRDefault="00F2542A" w:rsidP="00023ECC">
            <w:pPr>
              <w:pStyle w:val="ChartorTableNote"/>
            </w:pPr>
            <w:r w:rsidRPr="00023ECC">
              <w:t>Source: Treasury.</w:t>
            </w:r>
          </w:p>
        </w:tc>
      </w:tr>
    </w:tbl>
    <w:p w14:paraId="5DED6183" w14:textId="7EC90E78" w:rsidR="00030371" w:rsidRPr="000B7514" w:rsidRDefault="00030371" w:rsidP="00C854EA">
      <w:pPr>
        <w:pStyle w:val="Bullet"/>
        <w:spacing w:before="240"/>
      </w:pPr>
      <w:r w:rsidRPr="000B7514">
        <w:t>Since the Global Financial Crisis, the Australian Government’s gross debt has grown steadily, before sharply increasing during COVID to reach a peak of 39.1 per cent in 2020</w:t>
      </w:r>
      <w:r w:rsidR="003A0CA3">
        <w:t>–</w:t>
      </w:r>
      <w:r w:rsidRPr="000B7514">
        <w:t>21 (Chart 4). Fiscal repair since then has seen progress on gross debt, which has fallen to an estimated 33.7 per cent in 2024</w:t>
      </w:r>
      <w:r w:rsidR="003A0CA3">
        <w:t>–</w:t>
      </w:r>
      <w:r w:rsidRPr="000B7514">
        <w:t>25. Gross debt-to-GDP is expected to next peak at 37.0 per cent in 2029</w:t>
      </w:r>
      <w:r w:rsidR="003A0CA3">
        <w:t>–</w:t>
      </w:r>
      <w:r w:rsidRPr="000B7514">
        <w:t>30 and then fall to 31.9 per cent by 2035</w:t>
      </w:r>
      <w:r w:rsidR="0031674A">
        <w:t>–</w:t>
      </w:r>
      <w:r w:rsidRPr="000B7514">
        <w:t xml:space="preserve">36. </w:t>
      </w:r>
    </w:p>
    <w:p w14:paraId="10ECE55E" w14:textId="37FC4042" w:rsidR="006B13CE" w:rsidRDefault="006B13CE">
      <w:pPr>
        <w:spacing w:before="0" w:after="160" w:line="259" w:lineRule="auto"/>
      </w:pPr>
      <w:r>
        <w:br w:type="page"/>
      </w:r>
    </w:p>
    <w:tbl>
      <w:tblPr>
        <w:tblStyle w:val="TableGrid"/>
        <w:tblW w:w="0" w:type="auto"/>
        <w:tblLook w:val="04A0" w:firstRow="1" w:lastRow="0" w:firstColumn="1" w:lastColumn="0" w:noHBand="0" w:noVBand="1"/>
      </w:tblPr>
      <w:tblGrid>
        <w:gridCol w:w="9072"/>
      </w:tblGrid>
      <w:tr w:rsidR="001C781B" w14:paraId="53B27C85" w14:textId="77777777" w:rsidTr="00BC2BB5">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p w14:paraId="3A3D1098" w14:textId="2EF5FF06" w:rsidR="001C781B" w:rsidRDefault="00F87606" w:rsidP="00023ECC">
            <w:pPr>
              <w:pStyle w:val="ChartSecondHeading"/>
            </w:pPr>
            <w:r w:rsidRPr="00D355E1">
              <w:rPr>
                <w:lang w:eastAsia="en-US"/>
              </w:rPr>
              <w:t>Chart 4: Gross debt</w:t>
            </w:r>
          </w:p>
        </w:tc>
      </w:tr>
      <w:tr w:rsidR="001C781B" w14:paraId="57ADADEC" w14:textId="77777777" w:rsidTr="00BC2BB5">
        <w:trPr>
          <w:trHeight w:val="3267"/>
        </w:trPr>
        <w:tc>
          <w:tcPr>
            <w:tcW w:w="9072" w:type="dxa"/>
          </w:tcPr>
          <w:p w14:paraId="015FEA57" w14:textId="35D35241" w:rsidR="001C781B" w:rsidRDefault="00A90DA8" w:rsidP="000A7675">
            <w:pPr>
              <w:spacing w:before="0" w:after="0"/>
              <w:jc w:val="center"/>
            </w:pPr>
            <w:r w:rsidRPr="00A90DA8">
              <w:rPr>
                <w:noProof/>
              </w:rPr>
              <w:drawing>
                <wp:inline distT="0" distB="0" distL="0" distR="0" wp14:anchorId="3F588FEE" wp14:editId="4AF3395B">
                  <wp:extent cx="5400675" cy="2524125"/>
                  <wp:effectExtent l="0" t="0" r="0" b="0"/>
                  <wp:docPr id="622990517" name="Picture 3" descr="This line chart compares projections of gross debt as a share of GDP at the 2025-26 Budget and the 2022 PEFO. In the 2025-26 Budget, gross debt is expected to be 33.7 per cent of GDP in 2024-25 before peaking at 37.0 per cent of GDP in 2029-30 and reducing to 31.9 per cent of GDP by the end of the medium term.  At PEFO, gross debt was expected to peak at 44.9 per cent of GDP in 2024-25 and decrease to 40.3 per cent by 2032-33. Gross debt as a share of GDP is projected to be  lower over the medium term compared to the 2022 PE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90517" name="Picture 3" descr="This line chart compares projections of gross debt as a share of GDP at the 2025-26 Budget and the 2022 PEFO. In the 2025-26 Budget, gross debt is expected to be 33.7 per cent of GDP in 2024-25 before peaking at 37.0 per cent of GDP in 2029-30 and reducing to 31.9 per cent of GDP by the end of the medium term.  At PEFO, gross debt was expected to peak at 44.9 per cent of GDP in 2024-25 and decrease to 40.3 per cent by 2032-33. Gross debt as a share of GDP is projected to be  lower over the medium term compared to the 2022 PEF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2524125"/>
                          </a:xfrm>
                          <a:prstGeom prst="rect">
                            <a:avLst/>
                          </a:prstGeom>
                          <a:noFill/>
                          <a:ln>
                            <a:noFill/>
                          </a:ln>
                        </pic:spPr>
                      </pic:pic>
                    </a:graphicData>
                  </a:graphic>
                </wp:inline>
              </w:drawing>
            </w:r>
          </w:p>
        </w:tc>
      </w:tr>
      <w:tr w:rsidR="001C781B" w:rsidRPr="00042B3F" w14:paraId="480067DD" w14:textId="77777777" w:rsidTr="00BC2BB5">
        <w:tc>
          <w:tcPr>
            <w:tcW w:w="9072" w:type="dxa"/>
          </w:tcPr>
          <w:p w14:paraId="3CF617EB" w14:textId="5F2BD929" w:rsidR="001C781B" w:rsidRPr="004E1ABF" w:rsidRDefault="00042B3F" w:rsidP="00023ECC">
            <w:pPr>
              <w:pStyle w:val="ChartorTableNote"/>
            </w:pPr>
            <w:r w:rsidRPr="004E1ABF">
              <w:t>Source: Australian Office of Financial Management, Treasury</w:t>
            </w:r>
            <w:r w:rsidR="00BA0798">
              <w:t>.</w:t>
            </w:r>
          </w:p>
        </w:tc>
      </w:tr>
    </w:tbl>
    <w:p w14:paraId="633A005C" w14:textId="164D6E89" w:rsidR="00831E47" w:rsidRPr="00E9024B" w:rsidRDefault="00F827FF" w:rsidP="00E9024B">
      <w:pPr>
        <w:pStyle w:val="Heading1"/>
      </w:pPr>
      <w:r w:rsidRPr="00E9024B">
        <w:t>Structural challenges</w:t>
      </w:r>
    </w:p>
    <w:p w14:paraId="79F53C3B" w14:textId="0AA1E8DF" w:rsidR="00D355E1" w:rsidRDefault="00D355E1" w:rsidP="006C5B73">
      <w:pPr>
        <w:rPr>
          <w:b/>
          <w:bCs/>
        </w:rPr>
      </w:pPr>
      <w:r>
        <w:rPr>
          <w:b/>
          <w:bCs/>
        </w:rPr>
        <w:t>Broader economic trends, including the path of productivity growth, will impact the Budget over coming decades</w:t>
      </w:r>
      <w:r w:rsidR="0053384A">
        <w:rPr>
          <w:b/>
          <w:bCs/>
        </w:rPr>
        <w:t>.</w:t>
      </w:r>
    </w:p>
    <w:p w14:paraId="0F3D99C6" w14:textId="29065EAC" w:rsidR="00053A62" w:rsidRPr="000B7514" w:rsidRDefault="00053A62" w:rsidP="000B7514">
      <w:pPr>
        <w:pStyle w:val="Bullet"/>
      </w:pPr>
      <w:r w:rsidRPr="000B7514">
        <w:t xml:space="preserve">There are several long-term structural trends that will continue to affect Australia’s </w:t>
      </w:r>
      <w:r w:rsidR="005F5933">
        <w:t>B</w:t>
      </w:r>
      <w:r w:rsidRPr="000B7514">
        <w:t>udget. These</w:t>
      </w:r>
      <w:r w:rsidR="00945B9F">
        <w:t> </w:t>
      </w:r>
      <w:r w:rsidRPr="000B7514">
        <w:t xml:space="preserve">include population ageing, expanded use of digital and data technology, climate change </w:t>
      </w:r>
      <w:r w:rsidR="00945B9F" w:rsidRPr="000B7514">
        <w:t>and</w:t>
      </w:r>
      <w:r w:rsidR="00945B9F">
        <w:t> </w:t>
      </w:r>
      <w:r w:rsidR="00945B9F" w:rsidRPr="000B7514">
        <w:t xml:space="preserve"> </w:t>
      </w:r>
      <w:r w:rsidR="00945B9F">
        <w:t>the</w:t>
      </w:r>
      <w:r w:rsidRPr="000B7514">
        <w:t xml:space="preserve"> net zero transformation, rising demand for care and support services, and increased geopolitical risk and fragmentation.</w:t>
      </w:r>
    </w:p>
    <w:p w14:paraId="4940EFD6" w14:textId="402F7A6B" w:rsidR="00053A62" w:rsidRPr="000B7514" w:rsidRDefault="00053A62" w:rsidP="000B7514">
      <w:pPr>
        <w:pStyle w:val="Bullet"/>
      </w:pPr>
      <w:r w:rsidRPr="000B7514">
        <w:t>Slow productivity growth would make it more difficult to maintain a sustainable budget position into the future. The 2023 IGR estimated that if productivity growth was 0.3 percentage points lower from 2027</w:t>
      </w:r>
      <w:r w:rsidR="000543F6">
        <w:t>–</w:t>
      </w:r>
      <w:r w:rsidRPr="000B7514">
        <w:t>28 (at 0.9 per cent instead of 1.2 per cent annually), the budget deficit and debt would increase by 0.3 and 1.9 percentage points of GDP by the mid</w:t>
      </w:r>
      <w:r w:rsidR="0031674A">
        <w:t>–</w:t>
      </w:r>
      <w:r w:rsidRPr="000B7514">
        <w:t>2030s (Charts 5 and 6).</w:t>
      </w:r>
    </w:p>
    <w:tbl>
      <w:tblPr>
        <w:tblStyle w:val="TableGrid"/>
        <w:tblW w:w="0" w:type="auto"/>
        <w:tblLook w:val="04A0" w:firstRow="1" w:lastRow="0" w:firstColumn="1" w:lastColumn="0" w:noHBand="0" w:noVBand="1"/>
      </w:tblPr>
      <w:tblGrid>
        <w:gridCol w:w="4536"/>
        <w:gridCol w:w="4536"/>
      </w:tblGrid>
      <w:tr w:rsidR="00053A62" w14:paraId="06ABDB04" w14:textId="77777777" w:rsidTr="002267DB">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auto"/>
          </w:tcPr>
          <w:p w14:paraId="2CBCC9A6" w14:textId="626A080C" w:rsidR="00053A62" w:rsidRPr="002A0306" w:rsidRDefault="00D834AB" w:rsidP="000A7675">
            <w:pPr>
              <w:pStyle w:val="ChartSecondHeading"/>
              <w:spacing w:after="0"/>
            </w:pPr>
            <w:r w:rsidRPr="002A0306">
              <w:t>Chart 5: Productivity effects on underlying cash</w:t>
            </w:r>
            <w:r w:rsidR="00023ECC">
              <w:t> </w:t>
            </w:r>
            <w:r w:rsidRPr="002A0306">
              <w:t>balance</w:t>
            </w:r>
          </w:p>
        </w:tc>
        <w:tc>
          <w:tcPr>
            <w:tcW w:w="4536" w:type="dxa"/>
            <w:shd w:val="clear" w:color="auto" w:fill="auto"/>
          </w:tcPr>
          <w:p w14:paraId="6190AF8F" w14:textId="1BA00DBC" w:rsidR="00053A62" w:rsidRPr="00ED70B2" w:rsidRDefault="00ED70B2" w:rsidP="000A7675">
            <w:pPr>
              <w:pStyle w:val="ChartSecondHeading"/>
              <w:spacing w:after="0"/>
            </w:pPr>
            <w:r w:rsidRPr="001A137F">
              <w:t>Chart 6: Productivity effects on gross debt</w:t>
            </w:r>
          </w:p>
        </w:tc>
      </w:tr>
      <w:tr w:rsidR="00053A62" w14:paraId="10D94228" w14:textId="77777777" w:rsidTr="002267DB">
        <w:tc>
          <w:tcPr>
            <w:tcW w:w="4536" w:type="dxa"/>
          </w:tcPr>
          <w:p w14:paraId="21333AF0" w14:textId="68AF111B" w:rsidR="00053A62" w:rsidRDefault="00D86FC8" w:rsidP="000A7675">
            <w:pPr>
              <w:spacing w:before="0" w:after="0"/>
              <w:jc w:val="center"/>
            </w:pPr>
            <w:r w:rsidRPr="006707DF">
              <w:rPr>
                <w:noProof/>
              </w:rPr>
              <w:drawing>
                <wp:inline distT="0" distB="0" distL="0" distR="0" wp14:anchorId="5669E250" wp14:editId="371C04AF">
                  <wp:extent cx="2324100" cy="2352675"/>
                  <wp:effectExtent l="0" t="0" r="0" b="9525"/>
                  <wp:docPr id="1417466410" name="Picture 2" descr="This chart shows the impact of higher and lower productivity assumptions on the underlying cash balance. Under the higher productivity assumption, the underlying cash balance is projected to be higher over the entire projection period, growing to 0.2 percentage points of GDP higher than the baseline in 2035-36. Under the lower productivity assumption, the underlying cash balance is projected to be lower over the entire projection period, growing to 0.3 percentage points of GDP lower than the baseline in 20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35047" name="Picture 2" descr="This chart shows the impact of higher and lower productivity assumptions on the underlying cash balance. Under the higher productivity assumption, the underlying cash balance is projected to be higher over the entire projection period, growing to 0.2 percentage points of GDP higher than the baseline in 2035-36. Under the lower productivity assumption, the underlying cash balance is projected to be lower over the entire projection period, growing to 0.3 percentage points of GDP lower than the baseline in 2035-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2352675"/>
                          </a:xfrm>
                          <a:prstGeom prst="rect">
                            <a:avLst/>
                          </a:prstGeom>
                          <a:noFill/>
                          <a:ln>
                            <a:noFill/>
                          </a:ln>
                        </pic:spPr>
                      </pic:pic>
                    </a:graphicData>
                  </a:graphic>
                </wp:inline>
              </w:drawing>
            </w:r>
          </w:p>
          <w:p w14:paraId="09FDE8AC" w14:textId="3B5925D6" w:rsidR="00DB1993" w:rsidRPr="004E1ABF" w:rsidRDefault="00387FEA" w:rsidP="000A7675">
            <w:pPr>
              <w:pStyle w:val="ChartorTableNote"/>
              <w:spacing w:before="0" w:after="0"/>
            </w:pPr>
            <w:r w:rsidRPr="004E1ABF">
              <w:t>Source:</w:t>
            </w:r>
            <w:r w:rsidR="002631C7" w:rsidRPr="004E1ABF">
              <w:t xml:space="preserve"> </w:t>
            </w:r>
            <w:r w:rsidRPr="004E1ABF">
              <w:t>Treasury</w:t>
            </w:r>
            <w:r w:rsidR="00BA0798">
              <w:t>.</w:t>
            </w:r>
          </w:p>
        </w:tc>
        <w:tc>
          <w:tcPr>
            <w:tcW w:w="4536" w:type="dxa"/>
          </w:tcPr>
          <w:p w14:paraId="1C112C8A" w14:textId="5AE1B129" w:rsidR="00053A62" w:rsidRDefault="00BD2CB4" w:rsidP="000A7675">
            <w:pPr>
              <w:spacing w:before="0" w:after="0"/>
              <w:jc w:val="center"/>
            </w:pPr>
            <w:r w:rsidRPr="002352BF">
              <w:rPr>
                <w:bCs/>
                <w:noProof/>
              </w:rPr>
              <w:drawing>
                <wp:inline distT="0" distB="0" distL="0" distR="0" wp14:anchorId="2778EA2E" wp14:editId="64BCAE31">
                  <wp:extent cx="2305050" cy="2371725"/>
                  <wp:effectExtent l="0" t="0" r="0" b="0"/>
                  <wp:docPr id="702840498" name="Picture 1" descr="This chart shows the impact of higher and lower productivity assumptions on gross debt. Under the higher productivity assumption, gross debt is projected to be lower over the entire projection period, growing to 1 percentage point of GDP lower than the baseline in 2035-36. Under the lower productivity assumption, gross debt is projected to higher over the entire projection period, growing to 1.9 percentage points of GDP higher than the baseline in 20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16291" name="Picture 1" descr="This chart shows the impact of higher and lower productivity assumptions on gross debt. Under the higher productivity assumption, gross debt is projected to be lower over the entire projection period, growing to 1 percentage point of GDP lower than the baseline in 2035-36. Under the lower productivity assumption, gross debt is projected to higher over the entire projection period, growing to 1.9 percentage points of GDP higher than the baseline in 2035-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5050" cy="2371725"/>
                          </a:xfrm>
                          <a:prstGeom prst="rect">
                            <a:avLst/>
                          </a:prstGeom>
                          <a:noFill/>
                          <a:ln>
                            <a:noFill/>
                          </a:ln>
                        </pic:spPr>
                      </pic:pic>
                    </a:graphicData>
                  </a:graphic>
                </wp:inline>
              </w:drawing>
            </w:r>
          </w:p>
          <w:p w14:paraId="6CD3B525" w14:textId="66D0B8D5" w:rsidR="002631C7" w:rsidRPr="004E1ABF" w:rsidRDefault="002631C7" w:rsidP="000A7675">
            <w:pPr>
              <w:pStyle w:val="ChartorTableNote"/>
              <w:spacing w:before="0" w:after="0"/>
            </w:pPr>
            <w:r w:rsidRPr="004E1ABF">
              <w:t>Source: Treasury</w:t>
            </w:r>
            <w:r w:rsidR="00BA0798">
              <w:t>.</w:t>
            </w:r>
          </w:p>
        </w:tc>
      </w:tr>
    </w:tbl>
    <w:p w14:paraId="1A60E48F" w14:textId="0679A2A4" w:rsidR="00D355E1" w:rsidRDefault="00137BB7" w:rsidP="006C5B73">
      <w:r>
        <w:rPr>
          <w:b/>
          <w:bCs/>
        </w:rPr>
        <w:t>Pressures on Government payments are expected to grow, driven by defence and care services</w:t>
      </w:r>
      <w:r w:rsidR="0053384A">
        <w:rPr>
          <w:b/>
          <w:bCs/>
        </w:rPr>
        <w:t>.</w:t>
      </w:r>
    </w:p>
    <w:p w14:paraId="0C662911" w14:textId="0FB9355D" w:rsidR="00642A48" w:rsidRPr="000B7514" w:rsidRDefault="00642A48" w:rsidP="000B7514">
      <w:pPr>
        <w:pStyle w:val="Bullet"/>
      </w:pPr>
      <w:r w:rsidRPr="000B7514">
        <w:t>While significant efforts have been made to reduce spending growth in interest costs, the NDIS and</w:t>
      </w:r>
      <w:r w:rsidR="00945B9F">
        <w:t> </w:t>
      </w:r>
      <w:r w:rsidRPr="000B7514">
        <w:t>aged care, there are s</w:t>
      </w:r>
      <w:r w:rsidR="00BD2CB4">
        <w:t>even</w:t>
      </w:r>
      <w:r w:rsidRPr="000B7514">
        <w:t xml:space="preserve"> key structural spending pressures on the </w:t>
      </w:r>
      <w:r w:rsidR="00C4765F">
        <w:t>B</w:t>
      </w:r>
      <w:r w:rsidRPr="000B7514">
        <w:t>udget (Chart 7).</w:t>
      </w:r>
    </w:p>
    <w:p w14:paraId="46422CF8" w14:textId="31FB90D5" w:rsidR="00642A48" w:rsidRPr="00A75B97" w:rsidRDefault="00642A48" w:rsidP="00A75B97">
      <w:pPr>
        <w:pStyle w:val="Dash"/>
      </w:pPr>
      <w:r w:rsidRPr="00A75B97">
        <w:t>Interest costs are projected to grow by 9.5 per cent per annum over the medium term. This is much lower than the 14.4 per cent average three years ago, but current growth rates will see interest payments as a share of GDP rise to 1.4 per cent by 2035</w:t>
      </w:r>
      <w:r w:rsidR="000543F6" w:rsidRPr="00A75B97">
        <w:t>–</w:t>
      </w:r>
      <w:r w:rsidRPr="00A75B97">
        <w:t xml:space="preserve">36. </w:t>
      </w:r>
    </w:p>
    <w:p w14:paraId="73C3FDFB" w14:textId="7DA2714A" w:rsidR="00642A48" w:rsidRPr="00A75B97" w:rsidRDefault="00642A48" w:rsidP="00A75B97">
      <w:pPr>
        <w:pStyle w:val="Dash"/>
      </w:pPr>
      <w:r w:rsidRPr="00A75B97">
        <w:t>The NDIS</w:t>
      </w:r>
      <w:r w:rsidR="00EC0F6B" w:rsidRPr="00A75B97">
        <w:t xml:space="preserve"> (Commonwealth)</w:t>
      </w:r>
      <w:r w:rsidRPr="00A75B97">
        <w:t xml:space="preserve"> is projected to grow around 8 per cent per annum over the medium term. This is consistent with the NDIS Sustainability Framework and is much lower than the 13.8 per cent projected three years ago. However, this is still </w:t>
      </w:r>
      <w:r w:rsidR="00EC0F6B" w:rsidRPr="00A75B97">
        <w:t xml:space="preserve">faster </w:t>
      </w:r>
      <w:r w:rsidRPr="00A75B97">
        <w:t xml:space="preserve">than nominal GDP growth. The increase in growth is being driven by sustained increases in demand and average payments. More than ten years into the scheme, the NDIS continues to see strong growth in participant numbers, particularly children, with approximately 10 per cent of children aged 5 to 7 on the NDIS. Participants’ average budgets are growing at more than 5 per cent per annum. </w:t>
      </w:r>
    </w:p>
    <w:p w14:paraId="390B9CDE" w14:textId="4E077C4F" w:rsidR="00FE01F9" w:rsidRPr="00A75B97" w:rsidRDefault="00FE01F9" w:rsidP="00A75B97">
      <w:pPr>
        <w:pStyle w:val="Dash"/>
      </w:pPr>
      <w:r w:rsidRPr="00A75B97">
        <w:t>Defence spending, which is already the Commonwealth’s second largest payment, is expected to grow faster than GDP to support a more capable and self-reliant Defence Force that can safeguard Australia’s security into the future.</w:t>
      </w:r>
    </w:p>
    <w:p w14:paraId="0CC3C8F0" w14:textId="06C78287" w:rsidR="00694B9C" w:rsidRPr="00A75B97" w:rsidRDefault="00694B9C" w:rsidP="00A75B97">
      <w:pPr>
        <w:pStyle w:val="Dash"/>
      </w:pPr>
      <w:r w:rsidRPr="00A75B97">
        <w:t>Hospitals funding is forecast to grow around 6 per cent per annum over the medium term. A</w:t>
      </w:r>
      <w:r w:rsidR="00945B9F">
        <w:t> </w:t>
      </w:r>
      <w:r w:rsidRPr="00A75B97">
        <w:t>key driver of costs in the health sector has been the rising price of delivering care, for example the National Efficient Price for hospitals has grown by 12.3 per cent for 2025</w:t>
      </w:r>
      <w:r w:rsidR="000543F6" w:rsidRPr="00A75B97">
        <w:t>–</w:t>
      </w:r>
      <w:r w:rsidRPr="00A75B97">
        <w:t>26.</w:t>
      </w:r>
    </w:p>
    <w:p w14:paraId="6B41F6E0" w14:textId="734F6D69" w:rsidR="006B15CB" w:rsidRPr="00A75B97" w:rsidRDefault="006B15CB" w:rsidP="00A75B97">
      <w:pPr>
        <w:pStyle w:val="Dash"/>
      </w:pPr>
      <w:r w:rsidRPr="00A75B97">
        <w:t>Medicare is projected to grow by 5.6 per cent per annum over the medium term, driven by investments to strengthen Medicare, such as the expansion of bulk billing incentives, and the ongoing growth in the use of medical services funded through Medicare.</w:t>
      </w:r>
    </w:p>
    <w:p w14:paraId="40F388DC" w14:textId="7BB92C5B" w:rsidR="00642A48" w:rsidRPr="00A75B97" w:rsidRDefault="00642A48" w:rsidP="00A75B97">
      <w:pPr>
        <w:pStyle w:val="Dash"/>
      </w:pPr>
      <w:r w:rsidRPr="00A75B97">
        <w:t>Aged care costs are projected to grow</w:t>
      </w:r>
      <w:r w:rsidR="006B15CB" w:rsidRPr="00A75B97">
        <w:t xml:space="preserve"> by</w:t>
      </w:r>
      <w:r w:rsidRPr="00A75B97">
        <w:t xml:space="preserve"> 5.2 per cent per annum over the </w:t>
      </w:r>
      <w:r w:rsidR="00AC1B0B" w:rsidRPr="00A75B97">
        <w:t>medium term</w:t>
      </w:r>
      <w:r w:rsidRPr="00A75B97">
        <w:t>. Long</w:t>
      </w:r>
      <w:r w:rsidR="00945B9F">
        <w:t> </w:t>
      </w:r>
      <w:r w:rsidRPr="00A75B97">
        <w:t xml:space="preserve">term, Australia’s ageing population will continue to drive demand for aged care. The Government’s recent reforms to aged care are helping to moderate growth, which was expected to be 6.2 per cent per annum three years ago. </w:t>
      </w:r>
    </w:p>
    <w:p w14:paraId="305B8A3A" w14:textId="6479522E" w:rsidR="00642A48" w:rsidRDefault="00642A48" w:rsidP="0009590A">
      <w:pPr>
        <w:pStyle w:val="Dash"/>
      </w:pPr>
      <w:bookmarkStart w:id="0" w:name="_1803884461"/>
      <w:bookmarkStart w:id="1" w:name="_1803883616"/>
      <w:bookmarkStart w:id="2" w:name="_1803884771"/>
      <w:bookmarkStart w:id="3" w:name="_1804092390"/>
      <w:bookmarkStart w:id="4" w:name="_1804106135"/>
      <w:bookmarkEnd w:id="0"/>
      <w:bookmarkEnd w:id="1"/>
      <w:bookmarkEnd w:id="2"/>
      <w:bookmarkEnd w:id="3"/>
      <w:bookmarkEnd w:id="4"/>
      <w:r>
        <w:t xml:space="preserve">Childcare costs are expected to grow </w:t>
      </w:r>
      <w:r w:rsidR="00073068">
        <w:t>by</w:t>
      </w:r>
      <w:r>
        <w:t xml:space="preserve"> 5.1 per cent per annum over the medium term, driven</w:t>
      </w:r>
      <w:r w:rsidR="00945B9F">
        <w:t> </w:t>
      </w:r>
      <w:r>
        <w:t xml:space="preserve">by increasing </w:t>
      </w:r>
      <w:r w:rsidR="00912DF2">
        <w:t>demand for</w:t>
      </w:r>
      <w:r>
        <w:t xml:space="preserve"> early childhood education and care</w:t>
      </w:r>
      <w:r w:rsidR="004E05B6">
        <w:t xml:space="preserve"> services</w:t>
      </w:r>
      <w:r>
        <w:t xml:space="preserve"> and the Government’s policies to reduce out</w:t>
      </w:r>
      <w:r w:rsidR="000543F6">
        <w:noBreakHyphen/>
      </w:r>
      <w:r>
        <w:t>of</w:t>
      </w:r>
      <w:r w:rsidR="000543F6">
        <w:noBreakHyphen/>
      </w:r>
      <w:r>
        <w:t xml:space="preserve">pocket costs for families. </w:t>
      </w:r>
    </w:p>
    <w:tbl>
      <w:tblPr>
        <w:tblStyle w:val="TableGrid"/>
        <w:tblW w:w="0" w:type="auto"/>
        <w:tblLook w:val="04A0" w:firstRow="1" w:lastRow="0" w:firstColumn="1" w:lastColumn="0" w:noHBand="0" w:noVBand="1"/>
      </w:tblPr>
      <w:tblGrid>
        <w:gridCol w:w="9072"/>
      </w:tblGrid>
      <w:tr w:rsidR="003F2A24" w14:paraId="33AA2743" w14:textId="77777777" w:rsidTr="00E32B48">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p w14:paraId="42E3AE7F" w14:textId="14BAE80D" w:rsidR="003F2A24" w:rsidRPr="002F19DF" w:rsidRDefault="00423927" w:rsidP="000A7675">
            <w:pPr>
              <w:pStyle w:val="ChartSecondHeading"/>
              <w:spacing w:after="0"/>
              <w:rPr>
                <w:sz w:val="22"/>
              </w:rPr>
            </w:pPr>
            <w:r w:rsidRPr="00F50644">
              <w:t xml:space="preserve">Chart 7: </w:t>
            </w:r>
            <w:r w:rsidRPr="00CB513C">
              <w:rPr>
                <w:rFonts w:eastAsia="Calibri Light" w:cs="Calibri Light"/>
              </w:rPr>
              <w:t>Fastest growing major payments</w:t>
            </w:r>
            <w:r w:rsidR="0058346F" w:rsidRPr="00F50644">
              <w:t xml:space="preserve"> over the medium term, per annum</w:t>
            </w:r>
          </w:p>
        </w:tc>
      </w:tr>
      <w:tr w:rsidR="003F2A24" w14:paraId="72431712" w14:textId="77777777" w:rsidTr="00AE72BD">
        <w:tc>
          <w:tcPr>
            <w:tcW w:w="0" w:type="dxa"/>
            <w:vAlign w:val="center"/>
          </w:tcPr>
          <w:p w14:paraId="7DEB25A9" w14:textId="78FF41F3" w:rsidR="00113F13" w:rsidRDefault="0055021E" w:rsidP="000A7675">
            <w:pPr>
              <w:pStyle w:val="ChartorTableNote"/>
              <w:spacing w:before="0" w:after="0"/>
              <w:jc w:val="center"/>
              <w:rPr>
                <w:rFonts w:ascii="Calibri Light" w:hAnsi="Calibri Light"/>
                <w:color w:val="auto"/>
                <w:sz w:val="22"/>
              </w:rPr>
            </w:pPr>
            <w:r w:rsidRPr="0055021E">
              <w:rPr>
                <w:rFonts w:ascii="Calibri Light" w:hAnsi="Calibri Light"/>
                <w:noProof/>
                <w:color w:val="auto"/>
                <w:sz w:val="22"/>
              </w:rPr>
              <w:drawing>
                <wp:inline distT="0" distB="0" distL="0" distR="0" wp14:anchorId="0FAC111E" wp14:editId="219CC945">
                  <wp:extent cx="5401310" cy="2371090"/>
                  <wp:effectExtent l="0" t="0" r="8890" b="0"/>
                  <wp:docPr id="645326784" name="Picture 3" descr="A bar chart showing the annual change in the seven fastest growing major payments over the medium-term. It compares the October 2022-23 Budget and the 2025-26 Budget. Growth in interest, NDIS Commonwealth costs, Hospitals, Aged Care and Child Care Subsidy is lower in the 2025-26 Budget, while growth in Defence and Medicare is slightly hig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26784" name="Picture 3" descr="A bar chart showing the annual change in the seven fastest growing major payments over the medium-term. It compares the October 2022-23 Budget and the 2025-26 Budget. Growth in interest, NDIS Commonwealth costs, Hospitals, Aged Care and Child Care Subsidy is lower in the 2025-26 Budget, while growth in Defence and Medicare is slightly highe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1310" cy="2371090"/>
                          </a:xfrm>
                          <a:prstGeom prst="rect">
                            <a:avLst/>
                          </a:prstGeom>
                          <a:noFill/>
                          <a:ln>
                            <a:noFill/>
                          </a:ln>
                        </pic:spPr>
                      </pic:pic>
                    </a:graphicData>
                  </a:graphic>
                </wp:inline>
              </w:drawing>
            </w:r>
          </w:p>
          <w:p w14:paraId="0AB78A1E" w14:textId="0F384CE8" w:rsidR="00915EEE" w:rsidRPr="004E1ABF" w:rsidRDefault="00915EEE" w:rsidP="0055021E">
            <w:pPr>
              <w:pStyle w:val="ChartorTableNote"/>
              <w:jc w:val="left"/>
            </w:pPr>
            <w:r w:rsidRPr="004E1ABF">
              <w:t>Source: Treasury</w:t>
            </w:r>
          </w:p>
          <w:p w14:paraId="5718ECD9" w14:textId="48DAB579" w:rsidR="003F2A24" w:rsidRDefault="00915EEE" w:rsidP="0055021E">
            <w:pPr>
              <w:pStyle w:val="ChartorTableNote"/>
              <w:jc w:val="left"/>
            </w:pPr>
            <w:r w:rsidRPr="004E1ABF">
              <w:t>Note: Growth rate for October 2022</w:t>
            </w:r>
            <w:r w:rsidR="000543F6">
              <w:t>–</w:t>
            </w:r>
            <w:r w:rsidRPr="004E1ABF">
              <w:t>23 Budget is 2022</w:t>
            </w:r>
            <w:r w:rsidR="000543F6">
              <w:t>–</w:t>
            </w:r>
            <w:r w:rsidRPr="004E1ABF">
              <w:t>23 to 2032</w:t>
            </w:r>
            <w:r w:rsidR="000543F6">
              <w:t>–</w:t>
            </w:r>
            <w:r w:rsidRPr="004E1ABF">
              <w:t xml:space="preserve">33. </w:t>
            </w:r>
            <w:r w:rsidR="004C2384">
              <w:t>F</w:t>
            </w:r>
            <w:r w:rsidRPr="004E1ABF">
              <w:t>or 2025</w:t>
            </w:r>
            <w:r w:rsidR="000543F6">
              <w:t>–</w:t>
            </w:r>
            <w:r w:rsidRPr="004E1ABF">
              <w:t xml:space="preserve">26 Budget </w:t>
            </w:r>
            <w:r w:rsidR="00121EA9">
              <w:t xml:space="preserve">it </w:t>
            </w:r>
            <w:r w:rsidRPr="004E1ABF">
              <w:t>is 2025</w:t>
            </w:r>
            <w:r w:rsidR="000543F6">
              <w:t>–</w:t>
            </w:r>
            <w:r w:rsidRPr="004E1ABF">
              <w:t>26 to 2035</w:t>
            </w:r>
            <w:r w:rsidR="000543F6">
              <w:t>–</w:t>
            </w:r>
            <w:r w:rsidRPr="004E1ABF">
              <w:t>36.</w:t>
            </w:r>
          </w:p>
        </w:tc>
      </w:tr>
    </w:tbl>
    <w:p w14:paraId="3E728640" w14:textId="7B639BB6" w:rsidR="00137BB7" w:rsidRDefault="0053384A" w:rsidP="006C5B73">
      <w:r>
        <w:rPr>
          <w:b/>
          <w:bCs/>
        </w:rPr>
        <w:t>The tax system is under pressure from demographic and economic shifts, and its design is critical to productivity</w:t>
      </w:r>
      <w:r w:rsidRPr="24D17B5D">
        <w:rPr>
          <w:b/>
          <w:bCs/>
        </w:rPr>
        <w:t xml:space="preserve">, </w:t>
      </w:r>
      <w:r>
        <w:rPr>
          <w:b/>
          <w:bCs/>
        </w:rPr>
        <w:t>budget sustainability</w:t>
      </w:r>
      <w:r w:rsidRPr="24D17B5D">
        <w:rPr>
          <w:b/>
          <w:bCs/>
        </w:rPr>
        <w:t xml:space="preserve"> and intergenerational equity</w:t>
      </w:r>
      <w:r>
        <w:rPr>
          <w:b/>
          <w:bCs/>
        </w:rPr>
        <w:t>.</w:t>
      </w:r>
    </w:p>
    <w:p w14:paraId="4A9742D1" w14:textId="70ADF532" w:rsidR="006908BE" w:rsidRPr="006908BE" w:rsidRDefault="006908BE" w:rsidP="006908BE">
      <w:pPr>
        <w:pStyle w:val="Bullet"/>
      </w:pPr>
      <w:r w:rsidRPr="006908BE">
        <w:t>Structural changes to the economy, including an ageing population and the transition to net</w:t>
      </w:r>
      <w:r w:rsidR="00DE127E">
        <w:noBreakHyphen/>
      </w:r>
      <w:r w:rsidRPr="006908BE">
        <w:t xml:space="preserve">zero, are expected to change the composition of the revenue base. </w:t>
      </w:r>
    </w:p>
    <w:p w14:paraId="62A7FA04" w14:textId="78674047" w:rsidR="00BD2FAE" w:rsidRDefault="006908BE" w:rsidP="00B9086D">
      <w:pPr>
        <w:pStyle w:val="Bullet"/>
      </w:pPr>
      <w:r w:rsidRPr="006908BE">
        <w:t>The share of indirect taxes will fall, as the decarbonisation of the transport industry and changing consumer preferences erode the fuel and tobacco excise bases. This will increase reliance on the income tax base, which is expected to comprise an increasing share of total tax receipts (Chart 8).</w:t>
      </w:r>
    </w:p>
    <w:tbl>
      <w:tblPr>
        <w:tblStyle w:val="TableGrid"/>
        <w:tblW w:w="0" w:type="auto"/>
        <w:tblLook w:val="04A0" w:firstRow="1" w:lastRow="0" w:firstColumn="1" w:lastColumn="0" w:noHBand="0" w:noVBand="1"/>
      </w:tblPr>
      <w:tblGrid>
        <w:gridCol w:w="9072"/>
      </w:tblGrid>
      <w:tr w:rsidR="0010547D" w14:paraId="320D7314" w14:textId="77777777" w:rsidTr="00E32B48">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p w14:paraId="3E03C79C" w14:textId="07E47D88" w:rsidR="0010547D" w:rsidRDefault="00FA1336" w:rsidP="000A7675">
            <w:pPr>
              <w:pStyle w:val="ChartSecondHeading"/>
              <w:spacing w:after="0"/>
            </w:pPr>
            <w:bookmarkStart w:id="5" w:name="_Ref138087486"/>
            <w:r w:rsidRPr="00D020C2">
              <w:t>Chart 8: Composition of tax receipts</w:t>
            </w:r>
            <w:bookmarkEnd w:id="5"/>
            <w:r w:rsidR="006F6E46">
              <w:t>, 2023 IGR</w:t>
            </w:r>
          </w:p>
        </w:tc>
      </w:tr>
      <w:tr w:rsidR="0010547D" w14:paraId="521756A0" w14:textId="77777777" w:rsidTr="00E32B48">
        <w:tc>
          <w:tcPr>
            <w:tcW w:w="9072" w:type="dxa"/>
          </w:tcPr>
          <w:p w14:paraId="4904A413" w14:textId="7081A638" w:rsidR="0010547D" w:rsidRPr="00D175FC" w:rsidRDefault="00D175FC" w:rsidP="000A7675">
            <w:pPr>
              <w:spacing w:before="0" w:after="0"/>
              <w:jc w:val="center"/>
              <w:rPr>
                <w:b/>
                <w:bCs/>
              </w:rPr>
            </w:pPr>
            <w:r w:rsidRPr="00D175FC">
              <w:rPr>
                <w:b/>
                <w:bCs/>
                <w:noProof/>
              </w:rPr>
              <w:drawing>
                <wp:anchor distT="0" distB="0" distL="114300" distR="114300" simplePos="0" relativeHeight="251659264" behindDoc="0" locked="0" layoutInCell="1" allowOverlap="1" wp14:anchorId="60AC1B34" wp14:editId="4CFFD31E">
                  <wp:simplePos x="0" y="0"/>
                  <wp:positionH relativeFrom="column">
                    <wp:posOffset>-68580</wp:posOffset>
                  </wp:positionH>
                  <wp:positionV relativeFrom="paragraph">
                    <wp:posOffset>1270</wp:posOffset>
                  </wp:positionV>
                  <wp:extent cx="5800208" cy="2710855"/>
                  <wp:effectExtent l="0" t="0" r="0" b="0"/>
                  <wp:wrapTopAndBottom/>
                  <wp:docPr id="1006700520" name="Picture 9" descr="A stacked area chart shows the composition of tax receipts as a proportion of total tax revenue from 2002-03 onwards across the IGR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00520" name="Picture 9" descr="A stacked area chart shows the composition of tax receipts as a proportion of total tax revenue from 2002-03 onwards across the IGR perio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0208" cy="2710855"/>
                          </a:xfrm>
                          <a:prstGeom prst="rect">
                            <a:avLst/>
                          </a:prstGeom>
                          <a:noFill/>
                          <a:ln>
                            <a:noFill/>
                          </a:ln>
                        </pic:spPr>
                      </pic:pic>
                    </a:graphicData>
                  </a:graphic>
                </wp:anchor>
              </w:drawing>
            </w:r>
          </w:p>
        </w:tc>
      </w:tr>
      <w:tr w:rsidR="0010547D" w14:paraId="49670EE0" w14:textId="77777777" w:rsidTr="00E32B48">
        <w:tc>
          <w:tcPr>
            <w:tcW w:w="9072" w:type="dxa"/>
          </w:tcPr>
          <w:p w14:paraId="29F0D7FE" w14:textId="77777777" w:rsidR="003472BE" w:rsidRPr="004E1ABF" w:rsidRDefault="003472BE" w:rsidP="004E2FE1">
            <w:pPr>
              <w:pStyle w:val="ChartorTableNote"/>
            </w:pPr>
            <w:r w:rsidRPr="004E1ABF">
              <w:t>Source: Treasury, 2023 IGR.</w:t>
            </w:r>
          </w:p>
          <w:p w14:paraId="64631D47" w14:textId="6B4D3591" w:rsidR="00A40278" w:rsidRPr="00A40278" w:rsidRDefault="003472BE" w:rsidP="00023ECC">
            <w:pPr>
              <w:pStyle w:val="ChartorTableNote"/>
            </w:pPr>
            <w:r w:rsidRPr="004E1ABF">
              <w:t>Note: Personal income tax is predominantly composed of salary and wages income. The remaining share is savings income such as capital gains, net rent, trust distributions, dividends, interest as well as business (sole trader) income. Other indirect tax includes excise and customs duties, visa application charges, the wine equalisation tax, the luxury car tax and the major bank levy. Other income tax includes fringe benefits tax, petroleum resource rent tax and superannuation fund taxes.</w:t>
            </w:r>
          </w:p>
        </w:tc>
      </w:tr>
    </w:tbl>
    <w:p w14:paraId="28E373E0" w14:textId="0C800392" w:rsidR="00856955" w:rsidRPr="00A40278" w:rsidRDefault="00856955" w:rsidP="00C854EA">
      <w:pPr>
        <w:pStyle w:val="Bullet"/>
        <w:spacing w:before="240"/>
      </w:pPr>
      <w:r w:rsidRPr="00A40278">
        <w:t xml:space="preserve">A smaller share of the </w:t>
      </w:r>
      <w:r w:rsidR="00725C92" w:rsidRPr="00A40278">
        <w:t>Australian population are</w:t>
      </w:r>
      <w:r w:rsidRPr="00A40278">
        <w:t xml:space="preserve"> set to shoulder the burden of generating income tax revenue as the population ages. In </w:t>
      </w:r>
      <w:r w:rsidR="003442C8" w:rsidRPr="00A40278">
        <w:t>1982</w:t>
      </w:r>
      <w:r w:rsidR="00DE127E" w:rsidRPr="00A40278">
        <w:t>–</w:t>
      </w:r>
      <w:r w:rsidR="003442C8" w:rsidRPr="00A40278">
        <w:t>83</w:t>
      </w:r>
      <w:r w:rsidRPr="00A40278">
        <w:t>, there were 6.6 working</w:t>
      </w:r>
      <w:r w:rsidR="00DE127E" w:rsidRPr="00A40278">
        <w:noBreakHyphen/>
      </w:r>
      <w:r w:rsidRPr="00A40278">
        <w:t>age Australians for each Australian over 65. Over the 40 years to 2022</w:t>
      </w:r>
      <w:r w:rsidR="00DE127E" w:rsidRPr="00A40278">
        <w:t>–</w:t>
      </w:r>
      <w:r w:rsidRPr="00A40278">
        <w:t>23, this has fallen to 3.8 and it is projected to fall to</w:t>
      </w:r>
      <w:r w:rsidR="00945B9F">
        <w:t> </w:t>
      </w:r>
      <w:r w:rsidRPr="00A40278">
        <w:t>2.6 by 2062</w:t>
      </w:r>
      <w:r w:rsidR="0031674A" w:rsidRPr="00A40278">
        <w:t>–</w:t>
      </w:r>
      <w:r w:rsidRPr="00A40278">
        <w:t>63. Tax changes have also seen the income tax burden on older Australians decline: only 16 per cent of Australians aged 70 and over paid income tax in 2022</w:t>
      </w:r>
      <w:r w:rsidR="00DE127E" w:rsidRPr="00A40278">
        <w:t>–</w:t>
      </w:r>
      <w:r w:rsidRPr="00A40278">
        <w:t xml:space="preserve">23, down from around 30 per cent in the 1990s. </w:t>
      </w:r>
    </w:p>
    <w:p w14:paraId="38E1131F" w14:textId="436C3AA9" w:rsidR="00856955" w:rsidRPr="00A40278" w:rsidRDefault="00856955" w:rsidP="00A40278">
      <w:pPr>
        <w:pStyle w:val="Bullet"/>
        <w:rPr>
          <w:rStyle w:val="normaltextrun"/>
        </w:rPr>
      </w:pPr>
      <w:r w:rsidRPr="00A40278">
        <w:rPr>
          <w:rStyle w:val="normaltextrun"/>
        </w:rPr>
        <w:t xml:space="preserve">Over time, without government intervention, bracket creep will also result </w:t>
      </w:r>
      <w:r w:rsidRPr="00A40278" w:rsidDel="002C4D5B">
        <w:rPr>
          <w:rStyle w:val="normaltextrun"/>
        </w:rPr>
        <w:t xml:space="preserve">in </w:t>
      </w:r>
      <w:r w:rsidRPr="00A40278">
        <w:rPr>
          <w:rStyle w:val="normaltextrun"/>
        </w:rPr>
        <w:t xml:space="preserve">rising average tax rates. High effective marginal tax rates (including means testing of benefits) can disincentivise labour market participation and savings and discourage investment in skills. </w:t>
      </w:r>
      <w:r w:rsidRPr="00A40278">
        <w:t xml:space="preserve">These effects may be particularly pronounced for second earners – often women. </w:t>
      </w:r>
      <w:r w:rsidRPr="00A40278">
        <w:rPr>
          <w:rStyle w:val="normaltextrun"/>
        </w:rPr>
        <w:t xml:space="preserve">High marginal tax rates can also exacerbate tax </w:t>
      </w:r>
      <w:r w:rsidR="003442C8" w:rsidRPr="00A40278">
        <w:rPr>
          <w:rStyle w:val="normaltextrun"/>
        </w:rPr>
        <w:t>planning</w:t>
      </w:r>
      <w:r w:rsidRPr="00A40278">
        <w:rPr>
          <w:rStyle w:val="normaltextrun"/>
        </w:rPr>
        <w:t xml:space="preserve">. </w:t>
      </w:r>
    </w:p>
    <w:p w14:paraId="5338C529" w14:textId="365C0B06" w:rsidR="00B6427B" w:rsidRDefault="00B6427B">
      <w:pPr>
        <w:spacing w:before="0" w:after="160" w:line="259" w:lineRule="auto"/>
      </w:pPr>
      <w:r>
        <w:br w:type="page"/>
      </w:r>
    </w:p>
    <w:tbl>
      <w:tblPr>
        <w:tblStyle w:val="TableGrid"/>
        <w:tblW w:w="0" w:type="auto"/>
        <w:tblLook w:val="04A0" w:firstRow="1" w:lastRow="0" w:firstColumn="1" w:lastColumn="0" w:noHBand="0" w:noVBand="1"/>
      </w:tblPr>
      <w:tblGrid>
        <w:gridCol w:w="9072"/>
      </w:tblGrid>
      <w:tr w:rsidR="00B6427B" w14:paraId="1E655C05" w14:textId="77777777" w:rsidTr="00E32B48">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p w14:paraId="5A1979E0" w14:textId="67388A95" w:rsidR="00B6427B" w:rsidRPr="008C36EB" w:rsidRDefault="008C36EB" w:rsidP="000A7675">
            <w:pPr>
              <w:pStyle w:val="ChartSecondHeading"/>
              <w:spacing w:after="0"/>
            </w:pPr>
            <w:r w:rsidRPr="008C36EB">
              <w:t>Chart 9: Personal income tax receipts</w:t>
            </w:r>
            <w:r w:rsidR="00EE2C8B">
              <w:t>, 2023 IGR</w:t>
            </w:r>
          </w:p>
        </w:tc>
      </w:tr>
      <w:tr w:rsidR="00B6427B" w14:paraId="4817892E" w14:textId="77777777" w:rsidTr="00E32B48">
        <w:tc>
          <w:tcPr>
            <w:tcW w:w="9072" w:type="dxa"/>
          </w:tcPr>
          <w:p w14:paraId="3187F6E5" w14:textId="0E7D2F6A" w:rsidR="00B6427B" w:rsidRDefault="00DF303C" w:rsidP="000A7675">
            <w:pPr>
              <w:spacing w:before="0" w:after="0"/>
              <w:jc w:val="center"/>
            </w:pPr>
            <w:r w:rsidRPr="00DF303C">
              <w:rPr>
                <w:noProof/>
              </w:rPr>
              <w:drawing>
                <wp:inline distT="0" distB="0" distL="0" distR="0" wp14:anchorId="7897116C" wp14:editId="6E18D97A">
                  <wp:extent cx="5581650" cy="2608708"/>
                  <wp:effectExtent l="0" t="0" r="0" b="0"/>
                  <wp:docPr id="1843662098" name="Picture 8" descr="A line chart shows personal income tax receipts as a percentage of GDP from 1982-83 onwards across the IGR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62098" name="Picture 8" descr="A line chart shows personal income tax receipts as a percentage of GDP from 1982-83 onwards across the IGR perio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2724" cy="2609210"/>
                          </a:xfrm>
                          <a:prstGeom prst="rect">
                            <a:avLst/>
                          </a:prstGeom>
                          <a:noFill/>
                          <a:ln>
                            <a:noFill/>
                          </a:ln>
                        </pic:spPr>
                      </pic:pic>
                    </a:graphicData>
                  </a:graphic>
                </wp:inline>
              </w:drawing>
            </w:r>
          </w:p>
        </w:tc>
      </w:tr>
      <w:tr w:rsidR="00B6427B" w14:paraId="11FEDFF1" w14:textId="77777777" w:rsidTr="00E32B48">
        <w:tc>
          <w:tcPr>
            <w:tcW w:w="9072" w:type="dxa"/>
          </w:tcPr>
          <w:p w14:paraId="49F68952" w14:textId="2ED03467" w:rsidR="00A40278" w:rsidRPr="00023ECC" w:rsidRDefault="00510F07" w:rsidP="00023ECC">
            <w:pPr>
              <w:pStyle w:val="ChartorTableNote"/>
              <w:rPr>
                <w:rFonts w:ascii="Arial" w:hAnsi="Arial" w:cs="Arial"/>
                <w:sz w:val="16"/>
                <w:szCs w:val="16"/>
                <w:shd w:val="clear" w:color="auto" w:fill="FFFFFF"/>
              </w:rPr>
            </w:pPr>
            <w:r w:rsidRPr="004E1ABF">
              <w:rPr>
                <w:rStyle w:val="normaltextrun"/>
                <w:rFonts w:ascii="Arial" w:hAnsi="Arial" w:cs="Arial"/>
                <w:sz w:val="16"/>
                <w:szCs w:val="16"/>
                <w:shd w:val="clear" w:color="auto" w:fill="FFFFFF"/>
              </w:rPr>
              <w:t>Source: Treasury</w:t>
            </w:r>
            <w:r w:rsidR="00877F6F">
              <w:rPr>
                <w:rStyle w:val="normaltextrun"/>
                <w:rFonts w:ascii="Arial" w:hAnsi="Arial" w:cs="Arial"/>
                <w:sz w:val="16"/>
                <w:szCs w:val="16"/>
                <w:shd w:val="clear" w:color="auto" w:fill="FFFFFF"/>
              </w:rPr>
              <w:t>.</w:t>
            </w:r>
          </w:p>
        </w:tc>
      </w:tr>
    </w:tbl>
    <w:p w14:paraId="041FBC66" w14:textId="0F7A9097" w:rsidR="00137BB7" w:rsidRPr="00A75B97" w:rsidRDefault="00163111" w:rsidP="00706565">
      <w:pPr>
        <w:pStyle w:val="Bullet"/>
        <w:spacing w:before="240"/>
      </w:pPr>
      <w:r w:rsidRPr="00A75B97">
        <w:t>Inconsistent taxation of passive income is also distorting how and where people save and creating opportunities for tax planning. Some of the largest tax concessions tend to disproportionately benefit higher income earners (Chart 10) and labour income is generally subject to higher headline tax rates due to concessions on most savings income.</w:t>
      </w:r>
    </w:p>
    <w:tbl>
      <w:tblPr>
        <w:tblStyle w:val="TableGrid"/>
        <w:tblW w:w="0" w:type="auto"/>
        <w:tblLook w:val="04A0" w:firstRow="1" w:lastRow="0" w:firstColumn="1" w:lastColumn="0" w:noHBand="0" w:noVBand="1"/>
      </w:tblPr>
      <w:tblGrid>
        <w:gridCol w:w="9072"/>
      </w:tblGrid>
      <w:tr w:rsidR="00163111" w14:paraId="6A94626B" w14:textId="77777777" w:rsidTr="00E32B48">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p w14:paraId="2BA4C132" w14:textId="0E6F9838" w:rsidR="00163111" w:rsidRPr="00C251D9" w:rsidRDefault="00C251D9" w:rsidP="000A7675">
            <w:pPr>
              <w:pStyle w:val="ChartSecondHeading"/>
              <w:spacing w:after="0"/>
            </w:pPr>
            <w:r w:rsidRPr="00C251D9">
              <w:t>Chart 10: Share of benefits of largest tax concessions</w:t>
            </w:r>
          </w:p>
        </w:tc>
      </w:tr>
      <w:tr w:rsidR="00163111" w14:paraId="1B4E92C7" w14:textId="77777777" w:rsidTr="00E32B48">
        <w:tc>
          <w:tcPr>
            <w:tcW w:w="9072" w:type="dxa"/>
          </w:tcPr>
          <w:p w14:paraId="5990991B" w14:textId="02BC14BC" w:rsidR="00163111" w:rsidRDefault="002C265A" w:rsidP="000A7675">
            <w:pPr>
              <w:spacing w:before="0" w:after="0"/>
              <w:jc w:val="center"/>
            </w:pPr>
            <w:r w:rsidRPr="002C265A">
              <w:rPr>
                <w:noProof/>
              </w:rPr>
              <w:drawing>
                <wp:inline distT="0" distB="0" distL="0" distR="0" wp14:anchorId="5B1AE634" wp14:editId="71256F8D">
                  <wp:extent cx="5629275" cy="2621038"/>
                  <wp:effectExtent l="0" t="0" r="0" b="8255"/>
                  <wp:docPr id="812777272" name="Picture 7" descr="Chart shows the share of the benefit from: concessional taxation of superannuation contributions; concessional taxation of superannuation earnings and superannuation-related CGT concessions; and the capital gains tax discount for individuals and trusts, by taxable income quin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77272" name="Picture 7" descr="Chart shows the share of the benefit from: concessional taxation of superannuation contributions; concessional taxation of superannuation earnings and superannuation-related CGT concessions; and the capital gains tax discount for individuals and trusts, by taxable income quintil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4205" cy="2623333"/>
                          </a:xfrm>
                          <a:prstGeom prst="rect">
                            <a:avLst/>
                          </a:prstGeom>
                          <a:noFill/>
                          <a:ln>
                            <a:noFill/>
                          </a:ln>
                        </pic:spPr>
                      </pic:pic>
                    </a:graphicData>
                  </a:graphic>
                </wp:inline>
              </w:drawing>
            </w:r>
          </w:p>
        </w:tc>
      </w:tr>
      <w:tr w:rsidR="00163111" w14:paraId="2B6A9801" w14:textId="77777777" w:rsidTr="00E32B48">
        <w:tc>
          <w:tcPr>
            <w:tcW w:w="9072" w:type="dxa"/>
          </w:tcPr>
          <w:p w14:paraId="66A408C0" w14:textId="2DE95D11" w:rsidR="00351976" w:rsidRPr="004E1ABF" w:rsidRDefault="00351976" w:rsidP="00023ECC">
            <w:pPr>
              <w:pStyle w:val="ChartorTableNote"/>
            </w:pPr>
            <w:r w:rsidRPr="004E1ABF">
              <w:t>Source: Estimates from 2024</w:t>
            </w:r>
            <w:r w:rsidR="00DE127E">
              <w:t>–</w:t>
            </w:r>
            <w:r w:rsidRPr="004E1ABF">
              <w:t>25 Tax Expenditures and Insights Statement.</w:t>
            </w:r>
          </w:p>
          <w:p w14:paraId="30619A56" w14:textId="7327D86E" w:rsidR="00023ECC" w:rsidRPr="00023ECC" w:rsidRDefault="00351976" w:rsidP="00023ECC">
            <w:pPr>
              <w:pStyle w:val="ChartorTableNote"/>
            </w:pPr>
            <w:r w:rsidRPr="004E1ABF">
              <w:t>Note: Superannuation non</w:t>
            </w:r>
            <w:r w:rsidR="00DE127E">
              <w:noBreakHyphen/>
            </w:r>
            <w:r w:rsidRPr="004E1ABF">
              <w:t>lodgers excluded from chart.</w:t>
            </w:r>
          </w:p>
        </w:tc>
      </w:tr>
    </w:tbl>
    <w:p w14:paraId="247B9C25" w14:textId="7A44093E" w:rsidR="00945B9F" w:rsidRDefault="004A7644" w:rsidP="00C854EA">
      <w:pPr>
        <w:pStyle w:val="Bullet"/>
        <w:spacing w:before="240"/>
      </w:pPr>
      <w:r w:rsidRPr="004A7644">
        <w:t>Company tax is significantly impacted by the outlook for the mining industry which accounted for 39 per cent of company tax in 2022</w:t>
      </w:r>
      <w:r w:rsidR="00DE127E">
        <w:t>–</w:t>
      </w:r>
      <w:r w:rsidRPr="004A7644">
        <w:t>23, up from 5 per cent in 1999</w:t>
      </w:r>
      <w:r w:rsidR="00DE127E">
        <w:t>–</w:t>
      </w:r>
      <w:r w:rsidRPr="004A7644">
        <w:t xml:space="preserve">00. Going forward, company tax collections will be exposed to changes in the value or composition of our resources exports as a result of the global energy transition. </w:t>
      </w:r>
    </w:p>
    <w:p w14:paraId="1F238DA1" w14:textId="77777777" w:rsidR="00945B9F" w:rsidRDefault="00945B9F">
      <w:pPr>
        <w:spacing w:before="0" w:after="160" w:line="259" w:lineRule="auto"/>
      </w:pPr>
      <w:r>
        <w:br w:type="page"/>
      </w:r>
    </w:p>
    <w:p w14:paraId="3521FACE" w14:textId="77777777" w:rsidR="004A7644" w:rsidRPr="004A7644" w:rsidRDefault="004A7644" w:rsidP="004A7644">
      <w:pPr>
        <w:pStyle w:val="Bullet"/>
      </w:pPr>
      <w:r w:rsidRPr="004A7644">
        <w:t>Company tax settings can also distort business decisions and disincentivise investment, which can result in lower productivity, fewer jobs and lower wages. For example, current settings involve a mix of approaches, differing treatment of debt and equity financing and a headline tax rate that is relatively high by international standards.</w:t>
      </w:r>
    </w:p>
    <w:p w14:paraId="739F6F9F" w14:textId="7810FC94" w:rsidR="004A7644" w:rsidRPr="004A7644" w:rsidRDefault="004A7644" w:rsidP="004A7644">
      <w:pPr>
        <w:pStyle w:val="Bullet"/>
      </w:pPr>
      <w:r w:rsidRPr="004A7644">
        <w:t>Indirect taxes (including the GST and excise equivalent duties) have fallen from 29 to 22 per cent of total tax receipts over the 20 years to 2023</w:t>
      </w:r>
      <w:r w:rsidR="00DE127E">
        <w:t>–</w:t>
      </w:r>
      <w:r w:rsidRPr="004A7644">
        <w:t xml:space="preserve">24. This trend is expected to continue as technological developments and changing consumer preferences erode the fuel and tobacco excise bases. </w:t>
      </w:r>
    </w:p>
    <w:p w14:paraId="081A0D86" w14:textId="10DC6F75" w:rsidR="006908BE" w:rsidRPr="00E9024B" w:rsidRDefault="00493EC7" w:rsidP="00E9024B">
      <w:pPr>
        <w:pStyle w:val="Heading1"/>
      </w:pPr>
      <w:r w:rsidRPr="00E9024B">
        <w:t>Work done or underway</w:t>
      </w:r>
    </w:p>
    <w:p w14:paraId="032BB367" w14:textId="742C2FA4" w:rsidR="0076308D" w:rsidRPr="00A75B97" w:rsidRDefault="0076308D" w:rsidP="00A75B97">
      <w:pPr>
        <w:rPr>
          <w:b/>
          <w:bCs/>
        </w:rPr>
      </w:pPr>
      <w:r w:rsidRPr="00A75B97">
        <w:rPr>
          <w:b/>
          <w:bCs/>
        </w:rPr>
        <w:t xml:space="preserve">More work is required to make the </w:t>
      </w:r>
      <w:r w:rsidR="008D7778">
        <w:rPr>
          <w:b/>
          <w:bCs/>
        </w:rPr>
        <w:t>B</w:t>
      </w:r>
      <w:r w:rsidRPr="00A75B97">
        <w:rPr>
          <w:b/>
          <w:bCs/>
        </w:rPr>
        <w:t xml:space="preserve">udget more sustainable over time, but the Government has made significant progress in recent years. </w:t>
      </w:r>
    </w:p>
    <w:p w14:paraId="177A12EA" w14:textId="30267715" w:rsidR="000D267C" w:rsidRDefault="000D267C" w:rsidP="000D267C">
      <w:pPr>
        <w:pStyle w:val="Bullet"/>
      </w:pPr>
      <w:r>
        <w:t xml:space="preserve">The underlying cash balance improved by a cumulative $207 billion over the seven years to </w:t>
      </w:r>
      <w:r w:rsidR="00DE127E">
        <w:br/>
      </w:r>
      <w:r>
        <w:t>2028</w:t>
      </w:r>
      <w:r w:rsidR="00DE127E">
        <w:t>–</w:t>
      </w:r>
      <w:r>
        <w:t>29 from the 2022 Pre</w:t>
      </w:r>
      <w:r w:rsidR="00DE127E">
        <w:noBreakHyphen/>
      </w:r>
      <w:r>
        <w:t>election Economic and Fiscal Outlook (PEFO) to the 2025 PEFO – the largest nominal improvement in a parliamentary term.</w:t>
      </w:r>
    </w:p>
    <w:p w14:paraId="41346962" w14:textId="4657D868" w:rsidR="000D267C" w:rsidRDefault="000D267C" w:rsidP="000D267C">
      <w:pPr>
        <w:pStyle w:val="Bullet"/>
      </w:pPr>
      <w:r>
        <w:t>Since the 2022 PEFO, the Government identified around $100 billion in savings and spending</w:t>
      </w:r>
      <w:r w:rsidR="00A40278">
        <w:t> </w:t>
      </w:r>
      <w:r>
        <w:t>reprioritisations.</w:t>
      </w:r>
    </w:p>
    <w:p w14:paraId="12BBAE4B" w14:textId="5F235845" w:rsidR="000D267C" w:rsidRDefault="000D267C" w:rsidP="000D267C">
      <w:pPr>
        <w:pStyle w:val="Dash"/>
        <w:rPr>
          <w:rFonts w:eastAsia="Calibri Light" w:cs="Calibri Light"/>
        </w:rPr>
      </w:pPr>
      <w:r w:rsidRPr="74BC80F3">
        <w:t xml:space="preserve">These savings and reprioritisations have improved both the </w:t>
      </w:r>
      <w:r w:rsidR="005F5933">
        <w:t>b</w:t>
      </w:r>
      <w:r w:rsidRPr="74BC80F3">
        <w:t>udget bottom line and the quality of government spending. For example, the Government reformed the Infrastructure Investment Program to ensure a more integrated, strategic and sustainable approach to projects, while remaining committed to an over $120 billion 10</w:t>
      </w:r>
      <w:r w:rsidRPr="74BC80F3">
        <w:rPr>
          <w:rFonts w:ascii="Cambria Math" w:hAnsi="Cambria Math" w:cs="Cambria Math"/>
        </w:rPr>
        <w:t>‑</w:t>
      </w:r>
      <w:r w:rsidRPr="74BC80F3">
        <w:t>year infrastructure investment pipeline.</w:t>
      </w:r>
    </w:p>
    <w:p w14:paraId="3D8EDB3E" w14:textId="77777777" w:rsidR="00463B5C" w:rsidRPr="00463B5C" w:rsidRDefault="00463B5C" w:rsidP="00463B5C">
      <w:pPr>
        <w:pStyle w:val="Bullet"/>
      </w:pPr>
      <w:r w:rsidRPr="00463B5C">
        <w:t xml:space="preserve">Further, the Government returned almost 70 per cent of tax receipt upgrades to the Budget over the last term, totalling $248.6 billion. </w:t>
      </w:r>
    </w:p>
    <w:p w14:paraId="2C7D9F48" w14:textId="29C62A73" w:rsidR="00463B5C" w:rsidRPr="00463B5C" w:rsidRDefault="00463B5C" w:rsidP="00463B5C">
      <w:pPr>
        <w:pStyle w:val="Bullet"/>
      </w:pPr>
      <w:r w:rsidRPr="00463B5C">
        <w:t>Real payments growth was constrained to be an average of 1.7 per cent per year over the seven years to 2028</w:t>
      </w:r>
      <w:r w:rsidR="00DE127E">
        <w:t>–</w:t>
      </w:r>
      <w:r w:rsidRPr="00463B5C">
        <w:t>29, around half the 30</w:t>
      </w:r>
      <w:r w:rsidR="0031674A">
        <w:noBreakHyphen/>
      </w:r>
      <w:r w:rsidRPr="00463B5C">
        <w:t xml:space="preserve">year average of 3.2 per cent. </w:t>
      </w:r>
    </w:p>
    <w:p w14:paraId="6A546B1D" w14:textId="3A661F1E" w:rsidR="00463B5C" w:rsidRPr="00463B5C" w:rsidRDefault="00463B5C" w:rsidP="00463B5C">
      <w:pPr>
        <w:pStyle w:val="Bullet"/>
        <w:rPr>
          <w:rFonts w:eastAsia="Calibri Light"/>
        </w:rPr>
      </w:pPr>
      <w:r w:rsidRPr="00463B5C">
        <w:rPr>
          <w:rFonts w:eastAsia="Calibri Light"/>
        </w:rPr>
        <w:t>The Government has made significant progress in addressing longer</w:t>
      </w:r>
      <w:r w:rsidR="00857E22" w:rsidRPr="00CC2D25">
        <w:rPr>
          <w:rFonts w:eastAsia="Calibri Light" w:cs="Calibri Light"/>
          <w:szCs w:val="22"/>
        </w:rPr>
        <w:t>-</w:t>
      </w:r>
      <w:r w:rsidRPr="00463B5C">
        <w:rPr>
          <w:rFonts w:eastAsia="Calibri Light"/>
        </w:rPr>
        <w:t>term structural spending pressures. This includes:</w:t>
      </w:r>
    </w:p>
    <w:p w14:paraId="439E2F32" w14:textId="059A4A07" w:rsidR="00463B5C" w:rsidRDefault="00463B5C" w:rsidP="00463B5C">
      <w:pPr>
        <w:pStyle w:val="Dash"/>
        <w:rPr>
          <w:rFonts w:eastAsia="Calibri Light" w:cs="Calibri Light"/>
          <w:szCs w:val="22"/>
        </w:rPr>
      </w:pPr>
      <w:r w:rsidRPr="74BC80F3">
        <w:t xml:space="preserve">Legislation to progress the Independent NDIS Review’s recommendations to make the NDIS more sustainable and deliver on National Cabinet’s commitment to the NDIS Financial Sustainability Framework – estimated to </w:t>
      </w:r>
      <w:r>
        <w:t xml:space="preserve">reduce growth in the NDIS by around </w:t>
      </w:r>
      <w:r w:rsidRPr="74BC80F3">
        <w:t>$60 billion over</w:t>
      </w:r>
      <w:r w:rsidR="005A7174">
        <w:t> </w:t>
      </w:r>
      <w:r w:rsidRPr="74BC80F3">
        <w:t>10 years.</w:t>
      </w:r>
    </w:p>
    <w:p w14:paraId="26856E14" w14:textId="77777777" w:rsidR="00463B5C" w:rsidRDefault="00463B5C" w:rsidP="00463B5C">
      <w:pPr>
        <w:pStyle w:val="Dash"/>
        <w:rPr>
          <w:rFonts w:eastAsia="Calibri Light" w:cs="Calibri Light"/>
          <w:szCs w:val="22"/>
        </w:rPr>
      </w:pPr>
      <w:r w:rsidRPr="74BC80F3">
        <w:t>Aged care reforms that will save around $11 billion over the next 11 years, while delivering much better care and choice.</w:t>
      </w:r>
    </w:p>
    <w:p w14:paraId="67DCB1BB" w14:textId="6E008DBC" w:rsidR="00463B5C" w:rsidRDefault="00463B5C" w:rsidP="00463B5C">
      <w:pPr>
        <w:pStyle w:val="Dash"/>
        <w:rPr>
          <w:rFonts w:eastAsia="Calibri Light" w:cs="Calibri Light"/>
          <w:szCs w:val="22"/>
        </w:rPr>
      </w:pPr>
      <w:r w:rsidRPr="74BC80F3">
        <w:t>At the 2025</w:t>
      </w:r>
      <w:r w:rsidR="00DE127E">
        <w:t>–</w:t>
      </w:r>
      <w:r w:rsidRPr="74BC80F3">
        <w:t>26 Budget, gross debt was expected to be $177 billion lower in 2024</w:t>
      </w:r>
      <w:r w:rsidR="00DE127E">
        <w:t>–</w:t>
      </w:r>
      <w:r w:rsidRPr="74BC80F3">
        <w:t>25 than forecast in the 2022 PEFO – helping to avoid $60 billion in interest costs.</w:t>
      </w:r>
    </w:p>
    <w:p w14:paraId="5963B86C" w14:textId="77777777" w:rsidR="00CD06AD" w:rsidRPr="00CD06AD" w:rsidRDefault="00CD06AD" w:rsidP="00CD06AD">
      <w:pPr>
        <w:pStyle w:val="Bullet"/>
      </w:pPr>
      <w:r w:rsidRPr="00CD06AD">
        <w:t>In addition, the Government continues to deliver a substantial tax reform agenda which includes:</w:t>
      </w:r>
    </w:p>
    <w:p w14:paraId="61A6E305" w14:textId="4BB80A71" w:rsidR="00CD06AD" w:rsidRPr="005A4E70" w:rsidRDefault="00CD06AD" w:rsidP="00CD06AD">
      <w:pPr>
        <w:pStyle w:val="Dash"/>
      </w:pPr>
      <w:r w:rsidRPr="00790AE5">
        <w:t>Delivering</w:t>
      </w:r>
      <w:r w:rsidRPr="00370E70">
        <w:t xml:space="preserve"> two </w:t>
      </w:r>
      <w:r w:rsidRPr="00790AE5">
        <w:t xml:space="preserve">more </w:t>
      </w:r>
      <w:r w:rsidRPr="00370E70">
        <w:t xml:space="preserve">tax cuts </w:t>
      </w:r>
      <w:r w:rsidRPr="00790AE5">
        <w:t>to</w:t>
      </w:r>
      <w:r w:rsidRPr="00370E70">
        <w:t xml:space="preserve"> every Australian taxpayer</w:t>
      </w:r>
      <w:r w:rsidRPr="00790AE5">
        <w:t xml:space="preserve"> in 2026 and 2027, adding to the first round delivered in July 2024</w:t>
      </w:r>
      <w:r w:rsidRPr="00370E70">
        <w:t xml:space="preserve">, which will provide meaningful </w:t>
      </w:r>
      <w:r w:rsidR="008E51B6" w:rsidRPr="00370E70">
        <w:t>cost</w:t>
      </w:r>
      <w:r w:rsidR="00DE127E">
        <w:noBreakHyphen/>
      </w:r>
      <w:r w:rsidR="008E51B6" w:rsidRPr="00370E70">
        <w:t>of</w:t>
      </w:r>
      <w:r w:rsidR="00DE127E">
        <w:noBreakHyphen/>
      </w:r>
      <w:r w:rsidR="008E51B6" w:rsidRPr="00370E70">
        <w:t xml:space="preserve">living </w:t>
      </w:r>
      <w:r w:rsidRPr="00370E70">
        <w:t xml:space="preserve">relief, return bracket creep and boost labour supply (especially for women and lower income Australians) </w:t>
      </w:r>
      <w:r w:rsidRPr="005A4E70">
        <w:t xml:space="preserve">(Chart </w:t>
      </w:r>
      <w:r>
        <w:t>11</w:t>
      </w:r>
      <w:r w:rsidRPr="005A4E70">
        <w:t xml:space="preserve">). </w:t>
      </w:r>
    </w:p>
    <w:p w14:paraId="5A602436" w14:textId="24560D69" w:rsidR="00CD06AD" w:rsidRPr="005A4E70" w:rsidRDefault="00CD06AD" w:rsidP="00CD06AD">
      <w:pPr>
        <w:pStyle w:val="Dash"/>
      </w:pPr>
      <w:r w:rsidRPr="005A4E70">
        <w:t xml:space="preserve">Making the tax system simpler for workers </w:t>
      </w:r>
      <w:r>
        <w:t>by</w:t>
      </w:r>
      <w:r w:rsidRPr="005A4E70">
        <w:t xml:space="preserve"> </w:t>
      </w:r>
      <w:r>
        <w:t>announcing</w:t>
      </w:r>
      <w:r w:rsidRPr="005A4E70">
        <w:t xml:space="preserve"> a $1,000 instant deduction for work</w:t>
      </w:r>
      <w:r w:rsidR="00DE127E">
        <w:noBreakHyphen/>
      </w:r>
      <w:r w:rsidRPr="005A4E70">
        <w:t xml:space="preserve">related expenses </w:t>
      </w:r>
      <w:r>
        <w:t xml:space="preserve">to apply </w:t>
      </w:r>
      <w:r w:rsidRPr="005A4E70">
        <w:t>from 2026</w:t>
      </w:r>
      <w:r w:rsidR="00DE127E">
        <w:t>–</w:t>
      </w:r>
      <w:r w:rsidRPr="005A4E70">
        <w:t>27.</w:t>
      </w:r>
    </w:p>
    <w:p w14:paraId="355A0CF3" w14:textId="77777777" w:rsidR="00CD06AD" w:rsidRPr="005A4E70" w:rsidRDefault="00CD06AD" w:rsidP="00CD06AD">
      <w:pPr>
        <w:pStyle w:val="Dash"/>
      </w:pPr>
      <w:r w:rsidRPr="005A4E70">
        <w:t>Ensuring the Australian community receives a fairer return from its natural resources through reforms to the Petroleum Resource Rent Tax (PRRT).</w:t>
      </w:r>
    </w:p>
    <w:p w14:paraId="5AAF9E3E" w14:textId="1B3FD5D6" w:rsidR="00CD06AD" w:rsidRPr="005A4E70" w:rsidRDefault="00CD06AD" w:rsidP="00CD06AD">
      <w:pPr>
        <w:pStyle w:val="Dash"/>
      </w:pPr>
      <w:r w:rsidRPr="005A4E70">
        <w:t xml:space="preserve">Helping small businesses to invest </w:t>
      </w:r>
      <w:r>
        <w:t xml:space="preserve">by </w:t>
      </w:r>
      <w:r w:rsidR="00765CF4">
        <w:t xml:space="preserve">announcing the </w:t>
      </w:r>
      <w:r>
        <w:t>exten</w:t>
      </w:r>
      <w:r w:rsidR="007C10F7">
        <w:t>sion of</w:t>
      </w:r>
      <w:r w:rsidRPr="005A4E70">
        <w:t xml:space="preserve"> the $20,000 instant asset write</w:t>
      </w:r>
      <w:r w:rsidR="00DE127E">
        <w:noBreakHyphen/>
      </w:r>
      <w:r w:rsidRPr="005A4E70">
        <w:t>off for a further 12 months until 30 June 2026.</w:t>
      </w:r>
    </w:p>
    <w:p w14:paraId="1E5693CE" w14:textId="7209205D" w:rsidR="00CD06AD" w:rsidRPr="005A4E70" w:rsidRDefault="00CD06AD" w:rsidP="00CD06AD">
      <w:pPr>
        <w:pStyle w:val="Dash"/>
      </w:pPr>
      <w:r w:rsidRPr="005A4E70">
        <w:t>Supporting the construction of homes</w:t>
      </w:r>
      <w:r>
        <w:t xml:space="preserve">, including affordable homes, </w:t>
      </w:r>
      <w:r w:rsidRPr="005A4E70">
        <w:t>through new tax breaks for</w:t>
      </w:r>
      <w:r w:rsidR="005A7174">
        <w:t> </w:t>
      </w:r>
      <w:r w:rsidRPr="005A4E70">
        <w:t>the build</w:t>
      </w:r>
      <w:r w:rsidR="00DE127E">
        <w:noBreakHyphen/>
      </w:r>
      <w:r w:rsidRPr="005A4E70">
        <w:t>to</w:t>
      </w:r>
      <w:r w:rsidR="00DE127E">
        <w:noBreakHyphen/>
      </w:r>
      <w:r w:rsidRPr="005A4E70">
        <w:t>rent sector.</w:t>
      </w:r>
    </w:p>
    <w:p w14:paraId="7A711329" w14:textId="725EB14A" w:rsidR="00CD06AD" w:rsidRPr="005A4E70" w:rsidRDefault="00CD06AD" w:rsidP="00CD06AD">
      <w:pPr>
        <w:pStyle w:val="Dash"/>
      </w:pPr>
      <w:r w:rsidRPr="005A4E70">
        <w:t>Supporting private sector investment to build a stronger, more diversified and more resilient economy powered by renewable energy through critical minerals and hydrogen production tax</w:t>
      </w:r>
      <w:r w:rsidR="00A40278">
        <w:t> </w:t>
      </w:r>
      <w:r w:rsidRPr="005A4E70">
        <w:t>incentives.</w:t>
      </w:r>
    </w:p>
    <w:p w14:paraId="5EF8F71E" w14:textId="77777777" w:rsidR="00CD06AD" w:rsidRPr="005A4E70" w:rsidRDefault="00CD06AD" w:rsidP="00CD06AD">
      <w:pPr>
        <w:pStyle w:val="Dash"/>
      </w:pPr>
      <w:r w:rsidRPr="005A4E70">
        <w:t xml:space="preserve">Making superannuation tax concessions more equitable and sustainable by reducing the tax concessions available to individuals whose total superannuation balances exceed $3 million. </w:t>
      </w:r>
    </w:p>
    <w:p w14:paraId="102D110B" w14:textId="77777777" w:rsidR="00CD06AD" w:rsidRDefault="00CD06AD" w:rsidP="00706565">
      <w:pPr>
        <w:pStyle w:val="Dash"/>
        <w:spacing w:after="240"/>
      </w:pPr>
      <w:r>
        <w:t>Improving tax transparency and integrity through multinational tax reform and investment in tax compliance programs.</w:t>
      </w:r>
    </w:p>
    <w:tbl>
      <w:tblPr>
        <w:tblStyle w:val="TableGrid"/>
        <w:tblW w:w="0" w:type="auto"/>
        <w:tblLook w:val="04A0" w:firstRow="1" w:lastRow="0" w:firstColumn="1" w:lastColumn="0" w:noHBand="0" w:noVBand="1"/>
      </w:tblPr>
      <w:tblGrid>
        <w:gridCol w:w="9072"/>
      </w:tblGrid>
      <w:tr w:rsidR="00F013A0" w14:paraId="55DA3477" w14:textId="77777777" w:rsidTr="00F95CB5">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p w14:paraId="38E8CBAB" w14:textId="4A5335C5" w:rsidR="00F013A0" w:rsidRPr="00D44443" w:rsidRDefault="00D44443" w:rsidP="000A7675">
            <w:pPr>
              <w:pStyle w:val="ChartSecondHeading"/>
              <w:spacing w:after="0"/>
            </w:pPr>
            <w:r w:rsidRPr="00D44443">
              <w:t>Chart 11: Expected change in weekly hours worked from combined tax cuts, by sex and taxable income</w:t>
            </w:r>
          </w:p>
        </w:tc>
      </w:tr>
      <w:tr w:rsidR="00F013A0" w14:paraId="4F421295" w14:textId="77777777" w:rsidTr="00F95CB5">
        <w:tc>
          <w:tcPr>
            <w:tcW w:w="9072" w:type="dxa"/>
          </w:tcPr>
          <w:p w14:paraId="2F1B8ECD" w14:textId="75582C80" w:rsidR="00F013A0" w:rsidRDefault="00E83C30" w:rsidP="000A7675">
            <w:pPr>
              <w:spacing w:before="0" w:after="0"/>
              <w:jc w:val="center"/>
            </w:pPr>
            <w:r w:rsidRPr="00E83C30">
              <w:rPr>
                <w:noProof/>
              </w:rPr>
              <w:drawing>
                <wp:anchor distT="0" distB="0" distL="114300" distR="114300" simplePos="0" relativeHeight="251660288" behindDoc="0" locked="0" layoutInCell="1" allowOverlap="1" wp14:anchorId="2FEFA576" wp14:editId="201979D7">
                  <wp:simplePos x="0" y="0"/>
                  <wp:positionH relativeFrom="column">
                    <wp:posOffset>-12700</wp:posOffset>
                  </wp:positionH>
                  <wp:positionV relativeFrom="paragraph">
                    <wp:posOffset>3175</wp:posOffset>
                  </wp:positionV>
                  <wp:extent cx="5648960" cy="2639695"/>
                  <wp:effectExtent l="0" t="0" r="0" b="0"/>
                  <wp:wrapTopAndBottom/>
                  <wp:docPr id="2118184359" name="Picture 6" descr="Chart shows the expected change in weekly hours worked from combined tax cuts by sex and taxable income (in $1,000 income brackets). Increased hours worked are expected from a little above $20,000 onwards. The number of increased hours rises, peaking at around 20,000 additional weekly hours for those with annual taxable income of around $45,000. From there the number of increased hours steadily declines. The majority of the additional hours are worked by women. The total area under the chart is about 1.3 million additional weekly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84359" name="Picture 6" descr="Chart shows the expected change in weekly hours worked from combined tax cuts by sex and taxable income (in $1,000 income brackets). Increased hours worked are expected from a little above $20,000 onwards. The number of increased hours rises, peaking at around 20,000 additional weekly hours for those with annual taxable income of around $45,000. From there the number of increased hours steadily declines. The majority of the additional hours are worked by women. The total area under the chart is about 1.3 million additional weekly hou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48960" cy="26396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013A0" w14:paraId="20754F65" w14:textId="77777777" w:rsidTr="00F95CB5">
        <w:tc>
          <w:tcPr>
            <w:tcW w:w="9072" w:type="dxa"/>
          </w:tcPr>
          <w:p w14:paraId="2AE34122" w14:textId="77777777" w:rsidR="007B31B0" w:rsidRPr="004E1ABF" w:rsidRDefault="007B31B0" w:rsidP="00023ECC">
            <w:pPr>
              <w:pStyle w:val="ChartorTableNote"/>
            </w:pPr>
            <w:r w:rsidRPr="004E1ABF">
              <w:t>Source: Treasury analysis</w:t>
            </w:r>
          </w:p>
          <w:p w14:paraId="34CFBC3D" w14:textId="51E33B67" w:rsidR="00F013A0" w:rsidRDefault="007B31B0" w:rsidP="00023ECC">
            <w:pPr>
              <w:pStyle w:val="ChartorTableNote"/>
            </w:pPr>
            <w:r w:rsidRPr="004E1ABF">
              <w:t>Note: Shows the distribution of the expected increase of 1.3 million hours worked per week by sex and taxable income (in $1,000 income brackets).</w:t>
            </w:r>
          </w:p>
        </w:tc>
      </w:tr>
    </w:tbl>
    <w:p w14:paraId="1040FFB5" w14:textId="0EACBE0D" w:rsidR="00A967D9" w:rsidRDefault="00A967D9" w:rsidP="007B31B0"/>
    <w:sectPr w:rsidR="00A967D9" w:rsidSect="004E1852">
      <w:headerReference w:type="even" r:id="rId25"/>
      <w:footerReference w:type="even" r:id="rId26"/>
      <w:footerReference w:type="default" r:id="rId27"/>
      <w:headerReference w:type="first" r:id="rId28"/>
      <w:footerReference w:type="first" r:id="rId29"/>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6301" w14:textId="77777777" w:rsidR="008F1CF2" w:rsidRDefault="008F1CF2">
      <w:pPr>
        <w:spacing w:before="0" w:after="0"/>
      </w:pPr>
      <w:r>
        <w:separator/>
      </w:r>
    </w:p>
  </w:endnote>
  <w:endnote w:type="continuationSeparator" w:id="0">
    <w:p w14:paraId="2ACE8987" w14:textId="77777777" w:rsidR="008F1CF2" w:rsidRDefault="008F1CF2">
      <w:pPr>
        <w:spacing w:before="0" w:after="0"/>
      </w:pPr>
      <w:r>
        <w:continuationSeparator/>
      </w:r>
    </w:p>
  </w:endnote>
  <w:endnote w:type="continuationNotice" w:id="1">
    <w:p w14:paraId="296053FB" w14:textId="77777777" w:rsidR="008F1CF2" w:rsidRDefault="008F1C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5901" w14:textId="4F4DB2DB" w:rsidR="00672B5D" w:rsidRDefault="004E1852" w:rsidP="004E1852">
    <w:pPr>
      <w:pStyle w:val="FooterEven"/>
    </w:pPr>
    <w:r>
      <w:tab/>
    </w:r>
    <w:r w:rsidR="00672B5D">
      <w:t xml:space="preserve"> </w:t>
    </w:r>
    <w:r w:rsidR="00672B5D">
      <w:rPr>
        <w:noProof w:val="0"/>
      </w:rPr>
      <w:fldChar w:fldCharType="begin"/>
    </w:r>
    <w:r w:rsidR="00672B5D">
      <w:instrText xml:space="preserve"> PAGE   \* MERGEFORMAT </w:instrText>
    </w:r>
    <w:r w:rsidR="00672B5D">
      <w:rPr>
        <w:noProof w:val="0"/>
      </w:rPr>
      <w:fldChar w:fldCharType="separate"/>
    </w:r>
    <w:r w:rsidR="00672B5D">
      <w:rPr>
        <w:noProof w:val="0"/>
      </w:rPr>
      <w:t>2</w:t>
    </w:r>
    <w:r w:rsidR="00672B5D">
      <w:fldChar w:fldCharType="end"/>
    </w:r>
    <w:r w:rsidR="00672B5D">
      <w:t xml:space="preserve"> | </w:t>
    </w:r>
    <w:fldSimple w:instr=" STYLEREF  &quot;Heading 1&quot;  \* MERGEFORMAT "/>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C123" w14:textId="199B1C31" w:rsidR="001F5441" w:rsidRDefault="004E1852" w:rsidP="001F5441">
    <w:pPr>
      <w:pStyle w:val="FooterOdd"/>
    </w:pPr>
    <w:r>
      <w:tab/>
    </w:r>
    <w:fldSimple w:instr=" STYLEREF  &quot;Heading 1&quot;  \* MERGEFORMAT ">
      <w:r w:rsidR="00C24662">
        <w:rPr>
          <w:noProof/>
        </w:rPr>
        <w:t>Work done or underway</w:t>
      </w:r>
    </w:fldSimple>
    <w:r w:rsidR="001F5441">
      <w:t xml:space="preserve"> | </w:t>
    </w:r>
    <w:r w:rsidR="001F5441">
      <w:fldChar w:fldCharType="begin"/>
    </w:r>
    <w:r w:rsidR="001F5441">
      <w:instrText xml:space="preserve"> PAGE   \* MERGEFORMAT </w:instrText>
    </w:r>
    <w:r w:rsidR="001F5441">
      <w:fldChar w:fldCharType="separate"/>
    </w:r>
    <w:r w:rsidR="001F5441">
      <w:t>1</w:t>
    </w:r>
    <w:r w:rsidR="001F544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569D"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AFDB" w14:textId="77777777" w:rsidR="008F1CF2" w:rsidRPr="00ED5A20" w:rsidRDefault="008F1CF2" w:rsidP="000F6233">
      <w:pPr>
        <w:rPr>
          <w:color w:val="4D7861" w:themeColor="accent2"/>
        </w:rPr>
      </w:pPr>
      <w:r w:rsidRPr="00ED5A20">
        <w:rPr>
          <w:color w:val="4D7861" w:themeColor="accent2"/>
        </w:rPr>
        <w:separator/>
      </w:r>
    </w:p>
  </w:footnote>
  <w:footnote w:type="continuationSeparator" w:id="0">
    <w:p w14:paraId="674A2D8B" w14:textId="77777777" w:rsidR="008F1CF2" w:rsidRPr="00B737EB" w:rsidRDefault="008F1CF2">
      <w:pPr>
        <w:spacing w:before="0" w:after="0"/>
        <w:rPr>
          <w:color w:val="2C384A" w:themeColor="accent1"/>
        </w:rPr>
      </w:pPr>
      <w:r w:rsidRPr="00B737EB">
        <w:rPr>
          <w:color w:val="2C384A" w:themeColor="accent1"/>
        </w:rPr>
        <w:continuationSeparator/>
      </w:r>
    </w:p>
  </w:footnote>
  <w:footnote w:type="continuationNotice" w:id="1">
    <w:p w14:paraId="6A350B26" w14:textId="77777777" w:rsidR="008F1CF2" w:rsidRDefault="008F1C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AA02" w14:textId="644C9321" w:rsidR="00672B5D" w:rsidRPr="00AC75E2" w:rsidRDefault="008E24D2" w:rsidP="00AC75E2">
    <w:pPr>
      <w:pStyle w:val="HeaderEven"/>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721"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3837378"/>
    <w:multiLevelType w:val="multilevel"/>
    <w:tmpl w:val="53A68CC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C53CAD"/>
    <w:multiLevelType w:val="multilevel"/>
    <w:tmpl w:val="23329D62"/>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5400C5"/>
    <w:multiLevelType w:val="multilevel"/>
    <w:tmpl w:val="6C5EAC5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7256EF"/>
    <w:multiLevelType w:val="multilevel"/>
    <w:tmpl w:val="B9AC801E"/>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420C0223"/>
    <w:multiLevelType w:val="multilevel"/>
    <w:tmpl w:val="FB5481B8"/>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0" w15:restartNumberingAfterBreak="0">
    <w:nsid w:val="510D2021"/>
    <w:multiLevelType w:val="multilevel"/>
    <w:tmpl w:val="72F8140E"/>
    <w:numStyleLink w:val="OutlineList"/>
  </w:abstractNum>
  <w:abstractNum w:abstractNumId="21"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4" w15:restartNumberingAfterBreak="0">
    <w:nsid w:val="744F44D7"/>
    <w:multiLevelType w:val="multilevel"/>
    <w:tmpl w:val="5ACC98AC"/>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3"/>
  </w:num>
  <w:num w:numId="2" w16cid:durableId="230386874">
    <w:abstractNumId w:val="2"/>
  </w:num>
  <w:num w:numId="3" w16cid:durableId="1716855291">
    <w:abstractNumId w:val="16"/>
  </w:num>
  <w:num w:numId="4" w16cid:durableId="797724066">
    <w:abstractNumId w:val="4"/>
  </w:num>
  <w:num w:numId="5" w16cid:durableId="709110180">
    <w:abstractNumId w:val="7"/>
  </w:num>
  <w:num w:numId="6" w16cid:durableId="306596971">
    <w:abstractNumId w:val="20"/>
  </w:num>
  <w:num w:numId="7" w16cid:durableId="1739129519">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8"/>
  </w:num>
  <w:num w:numId="9" w16cid:durableId="1591279926">
    <w:abstractNumId w:val="3"/>
  </w:num>
  <w:num w:numId="10" w16cid:durableId="832991063">
    <w:abstractNumId w:val="11"/>
  </w:num>
  <w:num w:numId="11" w16cid:durableId="215508863">
    <w:abstractNumId w:val="27"/>
  </w:num>
  <w:num w:numId="12" w16cid:durableId="2019234066">
    <w:abstractNumId w:val="20"/>
  </w:num>
  <w:num w:numId="13" w16cid:durableId="1757362042">
    <w:abstractNumId w:val="28"/>
  </w:num>
  <w:num w:numId="14" w16cid:durableId="353965158">
    <w:abstractNumId w:val="19"/>
  </w:num>
  <w:num w:numId="15" w16cid:durableId="77220001">
    <w:abstractNumId w:val="10"/>
  </w:num>
  <w:num w:numId="16" w16cid:durableId="626086807">
    <w:abstractNumId w:val="22"/>
  </w:num>
  <w:num w:numId="17" w16cid:durableId="143200778">
    <w:abstractNumId w:val="15"/>
  </w:num>
  <w:num w:numId="18" w16cid:durableId="1054039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4"/>
  </w:num>
  <w:num w:numId="21" w16cid:durableId="525217854">
    <w:abstractNumId w:val="21"/>
  </w:num>
  <w:num w:numId="22" w16cid:durableId="1017973052">
    <w:abstractNumId w:val="6"/>
  </w:num>
  <w:num w:numId="23" w16cid:durableId="1710757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23"/>
  </w:num>
  <w:num w:numId="25" w16cid:durableId="1198618205">
    <w:abstractNumId w:val="9"/>
  </w:num>
  <w:num w:numId="26" w16cid:durableId="1880582053">
    <w:abstractNumId w:val="0"/>
  </w:num>
  <w:num w:numId="27" w16cid:durableId="1618750905">
    <w:abstractNumId w:val="17"/>
  </w:num>
  <w:num w:numId="28" w16cid:durableId="571357083">
    <w:abstractNumId w:val="18"/>
  </w:num>
  <w:num w:numId="29" w16cid:durableId="618489310">
    <w:abstractNumId w:val="12"/>
  </w:num>
  <w:num w:numId="30" w16cid:durableId="4090573">
    <w:abstractNumId w:val="5"/>
  </w:num>
  <w:num w:numId="31" w16cid:durableId="178082962">
    <w:abstractNumId w:val="1"/>
  </w:num>
  <w:num w:numId="32" w16cid:durableId="4725999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07176"/>
    <w:rsid w:val="0000003B"/>
    <w:rsid w:val="00004272"/>
    <w:rsid w:val="0001002E"/>
    <w:rsid w:val="00011725"/>
    <w:rsid w:val="00012C62"/>
    <w:rsid w:val="0001396A"/>
    <w:rsid w:val="00014D9A"/>
    <w:rsid w:val="0002289D"/>
    <w:rsid w:val="00023ECC"/>
    <w:rsid w:val="00024BBE"/>
    <w:rsid w:val="0002544D"/>
    <w:rsid w:val="00030371"/>
    <w:rsid w:val="00036095"/>
    <w:rsid w:val="00041464"/>
    <w:rsid w:val="00042132"/>
    <w:rsid w:val="0004274D"/>
    <w:rsid w:val="00042B3F"/>
    <w:rsid w:val="00043348"/>
    <w:rsid w:val="0004483F"/>
    <w:rsid w:val="00046CB4"/>
    <w:rsid w:val="0005138B"/>
    <w:rsid w:val="000522B7"/>
    <w:rsid w:val="00052B90"/>
    <w:rsid w:val="00052F0F"/>
    <w:rsid w:val="00053717"/>
    <w:rsid w:val="00053A62"/>
    <w:rsid w:val="000543F6"/>
    <w:rsid w:val="00055873"/>
    <w:rsid w:val="0005628A"/>
    <w:rsid w:val="00056880"/>
    <w:rsid w:val="000576DF"/>
    <w:rsid w:val="00057835"/>
    <w:rsid w:val="00062D34"/>
    <w:rsid w:val="000675D1"/>
    <w:rsid w:val="00071F0C"/>
    <w:rsid w:val="00072ECB"/>
    <w:rsid w:val="00073068"/>
    <w:rsid w:val="00073521"/>
    <w:rsid w:val="00075074"/>
    <w:rsid w:val="0007681A"/>
    <w:rsid w:val="000775DE"/>
    <w:rsid w:val="000810B2"/>
    <w:rsid w:val="0008774E"/>
    <w:rsid w:val="00087FAF"/>
    <w:rsid w:val="00093A8A"/>
    <w:rsid w:val="00095040"/>
    <w:rsid w:val="0009590A"/>
    <w:rsid w:val="00095D88"/>
    <w:rsid w:val="000A1475"/>
    <w:rsid w:val="000A37E5"/>
    <w:rsid w:val="000A4544"/>
    <w:rsid w:val="000A7675"/>
    <w:rsid w:val="000B093F"/>
    <w:rsid w:val="000B302A"/>
    <w:rsid w:val="000B394B"/>
    <w:rsid w:val="000B671F"/>
    <w:rsid w:val="000B7514"/>
    <w:rsid w:val="000C1BD3"/>
    <w:rsid w:val="000C571D"/>
    <w:rsid w:val="000C5F40"/>
    <w:rsid w:val="000C6D3F"/>
    <w:rsid w:val="000C6E2E"/>
    <w:rsid w:val="000C6EC7"/>
    <w:rsid w:val="000C78AF"/>
    <w:rsid w:val="000D155D"/>
    <w:rsid w:val="000D267C"/>
    <w:rsid w:val="000D35B8"/>
    <w:rsid w:val="000E0B74"/>
    <w:rsid w:val="000E3C4D"/>
    <w:rsid w:val="000E6226"/>
    <w:rsid w:val="000E7901"/>
    <w:rsid w:val="000F1850"/>
    <w:rsid w:val="000F2AD1"/>
    <w:rsid w:val="000F6233"/>
    <w:rsid w:val="001001DE"/>
    <w:rsid w:val="001028F3"/>
    <w:rsid w:val="00103F3C"/>
    <w:rsid w:val="0010547D"/>
    <w:rsid w:val="0011068D"/>
    <w:rsid w:val="001118CB"/>
    <w:rsid w:val="00111FD1"/>
    <w:rsid w:val="00113F13"/>
    <w:rsid w:val="00115371"/>
    <w:rsid w:val="001159A2"/>
    <w:rsid w:val="00116A55"/>
    <w:rsid w:val="00121EA9"/>
    <w:rsid w:val="001242F4"/>
    <w:rsid w:val="0012705F"/>
    <w:rsid w:val="0013036F"/>
    <w:rsid w:val="00131186"/>
    <w:rsid w:val="00131DC3"/>
    <w:rsid w:val="00132E63"/>
    <w:rsid w:val="0013487E"/>
    <w:rsid w:val="00135E4C"/>
    <w:rsid w:val="001373F5"/>
    <w:rsid w:val="00137BB7"/>
    <w:rsid w:val="001416E8"/>
    <w:rsid w:val="00155735"/>
    <w:rsid w:val="001574C0"/>
    <w:rsid w:val="001606CF"/>
    <w:rsid w:val="0016128D"/>
    <w:rsid w:val="00163111"/>
    <w:rsid w:val="00164599"/>
    <w:rsid w:val="0017089D"/>
    <w:rsid w:val="0017774E"/>
    <w:rsid w:val="001805A8"/>
    <w:rsid w:val="0019101A"/>
    <w:rsid w:val="00192538"/>
    <w:rsid w:val="0019348D"/>
    <w:rsid w:val="00194961"/>
    <w:rsid w:val="0019551B"/>
    <w:rsid w:val="00195C8E"/>
    <w:rsid w:val="001972D2"/>
    <w:rsid w:val="001A137F"/>
    <w:rsid w:val="001A16A4"/>
    <w:rsid w:val="001A4AEB"/>
    <w:rsid w:val="001A7C8A"/>
    <w:rsid w:val="001B2A5D"/>
    <w:rsid w:val="001B412D"/>
    <w:rsid w:val="001C2D7A"/>
    <w:rsid w:val="001C358D"/>
    <w:rsid w:val="001C40A0"/>
    <w:rsid w:val="001C781B"/>
    <w:rsid w:val="001D0907"/>
    <w:rsid w:val="001F1B27"/>
    <w:rsid w:val="001F1ED4"/>
    <w:rsid w:val="001F3751"/>
    <w:rsid w:val="001F5441"/>
    <w:rsid w:val="001F7F9F"/>
    <w:rsid w:val="00201E13"/>
    <w:rsid w:val="00203613"/>
    <w:rsid w:val="00203AB1"/>
    <w:rsid w:val="0020479B"/>
    <w:rsid w:val="0021033E"/>
    <w:rsid w:val="00221EC0"/>
    <w:rsid w:val="002225CB"/>
    <w:rsid w:val="00222B21"/>
    <w:rsid w:val="00223A69"/>
    <w:rsid w:val="002267DB"/>
    <w:rsid w:val="00231049"/>
    <w:rsid w:val="002314D2"/>
    <w:rsid w:val="0023305C"/>
    <w:rsid w:val="00233C44"/>
    <w:rsid w:val="00234530"/>
    <w:rsid w:val="0024084F"/>
    <w:rsid w:val="00240B97"/>
    <w:rsid w:val="00241881"/>
    <w:rsid w:val="0024294C"/>
    <w:rsid w:val="0024435C"/>
    <w:rsid w:val="002445C8"/>
    <w:rsid w:val="002461BA"/>
    <w:rsid w:val="00246E1D"/>
    <w:rsid w:val="00251924"/>
    <w:rsid w:val="002543D8"/>
    <w:rsid w:val="0025652F"/>
    <w:rsid w:val="002619FB"/>
    <w:rsid w:val="002631C7"/>
    <w:rsid w:val="002639DE"/>
    <w:rsid w:val="00263B6C"/>
    <w:rsid w:val="00264426"/>
    <w:rsid w:val="00266D8D"/>
    <w:rsid w:val="00266F22"/>
    <w:rsid w:val="00267C15"/>
    <w:rsid w:val="00272939"/>
    <w:rsid w:val="002729F2"/>
    <w:rsid w:val="00273676"/>
    <w:rsid w:val="0027590B"/>
    <w:rsid w:val="00282C52"/>
    <w:rsid w:val="00285969"/>
    <w:rsid w:val="0029102A"/>
    <w:rsid w:val="00295B30"/>
    <w:rsid w:val="002A0214"/>
    <w:rsid w:val="002A0306"/>
    <w:rsid w:val="002A74EF"/>
    <w:rsid w:val="002A7A31"/>
    <w:rsid w:val="002B0E74"/>
    <w:rsid w:val="002B316C"/>
    <w:rsid w:val="002B3829"/>
    <w:rsid w:val="002B4537"/>
    <w:rsid w:val="002B6530"/>
    <w:rsid w:val="002C2103"/>
    <w:rsid w:val="002C22EF"/>
    <w:rsid w:val="002C265A"/>
    <w:rsid w:val="002E1FB6"/>
    <w:rsid w:val="002E2BC9"/>
    <w:rsid w:val="002E454C"/>
    <w:rsid w:val="002F19DF"/>
    <w:rsid w:val="002F245F"/>
    <w:rsid w:val="002F49C8"/>
    <w:rsid w:val="002F617F"/>
    <w:rsid w:val="00300109"/>
    <w:rsid w:val="00301755"/>
    <w:rsid w:val="00305EF0"/>
    <w:rsid w:val="0030665E"/>
    <w:rsid w:val="00306894"/>
    <w:rsid w:val="003122F4"/>
    <w:rsid w:val="00314C0B"/>
    <w:rsid w:val="0031674A"/>
    <w:rsid w:val="00323840"/>
    <w:rsid w:val="00323D36"/>
    <w:rsid w:val="00324856"/>
    <w:rsid w:val="003268D5"/>
    <w:rsid w:val="00331C21"/>
    <w:rsid w:val="003366D4"/>
    <w:rsid w:val="0033755F"/>
    <w:rsid w:val="00344047"/>
    <w:rsid w:val="003442C8"/>
    <w:rsid w:val="003448F6"/>
    <w:rsid w:val="003459E6"/>
    <w:rsid w:val="003472BE"/>
    <w:rsid w:val="00347425"/>
    <w:rsid w:val="00347AE6"/>
    <w:rsid w:val="00350759"/>
    <w:rsid w:val="003512A6"/>
    <w:rsid w:val="00351976"/>
    <w:rsid w:val="00351DB1"/>
    <w:rsid w:val="00354D27"/>
    <w:rsid w:val="00355D5E"/>
    <w:rsid w:val="00355F83"/>
    <w:rsid w:val="003563F7"/>
    <w:rsid w:val="0035738A"/>
    <w:rsid w:val="00357BA9"/>
    <w:rsid w:val="00360C0E"/>
    <w:rsid w:val="003648D6"/>
    <w:rsid w:val="00366869"/>
    <w:rsid w:val="003723CF"/>
    <w:rsid w:val="00372E5E"/>
    <w:rsid w:val="00375655"/>
    <w:rsid w:val="0037684D"/>
    <w:rsid w:val="0038025D"/>
    <w:rsid w:val="003826FC"/>
    <w:rsid w:val="00383F8D"/>
    <w:rsid w:val="0038575B"/>
    <w:rsid w:val="003858A6"/>
    <w:rsid w:val="00386297"/>
    <w:rsid w:val="0038769A"/>
    <w:rsid w:val="00387FEA"/>
    <w:rsid w:val="0039099F"/>
    <w:rsid w:val="003929CC"/>
    <w:rsid w:val="00392DCC"/>
    <w:rsid w:val="00397A06"/>
    <w:rsid w:val="00397BB5"/>
    <w:rsid w:val="003A0CA3"/>
    <w:rsid w:val="003A10EF"/>
    <w:rsid w:val="003A4C68"/>
    <w:rsid w:val="003A5B36"/>
    <w:rsid w:val="003A6D5B"/>
    <w:rsid w:val="003B2BD0"/>
    <w:rsid w:val="003C1F4E"/>
    <w:rsid w:val="003C229C"/>
    <w:rsid w:val="003C24B4"/>
    <w:rsid w:val="003C63D9"/>
    <w:rsid w:val="003C64B2"/>
    <w:rsid w:val="003D4CDB"/>
    <w:rsid w:val="003D5699"/>
    <w:rsid w:val="003D59C1"/>
    <w:rsid w:val="003E20D6"/>
    <w:rsid w:val="003E4D87"/>
    <w:rsid w:val="003F1597"/>
    <w:rsid w:val="003F196A"/>
    <w:rsid w:val="003F2A24"/>
    <w:rsid w:val="003F3FA1"/>
    <w:rsid w:val="003F6D27"/>
    <w:rsid w:val="00401082"/>
    <w:rsid w:val="00403A56"/>
    <w:rsid w:val="00404A0E"/>
    <w:rsid w:val="00404D34"/>
    <w:rsid w:val="00410819"/>
    <w:rsid w:val="00412B5D"/>
    <w:rsid w:val="004143EC"/>
    <w:rsid w:val="00416762"/>
    <w:rsid w:val="00416E55"/>
    <w:rsid w:val="00421955"/>
    <w:rsid w:val="00423927"/>
    <w:rsid w:val="004242F4"/>
    <w:rsid w:val="0042478F"/>
    <w:rsid w:val="0042518A"/>
    <w:rsid w:val="004276A0"/>
    <w:rsid w:val="004302F9"/>
    <w:rsid w:val="0043082B"/>
    <w:rsid w:val="00442CF7"/>
    <w:rsid w:val="00444A63"/>
    <w:rsid w:val="00444CDB"/>
    <w:rsid w:val="00445265"/>
    <w:rsid w:val="00446ED0"/>
    <w:rsid w:val="004506A5"/>
    <w:rsid w:val="004559CE"/>
    <w:rsid w:val="0046032D"/>
    <w:rsid w:val="00460E1A"/>
    <w:rsid w:val="00461B4F"/>
    <w:rsid w:val="00463B5C"/>
    <w:rsid w:val="00463DF8"/>
    <w:rsid w:val="0046522B"/>
    <w:rsid w:val="00470115"/>
    <w:rsid w:val="00475085"/>
    <w:rsid w:val="00476CF6"/>
    <w:rsid w:val="004778F4"/>
    <w:rsid w:val="00477AA8"/>
    <w:rsid w:val="004808A2"/>
    <w:rsid w:val="00485047"/>
    <w:rsid w:val="00491D9F"/>
    <w:rsid w:val="00492FCB"/>
    <w:rsid w:val="00493E9B"/>
    <w:rsid w:val="00493EC7"/>
    <w:rsid w:val="00496E4D"/>
    <w:rsid w:val="004A0F11"/>
    <w:rsid w:val="004A3B77"/>
    <w:rsid w:val="004A3EAA"/>
    <w:rsid w:val="004A4E31"/>
    <w:rsid w:val="004A7644"/>
    <w:rsid w:val="004A7652"/>
    <w:rsid w:val="004A7D97"/>
    <w:rsid w:val="004B42B1"/>
    <w:rsid w:val="004B50FA"/>
    <w:rsid w:val="004B5133"/>
    <w:rsid w:val="004B7AF6"/>
    <w:rsid w:val="004C20BE"/>
    <w:rsid w:val="004C2384"/>
    <w:rsid w:val="004C2902"/>
    <w:rsid w:val="004C41B6"/>
    <w:rsid w:val="004C7F2F"/>
    <w:rsid w:val="004D6E37"/>
    <w:rsid w:val="004E00EA"/>
    <w:rsid w:val="004E05B6"/>
    <w:rsid w:val="004E1852"/>
    <w:rsid w:val="004E1ABF"/>
    <w:rsid w:val="004E2FE1"/>
    <w:rsid w:val="004E520D"/>
    <w:rsid w:val="004E6B14"/>
    <w:rsid w:val="004E726A"/>
    <w:rsid w:val="004F1768"/>
    <w:rsid w:val="004F4B92"/>
    <w:rsid w:val="004F72EE"/>
    <w:rsid w:val="00501B6C"/>
    <w:rsid w:val="00502A9D"/>
    <w:rsid w:val="00510F07"/>
    <w:rsid w:val="00513602"/>
    <w:rsid w:val="00515383"/>
    <w:rsid w:val="00516785"/>
    <w:rsid w:val="00520E99"/>
    <w:rsid w:val="0052419D"/>
    <w:rsid w:val="00525A42"/>
    <w:rsid w:val="00526E9F"/>
    <w:rsid w:val="005301F8"/>
    <w:rsid w:val="005312FC"/>
    <w:rsid w:val="00532C6D"/>
    <w:rsid w:val="0053384A"/>
    <w:rsid w:val="0053569E"/>
    <w:rsid w:val="0053603D"/>
    <w:rsid w:val="00536414"/>
    <w:rsid w:val="0053742A"/>
    <w:rsid w:val="00537C85"/>
    <w:rsid w:val="00541D29"/>
    <w:rsid w:val="00543F23"/>
    <w:rsid w:val="0054747A"/>
    <w:rsid w:val="0055021E"/>
    <w:rsid w:val="0055501A"/>
    <w:rsid w:val="005620B4"/>
    <w:rsid w:val="00562346"/>
    <w:rsid w:val="00562F17"/>
    <w:rsid w:val="00562F22"/>
    <w:rsid w:val="005638CB"/>
    <w:rsid w:val="005641AA"/>
    <w:rsid w:val="00564B7A"/>
    <w:rsid w:val="0056582C"/>
    <w:rsid w:val="00565909"/>
    <w:rsid w:val="005712B8"/>
    <w:rsid w:val="005776B2"/>
    <w:rsid w:val="0058346F"/>
    <w:rsid w:val="00584F0A"/>
    <w:rsid w:val="00586605"/>
    <w:rsid w:val="005868DE"/>
    <w:rsid w:val="005877AC"/>
    <w:rsid w:val="00594375"/>
    <w:rsid w:val="005966B7"/>
    <w:rsid w:val="0059744B"/>
    <w:rsid w:val="005A1F38"/>
    <w:rsid w:val="005A55A9"/>
    <w:rsid w:val="005A6E20"/>
    <w:rsid w:val="005A7174"/>
    <w:rsid w:val="005B09CE"/>
    <w:rsid w:val="005B3016"/>
    <w:rsid w:val="005B5E2A"/>
    <w:rsid w:val="005B6320"/>
    <w:rsid w:val="005C02A4"/>
    <w:rsid w:val="005C20D2"/>
    <w:rsid w:val="005C32FE"/>
    <w:rsid w:val="005C503A"/>
    <w:rsid w:val="005C52AF"/>
    <w:rsid w:val="005C73F9"/>
    <w:rsid w:val="005C74E0"/>
    <w:rsid w:val="005C7F9A"/>
    <w:rsid w:val="005D024A"/>
    <w:rsid w:val="005D057E"/>
    <w:rsid w:val="005D3530"/>
    <w:rsid w:val="005D4FD4"/>
    <w:rsid w:val="005D6D64"/>
    <w:rsid w:val="005E0652"/>
    <w:rsid w:val="005E22CF"/>
    <w:rsid w:val="005E28BC"/>
    <w:rsid w:val="005E379E"/>
    <w:rsid w:val="005E4104"/>
    <w:rsid w:val="005E6A06"/>
    <w:rsid w:val="005E7007"/>
    <w:rsid w:val="005F2FE7"/>
    <w:rsid w:val="005F4F04"/>
    <w:rsid w:val="005F5933"/>
    <w:rsid w:val="005F5DD6"/>
    <w:rsid w:val="005F5E0E"/>
    <w:rsid w:val="00601650"/>
    <w:rsid w:val="00601A88"/>
    <w:rsid w:val="00604EEF"/>
    <w:rsid w:val="00605AFD"/>
    <w:rsid w:val="00606178"/>
    <w:rsid w:val="006123D4"/>
    <w:rsid w:val="0061445B"/>
    <w:rsid w:val="006174C3"/>
    <w:rsid w:val="006243F6"/>
    <w:rsid w:val="00624C4B"/>
    <w:rsid w:val="006272D4"/>
    <w:rsid w:val="00631C59"/>
    <w:rsid w:val="00632FAC"/>
    <w:rsid w:val="00641BD4"/>
    <w:rsid w:val="00642A48"/>
    <w:rsid w:val="00643266"/>
    <w:rsid w:val="00646519"/>
    <w:rsid w:val="006469CC"/>
    <w:rsid w:val="00657A56"/>
    <w:rsid w:val="00661DC8"/>
    <w:rsid w:val="00661F1C"/>
    <w:rsid w:val="006626B5"/>
    <w:rsid w:val="00665401"/>
    <w:rsid w:val="00671160"/>
    <w:rsid w:val="00672B5D"/>
    <w:rsid w:val="00673EF3"/>
    <w:rsid w:val="00675D3A"/>
    <w:rsid w:val="0067622C"/>
    <w:rsid w:val="0068055F"/>
    <w:rsid w:val="00682249"/>
    <w:rsid w:val="00685CF7"/>
    <w:rsid w:val="00686165"/>
    <w:rsid w:val="00687E34"/>
    <w:rsid w:val="006908BE"/>
    <w:rsid w:val="00691CB5"/>
    <w:rsid w:val="006923DF"/>
    <w:rsid w:val="00694B9C"/>
    <w:rsid w:val="006954A9"/>
    <w:rsid w:val="006958E6"/>
    <w:rsid w:val="006A2545"/>
    <w:rsid w:val="006A37F5"/>
    <w:rsid w:val="006A4592"/>
    <w:rsid w:val="006A60B1"/>
    <w:rsid w:val="006A7610"/>
    <w:rsid w:val="006A7B94"/>
    <w:rsid w:val="006B13CE"/>
    <w:rsid w:val="006B15CB"/>
    <w:rsid w:val="006B2E39"/>
    <w:rsid w:val="006B38FF"/>
    <w:rsid w:val="006C1335"/>
    <w:rsid w:val="006C1892"/>
    <w:rsid w:val="006C1D2F"/>
    <w:rsid w:val="006C2D55"/>
    <w:rsid w:val="006C4017"/>
    <w:rsid w:val="006C5B73"/>
    <w:rsid w:val="006C645D"/>
    <w:rsid w:val="006D32F6"/>
    <w:rsid w:val="006D52BB"/>
    <w:rsid w:val="006E1123"/>
    <w:rsid w:val="006E14FD"/>
    <w:rsid w:val="006E1A81"/>
    <w:rsid w:val="006E1BDA"/>
    <w:rsid w:val="006E29D7"/>
    <w:rsid w:val="006E2D2A"/>
    <w:rsid w:val="006E3CC3"/>
    <w:rsid w:val="006F2B7E"/>
    <w:rsid w:val="006F6E46"/>
    <w:rsid w:val="00706565"/>
    <w:rsid w:val="00706E8E"/>
    <w:rsid w:val="00707F1F"/>
    <w:rsid w:val="00714C52"/>
    <w:rsid w:val="00716992"/>
    <w:rsid w:val="00720F65"/>
    <w:rsid w:val="00722B53"/>
    <w:rsid w:val="00725C92"/>
    <w:rsid w:val="007263D7"/>
    <w:rsid w:val="0072654C"/>
    <w:rsid w:val="007336AB"/>
    <w:rsid w:val="00742366"/>
    <w:rsid w:val="00744484"/>
    <w:rsid w:val="00746EBB"/>
    <w:rsid w:val="007509DD"/>
    <w:rsid w:val="00761CA9"/>
    <w:rsid w:val="00761FA5"/>
    <w:rsid w:val="0076308D"/>
    <w:rsid w:val="00763474"/>
    <w:rsid w:val="007640BC"/>
    <w:rsid w:val="00765CF4"/>
    <w:rsid w:val="00766184"/>
    <w:rsid w:val="00767CD6"/>
    <w:rsid w:val="00771F6E"/>
    <w:rsid w:val="0078257B"/>
    <w:rsid w:val="00782D2B"/>
    <w:rsid w:val="00783D75"/>
    <w:rsid w:val="00784C0A"/>
    <w:rsid w:val="00786BFF"/>
    <w:rsid w:val="00787AF5"/>
    <w:rsid w:val="00791933"/>
    <w:rsid w:val="00794B40"/>
    <w:rsid w:val="00796E26"/>
    <w:rsid w:val="007A1079"/>
    <w:rsid w:val="007A1E98"/>
    <w:rsid w:val="007A7C98"/>
    <w:rsid w:val="007B2677"/>
    <w:rsid w:val="007B31B0"/>
    <w:rsid w:val="007B76AB"/>
    <w:rsid w:val="007C10F7"/>
    <w:rsid w:val="007C6E18"/>
    <w:rsid w:val="007C6E3A"/>
    <w:rsid w:val="007C73F2"/>
    <w:rsid w:val="007D592B"/>
    <w:rsid w:val="007D5AA6"/>
    <w:rsid w:val="007D65C6"/>
    <w:rsid w:val="007D698D"/>
    <w:rsid w:val="007D6C43"/>
    <w:rsid w:val="007D7A91"/>
    <w:rsid w:val="007E0796"/>
    <w:rsid w:val="007E2E0E"/>
    <w:rsid w:val="007E372F"/>
    <w:rsid w:val="007E5EB8"/>
    <w:rsid w:val="007E6456"/>
    <w:rsid w:val="007F17A8"/>
    <w:rsid w:val="007F205A"/>
    <w:rsid w:val="007F2334"/>
    <w:rsid w:val="007F3894"/>
    <w:rsid w:val="007F3C0A"/>
    <w:rsid w:val="007F572C"/>
    <w:rsid w:val="007F5910"/>
    <w:rsid w:val="007F6DEE"/>
    <w:rsid w:val="008014B7"/>
    <w:rsid w:val="00802901"/>
    <w:rsid w:val="00807176"/>
    <w:rsid w:val="00811943"/>
    <w:rsid w:val="0081329A"/>
    <w:rsid w:val="00814846"/>
    <w:rsid w:val="00815C81"/>
    <w:rsid w:val="00817994"/>
    <w:rsid w:val="00817A18"/>
    <w:rsid w:val="0082323C"/>
    <w:rsid w:val="008311B8"/>
    <w:rsid w:val="00831C55"/>
    <w:rsid w:val="00831E47"/>
    <w:rsid w:val="00833D1B"/>
    <w:rsid w:val="00834243"/>
    <w:rsid w:val="008374C4"/>
    <w:rsid w:val="00842DD8"/>
    <w:rsid w:val="00847EE2"/>
    <w:rsid w:val="00851766"/>
    <w:rsid w:val="00851A4E"/>
    <w:rsid w:val="00856955"/>
    <w:rsid w:val="00857969"/>
    <w:rsid w:val="00857E22"/>
    <w:rsid w:val="0086011C"/>
    <w:rsid w:val="00862EE6"/>
    <w:rsid w:val="00864EC8"/>
    <w:rsid w:val="008660CB"/>
    <w:rsid w:val="00866641"/>
    <w:rsid w:val="00867089"/>
    <w:rsid w:val="0086777C"/>
    <w:rsid w:val="00872EDD"/>
    <w:rsid w:val="00877F6F"/>
    <w:rsid w:val="00880AC7"/>
    <w:rsid w:val="00882CC4"/>
    <w:rsid w:val="0088373D"/>
    <w:rsid w:val="008844AC"/>
    <w:rsid w:val="00890853"/>
    <w:rsid w:val="008927C3"/>
    <w:rsid w:val="00895ED7"/>
    <w:rsid w:val="00897396"/>
    <w:rsid w:val="00897F46"/>
    <w:rsid w:val="008A5741"/>
    <w:rsid w:val="008A6CAF"/>
    <w:rsid w:val="008A79C1"/>
    <w:rsid w:val="008B6734"/>
    <w:rsid w:val="008C10A7"/>
    <w:rsid w:val="008C1E32"/>
    <w:rsid w:val="008C36EB"/>
    <w:rsid w:val="008C7F71"/>
    <w:rsid w:val="008D154D"/>
    <w:rsid w:val="008D222A"/>
    <w:rsid w:val="008D339F"/>
    <w:rsid w:val="008D7778"/>
    <w:rsid w:val="008D798B"/>
    <w:rsid w:val="008E1BC8"/>
    <w:rsid w:val="008E24D2"/>
    <w:rsid w:val="008E51B6"/>
    <w:rsid w:val="008E6292"/>
    <w:rsid w:val="008E69CB"/>
    <w:rsid w:val="008F0639"/>
    <w:rsid w:val="008F18DB"/>
    <w:rsid w:val="008F1CF2"/>
    <w:rsid w:val="008F23EB"/>
    <w:rsid w:val="008F5DBE"/>
    <w:rsid w:val="00901192"/>
    <w:rsid w:val="00901250"/>
    <w:rsid w:val="009015C4"/>
    <w:rsid w:val="00902B63"/>
    <w:rsid w:val="0090651D"/>
    <w:rsid w:val="00906E61"/>
    <w:rsid w:val="00911796"/>
    <w:rsid w:val="00912DF2"/>
    <w:rsid w:val="0091383E"/>
    <w:rsid w:val="00915EEE"/>
    <w:rsid w:val="00917E28"/>
    <w:rsid w:val="009253B0"/>
    <w:rsid w:val="00925AA5"/>
    <w:rsid w:val="00927388"/>
    <w:rsid w:val="00930E29"/>
    <w:rsid w:val="0093540D"/>
    <w:rsid w:val="0094019D"/>
    <w:rsid w:val="00942B84"/>
    <w:rsid w:val="00942C11"/>
    <w:rsid w:val="0094351F"/>
    <w:rsid w:val="00945B9F"/>
    <w:rsid w:val="00945DDA"/>
    <w:rsid w:val="00947733"/>
    <w:rsid w:val="0095308F"/>
    <w:rsid w:val="00953C41"/>
    <w:rsid w:val="009547F8"/>
    <w:rsid w:val="00955BF3"/>
    <w:rsid w:val="0096151F"/>
    <w:rsid w:val="00961EBF"/>
    <w:rsid w:val="00962ACF"/>
    <w:rsid w:val="00963E7A"/>
    <w:rsid w:val="009729D4"/>
    <w:rsid w:val="00973CCD"/>
    <w:rsid w:val="00977D87"/>
    <w:rsid w:val="00980759"/>
    <w:rsid w:val="009817B0"/>
    <w:rsid w:val="0098212D"/>
    <w:rsid w:val="009821CE"/>
    <w:rsid w:val="009823EF"/>
    <w:rsid w:val="009834EF"/>
    <w:rsid w:val="00993BFF"/>
    <w:rsid w:val="00993FD7"/>
    <w:rsid w:val="009978F0"/>
    <w:rsid w:val="00997A23"/>
    <w:rsid w:val="009A08E9"/>
    <w:rsid w:val="009A277C"/>
    <w:rsid w:val="009A39DE"/>
    <w:rsid w:val="009A54B6"/>
    <w:rsid w:val="009A658F"/>
    <w:rsid w:val="009B088F"/>
    <w:rsid w:val="009B2249"/>
    <w:rsid w:val="009B306C"/>
    <w:rsid w:val="009C21DA"/>
    <w:rsid w:val="009C27F2"/>
    <w:rsid w:val="009C649A"/>
    <w:rsid w:val="009D2CFF"/>
    <w:rsid w:val="009E0CA5"/>
    <w:rsid w:val="009E1270"/>
    <w:rsid w:val="009E171B"/>
    <w:rsid w:val="009E3DD9"/>
    <w:rsid w:val="009F4126"/>
    <w:rsid w:val="00A012EA"/>
    <w:rsid w:val="00A015E8"/>
    <w:rsid w:val="00A030C9"/>
    <w:rsid w:val="00A036B6"/>
    <w:rsid w:val="00A055CE"/>
    <w:rsid w:val="00A0750B"/>
    <w:rsid w:val="00A07D47"/>
    <w:rsid w:val="00A10593"/>
    <w:rsid w:val="00A12F62"/>
    <w:rsid w:val="00A14FE9"/>
    <w:rsid w:val="00A155F0"/>
    <w:rsid w:val="00A30513"/>
    <w:rsid w:val="00A31249"/>
    <w:rsid w:val="00A3411D"/>
    <w:rsid w:val="00A3749B"/>
    <w:rsid w:val="00A37D87"/>
    <w:rsid w:val="00A40278"/>
    <w:rsid w:val="00A44B64"/>
    <w:rsid w:val="00A50303"/>
    <w:rsid w:val="00A507A6"/>
    <w:rsid w:val="00A50D88"/>
    <w:rsid w:val="00A51D54"/>
    <w:rsid w:val="00A52C01"/>
    <w:rsid w:val="00A54654"/>
    <w:rsid w:val="00A56267"/>
    <w:rsid w:val="00A56923"/>
    <w:rsid w:val="00A61A4A"/>
    <w:rsid w:val="00A62E42"/>
    <w:rsid w:val="00A62EEF"/>
    <w:rsid w:val="00A6368B"/>
    <w:rsid w:val="00A64A71"/>
    <w:rsid w:val="00A722EF"/>
    <w:rsid w:val="00A7236C"/>
    <w:rsid w:val="00A72960"/>
    <w:rsid w:val="00A72D8F"/>
    <w:rsid w:val="00A737F5"/>
    <w:rsid w:val="00A74815"/>
    <w:rsid w:val="00A75B97"/>
    <w:rsid w:val="00A76746"/>
    <w:rsid w:val="00A76CB7"/>
    <w:rsid w:val="00A76F7A"/>
    <w:rsid w:val="00A81C2C"/>
    <w:rsid w:val="00A90A88"/>
    <w:rsid w:val="00A90BDC"/>
    <w:rsid w:val="00A90DA8"/>
    <w:rsid w:val="00A92368"/>
    <w:rsid w:val="00A93401"/>
    <w:rsid w:val="00A94128"/>
    <w:rsid w:val="00A950F0"/>
    <w:rsid w:val="00A967D9"/>
    <w:rsid w:val="00A97160"/>
    <w:rsid w:val="00AA3C09"/>
    <w:rsid w:val="00AB0E02"/>
    <w:rsid w:val="00AC1B0B"/>
    <w:rsid w:val="00AC3196"/>
    <w:rsid w:val="00AC3F2E"/>
    <w:rsid w:val="00AC4065"/>
    <w:rsid w:val="00AC732B"/>
    <w:rsid w:val="00AC75E2"/>
    <w:rsid w:val="00AD3B75"/>
    <w:rsid w:val="00AD46B0"/>
    <w:rsid w:val="00AE0355"/>
    <w:rsid w:val="00AE19CC"/>
    <w:rsid w:val="00AE2F90"/>
    <w:rsid w:val="00AE6E9F"/>
    <w:rsid w:val="00AE72BD"/>
    <w:rsid w:val="00AF268E"/>
    <w:rsid w:val="00AF272B"/>
    <w:rsid w:val="00AF36E3"/>
    <w:rsid w:val="00AF39B0"/>
    <w:rsid w:val="00AF5AF4"/>
    <w:rsid w:val="00AF682F"/>
    <w:rsid w:val="00B00A05"/>
    <w:rsid w:val="00B00BCB"/>
    <w:rsid w:val="00B0114D"/>
    <w:rsid w:val="00B01551"/>
    <w:rsid w:val="00B022D0"/>
    <w:rsid w:val="00B03DD6"/>
    <w:rsid w:val="00B05729"/>
    <w:rsid w:val="00B07DE5"/>
    <w:rsid w:val="00B20B5B"/>
    <w:rsid w:val="00B214C6"/>
    <w:rsid w:val="00B25CCE"/>
    <w:rsid w:val="00B26035"/>
    <w:rsid w:val="00B303BA"/>
    <w:rsid w:val="00B3583B"/>
    <w:rsid w:val="00B37A8F"/>
    <w:rsid w:val="00B414CC"/>
    <w:rsid w:val="00B42CC5"/>
    <w:rsid w:val="00B438AC"/>
    <w:rsid w:val="00B53DE6"/>
    <w:rsid w:val="00B55772"/>
    <w:rsid w:val="00B55B04"/>
    <w:rsid w:val="00B57268"/>
    <w:rsid w:val="00B579D4"/>
    <w:rsid w:val="00B604AC"/>
    <w:rsid w:val="00B62E6E"/>
    <w:rsid w:val="00B6427B"/>
    <w:rsid w:val="00B65347"/>
    <w:rsid w:val="00B65DE1"/>
    <w:rsid w:val="00B66AEB"/>
    <w:rsid w:val="00B678DF"/>
    <w:rsid w:val="00B67B07"/>
    <w:rsid w:val="00B67BAC"/>
    <w:rsid w:val="00B72339"/>
    <w:rsid w:val="00B72AF0"/>
    <w:rsid w:val="00B737EB"/>
    <w:rsid w:val="00B76759"/>
    <w:rsid w:val="00B775EE"/>
    <w:rsid w:val="00B77878"/>
    <w:rsid w:val="00B808C3"/>
    <w:rsid w:val="00B83D09"/>
    <w:rsid w:val="00B84996"/>
    <w:rsid w:val="00B87927"/>
    <w:rsid w:val="00B9086D"/>
    <w:rsid w:val="00B92ECC"/>
    <w:rsid w:val="00BA0798"/>
    <w:rsid w:val="00BA1E5C"/>
    <w:rsid w:val="00BA569F"/>
    <w:rsid w:val="00BA7611"/>
    <w:rsid w:val="00BB00F3"/>
    <w:rsid w:val="00BB18B4"/>
    <w:rsid w:val="00BB211A"/>
    <w:rsid w:val="00BB5C15"/>
    <w:rsid w:val="00BB77DB"/>
    <w:rsid w:val="00BC1535"/>
    <w:rsid w:val="00BC2BB5"/>
    <w:rsid w:val="00BC6E69"/>
    <w:rsid w:val="00BD26AA"/>
    <w:rsid w:val="00BD2B12"/>
    <w:rsid w:val="00BD2C03"/>
    <w:rsid w:val="00BD2CB4"/>
    <w:rsid w:val="00BD2FAE"/>
    <w:rsid w:val="00BD454F"/>
    <w:rsid w:val="00BD6464"/>
    <w:rsid w:val="00BD789D"/>
    <w:rsid w:val="00BE1817"/>
    <w:rsid w:val="00BE7EA5"/>
    <w:rsid w:val="00BF1C50"/>
    <w:rsid w:val="00BF2054"/>
    <w:rsid w:val="00BF2563"/>
    <w:rsid w:val="00C00277"/>
    <w:rsid w:val="00C01DCC"/>
    <w:rsid w:val="00C03637"/>
    <w:rsid w:val="00C036A1"/>
    <w:rsid w:val="00C068C1"/>
    <w:rsid w:val="00C073E7"/>
    <w:rsid w:val="00C106D0"/>
    <w:rsid w:val="00C13326"/>
    <w:rsid w:val="00C151A2"/>
    <w:rsid w:val="00C17099"/>
    <w:rsid w:val="00C202B3"/>
    <w:rsid w:val="00C21EE0"/>
    <w:rsid w:val="00C22E18"/>
    <w:rsid w:val="00C24662"/>
    <w:rsid w:val="00C251D9"/>
    <w:rsid w:val="00C26CE5"/>
    <w:rsid w:val="00C30297"/>
    <w:rsid w:val="00C34544"/>
    <w:rsid w:val="00C4038D"/>
    <w:rsid w:val="00C468B2"/>
    <w:rsid w:val="00C4765F"/>
    <w:rsid w:val="00C50B48"/>
    <w:rsid w:val="00C53958"/>
    <w:rsid w:val="00C54514"/>
    <w:rsid w:val="00C555AC"/>
    <w:rsid w:val="00C56745"/>
    <w:rsid w:val="00C658F5"/>
    <w:rsid w:val="00C6718F"/>
    <w:rsid w:val="00C713ED"/>
    <w:rsid w:val="00C71F50"/>
    <w:rsid w:val="00C72318"/>
    <w:rsid w:val="00C724E6"/>
    <w:rsid w:val="00C747A5"/>
    <w:rsid w:val="00C750D0"/>
    <w:rsid w:val="00C801EB"/>
    <w:rsid w:val="00C85314"/>
    <w:rsid w:val="00C854EA"/>
    <w:rsid w:val="00C85A3F"/>
    <w:rsid w:val="00C86F47"/>
    <w:rsid w:val="00C92B64"/>
    <w:rsid w:val="00C92F48"/>
    <w:rsid w:val="00C964E0"/>
    <w:rsid w:val="00CA0116"/>
    <w:rsid w:val="00CA057D"/>
    <w:rsid w:val="00CA4BC0"/>
    <w:rsid w:val="00CA5113"/>
    <w:rsid w:val="00CA5CA8"/>
    <w:rsid w:val="00CA7642"/>
    <w:rsid w:val="00CB0157"/>
    <w:rsid w:val="00CB28E9"/>
    <w:rsid w:val="00CB513C"/>
    <w:rsid w:val="00CB5205"/>
    <w:rsid w:val="00CC38AC"/>
    <w:rsid w:val="00CC559D"/>
    <w:rsid w:val="00CC7D85"/>
    <w:rsid w:val="00CD06AD"/>
    <w:rsid w:val="00CD0C13"/>
    <w:rsid w:val="00CD2EA1"/>
    <w:rsid w:val="00CD654B"/>
    <w:rsid w:val="00CE223E"/>
    <w:rsid w:val="00CF0AB0"/>
    <w:rsid w:val="00CF3B04"/>
    <w:rsid w:val="00CF3F0D"/>
    <w:rsid w:val="00CF62B1"/>
    <w:rsid w:val="00CF7B5C"/>
    <w:rsid w:val="00D020C2"/>
    <w:rsid w:val="00D023E1"/>
    <w:rsid w:val="00D03B00"/>
    <w:rsid w:val="00D101F7"/>
    <w:rsid w:val="00D10225"/>
    <w:rsid w:val="00D107E7"/>
    <w:rsid w:val="00D11C13"/>
    <w:rsid w:val="00D145F5"/>
    <w:rsid w:val="00D175FC"/>
    <w:rsid w:val="00D2758E"/>
    <w:rsid w:val="00D279BF"/>
    <w:rsid w:val="00D316A1"/>
    <w:rsid w:val="00D32709"/>
    <w:rsid w:val="00D329F1"/>
    <w:rsid w:val="00D33598"/>
    <w:rsid w:val="00D346B9"/>
    <w:rsid w:val="00D3497A"/>
    <w:rsid w:val="00D355E1"/>
    <w:rsid w:val="00D355F0"/>
    <w:rsid w:val="00D42223"/>
    <w:rsid w:val="00D4393E"/>
    <w:rsid w:val="00D43AC8"/>
    <w:rsid w:val="00D44443"/>
    <w:rsid w:val="00D4479B"/>
    <w:rsid w:val="00D45119"/>
    <w:rsid w:val="00D50879"/>
    <w:rsid w:val="00D50E87"/>
    <w:rsid w:val="00D51610"/>
    <w:rsid w:val="00D5287C"/>
    <w:rsid w:val="00D56113"/>
    <w:rsid w:val="00D56D28"/>
    <w:rsid w:val="00D601B3"/>
    <w:rsid w:val="00D60656"/>
    <w:rsid w:val="00D643F4"/>
    <w:rsid w:val="00D64CEC"/>
    <w:rsid w:val="00D66BAE"/>
    <w:rsid w:val="00D71AD1"/>
    <w:rsid w:val="00D77790"/>
    <w:rsid w:val="00D805AF"/>
    <w:rsid w:val="00D82BD2"/>
    <w:rsid w:val="00D833D9"/>
    <w:rsid w:val="00D834AB"/>
    <w:rsid w:val="00D8360A"/>
    <w:rsid w:val="00D83BD9"/>
    <w:rsid w:val="00D84278"/>
    <w:rsid w:val="00D86FC8"/>
    <w:rsid w:val="00D94DCF"/>
    <w:rsid w:val="00D94EAE"/>
    <w:rsid w:val="00D970D7"/>
    <w:rsid w:val="00D971D2"/>
    <w:rsid w:val="00DA2825"/>
    <w:rsid w:val="00DA33FD"/>
    <w:rsid w:val="00DA586F"/>
    <w:rsid w:val="00DB08DA"/>
    <w:rsid w:val="00DB0BC4"/>
    <w:rsid w:val="00DB1651"/>
    <w:rsid w:val="00DB1993"/>
    <w:rsid w:val="00DB1AAB"/>
    <w:rsid w:val="00DB5059"/>
    <w:rsid w:val="00DB7F09"/>
    <w:rsid w:val="00DC00E8"/>
    <w:rsid w:val="00DC1C56"/>
    <w:rsid w:val="00DC25B9"/>
    <w:rsid w:val="00DC406E"/>
    <w:rsid w:val="00DC4756"/>
    <w:rsid w:val="00DC6379"/>
    <w:rsid w:val="00DC6AAD"/>
    <w:rsid w:val="00DD0BEA"/>
    <w:rsid w:val="00DD0D69"/>
    <w:rsid w:val="00DD17A6"/>
    <w:rsid w:val="00DD3FA1"/>
    <w:rsid w:val="00DD4C1A"/>
    <w:rsid w:val="00DD4D7B"/>
    <w:rsid w:val="00DD53B7"/>
    <w:rsid w:val="00DD6604"/>
    <w:rsid w:val="00DD788B"/>
    <w:rsid w:val="00DE0D65"/>
    <w:rsid w:val="00DE127E"/>
    <w:rsid w:val="00DE13C5"/>
    <w:rsid w:val="00DE2763"/>
    <w:rsid w:val="00DE3A53"/>
    <w:rsid w:val="00DE3C77"/>
    <w:rsid w:val="00DE70F1"/>
    <w:rsid w:val="00DF303C"/>
    <w:rsid w:val="00DF5529"/>
    <w:rsid w:val="00DF6F61"/>
    <w:rsid w:val="00DF7CBD"/>
    <w:rsid w:val="00DF7ED5"/>
    <w:rsid w:val="00E006D7"/>
    <w:rsid w:val="00E029CE"/>
    <w:rsid w:val="00E04B10"/>
    <w:rsid w:val="00E101C6"/>
    <w:rsid w:val="00E1264B"/>
    <w:rsid w:val="00E126CD"/>
    <w:rsid w:val="00E13830"/>
    <w:rsid w:val="00E15256"/>
    <w:rsid w:val="00E16197"/>
    <w:rsid w:val="00E22D51"/>
    <w:rsid w:val="00E238F6"/>
    <w:rsid w:val="00E26B66"/>
    <w:rsid w:val="00E32B48"/>
    <w:rsid w:val="00E32F9C"/>
    <w:rsid w:val="00E349A7"/>
    <w:rsid w:val="00E351A2"/>
    <w:rsid w:val="00E35B14"/>
    <w:rsid w:val="00E41FD2"/>
    <w:rsid w:val="00E43619"/>
    <w:rsid w:val="00E50E7C"/>
    <w:rsid w:val="00E51545"/>
    <w:rsid w:val="00E518AD"/>
    <w:rsid w:val="00E51D9E"/>
    <w:rsid w:val="00E537D1"/>
    <w:rsid w:val="00E567E6"/>
    <w:rsid w:val="00E56971"/>
    <w:rsid w:val="00E57B34"/>
    <w:rsid w:val="00E61484"/>
    <w:rsid w:val="00E7017C"/>
    <w:rsid w:val="00E711D7"/>
    <w:rsid w:val="00E72D48"/>
    <w:rsid w:val="00E815E1"/>
    <w:rsid w:val="00E83C30"/>
    <w:rsid w:val="00E901C7"/>
    <w:rsid w:val="00E9023E"/>
    <w:rsid w:val="00E9024B"/>
    <w:rsid w:val="00E902B0"/>
    <w:rsid w:val="00E902E8"/>
    <w:rsid w:val="00E9296B"/>
    <w:rsid w:val="00E97083"/>
    <w:rsid w:val="00E97C19"/>
    <w:rsid w:val="00EA06DE"/>
    <w:rsid w:val="00EA0DCD"/>
    <w:rsid w:val="00EA0FE1"/>
    <w:rsid w:val="00EA23AC"/>
    <w:rsid w:val="00EA398F"/>
    <w:rsid w:val="00EA4358"/>
    <w:rsid w:val="00EA68F2"/>
    <w:rsid w:val="00EA7C3D"/>
    <w:rsid w:val="00EB3825"/>
    <w:rsid w:val="00EB4B0B"/>
    <w:rsid w:val="00EB596C"/>
    <w:rsid w:val="00EB6878"/>
    <w:rsid w:val="00EC0F6B"/>
    <w:rsid w:val="00EC122F"/>
    <w:rsid w:val="00EC1CB1"/>
    <w:rsid w:val="00EC1E0E"/>
    <w:rsid w:val="00EC236D"/>
    <w:rsid w:val="00EC3953"/>
    <w:rsid w:val="00EC6B16"/>
    <w:rsid w:val="00ED1730"/>
    <w:rsid w:val="00ED2751"/>
    <w:rsid w:val="00ED2812"/>
    <w:rsid w:val="00ED4E6D"/>
    <w:rsid w:val="00ED57AF"/>
    <w:rsid w:val="00ED5A20"/>
    <w:rsid w:val="00ED630C"/>
    <w:rsid w:val="00ED7010"/>
    <w:rsid w:val="00ED70B2"/>
    <w:rsid w:val="00ED7D25"/>
    <w:rsid w:val="00EE06F2"/>
    <w:rsid w:val="00EE0D61"/>
    <w:rsid w:val="00EE1447"/>
    <w:rsid w:val="00EE1BF1"/>
    <w:rsid w:val="00EE2C8B"/>
    <w:rsid w:val="00EE35FD"/>
    <w:rsid w:val="00EE4864"/>
    <w:rsid w:val="00EE7744"/>
    <w:rsid w:val="00EF03E1"/>
    <w:rsid w:val="00EF145E"/>
    <w:rsid w:val="00EF2BBB"/>
    <w:rsid w:val="00EF77EC"/>
    <w:rsid w:val="00EF7B4C"/>
    <w:rsid w:val="00F0082D"/>
    <w:rsid w:val="00F013A0"/>
    <w:rsid w:val="00F015AB"/>
    <w:rsid w:val="00F01BA0"/>
    <w:rsid w:val="00F035B6"/>
    <w:rsid w:val="00F045E0"/>
    <w:rsid w:val="00F07C90"/>
    <w:rsid w:val="00F1614B"/>
    <w:rsid w:val="00F20F8A"/>
    <w:rsid w:val="00F21D8A"/>
    <w:rsid w:val="00F2542A"/>
    <w:rsid w:val="00F27DDC"/>
    <w:rsid w:val="00F304A4"/>
    <w:rsid w:val="00F30E1D"/>
    <w:rsid w:val="00F33DB8"/>
    <w:rsid w:val="00F36076"/>
    <w:rsid w:val="00F367E7"/>
    <w:rsid w:val="00F375FC"/>
    <w:rsid w:val="00F414FF"/>
    <w:rsid w:val="00F42C37"/>
    <w:rsid w:val="00F42D10"/>
    <w:rsid w:val="00F50644"/>
    <w:rsid w:val="00F51D7F"/>
    <w:rsid w:val="00F5365A"/>
    <w:rsid w:val="00F5619C"/>
    <w:rsid w:val="00F566CA"/>
    <w:rsid w:val="00F57BED"/>
    <w:rsid w:val="00F57D9E"/>
    <w:rsid w:val="00F60198"/>
    <w:rsid w:val="00F60BD1"/>
    <w:rsid w:val="00F669CD"/>
    <w:rsid w:val="00F737DB"/>
    <w:rsid w:val="00F7613A"/>
    <w:rsid w:val="00F77327"/>
    <w:rsid w:val="00F8059A"/>
    <w:rsid w:val="00F82746"/>
    <w:rsid w:val="00F827FF"/>
    <w:rsid w:val="00F82F83"/>
    <w:rsid w:val="00F836F9"/>
    <w:rsid w:val="00F83EDB"/>
    <w:rsid w:val="00F845D7"/>
    <w:rsid w:val="00F85FCA"/>
    <w:rsid w:val="00F8655A"/>
    <w:rsid w:val="00F87606"/>
    <w:rsid w:val="00F92279"/>
    <w:rsid w:val="00F95CB5"/>
    <w:rsid w:val="00F97057"/>
    <w:rsid w:val="00F97F04"/>
    <w:rsid w:val="00FA06BE"/>
    <w:rsid w:val="00FA1336"/>
    <w:rsid w:val="00FA4E96"/>
    <w:rsid w:val="00FB4D21"/>
    <w:rsid w:val="00FB762B"/>
    <w:rsid w:val="00FC07BB"/>
    <w:rsid w:val="00FC5111"/>
    <w:rsid w:val="00FC6ADA"/>
    <w:rsid w:val="00FD0A25"/>
    <w:rsid w:val="00FD1663"/>
    <w:rsid w:val="00FD20F7"/>
    <w:rsid w:val="00FD401B"/>
    <w:rsid w:val="00FE01F9"/>
    <w:rsid w:val="00FE2CBD"/>
    <w:rsid w:val="00FE36B6"/>
    <w:rsid w:val="00FE73AE"/>
    <w:rsid w:val="00FF33B7"/>
    <w:rsid w:val="00FF74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8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aliases w:val="Body Char,b Char,b + line Char,b1 Char,level 1 Char,Bullet + line Char,Bullets Char,L Char,List Paragraph1 Char,List Paragraph11 Char,List Paragraph2 Char,Number Char,Recommendation Char,b + line Char Char,b Char Char,L C"/>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b + line,b1,level 1,Bullet + line,BodyNum,Bullet Char1,Bullet Char1 Char Char Char,Bullet Char1 Char Char Char Char,Bullet Char1 Char Char Char Char Char,b1 Char Char Char,bulleted,CG-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23ECC"/>
    <w:pPr>
      <w:spacing w:before="40" w:after="8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942B84"/>
    <w:pPr>
      <w:keepNext/>
      <w:spacing w:before="0" w:after="360"/>
      <w:ind w:left="993"/>
    </w:pPr>
    <w:rPr>
      <w:rFonts w:asciiTheme="minorHAnsi" w:hAnsiTheme="minorHAnsi" w:cstheme="minorHAnsi"/>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42B84"/>
    <w:pPr>
      <w:tabs>
        <w:tab w:val="left" w:pos="6379"/>
      </w:tabs>
      <w:spacing w:before="2400" w:line="800" w:lineRule="exact"/>
      <w:ind w:left="992" w:right="1985"/>
      <w:contextualSpacing/>
    </w:pPr>
    <w:rPr>
      <w:rFonts w:asciiTheme="minorHAnsi" w:eastAsiaTheme="majorEastAsia" w:hAnsiTheme="minorHAnsi" w:cstheme="minorHAnsi"/>
      <w:b/>
      <w:noProof/>
      <w:color w:val="FFFFFF" w:themeColor="background1"/>
      <w:spacing w:val="5"/>
      <w:kern w:val="28"/>
      <w:sz w:val="76"/>
      <w:szCs w:val="76"/>
    </w:rPr>
  </w:style>
  <w:style w:type="character" w:customStyle="1" w:styleId="TitleChar">
    <w:name w:val="Title Char"/>
    <w:basedOn w:val="DefaultParagraphFont"/>
    <w:link w:val="Title"/>
    <w:uiPriority w:val="10"/>
    <w:rsid w:val="00942B84"/>
    <w:rPr>
      <w:rFonts w:eastAsiaTheme="majorEastAsia" w:cstheme="minorHAnsi"/>
      <w:b/>
      <w:noProof/>
      <w:color w:val="FFFFFF" w:themeColor="background1"/>
      <w:spacing w:val="5"/>
      <w:kern w:val="28"/>
      <w:sz w:val="76"/>
      <w:szCs w:val="76"/>
      <w:lang w:eastAsia="en-AU"/>
    </w:rPr>
  </w:style>
  <w:style w:type="paragraph" w:styleId="Subtitle">
    <w:name w:val="Subtitle"/>
    <w:basedOn w:val="Normal"/>
    <w:next w:val="Normal"/>
    <w:link w:val="SubtitleChar"/>
    <w:uiPriority w:val="11"/>
    <w:rsid w:val="007E0796"/>
    <w:pPr>
      <w:numPr>
        <w:ilvl w:val="1"/>
      </w:numPr>
      <w:spacing w:before="240" w:after="360"/>
      <w:ind w:left="993"/>
    </w:pPr>
    <w:rPr>
      <w:rFonts w:asciiTheme="minorHAnsi" w:eastAsiaTheme="majorEastAsia" w:hAnsiTheme="minorHAnsi" w:cstheme="minorHAnsi"/>
      <w:iCs/>
      <w:color w:val="B1F0CF" w:themeColor="accent4"/>
      <w:sz w:val="44"/>
      <w:szCs w:val="44"/>
    </w:rPr>
  </w:style>
  <w:style w:type="character" w:customStyle="1" w:styleId="SubtitleChar">
    <w:name w:val="Subtitle Char"/>
    <w:basedOn w:val="DefaultParagraphFont"/>
    <w:link w:val="Subtitle"/>
    <w:uiPriority w:val="11"/>
    <w:rsid w:val="007E0796"/>
    <w:rPr>
      <w:rFonts w:eastAsiaTheme="majorEastAsia" w:cstheme="minorHAnsi"/>
      <w:iCs/>
      <w:color w:val="B1F0CF" w:themeColor="accent4"/>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942B84"/>
    <w:rPr>
      <w:rFonts w:eastAsia="Times New Roman" w:cstheme="minorHAnsi"/>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semiHidden/>
    <w:unhideWhenUsed/>
    <w:rsid w:val="00BE7EA5"/>
    <w:rPr>
      <w:sz w:val="16"/>
      <w:szCs w:val="16"/>
    </w:rPr>
  </w:style>
  <w:style w:type="paragraph" w:styleId="CommentText">
    <w:name w:val="annotation text"/>
    <w:basedOn w:val="Normal"/>
    <w:link w:val="CommentTextChar"/>
    <w:unhideWhenUsed/>
    <w:rsid w:val="00BE7EA5"/>
    <w:rPr>
      <w:rFonts w:ascii="Calibri" w:hAnsi="Calibri"/>
      <w:sz w:val="20"/>
    </w:rPr>
  </w:style>
  <w:style w:type="character" w:customStyle="1" w:styleId="CommentTextChar">
    <w:name w:val="Comment Text Char"/>
    <w:basedOn w:val="DefaultParagraphFont"/>
    <w:link w:val="CommentText"/>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444CDB"/>
    <w:rPr>
      <w:i/>
      <w:iCs/>
    </w:rPr>
  </w:style>
  <w:style w:type="character" w:styleId="Strong">
    <w:name w:val="Strong"/>
    <w:basedOn w:val="DefaultParagraphFont"/>
    <w:qFormat/>
    <w:rsid w:val="00444CDB"/>
    <w:rPr>
      <w:b/>
      <w:bCs/>
    </w:rPr>
  </w:style>
  <w:style w:type="paragraph" w:styleId="CommentSubject">
    <w:name w:val="annotation subject"/>
    <w:basedOn w:val="CommentText"/>
    <w:next w:val="CommentText"/>
    <w:link w:val="CommentSubjectChar"/>
    <w:uiPriority w:val="99"/>
    <w:semiHidden/>
    <w:unhideWhenUsed/>
    <w:rsid w:val="001A4AEB"/>
    <w:rPr>
      <w:rFonts w:ascii="Calibri Light" w:hAnsi="Calibri Light"/>
      <w:b/>
      <w:bCs/>
    </w:rPr>
  </w:style>
  <w:style w:type="character" w:customStyle="1" w:styleId="CommentSubjectChar">
    <w:name w:val="Comment Subject Char"/>
    <w:basedOn w:val="CommentTextChar"/>
    <w:link w:val="CommentSubject"/>
    <w:uiPriority w:val="99"/>
    <w:semiHidden/>
    <w:rsid w:val="001A4AEB"/>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BA7611"/>
    <w:rPr>
      <w:color w:val="2B579A"/>
      <w:shd w:val="clear" w:color="auto" w:fill="E1DFDD"/>
    </w:rPr>
  </w:style>
  <w:style w:type="character" w:customStyle="1" w:styleId="normaltextrun">
    <w:name w:val="normaltextrun"/>
    <w:basedOn w:val="DefaultParagraphFont"/>
    <w:rsid w:val="00642A48"/>
  </w:style>
  <w:style w:type="paragraph" w:styleId="Revision">
    <w:name w:val="Revision"/>
    <w:hidden/>
    <w:uiPriority w:val="99"/>
    <w:semiHidden/>
    <w:rsid w:val="00A90BDC"/>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204707034">
      <w:bodyDiv w:val="1"/>
      <w:marLeft w:val="0"/>
      <w:marRight w:val="0"/>
      <w:marTop w:val="0"/>
      <w:marBottom w:val="0"/>
      <w:divBdr>
        <w:top w:val="none" w:sz="0" w:space="0" w:color="auto"/>
        <w:left w:val="none" w:sz="0" w:space="0" w:color="auto"/>
        <w:bottom w:val="none" w:sz="0" w:space="0" w:color="auto"/>
        <w:right w:val="none" w:sz="0" w:space="0" w:color="auto"/>
      </w:divBdr>
      <w:divsChild>
        <w:div w:id="187356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image" Target="media/image7.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image" Target="media/image13.emf"/><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Economic Reform Roundtable</vt:lpstr>
    </vt:vector>
  </TitlesOfParts>
  <Company/>
  <LinksUpToDate>false</LinksUpToDate>
  <CharactersWithSpaces>16603</CharactersWithSpaces>
  <SharedDoc>false</SharedDoc>
  <HLinks>
    <vt:vector size="30" baseType="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Reform Roundtable</dc:title>
  <dc:subject>Budget sustainability and tax reform</dc:subject>
  <dc:creator>Australian Government – The Treasury</dc:creator>
  <cp:keywords/>
  <cp:lastModifiedBy/>
  <cp:revision>1</cp:revision>
  <dcterms:created xsi:type="dcterms:W3CDTF">2025-08-11T05:48:00Z</dcterms:created>
  <dcterms:modified xsi:type="dcterms:W3CDTF">2025-08-11T05:49:00Z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2025-08-11T05:49:29Z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b018d664-6550-418d-a128-f60b17e64ed8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