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3525EF" w14:textId="77777777" w:rsidR="004257FF" w:rsidRDefault="004257FF" w:rsidP="00AA3DE9"/>
    <w:p w14:paraId="43FD1944" w14:textId="77777777" w:rsidR="004257FF" w:rsidRDefault="004257FF" w:rsidP="00084586">
      <w:pPr>
        <w:spacing w:before="360" w:after="0"/>
        <w:jc w:val="center"/>
      </w:pPr>
      <w:r w:rsidRPr="00D61648">
        <w:rPr>
          <w:noProof/>
          <w:lang w:eastAsia="en-AU"/>
        </w:rPr>
        <w:drawing>
          <wp:inline distT="0" distB="0" distL="0" distR="0" wp14:anchorId="0EC77C9C" wp14:editId="16042AF1">
            <wp:extent cx="2470150" cy="1378585"/>
            <wp:effectExtent l="0" t="0" r="6350" b="0"/>
            <wp:docPr id="1" name="Picture 1" descr="Australian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ustralian Government Cres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70150" cy="1378585"/>
                    </a:xfrm>
                    <a:prstGeom prst="rect">
                      <a:avLst/>
                    </a:prstGeom>
                    <a:noFill/>
                    <a:ln>
                      <a:noFill/>
                    </a:ln>
                  </pic:spPr>
                </pic:pic>
              </a:graphicData>
            </a:graphic>
          </wp:inline>
        </w:drawing>
      </w:r>
    </w:p>
    <w:p w14:paraId="5FBF1E91" w14:textId="77777777" w:rsidR="006D33B4" w:rsidRDefault="006D33B4" w:rsidP="00084586">
      <w:pPr>
        <w:spacing w:before="360" w:after="0"/>
        <w:jc w:val="center"/>
        <w:rPr>
          <w:sz w:val="36"/>
        </w:rPr>
      </w:pPr>
      <w:r w:rsidRPr="00084586">
        <w:rPr>
          <w:sz w:val="36"/>
        </w:rPr>
        <w:t>Senate Economics References Committee</w:t>
      </w:r>
      <w:r w:rsidR="00084586">
        <w:rPr>
          <w:sz w:val="36"/>
        </w:rPr>
        <w:t>’s</w:t>
      </w:r>
      <w:r w:rsidRPr="00084586">
        <w:rPr>
          <w:sz w:val="36"/>
        </w:rPr>
        <w:t xml:space="preserve"> Inquiry into </w:t>
      </w:r>
      <w:r w:rsidRPr="00084586">
        <w:rPr>
          <w:sz w:val="36"/>
        </w:rPr>
        <w:br/>
        <w:t>Non-Conforming Building Products</w:t>
      </w:r>
    </w:p>
    <w:p w14:paraId="31F3F6B6" w14:textId="089ED903" w:rsidR="00E61820" w:rsidRPr="00084586" w:rsidRDefault="007F0D34" w:rsidP="00084586">
      <w:pPr>
        <w:spacing w:before="360" w:after="0"/>
        <w:jc w:val="center"/>
        <w:rPr>
          <w:sz w:val="36"/>
        </w:rPr>
      </w:pPr>
      <w:r>
        <w:rPr>
          <w:sz w:val="36"/>
        </w:rPr>
        <w:t xml:space="preserve">Government </w:t>
      </w:r>
      <w:r w:rsidR="00524DEA">
        <w:rPr>
          <w:sz w:val="36"/>
        </w:rPr>
        <w:t>R</w:t>
      </w:r>
      <w:r>
        <w:rPr>
          <w:sz w:val="36"/>
        </w:rPr>
        <w:t xml:space="preserve">esponse to the </w:t>
      </w:r>
      <w:r w:rsidR="00E61820">
        <w:rPr>
          <w:sz w:val="36"/>
        </w:rPr>
        <w:t>Final Report</w:t>
      </w:r>
      <w:r w:rsidR="00E71593">
        <w:rPr>
          <w:sz w:val="36"/>
        </w:rPr>
        <w:t>:</w:t>
      </w:r>
      <w:r w:rsidR="00E71593">
        <w:rPr>
          <w:sz w:val="36"/>
        </w:rPr>
        <w:br/>
      </w:r>
      <w:r w:rsidR="00E61820" w:rsidRPr="00E61820">
        <w:rPr>
          <w:sz w:val="36"/>
        </w:rPr>
        <w:t>Non-conforming building products</w:t>
      </w:r>
      <w:r w:rsidR="00E71593">
        <w:rPr>
          <w:sz w:val="36"/>
        </w:rPr>
        <w:t xml:space="preserve"> – </w:t>
      </w:r>
      <w:r w:rsidR="00E61820" w:rsidRPr="00E61820">
        <w:rPr>
          <w:sz w:val="36"/>
        </w:rPr>
        <w:t>the need for a coherent and robust regulatory regime</w:t>
      </w:r>
    </w:p>
    <w:p w14:paraId="2A211646" w14:textId="1F2AF213" w:rsidR="00570392" w:rsidRPr="006D33B4" w:rsidRDefault="00F05F60" w:rsidP="00D53934">
      <w:pPr>
        <w:spacing w:before="8000"/>
        <w:jc w:val="right"/>
      </w:pPr>
      <w:r>
        <w:t xml:space="preserve">April </w:t>
      </w:r>
      <w:bookmarkStart w:id="0" w:name="_GoBack"/>
      <w:bookmarkEnd w:id="0"/>
      <w:r w:rsidR="008A1A1D">
        <w:t>2020</w:t>
      </w:r>
    </w:p>
    <w:p w14:paraId="0652AD60" w14:textId="24167AF5" w:rsidR="00B5238F" w:rsidRDefault="00B5238F" w:rsidP="00E41E56">
      <w:pPr>
        <w:rPr>
          <w:b/>
          <w:smallCaps/>
          <w:sz w:val="32"/>
        </w:rPr>
      </w:pPr>
      <w:r>
        <w:br w:type="page"/>
      </w:r>
    </w:p>
    <w:p w14:paraId="27D18DE9" w14:textId="1CD3D9AE" w:rsidR="00AA3DE9" w:rsidRPr="002B2578" w:rsidRDefault="002B2578" w:rsidP="002B2578">
      <w:pPr>
        <w:pStyle w:val="Heading1"/>
      </w:pPr>
      <w:r w:rsidRPr="002B2578">
        <w:lastRenderedPageBreak/>
        <w:t>Government Response</w:t>
      </w:r>
    </w:p>
    <w:p w14:paraId="45258F65" w14:textId="5307E538" w:rsidR="00E71593" w:rsidRDefault="00CF515C" w:rsidP="00E71593">
      <w:r>
        <w:t>T</w:t>
      </w:r>
      <w:r w:rsidRPr="00E47831">
        <w:t xml:space="preserve">he Australian Government recognises </w:t>
      </w:r>
      <w:r>
        <w:t xml:space="preserve">the importance of maintaining confidence in the safety of our </w:t>
      </w:r>
      <w:r w:rsidR="00E41E56">
        <w:t>residential</w:t>
      </w:r>
      <w:r>
        <w:t>, c</w:t>
      </w:r>
      <w:r w:rsidR="00E41E56">
        <w:t>ommercial and public buildings.</w:t>
      </w:r>
      <w:r w:rsidR="00E71593">
        <w:t xml:space="preserve"> The Government welcomes the Committee’s Inquiry Report into this important issue.</w:t>
      </w:r>
    </w:p>
    <w:p w14:paraId="13E53473" w14:textId="70F18549" w:rsidR="00E71593" w:rsidRDefault="00730BB6" w:rsidP="00A700C3">
      <w:r>
        <w:t>U</w:t>
      </w:r>
      <w:r w:rsidR="00B1699C" w:rsidRPr="00B1699C">
        <w:t>nder the Constitution</w:t>
      </w:r>
      <w:r w:rsidR="00BF7057">
        <w:t>,</w:t>
      </w:r>
      <w:r w:rsidR="00B1699C" w:rsidRPr="00B1699C">
        <w:t xml:space="preserve"> the </w:t>
      </w:r>
      <w:r w:rsidR="007B4AA2">
        <w:t xml:space="preserve">Australian </w:t>
      </w:r>
      <w:r w:rsidR="00B1699C" w:rsidRPr="00B1699C">
        <w:t xml:space="preserve">Government does not have the power to regulate the built environment. </w:t>
      </w:r>
      <w:r w:rsidR="00E71593">
        <w:t>Instead,</w:t>
      </w:r>
      <w:r w:rsidR="00D35691">
        <w:t xml:space="preserve"> the state and territory governments</w:t>
      </w:r>
      <w:r w:rsidR="00B1699C" w:rsidRPr="00B1699C">
        <w:t xml:space="preserve"> regulate buildings</w:t>
      </w:r>
      <w:r w:rsidR="0038205C">
        <w:t>, including</w:t>
      </w:r>
      <w:r w:rsidR="00B1699C" w:rsidRPr="00B1699C">
        <w:t xml:space="preserve"> through adoption of the </w:t>
      </w:r>
      <w:r w:rsidR="00931F94">
        <w:t>National Construction Code (NCC)</w:t>
      </w:r>
      <w:r w:rsidR="00B1699C" w:rsidRPr="00B1699C">
        <w:t>.</w:t>
      </w:r>
      <w:r w:rsidR="00B1699C">
        <w:t xml:space="preserve"> </w:t>
      </w:r>
    </w:p>
    <w:p w14:paraId="40714BAB" w14:textId="3B43FA85" w:rsidR="00E31609" w:rsidRDefault="00B1699C" w:rsidP="00A700C3">
      <w:r>
        <w:t xml:space="preserve">However, </w:t>
      </w:r>
      <w:r w:rsidR="00A66242">
        <w:t xml:space="preserve">the Australian Government </w:t>
      </w:r>
      <w:r w:rsidR="00CF515C">
        <w:t>plays an important role in leading</w:t>
      </w:r>
      <w:r w:rsidR="00E81D8C">
        <w:t xml:space="preserve"> </w:t>
      </w:r>
      <w:r w:rsidRPr="00B1699C">
        <w:t xml:space="preserve">collaboration across jurisdictions through the Building Ministers’ Forum (BMF), </w:t>
      </w:r>
      <w:r w:rsidR="00921C3F" w:rsidRPr="00E47831">
        <w:t>a ministerial</w:t>
      </w:r>
      <w:r w:rsidR="00921C3F" w:rsidRPr="00E47831">
        <w:rPr>
          <w:rFonts w:ascii="Cambria Math" w:hAnsi="Cambria Math" w:cs="Cambria Math"/>
        </w:rPr>
        <w:t>‐</w:t>
      </w:r>
      <w:r w:rsidR="00921C3F" w:rsidRPr="00E47831">
        <w:t>level body consisting of Australian Government, State and Territory Ministers</w:t>
      </w:r>
      <w:r w:rsidR="00921C3F">
        <w:t>,</w:t>
      </w:r>
      <w:r w:rsidR="00921C3F" w:rsidRPr="00B1699C">
        <w:t xml:space="preserve"> </w:t>
      </w:r>
      <w:r w:rsidRPr="00B1699C">
        <w:t>which th</w:t>
      </w:r>
      <w:r>
        <w:t>e Australian Government chairs.</w:t>
      </w:r>
    </w:p>
    <w:p w14:paraId="6EC45D4B" w14:textId="783465C6" w:rsidR="00CF50CB" w:rsidRDefault="00CF50CB" w:rsidP="00A967AE">
      <w:r>
        <w:t>As outlined in the Inquiry’s Final Report, there are two key issues that are negatively impacting confidence in the building sector:</w:t>
      </w:r>
    </w:p>
    <w:p w14:paraId="19B432F4" w14:textId="63407DE4" w:rsidR="00CF50CB" w:rsidRDefault="00E71593" w:rsidP="00E41E56">
      <w:pPr>
        <w:pStyle w:val="ListParagraph"/>
      </w:pPr>
      <w:r>
        <w:t xml:space="preserve">The use of </w:t>
      </w:r>
      <w:r w:rsidR="00A422E0">
        <w:t>n</w:t>
      </w:r>
      <w:r w:rsidR="00CF50CB">
        <w:t>on-conforming building products, which are products or materials that cla</w:t>
      </w:r>
      <w:r w:rsidR="00A422E0">
        <w:t>im to be something they are not; and</w:t>
      </w:r>
    </w:p>
    <w:p w14:paraId="70313A89" w14:textId="7989D03D" w:rsidR="00235F34" w:rsidRPr="00F9071D" w:rsidRDefault="00E71593" w:rsidP="00E41E56">
      <w:pPr>
        <w:pStyle w:val="ListParagraph"/>
      </w:pPr>
      <w:r>
        <w:t xml:space="preserve">The </w:t>
      </w:r>
      <w:r w:rsidR="00A422E0">
        <w:t>n</w:t>
      </w:r>
      <w:r w:rsidR="00CF50CB">
        <w:t xml:space="preserve">on-compliant </w:t>
      </w:r>
      <w:r>
        <w:t xml:space="preserve">use of </w:t>
      </w:r>
      <w:r w:rsidR="00CF50CB">
        <w:t xml:space="preserve">building products, </w:t>
      </w:r>
      <w:r w:rsidRPr="00E0227A">
        <w:t xml:space="preserve">where </w:t>
      </w:r>
      <w:r w:rsidR="00CF50CB">
        <w:t xml:space="preserve">products or materials </w:t>
      </w:r>
      <w:r>
        <w:t xml:space="preserve">have been </w:t>
      </w:r>
      <w:r w:rsidR="00CF50CB">
        <w:t xml:space="preserve">used </w:t>
      </w:r>
      <w:r>
        <w:t xml:space="preserve">incorrectly and </w:t>
      </w:r>
      <w:r w:rsidR="00CF50CB">
        <w:t xml:space="preserve">in </w:t>
      </w:r>
      <w:r>
        <w:t>a manner that does</w:t>
      </w:r>
      <w:r w:rsidR="00CF50CB" w:rsidRPr="00E0227A">
        <w:t xml:space="preserve"> not comply with the requirements of the</w:t>
      </w:r>
      <w:r w:rsidR="00931F94" w:rsidRPr="00C14325">
        <w:t xml:space="preserve"> NCC</w:t>
      </w:r>
      <w:r w:rsidR="00CF50CB" w:rsidRPr="00855C8A">
        <w:t>.</w:t>
      </w:r>
    </w:p>
    <w:p w14:paraId="5F3D743D" w14:textId="25DDA81F" w:rsidR="00CC75AA" w:rsidRDefault="0027787D" w:rsidP="00460064">
      <w:pPr>
        <w:rPr>
          <w:highlight w:val="yellow"/>
        </w:rPr>
      </w:pPr>
      <w:r w:rsidRPr="007617E7">
        <w:t>The Australian Government, in concert with state and territory governments, has already taken a</w:t>
      </w:r>
      <w:r w:rsidR="00AE4131" w:rsidRPr="007617E7">
        <w:t xml:space="preserve"> number of m</w:t>
      </w:r>
      <w:r w:rsidR="00235F34" w:rsidRPr="007617E7">
        <w:t xml:space="preserve">easures to </w:t>
      </w:r>
      <w:r w:rsidR="00EF118B" w:rsidRPr="007617E7">
        <w:t xml:space="preserve">reduce the </w:t>
      </w:r>
      <w:r w:rsidR="00631302" w:rsidRPr="007617E7">
        <w:t>prevalence</w:t>
      </w:r>
      <w:r w:rsidR="00EF118B" w:rsidRPr="007617E7">
        <w:t xml:space="preserve"> of</w:t>
      </w:r>
      <w:r w:rsidR="00235F34" w:rsidRPr="007617E7">
        <w:t xml:space="preserve"> </w:t>
      </w:r>
      <w:r w:rsidR="00EF118B" w:rsidRPr="007617E7">
        <w:t>non-conforming building products,</w:t>
      </w:r>
      <w:r w:rsidR="003D36E6" w:rsidRPr="007617E7">
        <w:t xml:space="preserve"> both independently and</w:t>
      </w:r>
      <w:r w:rsidR="00EF118B" w:rsidRPr="007617E7">
        <w:t xml:space="preserve"> </w:t>
      </w:r>
      <w:r w:rsidR="003D36E6" w:rsidRPr="007617E7">
        <w:t xml:space="preserve">in response to the Committee’s previous interim reports on asbestos and aluminium composite cladding. This includes </w:t>
      </w:r>
      <w:r w:rsidR="002015DD" w:rsidRPr="00E41E56">
        <w:t xml:space="preserve">creation of the </w:t>
      </w:r>
      <w:r w:rsidR="00E41E56">
        <w:t>Senior Officer</w:t>
      </w:r>
      <w:r w:rsidR="002015DD" w:rsidRPr="007617E7">
        <w:t>s</w:t>
      </w:r>
      <w:r w:rsidR="00E41E56">
        <w:t>’</w:t>
      </w:r>
      <w:r w:rsidR="002015DD" w:rsidRPr="007617E7">
        <w:t xml:space="preserve"> Group (SOG) to develop a national strategic response to address the issue of non-conforming building products and creation of a website through the </w:t>
      </w:r>
      <w:r w:rsidR="002903D9" w:rsidRPr="007617E7">
        <w:t xml:space="preserve">BMF and </w:t>
      </w:r>
      <w:r w:rsidR="002015DD" w:rsidRPr="007617E7">
        <w:t>Australian Building Codes Board (ABCB) to provide information on, and confidential</w:t>
      </w:r>
      <w:r w:rsidR="002015DD">
        <w:t xml:space="preserve"> </w:t>
      </w:r>
      <w:r w:rsidR="00994111">
        <w:t>reporting of, non-conforming building products.</w:t>
      </w:r>
    </w:p>
    <w:p w14:paraId="2C718471" w14:textId="73FEA90B" w:rsidR="00CC75AA" w:rsidRDefault="00C95868" w:rsidP="00460064">
      <w:r>
        <w:t>However, a</w:t>
      </w:r>
      <w:r w:rsidR="00EF118B">
        <w:t>ddressing</w:t>
      </w:r>
      <w:r w:rsidR="00A422E0">
        <w:t xml:space="preserve"> non</w:t>
      </w:r>
      <w:r w:rsidR="00A422E0">
        <w:noBreakHyphen/>
        <w:t xml:space="preserve">conforming building products in isolation is unlikely to be </w:t>
      </w:r>
      <w:r w:rsidR="00CC75AA">
        <w:t xml:space="preserve">sufficient </w:t>
      </w:r>
      <w:r w:rsidR="00A422E0">
        <w:t xml:space="preserve">at </w:t>
      </w:r>
      <w:r w:rsidR="005B3D81">
        <w:t xml:space="preserve">raising </w:t>
      </w:r>
      <w:r w:rsidR="00A422E0">
        <w:t xml:space="preserve">the </w:t>
      </w:r>
      <w:r w:rsidR="005B3D81">
        <w:t xml:space="preserve">quality of </w:t>
      </w:r>
      <w:r w:rsidR="0038205C">
        <w:t xml:space="preserve">construction </w:t>
      </w:r>
      <w:r w:rsidR="005B3D81">
        <w:t xml:space="preserve">in Australia’s </w:t>
      </w:r>
      <w:r w:rsidR="00A422E0">
        <w:t xml:space="preserve">building industry. </w:t>
      </w:r>
      <w:r w:rsidR="00E71593">
        <w:t>If products</w:t>
      </w:r>
      <w:r w:rsidR="00A422E0">
        <w:t xml:space="preserve"> are used inappropriately, the risk</w:t>
      </w:r>
      <w:r w:rsidR="0090394F">
        <w:t xml:space="preserve"> remains</w:t>
      </w:r>
      <w:r w:rsidR="00A422E0">
        <w:t xml:space="preserve"> that buildings will fail to meet community expectations</w:t>
      </w:r>
      <w:r w:rsidR="00465703">
        <w:t xml:space="preserve"> and potentially create a safety risk</w:t>
      </w:r>
      <w:r w:rsidR="007670C8">
        <w:t>.</w:t>
      </w:r>
      <w:r w:rsidR="00A422E0">
        <w:t xml:space="preserve"> </w:t>
      </w:r>
    </w:p>
    <w:p w14:paraId="247E0CA5" w14:textId="2A7BA0E2" w:rsidR="00CC75AA" w:rsidRDefault="0090394F">
      <w:r>
        <w:t>For this reason</w:t>
      </w:r>
      <w:r w:rsidR="00CC75AA">
        <w:t xml:space="preserve">, the Australian Government supported the </w:t>
      </w:r>
      <w:r w:rsidR="00B1699C">
        <w:t>BMF</w:t>
      </w:r>
      <w:r w:rsidR="00BF7057">
        <w:t xml:space="preserve"> </w:t>
      </w:r>
      <w:r w:rsidR="00CC75AA">
        <w:t xml:space="preserve">to </w:t>
      </w:r>
      <w:r w:rsidR="00BF7057">
        <w:t>commission</w:t>
      </w:r>
      <w:r w:rsidR="00460064" w:rsidRPr="00460064">
        <w:t xml:space="preserve"> </w:t>
      </w:r>
      <w:r w:rsidR="00BF7057">
        <w:t xml:space="preserve">Professor Peter Shergold </w:t>
      </w:r>
      <w:r w:rsidR="00E41E56">
        <w:t xml:space="preserve">AC </w:t>
      </w:r>
      <w:r w:rsidR="00BF7057">
        <w:t xml:space="preserve">and </w:t>
      </w:r>
      <w:r w:rsidR="00E41E56">
        <w:t>Ms </w:t>
      </w:r>
      <w:r w:rsidR="00BF7057">
        <w:t xml:space="preserve">Bronwyn Weir </w:t>
      </w:r>
      <w:r w:rsidR="00460064" w:rsidRPr="00460064">
        <w:t>t</w:t>
      </w:r>
      <w:r w:rsidR="007B4D56">
        <w:t>o examine</w:t>
      </w:r>
      <w:r w:rsidR="00460064" w:rsidRPr="00460064">
        <w:t xml:space="preserve"> compliance and enforcement</w:t>
      </w:r>
      <w:r w:rsidR="00BF7057">
        <w:t xml:space="preserve"> problems across jurisdictions</w:t>
      </w:r>
      <w:r w:rsidR="00CC75AA">
        <w:t xml:space="preserve">, culminating in their 2017 report, </w:t>
      </w:r>
      <w:r w:rsidR="00CC75AA" w:rsidRPr="00F76230">
        <w:t>‘</w:t>
      </w:r>
      <w:r w:rsidR="00CC75AA" w:rsidRPr="00B25152">
        <w:rPr>
          <w:i/>
        </w:rPr>
        <w:t>Building Confidence – Improving the effectiveness of compliance and enforcement systems for the building and construction industry across Australia’</w:t>
      </w:r>
      <w:r w:rsidR="00CC75AA">
        <w:t xml:space="preserve"> (</w:t>
      </w:r>
      <w:r w:rsidR="00CC75AA" w:rsidRPr="00FB7C4E">
        <w:rPr>
          <w:i/>
        </w:rPr>
        <w:t>Building Confidence</w:t>
      </w:r>
      <w:r w:rsidR="00CC75AA">
        <w:t xml:space="preserve"> </w:t>
      </w:r>
      <w:r w:rsidR="00E71593">
        <w:t>report</w:t>
      </w:r>
      <w:r w:rsidR="00CC75AA">
        <w:t>).</w:t>
      </w:r>
    </w:p>
    <w:p w14:paraId="75942F5A" w14:textId="235F1262" w:rsidR="00B1102F" w:rsidRPr="00B1102F" w:rsidRDefault="00B1102F" w:rsidP="00B1102F">
      <w:r>
        <w:t xml:space="preserve">At the 18 July 2019 BMF, </w:t>
      </w:r>
      <w:r w:rsidR="00B72BA0">
        <w:t xml:space="preserve">all </w:t>
      </w:r>
      <w:r>
        <w:t xml:space="preserve">Building Ministers agreed to a national approach to the implementation of the </w:t>
      </w:r>
      <w:r w:rsidRPr="00C26FFA">
        <w:rPr>
          <w:i/>
        </w:rPr>
        <w:t>Building Confidence</w:t>
      </w:r>
      <w:r>
        <w:t xml:space="preserve"> report recommendations</w:t>
      </w:r>
      <w:r w:rsidR="004662DC">
        <w:rPr>
          <w:rStyle w:val="FootnoteReference"/>
        </w:rPr>
        <w:footnoteReference w:id="2"/>
      </w:r>
      <w:r>
        <w:t>. To achieve this, an implementation team has been established</w:t>
      </w:r>
      <w:r w:rsidR="00D543D3">
        <w:t>,</w:t>
      </w:r>
      <w:r>
        <w:t xml:space="preserve"> </w:t>
      </w:r>
      <w:r w:rsidR="00D543D3">
        <w:t xml:space="preserve">reporting to </w:t>
      </w:r>
      <w:r w:rsidR="00AA4B87">
        <w:t xml:space="preserve">the </w:t>
      </w:r>
      <w:r>
        <w:t xml:space="preserve">ABCB. This will </w:t>
      </w:r>
      <w:r w:rsidRPr="00B1102F">
        <w:t xml:space="preserve">ensure resources are dedicated to developing a national framework for the consistent implementation of recommendations in the </w:t>
      </w:r>
      <w:r w:rsidRPr="00C26FFA">
        <w:rPr>
          <w:i/>
        </w:rPr>
        <w:t>Building Confidence</w:t>
      </w:r>
      <w:r w:rsidR="008905A5">
        <w:t xml:space="preserve"> r</w:t>
      </w:r>
      <w:r w:rsidRPr="00B1102F">
        <w:t>eport.</w:t>
      </w:r>
    </w:p>
    <w:p w14:paraId="7611B98F" w14:textId="54E7C1C3" w:rsidR="00C5246E" w:rsidRDefault="00B1102F">
      <w:r w:rsidRPr="00B1102F">
        <w:t xml:space="preserve">The strategic focus of the </w:t>
      </w:r>
      <w:r>
        <w:t>ABCB</w:t>
      </w:r>
      <w:r w:rsidRPr="00B1102F">
        <w:t xml:space="preserve"> </w:t>
      </w:r>
      <w:r>
        <w:t>has been</w:t>
      </w:r>
      <w:r w:rsidRPr="00B1102F">
        <w:t xml:space="preserve"> recast to better reflect the current challenges of the building sector.</w:t>
      </w:r>
      <w:r>
        <w:t xml:space="preserve"> </w:t>
      </w:r>
      <w:r w:rsidRPr="00B1102F">
        <w:t>The Board will also be expanded to include greater industry representation.</w:t>
      </w:r>
    </w:p>
    <w:p w14:paraId="50DDAF29" w14:textId="77777777" w:rsidR="00C5246E" w:rsidRDefault="00C5246E">
      <w:pPr>
        <w:spacing w:before="0" w:after="160" w:line="259" w:lineRule="auto"/>
      </w:pPr>
      <w:r>
        <w:br w:type="page"/>
      </w:r>
    </w:p>
    <w:p w14:paraId="38EDBE8E" w14:textId="2663771F" w:rsidR="00D543D3" w:rsidRDefault="00B1102F">
      <w:r w:rsidRPr="00B1102F">
        <w:lastRenderedPageBreak/>
        <w:t xml:space="preserve">Adoption of the national framework and ultimate implementation of the </w:t>
      </w:r>
      <w:r w:rsidRPr="00B1102F">
        <w:rPr>
          <w:i/>
        </w:rPr>
        <w:t>Building Confidence</w:t>
      </w:r>
      <w:r>
        <w:t xml:space="preserve"> r</w:t>
      </w:r>
      <w:r w:rsidRPr="00B1102F">
        <w:t>eport will remain the responsibility of the state and territory governments.</w:t>
      </w:r>
      <w:r>
        <w:t xml:space="preserve"> However, t</w:t>
      </w:r>
      <w:r w:rsidRPr="00B1102F">
        <w:t xml:space="preserve">he </w:t>
      </w:r>
      <w:r w:rsidR="008905A5">
        <w:t>Australian Government</w:t>
      </w:r>
      <w:r w:rsidRPr="00B1102F">
        <w:t xml:space="preserve"> will continue to help facilitate on the clear understanding that the states and territories have Constitutional power and responsibility f</w:t>
      </w:r>
      <w:r>
        <w:t>or regulating building matters.</w:t>
      </w:r>
    </w:p>
    <w:p w14:paraId="7FF94032" w14:textId="6958ED48" w:rsidR="002D2BE3" w:rsidRPr="00E41E56" w:rsidRDefault="00D543D3" w:rsidP="00E41E56">
      <w:r w:rsidRPr="00E41E56">
        <w:t xml:space="preserve">The BMF has also expedited a comprehensive package of measures to address concerns around external wall cladding and fire safety, including via an </w:t>
      </w:r>
      <w:r>
        <w:t xml:space="preserve">out of cycle </w:t>
      </w:r>
      <w:r w:rsidRPr="00E41E56">
        <w:t>amendment to the 2016 edition of the NCC and via actions taken by states and territory government regulators.</w:t>
      </w:r>
    </w:p>
    <w:p w14:paraId="61631E08" w14:textId="2A9DBA1A" w:rsidR="00AA3DE9" w:rsidRPr="002B2578" w:rsidRDefault="00AA3DE9" w:rsidP="00100569">
      <w:pPr>
        <w:pStyle w:val="Heading1"/>
        <w:spacing w:before="360" w:after="160"/>
      </w:pPr>
      <w:r w:rsidRPr="002B2578">
        <w:t>Response to the Recommendations</w:t>
      </w:r>
    </w:p>
    <w:p w14:paraId="32840EFF" w14:textId="77777777" w:rsidR="00AA3DE9" w:rsidRPr="00433CA7" w:rsidRDefault="00AA3DE9">
      <w:pPr>
        <w:pStyle w:val="Heading2"/>
      </w:pPr>
      <w:r w:rsidRPr="00433CA7">
        <w:t>Recommendation 1</w:t>
      </w:r>
    </w:p>
    <w:p w14:paraId="31401C83" w14:textId="77777777" w:rsidR="006D4726" w:rsidRPr="00934A23" w:rsidRDefault="006D4726" w:rsidP="006D4726">
      <w:pPr>
        <w:rPr>
          <w:i/>
        </w:rPr>
      </w:pPr>
      <w:r w:rsidRPr="006D4726">
        <w:rPr>
          <w:i/>
        </w:rPr>
        <w:t>The committee recommends that the Building Ministers' Forum develop improved consultative mechanisms with industry stakeholders. In addition, the Building Ministers' Forum should amend the terms of reference for the Senior Officers' Group and the Building Regulators Forum to include annual reporting requirements on progress to address non-</w:t>
      </w:r>
      <w:r w:rsidRPr="00934A23">
        <w:rPr>
          <w:i/>
        </w:rPr>
        <w:t>conforming building products</w:t>
      </w:r>
      <w:r w:rsidRPr="00934A23">
        <w:rPr>
          <w:rFonts w:cstheme="minorHAnsi"/>
          <w:i/>
        </w:rPr>
        <w:t>.</w:t>
      </w:r>
    </w:p>
    <w:p w14:paraId="26D8189F" w14:textId="5BC2B4A5" w:rsidR="00D5089F" w:rsidRPr="00934A23" w:rsidRDefault="003F1620" w:rsidP="00BE07C4">
      <w:pPr>
        <w:pStyle w:val="Heading3"/>
      </w:pPr>
      <w:r w:rsidRPr="00934A23">
        <w:t xml:space="preserve">Response – </w:t>
      </w:r>
      <w:r w:rsidR="00D5089F" w:rsidRPr="00934A23">
        <w:t>Support</w:t>
      </w:r>
      <w:r w:rsidR="007D52E5">
        <w:t>s</w:t>
      </w:r>
      <w:r w:rsidR="00276C31">
        <w:t xml:space="preserve"> </w:t>
      </w:r>
      <w:r w:rsidR="00E71593">
        <w:t>in-</w:t>
      </w:r>
      <w:r w:rsidR="00276C31">
        <w:t>principle</w:t>
      </w:r>
    </w:p>
    <w:p w14:paraId="5F7C4F53" w14:textId="5798FEE6" w:rsidR="00F9624D" w:rsidRDefault="00CC75AA" w:rsidP="003F1620">
      <w:r>
        <w:t xml:space="preserve">The Australian Government </w:t>
      </w:r>
      <w:r w:rsidR="00F9624D">
        <w:t>is committed to ensuring effective and appropriate consultation with industry stakeholders to inform decision-making. The Australian Government advocates this approach in the BMF and associated</w:t>
      </w:r>
      <w:r w:rsidR="00E71593">
        <w:t xml:space="preserve"> supporting</w:t>
      </w:r>
      <w:r w:rsidR="00F9624D">
        <w:t xml:space="preserve"> groups</w:t>
      </w:r>
      <w:r w:rsidR="00E71593">
        <w:t>,</w:t>
      </w:r>
      <w:r w:rsidR="007D52E5">
        <w:t xml:space="preserve"> and has facilitated I</w:t>
      </w:r>
      <w:r w:rsidR="00F9624D">
        <w:t xml:space="preserve">ndustry </w:t>
      </w:r>
      <w:r w:rsidR="007D52E5">
        <w:t>Roundtable</w:t>
      </w:r>
      <w:r w:rsidR="00F9624D">
        <w:t xml:space="preserve"> </w:t>
      </w:r>
      <w:r w:rsidR="007D52E5">
        <w:t xml:space="preserve">events </w:t>
      </w:r>
      <w:r w:rsidR="00F9624D">
        <w:t xml:space="preserve">with Building Ministers and over 20 peak industry bodies and associations to inform the BMF’s consideration of the </w:t>
      </w:r>
      <w:r w:rsidR="00F9624D" w:rsidRPr="00FB7C4E">
        <w:rPr>
          <w:i/>
        </w:rPr>
        <w:t>Building Confidence</w:t>
      </w:r>
      <w:r w:rsidR="00F9624D">
        <w:t xml:space="preserve"> </w:t>
      </w:r>
      <w:r w:rsidR="00E71593">
        <w:t>r</w:t>
      </w:r>
      <w:r w:rsidR="00F9624D">
        <w:t>eport.</w:t>
      </w:r>
      <w:r w:rsidR="00A17F32">
        <w:t xml:space="preserve"> </w:t>
      </w:r>
      <w:r w:rsidR="007D52E5">
        <w:t>F</w:t>
      </w:r>
      <w:r w:rsidR="00A17F32">
        <w:t>uture Industry Roundtables will be held as the BMF considers is required.</w:t>
      </w:r>
    </w:p>
    <w:p w14:paraId="20AF0B08" w14:textId="77777777" w:rsidR="00D543D3" w:rsidRDefault="00F9624D" w:rsidP="003F1620">
      <w:r>
        <w:t xml:space="preserve">The Senior Officers’ Group (SOG) and the Building Regulators Forum (BRF) provide regular and </w:t>
      </w:r>
      <w:r w:rsidR="007D52E5" w:rsidRPr="007D52E5">
        <w:t>as needed</w:t>
      </w:r>
      <w:r>
        <w:t xml:space="preserve"> reports to the Building Ministers’ Forum on a range of issues, including on work to address non-conforming building products. </w:t>
      </w:r>
    </w:p>
    <w:p w14:paraId="5C478173" w14:textId="67BB2575" w:rsidR="00E4215E" w:rsidRDefault="00F9624D" w:rsidP="003F1620">
      <w:r>
        <w:t>The Australia</w:t>
      </w:r>
      <w:r w:rsidR="00855C8A">
        <w:t>n</w:t>
      </w:r>
      <w:r>
        <w:t xml:space="preserve"> </w:t>
      </w:r>
      <w:r w:rsidR="00E4215E" w:rsidRPr="000352E8">
        <w:t xml:space="preserve">Government considers the current frequency </w:t>
      </w:r>
      <w:r>
        <w:t xml:space="preserve">and flexibility </w:t>
      </w:r>
      <w:r w:rsidR="00E4215E" w:rsidRPr="000352E8">
        <w:t xml:space="preserve">of reporting </w:t>
      </w:r>
      <w:r>
        <w:t xml:space="preserve">arrangements </w:t>
      </w:r>
      <w:r w:rsidR="00D543D3">
        <w:t xml:space="preserve">is </w:t>
      </w:r>
      <w:r w:rsidR="00E4215E" w:rsidRPr="000352E8">
        <w:t>appropriate.</w:t>
      </w:r>
      <w:r w:rsidR="00D543D3">
        <w:t xml:space="preserve"> However, the Government understands the important contribution industry can make through open consultation and engagement. This is why the BMF is expanding the ABCB’s Board membership to include another two representatives from industry.</w:t>
      </w:r>
    </w:p>
    <w:p w14:paraId="6FFEAA34" w14:textId="77777777" w:rsidR="00D5089F" w:rsidRPr="00934A23" w:rsidRDefault="00D5089F">
      <w:pPr>
        <w:pStyle w:val="Heading2"/>
      </w:pPr>
      <w:r w:rsidRPr="00934A23">
        <w:t>Recommendation 2</w:t>
      </w:r>
    </w:p>
    <w:p w14:paraId="5AF87DE6" w14:textId="77777777" w:rsidR="006D4726" w:rsidRPr="00934A23" w:rsidRDefault="006D4726" w:rsidP="006D4726">
      <w:pPr>
        <w:rPr>
          <w:i/>
        </w:rPr>
      </w:pPr>
      <w:r w:rsidRPr="00934A23">
        <w:rPr>
          <w:i/>
        </w:rPr>
        <w:t>The committee recommends that the Australian Government develop a confidential reporting mechanism through which industry and other stakeholders can report non-conforming building products.</w:t>
      </w:r>
    </w:p>
    <w:p w14:paraId="4EE83277" w14:textId="4BA22660" w:rsidR="00A72E20" w:rsidRDefault="00A72E20" w:rsidP="00BE7A8B">
      <w:pPr>
        <w:pStyle w:val="Heading3"/>
      </w:pPr>
      <w:r w:rsidRPr="00934A23">
        <w:t xml:space="preserve">Response – </w:t>
      </w:r>
      <w:r w:rsidR="00007764">
        <w:t>Noted</w:t>
      </w:r>
    </w:p>
    <w:p w14:paraId="2E325B18" w14:textId="77777777" w:rsidR="00E71593" w:rsidRDefault="00767E18" w:rsidP="00D53934">
      <w:pPr>
        <w:rPr>
          <w:b/>
          <w:i/>
        </w:rPr>
      </w:pPr>
      <w:r>
        <w:t>The Australian Government has worked with jurisdictions and the Australian Building Codes Board (ABCB) to provide a</w:t>
      </w:r>
      <w:r w:rsidR="00947526">
        <w:t xml:space="preserve"> confidential reporting mechanism for </w:t>
      </w:r>
      <w:r>
        <w:t xml:space="preserve">concerns about </w:t>
      </w:r>
      <w:r w:rsidR="00947526">
        <w:t>non-conforming building products</w:t>
      </w:r>
      <w:r w:rsidR="007D52E5">
        <w:t xml:space="preserve">. </w:t>
      </w:r>
    </w:p>
    <w:p w14:paraId="31DE2F87" w14:textId="1393BF65" w:rsidR="002729C1" w:rsidRDefault="00007764" w:rsidP="00D53934">
      <w:pPr>
        <w:rPr>
          <w:b/>
          <w:i/>
        </w:rPr>
      </w:pPr>
      <w:r w:rsidRPr="00007764">
        <w:t>On 30 June 2017, the BMF launched the non</w:t>
      </w:r>
      <w:r w:rsidR="00D70176">
        <w:noBreakHyphen/>
      </w:r>
      <w:r w:rsidRPr="00007764">
        <w:t>conforming building product</w:t>
      </w:r>
      <w:r w:rsidR="007346EC">
        <w:t>s</w:t>
      </w:r>
      <w:r w:rsidRPr="00007764">
        <w:t xml:space="preserve"> webpage on the ABCB</w:t>
      </w:r>
      <w:r w:rsidR="00D70176">
        <w:t>’s</w:t>
      </w:r>
      <w:r w:rsidR="00767E18">
        <w:t xml:space="preserve"> </w:t>
      </w:r>
      <w:r w:rsidRPr="00007764">
        <w:t>website (</w:t>
      </w:r>
      <w:hyperlink r:id="rId13" w:history="1">
        <w:r w:rsidRPr="00D543D3">
          <w:rPr>
            <w:rStyle w:val="Hyperlink"/>
          </w:rPr>
          <w:t>www.abcb.gov.au</w:t>
        </w:r>
      </w:hyperlink>
      <w:r w:rsidRPr="00007764">
        <w:t>)</w:t>
      </w:r>
      <w:r w:rsidR="00767E18">
        <w:t xml:space="preserve">, The ABCB hosts this content as the </w:t>
      </w:r>
      <w:r w:rsidR="00767E18" w:rsidRPr="00A700C3">
        <w:t>multi-jurisdictional standards writing body responsible for developing and maintaining the NCC</w:t>
      </w:r>
      <w:r w:rsidR="00767E18">
        <w:t>,</w:t>
      </w:r>
      <w:r w:rsidR="00767E18" w:rsidRPr="00007764">
        <w:t xml:space="preserve"> </w:t>
      </w:r>
      <w:r w:rsidR="007D52E5">
        <w:t>on behalf of all jurisdictions.</w:t>
      </w:r>
    </w:p>
    <w:p w14:paraId="1F25E83A" w14:textId="77777777" w:rsidR="002729C1" w:rsidRDefault="002729C1" w:rsidP="00D53934">
      <w:r>
        <w:br w:type="page"/>
      </w:r>
    </w:p>
    <w:p w14:paraId="5F0A4623" w14:textId="755F51E6" w:rsidR="00007764" w:rsidRPr="00007764" w:rsidRDefault="00007764" w:rsidP="00D53934">
      <w:pPr>
        <w:rPr>
          <w:b/>
          <w:i/>
        </w:rPr>
      </w:pPr>
      <w:r w:rsidRPr="00007764">
        <w:lastRenderedPageBreak/>
        <w:t>The webpage was developed in consultation with state and territory building jurisdictions and key indus</w:t>
      </w:r>
      <w:r w:rsidR="000352E8">
        <w:t>try stakeholders</w:t>
      </w:r>
      <w:r w:rsidRPr="00007764">
        <w:t xml:space="preserve"> and provides information on:</w:t>
      </w:r>
    </w:p>
    <w:p w14:paraId="2831850F" w14:textId="0D53B524" w:rsidR="00007764" w:rsidRPr="00007764" w:rsidRDefault="00007764" w:rsidP="00B511F5">
      <w:pPr>
        <w:pStyle w:val="ListParagraph"/>
        <w:spacing w:before="80" w:after="80"/>
        <w:ind w:left="357" w:hanging="357"/>
      </w:pPr>
      <w:r w:rsidRPr="001F5954">
        <w:t>the requirements for compliance and conformance;</w:t>
      </w:r>
    </w:p>
    <w:p w14:paraId="0ECA49D9" w14:textId="5F58CEC3" w:rsidR="00007764" w:rsidRPr="00007764" w:rsidRDefault="001F5954" w:rsidP="00B511F5">
      <w:pPr>
        <w:pStyle w:val="ListParagraph"/>
        <w:spacing w:before="80" w:after="80"/>
        <w:ind w:left="357" w:hanging="357"/>
      </w:pPr>
      <w:r>
        <w:t>i</w:t>
      </w:r>
      <w:r w:rsidR="00007764" w:rsidRPr="001F5954">
        <w:t xml:space="preserve">ndividual </w:t>
      </w:r>
      <w:r w:rsidR="00007764" w:rsidRPr="00BC0F1F">
        <w:t>responsibility;</w:t>
      </w:r>
    </w:p>
    <w:p w14:paraId="017FC28F" w14:textId="6D0100E1" w:rsidR="00007764" w:rsidRPr="00007764" w:rsidRDefault="00007764" w:rsidP="00B511F5">
      <w:pPr>
        <w:pStyle w:val="ListParagraph"/>
        <w:spacing w:before="80" w:after="80"/>
        <w:ind w:left="357" w:hanging="357"/>
      </w:pPr>
      <w:r w:rsidRPr="001F5954">
        <w:t>how to ensure that a product conforms;</w:t>
      </w:r>
    </w:p>
    <w:p w14:paraId="1D578852" w14:textId="5A8BA31C" w:rsidR="00007764" w:rsidRPr="00007764" w:rsidRDefault="00007764" w:rsidP="00B511F5">
      <w:pPr>
        <w:pStyle w:val="ListParagraph"/>
        <w:spacing w:before="80" w:after="80"/>
        <w:ind w:left="357" w:hanging="357"/>
      </w:pPr>
      <w:r w:rsidRPr="001F5954">
        <w:t>what to do with suspect non-conformance; and</w:t>
      </w:r>
    </w:p>
    <w:p w14:paraId="42157740" w14:textId="39FD4E40" w:rsidR="00007764" w:rsidRPr="00007764" w:rsidRDefault="00007764" w:rsidP="00B511F5">
      <w:pPr>
        <w:pStyle w:val="ListParagraph"/>
        <w:spacing w:before="80" w:after="80"/>
        <w:ind w:left="357" w:hanging="357"/>
      </w:pPr>
      <w:r w:rsidRPr="001F5954">
        <w:t>how to lodge a query or report a suspected non-conforming building product.</w:t>
      </w:r>
    </w:p>
    <w:p w14:paraId="334193B0" w14:textId="0D6A7098" w:rsidR="00E71593" w:rsidRDefault="00007764" w:rsidP="007D52E5">
      <w:r w:rsidRPr="00007764">
        <w:t xml:space="preserve">Any query or report lodged through this webpage is confidential and directed to the relevant state or territory building regulator for appropriate remedial action, including </w:t>
      </w:r>
      <w:r w:rsidR="00BC32CB">
        <w:t xml:space="preserve">any appropriate </w:t>
      </w:r>
      <w:r w:rsidRPr="00007764">
        <w:t>referral to occupational, health and safety regulator</w:t>
      </w:r>
      <w:r w:rsidR="00BC32CB">
        <w:t>s</w:t>
      </w:r>
      <w:r w:rsidR="00CF50CB">
        <w:t>.</w:t>
      </w:r>
      <w:r w:rsidR="00767E18">
        <w:t xml:space="preserve"> To respond to queries and address reports made, contact details are required.</w:t>
      </w:r>
    </w:p>
    <w:p w14:paraId="78134CE4" w14:textId="3414A44A" w:rsidR="00D5089F" w:rsidRPr="00934A23" w:rsidRDefault="00D5089F">
      <w:pPr>
        <w:pStyle w:val="Heading2"/>
      </w:pPr>
      <w:r w:rsidRPr="00934A23">
        <w:t>Recommendation 3</w:t>
      </w:r>
    </w:p>
    <w:p w14:paraId="1779B80C" w14:textId="0C32A13C" w:rsidR="00D5089F" w:rsidRPr="00934A23" w:rsidRDefault="006D4726" w:rsidP="00D5089F">
      <w:pPr>
        <w:rPr>
          <w:i/>
        </w:rPr>
      </w:pPr>
      <w:r w:rsidRPr="00934A23">
        <w:rPr>
          <w:rFonts w:cs="Arial"/>
          <w:i/>
        </w:rPr>
        <w:t>The committee calls on the Building Ministers' Forum to expedite its consideration of a mandatory third-party certification scheme for high-risk building products and a national register for these products</w:t>
      </w:r>
      <w:r w:rsidR="00D5089F" w:rsidRPr="00934A23">
        <w:rPr>
          <w:i/>
        </w:rPr>
        <w:t>.</w:t>
      </w:r>
    </w:p>
    <w:p w14:paraId="33966985" w14:textId="64D5DEFC" w:rsidR="00D5089F" w:rsidRDefault="00D5089F" w:rsidP="00BE07C4">
      <w:pPr>
        <w:pStyle w:val="Heading3"/>
      </w:pPr>
      <w:r w:rsidRPr="00934A23">
        <w:t xml:space="preserve">Response – </w:t>
      </w:r>
      <w:r w:rsidR="00007764">
        <w:t xml:space="preserve">Noted </w:t>
      </w:r>
    </w:p>
    <w:p w14:paraId="74D8804F" w14:textId="2AA39955" w:rsidR="00733151" w:rsidRDefault="002F3FB0">
      <w:r>
        <w:t xml:space="preserve">The Australian </w:t>
      </w:r>
      <w:r w:rsidRPr="002F3FB0">
        <w:t xml:space="preserve">Government </w:t>
      </w:r>
      <w:r w:rsidR="007D52E5">
        <w:t>is working to support</w:t>
      </w:r>
      <w:r>
        <w:t xml:space="preserve"> the BMF</w:t>
      </w:r>
      <w:r w:rsidR="007D52E5">
        <w:t>’s careful consideration of</w:t>
      </w:r>
      <w:r>
        <w:t xml:space="preserve"> </w:t>
      </w:r>
      <w:r w:rsidR="00733151">
        <w:t xml:space="preserve">whether </w:t>
      </w:r>
      <w:r w:rsidR="00007764" w:rsidRPr="00007764">
        <w:t xml:space="preserve">a </w:t>
      </w:r>
      <w:r w:rsidR="00007764" w:rsidRPr="00E61820">
        <w:t>mandatory third-party certification scheme</w:t>
      </w:r>
      <w:r w:rsidR="00733151">
        <w:t xml:space="preserve"> is an efficient and effective option to address the issues identified</w:t>
      </w:r>
      <w:r w:rsidR="00401B70">
        <w:t xml:space="preserve"> with non-conforming building products</w:t>
      </w:r>
      <w:r w:rsidR="00733151">
        <w:t>.</w:t>
      </w:r>
    </w:p>
    <w:p w14:paraId="779515DE" w14:textId="3CE1BF29" w:rsidR="00733151" w:rsidRPr="00F0754B" w:rsidRDefault="00733151" w:rsidP="00733151">
      <w:r>
        <w:t>To support the BMF’s consideration, th</w:t>
      </w:r>
      <w:r w:rsidRPr="00503A91">
        <w:t>e SOG</w:t>
      </w:r>
      <w:r w:rsidR="0038205C">
        <w:t>, in collaboration with the ABCB,</w:t>
      </w:r>
      <w:r w:rsidRPr="00503A91">
        <w:t xml:space="preserve"> continues to undertake research into </w:t>
      </w:r>
      <w:r w:rsidR="00E71593" w:rsidRPr="00503A91">
        <w:t>non</w:t>
      </w:r>
      <w:r w:rsidR="00E71593">
        <w:noBreakHyphen/>
      </w:r>
      <w:r w:rsidR="00E71593" w:rsidRPr="00503A91">
        <w:t>conforming building products</w:t>
      </w:r>
      <w:r w:rsidRPr="00503A91">
        <w:t>, including:</w:t>
      </w:r>
    </w:p>
    <w:p w14:paraId="2D74E447" w14:textId="77777777" w:rsidR="00733151" w:rsidRDefault="00733151" w:rsidP="00733151">
      <w:pPr>
        <w:pStyle w:val="ListParagraph"/>
        <w:rPr>
          <w:rFonts w:cs="Times New Roman"/>
          <w:bCs/>
          <w:szCs w:val="24"/>
        </w:rPr>
      </w:pPr>
      <w:r w:rsidRPr="001F5954">
        <w:t xml:space="preserve">the potential risks posed by non-conforming building products, and </w:t>
      </w:r>
    </w:p>
    <w:p w14:paraId="786650BB" w14:textId="30109A37" w:rsidR="00733151" w:rsidRPr="003A18F4" w:rsidRDefault="00733151" w:rsidP="00733151">
      <w:pPr>
        <w:pStyle w:val="ListParagraph"/>
        <w:rPr>
          <w:rFonts w:cs="Times New Roman"/>
          <w:szCs w:val="24"/>
        </w:rPr>
      </w:pPr>
      <w:r w:rsidRPr="001F5954">
        <w:t xml:space="preserve">what may be considered a ‘high risk building </w:t>
      </w:r>
      <w:r w:rsidR="007D52E5">
        <w:t>product</w:t>
      </w:r>
      <w:r w:rsidRPr="001F5954">
        <w:t>’.</w:t>
      </w:r>
    </w:p>
    <w:p w14:paraId="6AB84B97" w14:textId="670134DC" w:rsidR="007346EC" w:rsidRDefault="0038205C" w:rsidP="007D52E5">
      <w:pPr>
        <w:pStyle w:val="ListParagraph"/>
        <w:numPr>
          <w:ilvl w:val="0"/>
          <w:numId w:val="0"/>
        </w:numPr>
      </w:pPr>
      <w:r>
        <w:t xml:space="preserve">Under the NCC, products have to be able to demonstrate that they are fit to be used for their intended purpose. </w:t>
      </w:r>
      <w:r w:rsidR="00733151">
        <w:t xml:space="preserve">At present, </w:t>
      </w:r>
      <w:r w:rsidR="00BE4B3A">
        <w:t>consumers</w:t>
      </w:r>
      <w:r w:rsidR="003A046C">
        <w:t xml:space="preserve"> and building practitioners</w:t>
      </w:r>
      <w:r w:rsidR="00BE4B3A">
        <w:t xml:space="preserve"> have access to a number of options to verify that a product conforms and complies with the NCC. </w:t>
      </w:r>
      <w:r w:rsidR="00733151">
        <w:t>T</w:t>
      </w:r>
      <w:r w:rsidR="00BE4B3A">
        <w:t>his includes verification through a:</w:t>
      </w:r>
    </w:p>
    <w:p w14:paraId="273835D5" w14:textId="2DEA6036" w:rsidR="00BE4B3A" w:rsidRPr="00BC0F1F" w:rsidRDefault="00CA5C71" w:rsidP="007D52E5">
      <w:pPr>
        <w:pStyle w:val="ListParagraph"/>
      </w:pPr>
      <w:r w:rsidRPr="00E15BAC">
        <w:t>c</w:t>
      </w:r>
      <w:r w:rsidR="00BE4B3A" w:rsidRPr="003F20DD">
        <w:t>ertificate</w:t>
      </w:r>
      <w:r w:rsidR="00BE4B3A" w:rsidRPr="0009263A">
        <w:t xml:space="preserve"> of Conformity from WaterMark, a mandatory certification scheme for plumbing and drainage </w:t>
      </w:r>
      <w:r w:rsidR="00BE4B3A" w:rsidRPr="00BC0F1F">
        <w:t>products;</w:t>
      </w:r>
    </w:p>
    <w:p w14:paraId="6E02E1AD" w14:textId="1379B852" w:rsidR="00BE4B3A" w:rsidRPr="00BC0F1F" w:rsidRDefault="00CA5C71" w:rsidP="007D52E5">
      <w:pPr>
        <w:pStyle w:val="ListParagraph"/>
      </w:pPr>
      <w:r w:rsidRPr="00BC0F1F">
        <w:t>c</w:t>
      </w:r>
      <w:r w:rsidR="00BE4B3A" w:rsidRPr="00BC0F1F">
        <w:t>ertificate of Conformity from CodeMark, a voluntary third-party building product certification scheme;</w:t>
      </w:r>
    </w:p>
    <w:p w14:paraId="3C48C913" w14:textId="3FA0E291" w:rsidR="00BE4B3A" w:rsidRPr="00BC0F1F" w:rsidRDefault="00CA5C71" w:rsidP="007D52E5">
      <w:pPr>
        <w:pStyle w:val="ListParagraph"/>
      </w:pPr>
      <w:r w:rsidRPr="00BC0F1F">
        <w:t>c</w:t>
      </w:r>
      <w:r w:rsidR="00BE4B3A" w:rsidRPr="00BC0F1F">
        <w:t>ertificate of Accreditation from a State or Territory Accreditation authority;</w:t>
      </w:r>
    </w:p>
    <w:p w14:paraId="429FDA89" w14:textId="1A209C6C" w:rsidR="00BE4B3A" w:rsidRPr="00BC0F1F" w:rsidRDefault="00CA5C71" w:rsidP="007D52E5">
      <w:pPr>
        <w:pStyle w:val="ListParagraph"/>
      </w:pPr>
      <w:r w:rsidRPr="00BC0F1F">
        <w:t>c</w:t>
      </w:r>
      <w:r w:rsidR="00BE4B3A" w:rsidRPr="00BC0F1F">
        <w:t>ertificate from an appropriately qualified person such as an engineer;</w:t>
      </w:r>
    </w:p>
    <w:p w14:paraId="0E4060C2" w14:textId="701D9ED1" w:rsidR="00BE4B3A" w:rsidRPr="00BC0F1F" w:rsidRDefault="00CA5C71" w:rsidP="007D52E5">
      <w:pPr>
        <w:pStyle w:val="ListParagraph"/>
      </w:pPr>
      <w:r w:rsidRPr="00BC0F1F">
        <w:t>c</w:t>
      </w:r>
      <w:r w:rsidR="00BE4B3A" w:rsidRPr="00BC0F1F">
        <w:t xml:space="preserve">ertificate from a product certification body accredited by </w:t>
      </w:r>
      <w:r w:rsidR="00E91696">
        <w:t xml:space="preserve">the </w:t>
      </w:r>
      <w:r w:rsidR="00E91696" w:rsidRPr="00E91696">
        <w:t xml:space="preserve">Joint Accreditation System of Australia and New Zealand </w:t>
      </w:r>
      <w:r w:rsidR="00E91696">
        <w:t>(</w:t>
      </w:r>
      <w:r w:rsidR="00BE4B3A" w:rsidRPr="00BC0F1F">
        <w:t>JAS-ANZ</w:t>
      </w:r>
      <w:r w:rsidR="00E91696">
        <w:t>)</w:t>
      </w:r>
      <w:r w:rsidR="00515989" w:rsidRPr="00BC0F1F">
        <w:t xml:space="preserve">; </w:t>
      </w:r>
    </w:p>
    <w:p w14:paraId="56CCA042" w14:textId="3B62B1FC" w:rsidR="00BE4B3A" w:rsidRPr="00BC0F1F" w:rsidRDefault="00CA5C71" w:rsidP="007D52E5">
      <w:pPr>
        <w:pStyle w:val="ListParagraph"/>
      </w:pPr>
      <w:r w:rsidRPr="00BC0F1F">
        <w:t>r</w:t>
      </w:r>
      <w:r w:rsidR="00BE4B3A" w:rsidRPr="00BC0F1F">
        <w:t>eport registered by a registered testing authority</w:t>
      </w:r>
      <w:r w:rsidR="00515989" w:rsidRPr="00BC0F1F">
        <w:t>; and</w:t>
      </w:r>
    </w:p>
    <w:p w14:paraId="2FF55459" w14:textId="3EA6E38A" w:rsidR="002729C1" w:rsidRDefault="00CA5C71" w:rsidP="007D52E5">
      <w:pPr>
        <w:pStyle w:val="ListParagraph"/>
      </w:pPr>
      <w:r w:rsidRPr="00BC0F1F">
        <w:t>o</w:t>
      </w:r>
      <w:r w:rsidR="00515989" w:rsidRPr="00BC0F1F">
        <w:t>ther documentary evidence</w:t>
      </w:r>
      <w:r w:rsidR="0038205C">
        <w:t>, for example, a certificate through an industry scheme</w:t>
      </w:r>
      <w:r w:rsidR="00515989" w:rsidRPr="00BC0F1F">
        <w:t>.</w:t>
      </w:r>
    </w:p>
    <w:p w14:paraId="23740CFC" w14:textId="77777777" w:rsidR="002729C1" w:rsidRDefault="002729C1">
      <w:pPr>
        <w:spacing w:before="0" w:after="160" w:line="259" w:lineRule="auto"/>
        <w:rPr>
          <w:rFonts w:eastAsiaTheme="minorHAnsi" w:cstheme="minorBidi"/>
          <w:szCs w:val="22"/>
        </w:rPr>
      </w:pPr>
      <w:r>
        <w:br w:type="page"/>
      </w:r>
    </w:p>
    <w:p w14:paraId="4D6FA97E" w14:textId="6A8D38F3" w:rsidR="00D5089F" w:rsidRPr="00D105C6" w:rsidRDefault="00D5089F" w:rsidP="00100569">
      <w:pPr>
        <w:pStyle w:val="Heading2"/>
        <w:spacing w:before="240"/>
      </w:pPr>
      <w:r w:rsidRPr="003F0EF2">
        <w:lastRenderedPageBreak/>
        <w:t>Recommendation 4</w:t>
      </w:r>
    </w:p>
    <w:p w14:paraId="4FC61C0B" w14:textId="5754903F" w:rsidR="00D5089F" w:rsidRPr="006D4726" w:rsidRDefault="006D4726" w:rsidP="00D5089F">
      <w:pPr>
        <w:rPr>
          <w:i/>
        </w:rPr>
      </w:pPr>
      <w:r w:rsidRPr="006D4726">
        <w:rPr>
          <w:rFonts w:cs="Arial"/>
          <w:i/>
        </w:rPr>
        <w:t>The committee recommends that where an importer intends to import goods that have been deemed high-risk, the Australian Government require the importer, prior to the importation of the goods, to conduct sampling and testing by a NATA accredited authority (or a NATA equivalent testing authority in a another country that is a signatory to a Mutual Recognition Arrangement)</w:t>
      </w:r>
      <w:r w:rsidR="00D5089F" w:rsidRPr="006D4726">
        <w:rPr>
          <w:i/>
        </w:rPr>
        <w:t>.</w:t>
      </w:r>
    </w:p>
    <w:p w14:paraId="7E2EA098" w14:textId="2377990B" w:rsidR="00D5089F" w:rsidRPr="00D5089F" w:rsidRDefault="00D5089F" w:rsidP="00BE07C4">
      <w:pPr>
        <w:pStyle w:val="Heading3"/>
      </w:pPr>
      <w:r w:rsidRPr="00D5089F">
        <w:t>Response –</w:t>
      </w:r>
      <w:r>
        <w:t xml:space="preserve"> </w:t>
      </w:r>
      <w:r w:rsidR="00587185">
        <w:t>Noted</w:t>
      </w:r>
    </w:p>
    <w:p w14:paraId="7D49643C" w14:textId="5BD30D45" w:rsidR="00973D9E" w:rsidRDefault="00DA3CDF">
      <w:pPr>
        <w:autoSpaceDE w:val="0"/>
        <w:autoSpaceDN w:val="0"/>
        <w:adjustRightInd w:val="0"/>
      </w:pPr>
      <w:r w:rsidRPr="00FB08E1">
        <w:t xml:space="preserve">The Australian Government </w:t>
      </w:r>
      <w:r w:rsidR="00587185">
        <w:t>recognises the importance of ensuring the safety and quality of products imported into Australia</w:t>
      </w:r>
      <w:r w:rsidR="005A1FF6">
        <w:t>, including through product testing where appropriate</w:t>
      </w:r>
      <w:r w:rsidR="00587185">
        <w:t xml:space="preserve">. </w:t>
      </w:r>
    </w:p>
    <w:p w14:paraId="500FB5D2" w14:textId="476E2B12" w:rsidR="00E71593" w:rsidRDefault="00751F24" w:rsidP="006D4726">
      <w:pPr>
        <w:autoSpaceDE w:val="0"/>
        <w:autoSpaceDN w:val="0"/>
        <w:adjustRightInd w:val="0"/>
      </w:pPr>
      <w:r w:rsidRPr="007D52E5">
        <w:t xml:space="preserve">In the case of asbestos, </w:t>
      </w:r>
      <w:r w:rsidR="00FA0A6E">
        <w:t>the substance is well defined as it is directly hazardous to human health. T</w:t>
      </w:r>
      <w:r w:rsidR="006D4726" w:rsidRPr="007D52E5">
        <w:t xml:space="preserve">he </w:t>
      </w:r>
      <w:r w:rsidR="00FC3537" w:rsidRPr="007D52E5">
        <w:t>Australian Border Force (</w:t>
      </w:r>
      <w:r w:rsidR="006D4726" w:rsidRPr="007D52E5">
        <w:t>ABF</w:t>
      </w:r>
      <w:r w:rsidR="00FC3537" w:rsidRPr="007D52E5">
        <w:t>)</w:t>
      </w:r>
      <w:r w:rsidR="006D4726" w:rsidRPr="007D52E5">
        <w:t xml:space="preserve"> requires importers to have adequate assurance measures in place to demonstrate that the goods they are importing do not contain asbestos. </w:t>
      </w:r>
    </w:p>
    <w:p w14:paraId="29F66D29" w14:textId="05BF0E56" w:rsidR="006D4726" w:rsidRPr="007D52E5" w:rsidRDefault="006D4726" w:rsidP="006D4726">
      <w:pPr>
        <w:autoSpaceDE w:val="0"/>
        <w:autoSpaceDN w:val="0"/>
        <w:adjustRightInd w:val="0"/>
      </w:pPr>
      <w:r w:rsidRPr="007D52E5">
        <w:t>The types of measures an importer may put in place may include, but are not exclusive to, testing. Assurance can include a combination of processes, such as the identification and removal of at-risk components before import (for example, brake pads in vehicles), which would remove the necessity to test; collation of evidence through demonstrated knowledge of the supply chain (including the manufacturing process) and building assurances into contractual arrangements with suppliers.</w:t>
      </w:r>
    </w:p>
    <w:p w14:paraId="3EBF21DE" w14:textId="50B4283D" w:rsidR="00FA0A6E" w:rsidRDefault="006D4726" w:rsidP="00FA0A6E">
      <w:pPr>
        <w:autoSpaceDE w:val="0"/>
        <w:autoSpaceDN w:val="0"/>
        <w:adjustRightInd w:val="0"/>
      </w:pPr>
      <w:r w:rsidRPr="007D52E5">
        <w:t xml:space="preserve">When goods arrive at the Australian border, if the ABF is not satisfied with the importer's level of assurance, the ABF will direct the importer to have the goods tested </w:t>
      </w:r>
      <w:r w:rsidR="00FA0A6E">
        <w:t xml:space="preserve">for asbestos </w:t>
      </w:r>
      <w:r w:rsidRPr="007D52E5">
        <w:t>by a National Association of Testing Authorities (NATA) accredited laboratory.</w:t>
      </w:r>
      <w:r w:rsidR="00FA0A6E" w:rsidRPr="00FA0A6E">
        <w:t xml:space="preserve"> </w:t>
      </w:r>
    </w:p>
    <w:p w14:paraId="07D49AAB" w14:textId="03AD681B" w:rsidR="00FA0A6E" w:rsidRDefault="00FA0A6E" w:rsidP="00FA0A6E">
      <w:pPr>
        <w:autoSpaceDE w:val="0"/>
        <w:autoSpaceDN w:val="0"/>
        <w:adjustRightInd w:val="0"/>
      </w:pPr>
      <w:r>
        <w:t>However, mandatory testing is not always an efficient and effective way of providing assurance that the goods are conforming. Mandatory testing is also costly to industry, particularly for importers who are demonstrably compliant.</w:t>
      </w:r>
    </w:p>
    <w:p w14:paraId="2B68FDD9" w14:textId="44D6FCDD" w:rsidR="009C0E03" w:rsidRDefault="009C0E03" w:rsidP="00FA0A6E">
      <w:pPr>
        <w:autoSpaceDE w:val="0"/>
        <w:autoSpaceDN w:val="0"/>
        <w:adjustRightInd w:val="0"/>
      </w:pPr>
      <w:r>
        <w:t xml:space="preserve">Product testing can be appropriate to identify the conformity of particular products, </w:t>
      </w:r>
      <w:r w:rsidR="002729C1" w:rsidRPr="00100569">
        <w:t>but it cannot determine how that product will actually be used</w:t>
      </w:r>
      <w:r>
        <w:t>. As noted under Recommendation 3, appropriate use of building products is regulated by the states and territories, including through the NCC.</w:t>
      </w:r>
    </w:p>
    <w:p w14:paraId="1F303A27" w14:textId="3A07750E" w:rsidR="00E0227A" w:rsidRDefault="00FA0A6E" w:rsidP="00E0227A">
      <w:pPr>
        <w:autoSpaceDE w:val="0"/>
        <w:autoSpaceDN w:val="0"/>
        <w:adjustRightInd w:val="0"/>
      </w:pPr>
      <w:r>
        <w:t>Further, care</w:t>
      </w:r>
      <w:r w:rsidR="00E0227A">
        <w:t>ful consideration would need to be taken not to unnecessarily create barriers to trade that may</w:t>
      </w:r>
      <w:r w:rsidR="00A66242">
        <w:t xml:space="preserve"> </w:t>
      </w:r>
      <w:r w:rsidR="00E0227A">
        <w:t>be more trade restrictive than necessary. Australia must act in a manner consistent with our interna</w:t>
      </w:r>
      <w:r w:rsidR="0038205C">
        <w:t>tiona</w:t>
      </w:r>
      <w:r w:rsidR="00E0227A">
        <w:t xml:space="preserve">l trade obligations, including the </w:t>
      </w:r>
      <w:r w:rsidR="003F0EF2">
        <w:t>World Trade Organization (</w:t>
      </w:r>
      <w:r w:rsidR="00E0227A">
        <w:t>WTO</w:t>
      </w:r>
      <w:r w:rsidR="003F0EF2">
        <w:t>)</w:t>
      </w:r>
      <w:r w:rsidR="00E0227A">
        <w:t xml:space="preserve"> Technical Barriers to Trade Agreement. Relevant technical regulations and standards must not be more trade restrictive than necessary, and must not be applied discriminately </w:t>
      </w:r>
      <w:r w:rsidR="00E06DC9">
        <w:t>(</w:t>
      </w:r>
      <w:r w:rsidR="00E0227A">
        <w:t>i.e. only to imports</w:t>
      </w:r>
      <w:r w:rsidR="00E06DC9">
        <w:t>)</w:t>
      </w:r>
      <w:r w:rsidR="009C0E03">
        <w:t>.</w:t>
      </w:r>
      <w:r w:rsidR="00E0227A">
        <w:t xml:space="preserve"> </w:t>
      </w:r>
      <w:r w:rsidR="009C0E03">
        <w:t>T</w:t>
      </w:r>
      <w:r w:rsidR="00E0227A">
        <w:t>his extends to conformity assessment practices.</w:t>
      </w:r>
    </w:p>
    <w:p w14:paraId="75A6917E" w14:textId="0EB33726" w:rsidR="00D5089F" w:rsidRPr="00AA3DE9" w:rsidRDefault="00D5089F">
      <w:pPr>
        <w:pStyle w:val="Heading2"/>
      </w:pPr>
      <w:r>
        <w:t>Recommendation 5</w:t>
      </w:r>
    </w:p>
    <w:p w14:paraId="122891E7" w14:textId="0E8D87F3" w:rsidR="00D5089F" w:rsidRPr="006D4726" w:rsidRDefault="006D4726" w:rsidP="00D5089F">
      <w:pPr>
        <w:rPr>
          <w:i/>
        </w:rPr>
      </w:pPr>
      <w:r w:rsidRPr="006D4726">
        <w:rPr>
          <w:rFonts w:cstheme="minorHAnsi"/>
          <w:bCs/>
          <w:i/>
        </w:rPr>
        <w:t>The committee recommends that the Building Ministers' Forum, through the Senior Officers' Group, examine international approaches—including the European Union's regulations and processes—for testing of high-risk products prior to import and determine if they can be suitably adapted to benefit and enhance Australian requirements.</w:t>
      </w:r>
    </w:p>
    <w:p w14:paraId="3971F999" w14:textId="5FB77EDC" w:rsidR="00D5089F" w:rsidRPr="00D5089F" w:rsidRDefault="00D5089F" w:rsidP="00BE07C4">
      <w:pPr>
        <w:pStyle w:val="Heading3"/>
      </w:pPr>
      <w:r w:rsidRPr="00D5089F">
        <w:t>Response –</w:t>
      </w:r>
      <w:r w:rsidR="00A72E20">
        <w:t xml:space="preserve"> </w:t>
      </w:r>
      <w:r w:rsidR="006D4726">
        <w:t>Supported</w:t>
      </w:r>
    </w:p>
    <w:p w14:paraId="5D935D2D" w14:textId="28B3DBF8" w:rsidR="002729C1" w:rsidRDefault="006439F4" w:rsidP="00D5089F">
      <w:pPr>
        <w:rPr>
          <w:rFonts w:cs="Arial"/>
        </w:rPr>
      </w:pPr>
      <w:r w:rsidRPr="0046444B">
        <w:rPr>
          <w:rFonts w:cs="Arial"/>
        </w:rPr>
        <w:t xml:space="preserve">The </w:t>
      </w:r>
      <w:r w:rsidR="00401B70">
        <w:rPr>
          <w:rFonts w:cs="Arial"/>
        </w:rPr>
        <w:t xml:space="preserve">Australian </w:t>
      </w:r>
      <w:r w:rsidRPr="0046444B">
        <w:rPr>
          <w:rFonts w:cs="Arial"/>
        </w:rPr>
        <w:t xml:space="preserve">Government supports </w:t>
      </w:r>
      <w:r w:rsidR="005A1FF6">
        <w:rPr>
          <w:rFonts w:cs="Arial"/>
        </w:rPr>
        <w:t>consideration of</w:t>
      </w:r>
      <w:r w:rsidR="00401B70">
        <w:rPr>
          <w:rFonts w:cs="Arial"/>
        </w:rPr>
        <w:t xml:space="preserve"> international approaches to testing of building products. Consideration of international approaches to building product regulation, including the European Union’s regulations and processes, informs the work of the </w:t>
      </w:r>
      <w:r w:rsidR="0002490C">
        <w:rPr>
          <w:rFonts w:cs="Arial"/>
        </w:rPr>
        <w:t xml:space="preserve">BMF, SOG, BRF, </w:t>
      </w:r>
      <w:r w:rsidRPr="0046444B">
        <w:rPr>
          <w:rFonts w:cs="Arial"/>
        </w:rPr>
        <w:t>ABCB</w:t>
      </w:r>
      <w:r w:rsidR="00401B70">
        <w:rPr>
          <w:rFonts w:cs="Arial"/>
        </w:rPr>
        <w:t xml:space="preserve"> and all </w:t>
      </w:r>
      <w:r w:rsidR="00CB614A">
        <w:rPr>
          <w:rFonts w:cs="Arial"/>
        </w:rPr>
        <w:t>states and territories</w:t>
      </w:r>
      <w:r w:rsidR="00F86D49">
        <w:rPr>
          <w:rFonts w:cs="Arial"/>
        </w:rPr>
        <w:t>.</w:t>
      </w:r>
    </w:p>
    <w:p w14:paraId="4CC168DD" w14:textId="23C36B95" w:rsidR="0047634A" w:rsidRDefault="0002490C" w:rsidP="00D5089F">
      <w:pPr>
        <w:rPr>
          <w:rFonts w:cs="Arial"/>
        </w:rPr>
      </w:pPr>
      <w:r>
        <w:rPr>
          <w:rFonts w:cs="Arial"/>
        </w:rPr>
        <w:lastRenderedPageBreak/>
        <w:t>Further to the commitment made in the Government Response to the Interim report</w:t>
      </w:r>
      <w:r w:rsidR="00DD5B20">
        <w:rPr>
          <w:rFonts w:cs="Arial"/>
        </w:rPr>
        <w:t xml:space="preserve"> </w:t>
      </w:r>
      <w:r w:rsidR="00FB08E1" w:rsidRPr="005A1FF6">
        <w:rPr>
          <w:rFonts w:cs="Arial"/>
          <w:i/>
        </w:rPr>
        <w:t>Protecting Australians from the threat of Asbestos</w:t>
      </w:r>
      <w:r w:rsidRPr="00FB08E1">
        <w:rPr>
          <w:rFonts w:cs="Arial"/>
        </w:rPr>
        <w:t>, r</w:t>
      </w:r>
      <w:r w:rsidR="00585466" w:rsidRPr="00FB08E1">
        <w:rPr>
          <w:rFonts w:cs="Arial"/>
        </w:rPr>
        <w:t xml:space="preserve">esearch </w:t>
      </w:r>
      <w:r w:rsidRPr="00FB08E1">
        <w:rPr>
          <w:rFonts w:cs="Arial"/>
        </w:rPr>
        <w:t xml:space="preserve">has </w:t>
      </w:r>
      <w:r w:rsidR="00585466" w:rsidRPr="00FB08E1">
        <w:rPr>
          <w:rFonts w:cs="Arial"/>
        </w:rPr>
        <w:t>indicated that f</w:t>
      </w:r>
      <w:r w:rsidR="00764333" w:rsidRPr="00FB08E1">
        <w:rPr>
          <w:rFonts w:cs="Arial"/>
        </w:rPr>
        <w:t>ew countries have stricter controls on asbestos importation than Australia</w:t>
      </w:r>
      <w:r w:rsidR="00DB37AA" w:rsidRPr="00FB08E1">
        <w:rPr>
          <w:rFonts w:cs="Arial"/>
        </w:rPr>
        <w:t xml:space="preserve">, including </w:t>
      </w:r>
      <w:r w:rsidR="004F141C">
        <w:rPr>
          <w:rFonts w:cs="Arial"/>
        </w:rPr>
        <w:t xml:space="preserve">countries in </w:t>
      </w:r>
      <w:r w:rsidR="00DB37AA" w:rsidRPr="00FB08E1">
        <w:rPr>
          <w:rFonts w:cs="Arial"/>
        </w:rPr>
        <w:t>the European</w:t>
      </w:r>
      <w:r w:rsidR="00DB37AA">
        <w:rPr>
          <w:rFonts w:cs="Arial"/>
        </w:rPr>
        <w:t xml:space="preserve"> Union</w:t>
      </w:r>
      <w:r w:rsidR="00764333">
        <w:rPr>
          <w:rFonts w:cs="Arial"/>
        </w:rPr>
        <w:t>.</w:t>
      </w:r>
    </w:p>
    <w:p w14:paraId="369DBC01" w14:textId="77777777" w:rsidR="00D5089F" w:rsidRPr="003C5E64" w:rsidRDefault="00D5089F">
      <w:pPr>
        <w:pStyle w:val="Heading2"/>
      </w:pPr>
      <w:r w:rsidRPr="003C5E64">
        <w:t>Recommendation 6</w:t>
      </w:r>
    </w:p>
    <w:p w14:paraId="100D3C45" w14:textId="2A752A9F" w:rsidR="006D4726" w:rsidRPr="00FB7C4E" w:rsidRDefault="006D4726" w:rsidP="00FB7C4E">
      <w:pPr>
        <w:rPr>
          <w:rFonts w:cstheme="minorHAnsi"/>
          <w:bCs/>
          <w:i/>
        </w:rPr>
      </w:pPr>
      <w:r w:rsidRPr="00FB7C4E">
        <w:rPr>
          <w:rFonts w:cstheme="minorHAnsi"/>
          <w:bCs/>
          <w:i/>
        </w:rPr>
        <w:t>The committee recommends that the Building Ministers' Forum give further consideration to introduce a nationally consistent approach that increases accountability for participants across the supply chain. Specifically, the committee recommends that other states and territories pass legislation similar to Queensland's Building and Construction Legislation (Non-conforming Building Products—Chain of Responsibility and Other Matters) Amendment Act 2017.</w:t>
      </w:r>
    </w:p>
    <w:p w14:paraId="2887555F" w14:textId="469DEFDA" w:rsidR="00C040F1" w:rsidRPr="00C040F1" w:rsidRDefault="00D5089F">
      <w:pPr>
        <w:pStyle w:val="Heading3"/>
      </w:pPr>
      <w:r w:rsidRPr="00D5089F">
        <w:t>Response –</w:t>
      </w:r>
      <w:r>
        <w:t xml:space="preserve"> </w:t>
      </w:r>
      <w:r w:rsidR="006D4726">
        <w:t>Supported</w:t>
      </w:r>
    </w:p>
    <w:p w14:paraId="4B22CB0B" w14:textId="08FEEBAB" w:rsidR="00A8632F" w:rsidRPr="007617E7" w:rsidRDefault="006D4726" w:rsidP="005A1FF6">
      <w:pPr>
        <w:spacing w:before="0" w:after="160" w:line="259" w:lineRule="auto"/>
        <w:rPr>
          <w:rFonts w:cstheme="minorHAnsi"/>
          <w:bCs/>
        </w:rPr>
      </w:pPr>
      <w:r w:rsidRPr="004179A0">
        <w:rPr>
          <w:rFonts w:cstheme="minorHAnsi"/>
          <w:bCs/>
        </w:rPr>
        <w:t xml:space="preserve">The Australian Government supports </w:t>
      </w:r>
      <w:r w:rsidR="0002490C">
        <w:rPr>
          <w:rFonts w:cstheme="minorHAnsi"/>
          <w:bCs/>
        </w:rPr>
        <w:t xml:space="preserve">the national principles to </w:t>
      </w:r>
      <w:r w:rsidR="001C4CC6">
        <w:rPr>
          <w:rFonts w:cstheme="minorHAnsi"/>
          <w:bCs/>
        </w:rPr>
        <w:t>improve accountab</w:t>
      </w:r>
      <w:r w:rsidR="001C4CC6" w:rsidRPr="004179A0">
        <w:rPr>
          <w:rFonts w:cstheme="minorHAnsi"/>
          <w:bCs/>
        </w:rPr>
        <w:t>ility across the building supply chain</w:t>
      </w:r>
      <w:r w:rsidR="0002490C">
        <w:rPr>
          <w:rFonts w:cstheme="minorHAnsi"/>
          <w:bCs/>
        </w:rPr>
        <w:t xml:space="preserve"> adopted by the BMF and reflected in Queensland’s </w:t>
      </w:r>
      <w:r w:rsidR="0002490C" w:rsidRPr="0077794F">
        <w:rPr>
          <w:rFonts w:cstheme="minorHAnsi"/>
          <w:i/>
        </w:rPr>
        <w:t xml:space="preserve">Building and Construction Legislation (Non-conforming Building Products- Chain of Responsibility and Other </w:t>
      </w:r>
      <w:r w:rsidR="0002490C" w:rsidRPr="007617E7">
        <w:rPr>
          <w:rFonts w:cstheme="minorHAnsi"/>
          <w:i/>
        </w:rPr>
        <w:t>Matters) Amendment Act 2017 (Qld)</w:t>
      </w:r>
      <w:r w:rsidR="001C4CC6" w:rsidRPr="007617E7">
        <w:rPr>
          <w:rFonts w:cstheme="minorHAnsi"/>
          <w:bCs/>
        </w:rPr>
        <w:t xml:space="preserve">. </w:t>
      </w:r>
      <w:r w:rsidR="0002490C" w:rsidRPr="007617E7">
        <w:rPr>
          <w:rFonts w:cstheme="minorHAnsi"/>
          <w:bCs/>
        </w:rPr>
        <w:t xml:space="preserve">While regulation of the built environment is a matter for states and territories, this legislation is intended to be used by other jurisdictions as a model to be either adopted in full or </w:t>
      </w:r>
      <w:r w:rsidR="00CB614A">
        <w:rPr>
          <w:rFonts w:cstheme="minorHAnsi"/>
          <w:bCs/>
        </w:rPr>
        <w:t>modified</w:t>
      </w:r>
      <w:r w:rsidR="00CB614A" w:rsidRPr="007617E7">
        <w:rPr>
          <w:rFonts w:cstheme="minorHAnsi"/>
          <w:bCs/>
        </w:rPr>
        <w:t xml:space="preserve"> </w:t>
      </w:r>
      <w:r w:rsidR="0002490C" w:rsidRPr="007617E7">
        <w:rPr>
          <w:rFonts w:cstheme="minorHAnsi"/>
          <w:bCs/>
        </w:rPr>
        <w:t xml:space="preserve">as appropriate to accommodate their existing regulatory </w:t>
      </w:r>
      <w:r w:rsidR="00CB614A">
        <w:rPr>
          <w:rFonts w:cstheme="minorHAnsi"/>
          <w:bCs/>
        </w:rPr>
        <w:t>framework</w:t>
      </w:r>
      <w:r w:rsidR="0002490C" w:rsidRPr="007617E7">
        <w:rPr>
          <w:rFonts w:cstheme="minorHAnsi"/>
          <w:bCs/>
        </w:rPr>
        <w:t>.</w:t>
      </w:r>
    </w:p>
    <w:p w14:paraId="7D940DB4" w14:textId="5B3A83D0" w:rsidR="006E3CE8" w:rsidRPr="007617E7" w:rsidRDefault="005A1FF6" w:rsidP="005A1FF6">
      <w:pPr>
        <w:spacing w:before="0" w:after="160" w:line="259" w:lineRule="auto"/>
        <w:rPr>
          <w:rFonts w:cstheme="minorHAnsi"/>
          <w:bCs/>
        </w:rPr>
      </w:pPr>
      <w:r>
        <w:rPr>
          <w:rFonts w:cstheme="minorHAnsi"/>
          <w:bCs/>
        </w:rPr>
        <w:t xml:space="preserve">In addition, many of </w:t>
      </w:r>
      <w:r w:rsidR="00032B9D" w:rsidRPr="007617E7">
        <w:rPr>
          <w:rFonts w:cstheme="minorHAnsi"/>
          <w:bCs/>
        </w:rPr>
        <w:t xml:space="preserve">the </w:t>
      </w:r>
      <w:r w:rsidR="00032B9D" w:rsidRPr="00FB7C4E">
        <w:rPr>
          <w:rFonts w:cstheme="minorHAnsi"/>
          <w:bCs/>
          <w:i/>
        </w:rPr>
        <w:t>Building Confidence</w:t>
      </w:r>
      <w:r w:rsidR="00032B9D" w:rsidRPr="007617E7">
        <w:rPr>
          <w:rFonts w:cstheme="minorHAnsi"/>
          <w:bCs/>
        </w:rPr>
        <w:t xml:space="preserve"> </w:t>
      </w:r>
      <w:r w:rsidR="00E71593">
        <w:rPr>
          <w:rFonts w:cstheme="minorHAnsi"/>
          <w:bCs/>
        </w:rPr>
        <w:t>r</w:t>
      </w:r>
      <w:r w:rsidR="00032B9D" w:rsidRPr="007617E7">
        <w:rPr>
          <w:rFonts w:cstheme="minorHAnsi"/>
          <w:bCs/>
        </w:rPr>
        <w:t>eport’s recommendations</w:t>
      </w:r>
      <w:r w:rsidR="0002490C" w:rsidRPr="007617E7">
        <w:rPr>
          <w:rFonts w:cstheme="minorHAnsi"/>
          <w:bCs/>
        </w:rPr>
        <w:t xml:space="preserve">, including those </w:t>
      </w:r>
      <w:r w:rsidR="00032B9D" w:rsidRPr="007617E7">
        <w:rPr>
          <w:rFonts w:cstheme="minorHAnsi"/>
          <w:bCs/>
        </w:rPr>
        <w:t xml:space="preserve">designed to increase accountability across </w:t>
      </w:r>
      <w:r w:rsidR="007D6B50" w:rsidRPr="007617E7">
        <w:rPr>
          <w:rFonts w:cstheme="minorHAnsi"/>
          <w:bCs/>
        </w:rPr>
        <w:t xml:space="preserve">a greater range of building practitioners and </w:t>
      </w:r>
      <w:r w:rsidR="00032B9D" w:rsidRPr="007617E7">
        <w:rPr>
          <w:rFonts w:cstheme="minorHAnsi"/>
          <w:bCs/>
        </w:rPr>
        <w:t>t</w:t>
      </w:r>
      <w:r w:rsidR="007D6B50" w:rsidRPr="007617E7">
        <w:rPr>
          <w:rFonts w:cstheme="minorHAnsi"/>
          <w:bCs/>
        </w:rPr>
        <w:t>o</w:t>
      </w:r>
      <w:r w:rsidR="007D6B50" w:rsidRPr="005A1FF6">
        <w:rPr>
          <w:rFonts w:cstheme="minorHAnsi"/>
          <w:bCs/>
        </w:rPr>
        <w:t xml:space="preserve"> improve documentation and data collection, </w:t>
      </w:r>
      <w:r w:rsidR="00AB4956">
        <w:rPr>
          <w:rFonts w:cstheme="minorHAnsi"/>
          <w:bCs/>
        </w:rPr>
        <w:t>will</w:t>
      </w:r>
      <w:r w:rsidR="00AB4956" w:rsidRPr="005A1FF6">
        <w:rPr>
          <w:rFonts w:cstheme="minorHAnsi"/>
          <w:bCs/>
        </w:rPr>
        <w:t xml:space="preserve"> </w:t>
      </w:r>
      <w:r w:rsidR="007D6B50" w:rsidRPr="005A1FF6">
        <w:rPr>
          <w:rFonts w:cstheme="minorHAnsi"/>
          <w:bCs/>
        </w:rPr>
        <w:t>help to provide a record of products utilised in construction.</w:t>
      </w:r>
      <w:r w:rsidR="00AB4956">
        <w:rPr>
          <w:rFonts w:cstheme="minorHAnsi"/>
          <w:bCs/>
        </w:rPr>
        <w:t xml:space="preserve"> </w:t>
      </w:r>
      <w:r w:rsidR="0081021A">
        <w:rPr>
          <w:rFonts w:cstheme="minorHAnsi"/>
          <w:bCs/>
        </w:rPr>
        <w:t xml:space="preserve">Relevant </w:t>
      </w:r>
      <w:r w:rsidR="0081021A" w:rsidRPr="0081021A">
        <w:rPr>
          <w:rFonts w:cstheme="minorHAnsi"/>
          <w:bCs/>
          <w:i/>
        </w:rPr>
        <w:t xml:space="preserve">Building Confidence </w:t>
      </w:r>
      <w:r w:rsidR="0081021A">
        <w:rPr>
          <w:rFonts w:cstheme="minorHAnsi"/>
          <w:bCs/>
        </w:rPr>
        <w:t xml:space="preserve">report </w:t>
      </w:r>
      <w:r w:rsidR="00AB4956">
        <w:rPr>
          <w:rFonts w:cstheme="minorHAnsi"/>
          <w:bCs/>
        </w:rPr>
        <w:t xml:space="preserve">recommendations are now being progressed through a </w:t>
      </w:r>
      <w:r w:rsidR="00AB4956">
        <w:t xml:space="preserve">national approach to the implementation of the </w:t>
      </w:r>
      <w:r w:rsidR="00AB4956" w:rsidRPr="00AB4956">
        <w:rPr>
          <w:i/>
        </w:rPr>
        <w:t>Building Confidence</w:t>
      </w:r>
      <w:r w:rsidR="00AB4956">
        <w:t xml:space="preserve"> report, as agreed by all Building Ministers’</w:t>
      </w:r>
      <w:r w:rsidR="00AB4956">
        <w:rPr>
          <w:rFonts w:cstheme="minorHAnsi"/>
        </w:rPr>
        <w:t xml:space="preserve"> on 18 July 2019.</w:t>
      </w:r>
    </w:p>
    <w:p w14:paraId="0B6659A6" w14:textId="6E2AEAC6" w:rsidR="00D5089F" w:rsidRPr="00AA3DE9" w:rsidRDefault="00D5089F" w:rsidP="00100569">
      <w:pPr>
        <w:pStyle w:val="Heading2"/>
      </w:pPr>
      <w:r w:rsidRPr="007617E7">
        <w:t>Recommendation 7</w:t>
      </w:r>
    </w:p>
    <w:p w14:paraId="7089EAE0" w14:textId="1C263CCD" w:rsidR="00D5089F" w:rsidRPr="006D4726" w:rsidRDefault="006D4726" w:rsidP="00D5089F">
      <w:pPr>
        <w:rPr>
          <w:i/>
        </w:rPr>
      </w:pPr>
      <w:r w:rsidRPr="006D4726">
        <w:rPr>
          <w:rFonts w:cstheme="minorHAnsi"/>
          <w:i/>
        </w:rPr>
        <w:t>The committee recommends that the Australian Government work with state and territory governments to establish a national licensing scheme, with requirements for continued professional development for all building practitioners</w:t>
      </w:r>
      <w:r w:rsidR="00D5089F" w:rsidRPr="006D4726">
        <w:rPr>
          <w:i/>
        </w:rPr>
        <w:t>.</w:t>
      </w:r>
    </w:p>
    <w:p w14:paraId="76048EB4" w14:textId="2C420038" w:rsidR="00D5089F" w:rsidRPr="00D5089F" w:rsidRDefault="00D5089F" w:rsidP="00BE07C4">
      <w:pPr>
        <w:pStyle w:val="Heading3"/>
      </w:pPr>
      <w:r w:rsidRPr="00D5089F">
        <w:t>Response –</w:t>
      </w:r>
      <w:r>
        <w:t xml:space="preserve"> </w:t>
      </w:r>
      <w:r w:rsidR="006D4726">
        <w:t>Noted</w:t>
      </w:r>
    </w:p>
    <w:p w14:paraId="14262819" w14:textId="6EDFAC5C" w:rsidR="006D4726" w:rsidRPr="00537727" w:rsidRDefault="006D4726" w:rsidP="006D4726">
      <w:pPr>
        <w:rPr>
          <w:rFonts w:cstheme="minorHAnsi"/>
        </w:rPr>
      </w:pPr>
      <w:r w:rsidRPr="00537727">
        <w:rPr>
          <w:rFonts w:cstheme="minorHAnsi"/>
        </w:rPr>
        <w:t>The Australia</w:t>
      </w:r>
      <w:r>
        <w:rPr>
          <w:rFonts w:cstheme="minorHAnsi"/>
        </w:rPr>
        <w:t xml:space="preserve">n Government is supportive of measures to </w:t>
      </w:r>
      <w:r w:rsidR="00E06DC9">
        <w:rPr>
          <w:rFonts w:cstheme="minorHAnsi"/>
        </w:rPr>
        <w:t xml:space="preserve">promote </w:t>
      </w:r>
      <w:r>
        <w:rPr>
          <w:rFonts w:cstheme="minorHAnsi"/>
        </w:rPr>
        <w:t>mobility and ali</w:t>
      </w:r>
      <w:r w:rsidRPr="00537727">
        <w:rPr>
          <w:rFonts w:cstheme="minorHAnsi"/>
        </w:rPr>
        <w:t>gnment of regulation across juri</w:t>
      </w:r>
      <w:r>
        <w:rPr>
          <w:rFonts w:cstheme="minorHAnsi"/>
        </w:rPr>
        <w:t xml:space="preserve">sdictions, </w:t>
      </w:r>
      <w:r w:rsidR="003244C4">
        <w:rPr>
          <w:rFonts w:cstheme="minorHAnsi"/>
        </w:rPr>
        <w:t>noting that</w:t>
      </w:r>
      <w:r>
        <w:rPr>
          <w:rFonts w:cstheme="minorHAnsi"/>
        </w:rPr>
        <w:t xml:space="preserve"> occupational </w:t>
      </w:r>
      <w:r w:rsidRPr="00537727">
        <w:rPr>
          <w:rFonts w:cstheme="minorHAnsi"/>
        </w:rPr>
        <w:t xml:space="preserve">licensing is the responsibility of </w:t>
      </w:r>
      <w:r w:rsidR="00F75A53">
        <w:rPr>
          <w:rFonts w:cstheme="minorHAnsi"/>
        </w:rPr>
        <w:t xml:space="preserve">the </w:t>
      </w:r>
      <w:r w:rsidRPr="00537727">
        <w:rPr>
          <w:rFonts w:cstheme="minorHAnsi"/>
        </w:rPr>
        <w:t>states and territories.</w:t>
      </w:r>
    </w:p>
    <w:p w14:paraId="16DCF3BE" w14:textId="15E4318C" w:rsidR="006D4726" w:rsidRPr="00537727" w:rsidRDefault="006D4726" w:rsidP="006D4726">
      <w:pPr>
        <w:rPr>
          <w:rFonts w:cstheme="minorHAnsi"/>
        </w:rPr>
      </w:pPr>
      <w:r>
        <w:rPr>
          <w:rFonts w:cstheme="minorHAnsi"/>
        </w:rPr>
        <w:t>A consistent occupational licens</w:t>
      </w:r>
      <w:r w:rsidRPr="00537727">
        <w:rPr>
          <w:rFonts w:cstheme="minorHAnsi"/>
        </w:rPr>
        <w:t>ing scheme across ju</w:t>
      </w:r>
      <w:r>
        <w:rPr>
          <w:rFonts w:cstheme="minorHAnsi"/>
        </w:rPr>
        <w:t>risdictions has been previously cons</w:t>
      </w:r>
      <w:r w:rsidRPr="00537727">
        <w:rPr>
          <w:rFonts w:cstheme="minorHAnsi"/>
        </w:rPr>
        <w:t>idered by the Council of Australian Governments</w:t>
      </w:r>
      <w:r>
        <w:rPr>
          <w:rFonts w:cstheme="minorHAnsi"/>
        </w:rPr>
        <w:t xml:space="preserve"> (COAG</w:t>
      </w:r>
      <w:r w:rsidR="003244C4">
        <w:rPr>
          <w:rFonts w:cstheme="minorHAnsi"/>
        </w:rPr>
        <w:t>).</w:t>
      </w:r>
      <w:r w:rsidRPr="00537727">
        <w:rPr>
          <w:rFonts w:cstheme="minorHAnsi"/>
        </w:rPr>
        <w:t xml:space="preserve"> C</w:t>
      </w:r>
      <w:r>
        <w:rPr>
          <w:rFonts w:cstheme="minorHAnsi"/>
        </w:rPr>
        <w:t xml:space="preserve">OAG </w:t>
      </w:r>
      <w:r w:rsidR="003244C4">
        <w:rPr>
          <w:rFonts w:cstheme="minorHAnsi"/>
        </w:rPr>
        <w:t xml:space="preserve">agreed in 2013 that </w:t>
      </w:r>
      <w:r>
        <w:rPr>
          <w:rFonts w:cstheme="minorHAnsi"/>
        </w:rPr>
        <w:t xml:space="preserve">occupational licensing </w:t>
      </w:r>
      <w:r w:rsidRPr="00537727">
        <w:rPr>
          <w:rFonts w:cstheme="minorHAnsi"/>
        </w:rPr>
        <w:t>would remain a state and territory matter which would be addressed through the Counc</w:t>
      </w:r>
      <w:r>
        <w:rPr>
          <w:rFonts w:cstheme="minorHAnsi"/>
        </w:rPr>
        <w:t xml:space="preserve">il for </w:t>
      </w:r>
      <w:r w:rsidRPr="00537727">
        <w:rPr>
          <w:rFonts w:cstheme="minorHAnsi"/>
        </w:rPr>
        <w:t>the Australi</w:t>
      </w:r>
      <w:r>
        <w:rPr>
          <w:rFonts w:cstheme="minorHAnsi"/>
        </w:rPr>
        <w:t>an Federation. This decision followed extens</w:t>
      </w:r>
      <w:r w:rsidRPr="00537727">
        <w:rPr>
          <w:rFonts w:cstheme="minorHAnsi"/>
        </w:rPr>
        <w:t>ive s</w:t>
      </w:r>
      <w:r>
        <w:rPr>
          <w:rFonts w:cstheme="minorHAnsi"/>
        </w:rPr>
        <w:t xml:space="preserve">tate-based consultation, after </w:t>
      </w:r>
      <w:r w:rsidRPr="00537727">
        <w:rPr>
          <w:rFonts w:cstheme="minorHAnsi"/>
        </w:rPr>
        <w:t>which the majority of states decided not to pursue the</w:t>
      </w:r>
      <w:r>
        <w:rPr>
          <w:rFonts w:cstheme="minorHAnsi"/>
        </w:rPr>
        <w:t xml:space="preserve"> proposed National Occupational Licens</w:t>
      </w:r>
      <w:r w:rsidRPr="00537727">
        <w:rPr>
          <w:rFonts w:cstheme="minorHAnsi"/>
        </w:rPr>
        <w:t>ing Scheme reform.</w:t>
      </w:r>
    </w:p>
    <w:p w14:paraId="5FE597F8" w14:textId="2E225CAC" w:rsidR="002729C1" w:rsidRDefault="00FA2804" w:rsidP="002729C1">
      <w:pPr>
        <w:rPr>
          <w:rFonts w:cstheme="minorHAnsi"/>
        </w:rPr>
      </w:pPr>
      <w:r>
        <w:rPr>
          <w:rFonts w:cstheme="minorHAnsi"/>
        </w:rPr>
        <w:t xml:space="preserve">The </w:t>
      </w:r>
      <w:r w:rsidRPr="007617E7">
        <w:rPr>
          <w:rFonts w:cstheme="minorHAnsi"/>
          <w:i/>
        </w:rPr>
        <w:t>Building Confidence</w:t>
      </w:r>
      <w:r w:rsidRPr="007617E7">
        <w:rPr>
          <w:rFonts w:cstheme="minorHAnsi"/>
        </w:rPr>
        <w:t xml:space="preserve"> report </w:t>
      </w:r>
      <w:r w:rsidR="00AD3041" w:rsidRPr="007617E7">
        <w:rPr>
          <w:rFonts w:cstheme="minorHAnsi"/>
        </w:rPr>
        <w:t xml:space="preserve">recommends </w:t>
      </w:r>
      <w:r w:rsidR="002C4FCF" w:rsidRPr="007617E7">
        <w:rPr>
          <w:rFonts w:cstheme="minorHAnsi"/>
        </w:rPr>
        <w:t xml:space="preserve">implementing </w:t>
      </w:r>
      <w:r w:rsidRPr="007617E7">
        <w:rPr>
          <w:rFonts w:cstheme="minorHAnsi"/>
        </w:rPr>
        <w:t xml:space="preserve">consistent </w:t>
      </w:r>
      <w:r w:rsidR="00AD3041" w:rsidRPr="007617E7">
        <w:rPr>
          <w:rFonts w:cstheme="minorHAnsi"/>
        </w:rPr>
        <w:t xml:space="preserve">scopes of work </w:t>
      </w:r>
      <w:r w:rsidRPr="007617E7">
        <w:rPr>
          <w:rFonts w:cstheme="minorHAnsi"/>
        </w:rPr>
        <w:t xml:space="preserve">and registration </w:t>
      </w:r>
      <w:r w:rsidR="00AD3041" w:rsidRPr="007617E7">
        <w:rPr>
          <w:rFonts w:cstheme="minorHAnsi"/>
        </w:rPr>
        <w:t xml:space="preserve">requirements for various types of </w:t>
      </w:r>
      <w:r w:rsidRPr="007617E7">
        <w:rPr>
          <w:rFonts w:cstheme="minorHAnsi"/>
        </w:rPr>
        <w:t xml:space="preserve">building practitioners, and </w:t>
      </w:r>
      <w:r w:rsidR="00AD3041" w:rsidRPr="007617E7">
        <w:rPr>
          <w:rFonts w:cstheme="minorHAnsi"/>
        </w:rPr>
        <w:t xml:space="preserve">that all jurisdictions introduce a </w:t>
      </w:r>
      <w:r w:rsidRPr="007617E7">
        <w:rPr>
          <w:rFonts w:cstheme="minorHAnsi"/>
        </w:rPr>
        <w:t xml:space="preserve">requirement for continuing professional development across all </w:t>
      </w:r>
      <w:r w:rsidR="00AD3041" w:rsidRPr="007617E7">
        <w:rPr>
          <w:rFonts w:cstheme="minorHAnsi"/>
        </w:rPr>
        <w:t>practitioner types</w:t>
      </w:r>
      <w:r w:rsidRPr="007617E7">
        <w:rPr>
          <w:rFonts w:cstheme="minorHAnsi"/>
        </w:rPr>
        <w:t>.</w:t>
      </w:r>
      <w:r w:rsidR="004662DC">
        <w:rPr>
          <w:rFonts w:cstheme="minorHAnsi"/>
        </w:rPr>
        <w:t xml:space="preserve"> </w:t>
      </w:r>
      <w:r w:rsidR="0081021A">
        <w:rPr>
          <w:rFonts w:cstheme="minorHAnsi"/>
        </w:rPr>
        <w:t xml:space="preserve">These </w:t>
      </w:r>
      <w:r w:rsidR="0081021A" w:rsidRPr="00DF66CB">
        <w:rPr>
          <w:rFonts w:cstheme="minorHAnsi"/>
          <w:bCs/>
          <w:i/>
        </w:rPr>
        <w:t xml:space="preserve">Building Confidence </w:t>
      </w:r>
      <w:r w:rsidR="0081021A">
        <w:rPr>
          <w:rFonts w:cstheme="minorHAnsi"/>
          <w:bCs/>
        </w:rPr>
        <w:t xml:space="preserve">report </w:t>
      </w:r>
      <w:r w:rsidR="004662DC">
        <w:rPr>
          <w:rFonts w:cstheme="minorHAnsi"/>
          <w:bCs/>
        </w:rPr>
        <w:t xml:space="preserve">recommendations are now being progressed through a </w:t>
      </w:r>
      <w:r w:rsidR="004662DC">
        <w:t>national approach, as agreed by all Building Ministers’</w:t>
      </w:r>
      <w:r w:rsidR="004662DC">
        <w:rPr>
          <w:rFonts w:cstheme="minorHAnsi"/>
        </w:rPr>
        <w:t xml:space="preserve"> on 18</w:t>
      </w:r>
      <w:r w:rsidR="0081021A">
        <w:rPr>
          <w:rFonts w:cstheme="minorHAnsi"/>
        </w:rPr>
        <w:t> </w:t>
      </w:r>
      <w:r w:rsidR="004662DC">
        <w:rPr>
          <w:rFonts w:cstheme="minorHAnsi"/>
        </w:rPr>
        <w:t>July 2019.</w:t>
      </w:r>
    </w:p>
    <w:p w14:paraId="25E0CFC3" w14:textId="0603F6EA" w:rsidR="002729C1" w:rsidRDefault="002729C1" w:rsidP="002729C1">
      <w:pPr>
        <w:rPr>
          <w:rFonts w:cstheme="minorHAnsi"/>
        </w:rPr>
      </w:pPr>
      <w:r>
        <w:rPr>
          <w:rFonts w:cstheme="minorHAnsi"/>
        </w:rPr>
        <w:br w:type="page"/>
      </w:r>
    </w:p>
    <w:p w14:paraId="33F9B1D7" w14:textId="774A0B6C" w:rsidR="00D5089F" w:rsidRPr="00AA3DE9" w:rsidRDefault="00D5089F" w:rsidP="00100569">
      <w:pPr>
        <w:pStyle w:val="Heading2"/>
      </w:pPr>
      <w:r w:rsidRPr="003263AA">
        <w:lastRenderedPageBreak/>
        <w:t>Recommendation 8</w:t>
      </w:r>
    </w:p>
    <w:p w14:paraId="0D28470C" w14:textId="77777777" w:rsidR="00D5089F" w:rsidRPr="006D4726" w:rsidRDefault="006D4726" w:rsidP="00D5089F">
      <w:pPr>
        <w:rPr>
          <w:i/>
        </w:rPr>
      </w:pPr>
      <w:r w:rsidRPr="006D4726">
        <w:rPr>
          <w:rFonts w:cstheme="minorHAnsi"/>
          <w:i/>
        </w:rPr>
        <w:t>The committee strongly recommends that the Australian Government consider making all Australian Standards freely available</w:t>
      </w:r>
      <w:r w:rsidR="00D5089F" w:rsidRPr="006D4726">
        <w:rPr>
          <w:i/>
        </w:rPr>
        <w:t>.</w:t>
      </w:r>
    </w:p>
    <w:p w14:paraId="5D3A44D7" w14:textId="637C4AA7" w:rsidR="00D5089F" w:rsidRPr="00BE07C4" w:rsidRDefault="00D5089F" w:rsidP="00BE07C4">
      <w:pPr>
        <w:pStyle w:val="Heading3"/>
      </w:pPr>
      <w:r w:rsidRPr="00BE07C4">
        <w:t xml:space="preserve">Response – </w:t>
      </w:r>
      <w:r w:rsidR="00F1594F">
        <w:t>Noted</w:t>
      </w:r>
    </w:p>
    <w:p w14:paraId="2FB7048E" w14:textId="77777777" w:rsidR="00C5246E" w:rsidRDefault="00C5246E" w:rsidP="00C5246E">
      <w:r>
        <w:t>The Australian Government notes this recommendation.</w:t>
      </w:r>
    </w:p>
    <w:p w14:paraId="1B3681A5" w14:textId="77777777" w:rsidR="00C5246E" w:rsidRDefault="00C5246E" w:rsidP="00C5246E">
      <w:r w:rsidRPr="00E77027">
        <w:t xml:space="preserve">Like most developed economies, the provision of standards in Australia is based on a user pays model which supports the development, maintenance and distribution of current and future standards. </w:t>
      </w:r>
      <w:r>
        <w:t xml:space="preserve">Australian </w:t>
      </w:r>
      <w:r w:rsidRPr="00C93F12">
        <w:t>Standards are developed by Standards Australia, a non</w:t>
      </w:r>
      <w:r w:rsidRPr="00C93F12">
        <w:noBreakHyphen/>
        <w:t xml:space="preserve">government, not-for-profit body. </w:t>
      </w:r>
      <w:r w:rsidRPr="00C5246E">
        <w:t>Industry representatives, government officials and others also volunteer their time to the standards development process.</w:t>
      </w:r>
    </w:p>
    <w:p w14:paraId="15186A6A" w14:textId="16C24218" w:rsidR="00C5246E" w:rsidRDefault="00C5246E" w:rsidP="00C5246E">
      <w:r>
        <w:t xml:space="preserve">The publication and pricing of these standards has, until recently, been governed by a Publishing and Licensing Agreement between Standards Australia and </w:t>
      </w:r>
      <w:r w:rsidRPr="00603F2E">
        <w:t>SAI Global</w:t>
      </w:r>
      <w:r>
        <w:t>.</w:t>
      </w:r>
      <w:r w:rsidDel="00B05B9B">
        <w:t xml:space="preserve"> </w:t>
      </w:r>
      <w:r>
        <w:t>While the</w:t>
      </w:r>
      <w:r w:rsidRPr="004F493B">
        <w:t xml:space="preserve"> Austr</w:t>
      </w:r>
      <w:r>
        <w:t xml:space="preserve">alian Government cannot direct Standards Australia to make changes to its commercial distribution arrangements, </w:t>
      </w:r>
      <w:r w:rsidRPr="004F493B">
        <w:t xml:space="preserve">it </w:t>
      </w:r>
      <w:r w:rsidR="00A242AE">
        <w:t xml:space="preserve">has been </w:t>
      </w:r>
      <w:r w:rsidRPr="00626CF7">
        <w:t xml:space="preserve">made known to </w:t>
      </w:r>
      <w:r>
        <w:t>the organisation</w:t>
      </w:r>
      <w:r w:rsidRPr="00626CF7">
        <w:t xml:space="preserve"> that </w:t>
      </w:r>
      <w:r w:rsidR="00A242AE">
        <w:t>the Government</w:t>
      </w:r>
      <w:r w:rsidRPr="00626CF7">
        <w:t xml:space="preserve"> expects standards delivery to be based on principles of non-exclusive distribution, flexible digital access and competitive pricing. As a result, Standards Australia </w:t>
      </w:r>
      <w:r>
        <w:t>committed to these principles in its Memorandum of Understanding with Government signed in</w:t>
      </w:r>
      <w:r w:rsidR="007F131C">
        <w:t xml:space="preserve"> November 2018.</w:t>
      </w:r>
    </w:p>
    <w:p w14:paraId="64B72552" w14:textId="77777777" w:rsidR="00C5246E" w:rsidRDefault="00C5246E" w:rsidP="00C5246E">
      <w:r>
        <w:t xml:space="preserve">Standards Australia has been exploring a range of options to improve access to users. In February 2019, it moved beyond the exclusive distribution arrangements </w:t>
      </w:r>
      <w:r w:rsidRPr="00313810">
        <w:t>with</w:t>
      </w:r>
      <w:r w:rsidRPr="0095185C">
        <w:t xml:space="preserve"> SAI Global</w:t>
      </w:r>
      <w:r>
        <w:t xml:space="preserve"> it had in place since 2003 – and announced Techstreet as a new service provider. </w:t>
      </w:r>
    </w:p>
    <w:p w14:paraId="611F9932" w14:textId="77777777" w:rsidR="00C5246E" w:rsidRDefault="00C5246E" w:rsidP="00C5246E">
      <w:r>
        <w:t xml:space="preserve">In November 2019, Standards Australia also released a new Distribution and Licensing Policy Framework. The Framework provides for innovation in standards delivery and increased channels to market, allowing more choice in how content is accessed. Over time, the Australian Government expects these changes will see improvements to the price, relevance and reach of Australian Standards. </w:t>
      </w:r>
    </w:p>
    <w:p w14:paraId="14450E46" w14:textId="77777777" w:rsidR="00C5246E" w:rsidRDefault="00C5246E" w:rsidP="00C5246E">
      <w:r>
        <w:t xml:space="preserve">Standards Australia has made a further commitment to seek to provide free access to its content for personal, domestic and household use by 2023. In the meantime, it will consider providing standards to users with a legitimate, non-commercial need on an individual basis. </w:t>
      </w:r>
    </w:p>
    <w:p w14:paraId="0896B66A" w14:textId="3841579D" w:rsidR="00C5246E" w:rsidRDefault="00C5246E" w:rsidP="00C5246E">
      <w:r w:rsidRPr="00626CF7">
        <w:t>Through the Regulatory Impact Analysis process</w:t>
      </w:r>
      <w:r>
        <w:t>,</w:t>
      </w:r>
      <w:r w:rsidRPr="00626CF7">
        <w:t xml:space="preserve"> </w:t>
      </w:r>
      <w:r>
        <w:t>Australian Government</w:t>
      </w:r>
      <w:r w:rsidRPr="00626CF7">
        <w:t xml:space="preserve"> regulators are also encoura</w:t>
      </w:r>
      <w:r>
        <w:t xml:space="preserve">ged to consider making </w:t>
      </w:r>
      <w:r w:rsidRPr="00626CF7">
        <w:t xml:space="preserve">standards </w:t>
      </w:r>
      <w:r>
        <w:t xml:space="preserve">referenced in legislation </w:t>
      </w:r>
      <w:r w:rsidRPr="00626CF7">
        <w:t xml:space="preserve">accessible to the public. </w:t>
      </w:r>
      <w:r>
        <w:t>Standards Australia’s</w:t>
      </w:r>
      <w:r w:rsidRPr="00626CF7">
        <w:t xml:space="preserve"> new distribution arrangements should provide greater opportunities to make these standards more accessible</w:t>
      </w:r>
      <w:r>
        <w:t>.</w:t>
      </w:r>
    </w:p>
    <w:p w14:paraId="016ADA31" w14:textId="0072202F" w:rsidR="006D4726" w:rsidRPr="007617E7" w:rsidRDefault="006D4726" w:rsidP="00C5246E">
      <w:pPr>
        <w:pStyle w:val="Heading2"/>
        <w:spacing w:before="240"/>
      </w:pPr>
      <w:r w:rsidRPr="00FB7C4E">
        <w:t>Recommendation</w:t>
      </w:r>
      <w:r w:rsidRPr="007617E7">
        <w:t xml:space="preserve"> 9</w:t>
      </w:r>
    </w:p>
    <w:p w14:paraId="389D48A2" w14:textId="40F5FA69" w:rsidR="006D4726" w:rsidRPr="00FB7C4E" w:rsidRDefault="006D4726" w:rsidP="00FB7C4E">
      <w:pPr>
        <w:rPr>
          <w:rFonts w:cstheme="minorHAnsi"/>
          <w:i/>
        </w:rPr>
      </w:pPr>
      <w:r w:rsidRPr="00FB7C4E">
        <w:rPr>
          <w:rFonts w:cstheme="minorHAnsi"/>
          <w:i/>
        </w:rPr>
        <w:t xml:space="preserve">The committee recommends that the Australian Government consult with industry stakeholders to determine the feasibility of developing a national database of conforming and non-conforming products. </w:t>
      </w:r>
    </w:p>
    <w:p w14:paraId="119655EF" w14:textId="6CB5AD86" w:rsidR="006D4726" w:rsidRPr="007617E7" w:rsidRDefault="006D4726" w:rsidP="006D4726">
      <w:pPr>
        <w:pStyle w:val="Heading3"/>
      </w:pPr>
      <w:r w:rsidRPr="004C1FCA">
        <w:t xml:space="preserve">Response – </w:t>
      </w:r>
      <w:r w:rsidR="0064679D" w:rsidRPr="004C1FCA">
        <w:t>Not</w:t>
      </w:r>
      <w:r w:rsidR="00C5246E">
        <w:t>ed</w:t>
      </w:r>
    </w:p>
    <w:p w14:paraId="627B940E" w14:textId="0B1650F8" w:rsidR="00F8318A" w:rsidRDefault="00F8318A" w:rsidP="003244C4">
      <w:r w:rsidRPr="00E0227A">
        <w:t xml:space="preserve">The Australian Government </w:t>
      </w:r>
      <w:r w:rsidRPr="003244C4">
        <w:t xml:space="preserve">supports </w:t>
      </w:r>
      <w:r w:rsidR="004C1FCA">
        <w:t xml:space="preserve">continued </w:t>
      </w:r>
      <w:r w:rsidRPr="003244C4">
        <w:t>consult</w:t>
      </w:r>
      <w:r w:rsidR="003244C4">
        <w:t>ation</w:t>
      </w:r>
      <w:r w:rsidRPr="00E0227A">
        <w:t xml:space="preserve"> with industry </w:t>
      </w:r>
      <w:r w:rsidR="003244C4">
        <w:t>on</w:t>
      </w:r>
      <w:r w:rsidRPr="00E0227A">
        <w:t xml:space="preserve"> </w:t>
      </w:r>
      <w:r w:rsidR="004C1FCA">
        <w:t>options for reducing the incidence of non-conforming products, includ</w:t>
      </w:r>
      <w:r w:rsidR="00CB614A">
        <w:t>ing</w:t>
      </w:r>
      <w:r w:rsidR="004C1FCA">
        <w:t xml:space="preserve"> </w:t>
      </w:r>
      <w:r w:rsidRPr="00E0227A">
        <w:t xml:space="preserve">the feasibility of </w:t>
      </w:r>
      <w:r w:rsidRPr="003244C4">
        <w:t xml:space="preserve">the creation and maintenance of </w:t>
      </w:r>
      <w:r w:rsidRPr="00E0227A">
        <w:t>a national database of conforming and non-conforming products.</w:t>
      </w:r>
    </w:p>
    <w:p w14:paraId="1E66D7A0" w14:textId="7690B8B9" w:rsidR="002729C1" w:rsidRDefault="003244C4" w:rsidP="00C5246E">
      <w:r>
        <w:t xml:space="preserve">Previous </w:t>
      </w:r>
      <w:r w:rsidR="002729C1">
        <w:t xml:space="preserve">consultations </w:t>
      </w:r>
      <w:r>
        <w:t>with industry suggest that implementation</w:t>
      </w:r>
      <w:r w:rsidR="00323C1D" w:rsidRPr="00323C1D">
        <w:t xml:space="preserve"> of </w:t>
      </w:r>
      <w:r w:rsidR="00F8318A">
        <w:t xml:space="preserve">such a </w:t>
      </w:r>
      <w:r w:rsidR="004C1FCA">
        <w:t xml:space="preserve">database </w:t>
      </w:r>
      <w:r w:rsidR="00F8318A">
        <w:t>would</w:t>
      </w:r>
      <w:r w:rsidR="00323C1D" w:rsidRPr="00323C1D">
        <w:t xml:space="preserve"> be </w:t>
      </w:r>
      <w:r w:rsidR="00323C1D">
        <w:t xml:space="preserve">impractical and </w:t>
      </w:r>
      <w:r w:rsidR="00323C1D" w:rsidRPr="00323C1D">
        <w:t>cost</w:t>
      </w:r>
      <w:r w:rsidR="004C1FCA">
        <w:t xml:space="preserve">ly to implement, in part due to the large number of building products on the market. </w:t>
      </w:r>
      <w:r w:rsidR="008901E5">
        <w:t>Further, providing a list of conforming and non-conforming building</w:t>
      </w:r>
      <w:r w:rsidR="00CF501F">
        <w:t xml:space="preserve"> products may </w:t>
      </w:r>
      <w:r w:rsidR="004C1FCA">
        <w:t xml:space="preserve">create </w:t>
      </w:r>
      <w:r w:rsidR="001F0A8E">
        <w:t xml:space="preserve">risk </w:t>
      </w:r>
      <w:r w:rsidR="004C1FCA">
        <w:t>to the administrator of the database</w:t>
      </w:r>
      <w:r w:rsidR="00CF501F">
        <w:t xml:space="preserve"> </w:t>
      </w:r>
      <w:r w:rsidR="001F0A8E">
        <w:t xml:space="preserve">and </w:t>
      </w:r>
      <w:r w:rsidR="004C1FCA">
        <w:t>impact upon innovations in</w:t>
      </w:r>
      <w:r w:rsidR="001F0A8E">
        <w:t xml:space="preserve"> </w:t>
      </w:r>
      <w:r w:rsidR="002D21AE">
        <w:t xml:space="preserve">building </w:t>
      </w:r>
      <w:r w:rsidR="001F0A8E">
        <w:t>product</w:t>
      </w:r>
      <w:r w:rsidR="004C1FCA">
        <w:t>s</w:t>
      </w:r>
      <w:r w:rsidR="001F0A8E">
        <w:t>.</w:t>
      </w:r>
      <w:r w:rsidR="002729C1">
        <w:t xml:space="preserve"> There are also s</w:t>
      </w:r>
      <w:r w:rsidR="00F16F91">
        <w:t>everal</w:t>
      </w:r>
      <w:r w:rsidR="002729C1">
        <w:t xml:space="preserve"> publically available product registers that are developed and maintained by industry associations.</w:t>
      </w:r>
      <w:r w:rsidR="002729C1">
        <w:br w:type="page"/>
      </w:r>
    </w:p>
    <w:p w14:paraId="29ECD2BA" w14:textId="2EF20872" w:rsidR="006D4726" w:rsidRDefault="006D4726">
      <w:pPr>
        <w:pStyle w:val="Heading2"/>
      </w:pPr>
      <w:r>
        <w:lastRenderedPageBreak/>
        <w:t>Recommendation 10</w:t>
      </w:r>
    </w:p>
    <w:p w14:paraId="2D11CF99" w14:textId="273FDB09" w:rsidR="006D4726" w:rsidRPr="006D4726" w:rsidRDefault="006D4726" w:rsidP="006D4726">
      <w:pPr>
        <w:rPr>
          <w:rFonts w:cstheme="minorHAnsi"/>
          <w:i/>
        </w:rPr>
      </w:pPr>
      <w:r w:rsidRPr="006D4726">
        <w:rPr>
          <w:rFonts w:cstheme="minorHAnsi"/>
          <w:i/>
        </w:rPr>
        <w:t>The committee gives in-principle support to Recommendation 12 of the Shergold and Weir Report '[t]hat each jurisdiction establishes a building information database that provides a centralised source of building design and construction documentation' so regulators are better placed to identify where non-compliant building products have been installed.</w:t>
      </w:r>
    </w:p>
    <w:p w14:paraId="4A4882F4" w14:textId="345B62E6" w:rsidR="006D4726" w:rsidRPr="00FB7C4E" w:rsidRDefault="00C5246E" w:rsidP="00FB7C4E">
      <w:pPr>
        <w:pStyle w:val="Heading3"/>
      </w:pPr>
      <w:r>
        <w:t>Response – Supported</w:t>
      </w:r>
    </w:p>
    <w:p w14:paraId="26D4C5BB" w14:textId="47EECB52" w:rsidR="00F8318A" w:rsidRDefault="006D4726" w:rsidP="004C1FCA">
      <w:pPr>
        <w:rPr>
          <w:rFonts w:cstheme="minorHAnsi"/>
        </w:rPr>
      </w:pPr>
      <w:r>
        <w:rPr>
          <w:rFonts w:cstheme="minorHAnsi"/>
        </w:rPr>
        <w:t xml:space="preserve">The </w:t>
      </w:r>
      <w:r w:rsidR="00723611">
        <w:rPr>
          <w:rFonts w:cstheme="minorHAnsi"/>
        </w:rPr>
        <w:t xml:space="preserve">Australian </w:t>
      </w:r>
      <w:r>
        <w:rPr>
          <w:rFonts w:cstheme="minorHAnsi"/>
        </w:rPr>
        <w:t>Government notes that the establishment of databases to provide information on building design and construction documentation are matters for</w:t>
      </w:r>
      <w:r w:rsidR="004C1FCA">
        <w:rPr>
          <w:rFonts w:cstheme="minorHAnsi"/>
        </w:rPr>
        <w:t xml:space="preserve"> </w:t>
      </w:r>
      <w:r>
        <w:rPr>
          <w:rFonts w:cstheme="minorHAnsi"/>
        </w:rPr>
        <w:t>State and Territor</w:t>
      </w:r>
      <w:r w:rsidR="004C1FCA">
        <w:rPr>
          <w:rFonts w:cstheme="minorHAnsi"/>
        </w:rPr>
        <w:t>y governments</w:t>
      </w:r>
      <w:r>
        <w:rPr>
          <w:rFonts w:cstheme="minorHAnsi"/>
        </w:rPr>
        <w:t>.</w:t>
      </w:r>
    </w:p>
    <w:p w14:paraId="7C41C7B9" w14:textId="40DEADC4" w:rsidR="004C1FCA" w:rsidRDefault="004C1FCA" w:rsidP="004C1FCA">
      <w:pPr>
        <w:rPr>
          <w:rFonts w:cstheme="minorHAnsi"/>
        </w:rPr>
      </w:pPr>
      <w:r w:rsidRPr="00F1594F">
        <w:rPr>
          <w:rFonts w:cstheme="minorHAnsi"/>
        </w:rPr>
        <w:t xml:space="preserve">The </w:t>
      </w:r>
      <w:r>
        <w:rPr>
          <w:rFonts w:cstheme="minorHAnsi"/>
        </w:rPr>
        <w:t xml:space="preserve">Australian </w:t>
      </w:r>
      <w:r w:rsidRPr="00F1594F">
        <w:rPr>
          <w:rFonts w:cstheme="minorHAnsi"/>
        </w:rPr>
        <w:t xml:space="preserve">Government supports all the recommendations in the </w:t>
      </w:r>
      <w:r w:rsidRPr="00FB7C4E">
        <w:rPr>
          <w:rFonts w:cstheme="minorHAnsi"/>
          <w:i/>
        </w:rPr>
        <w:t>Building Confidence</w:t>
      </w:r>
      <w:r w:rsidRPr="00F1594F">
        <w:rPr>
          <w:rFonts w:cstheme="minorHAnsi"/>
        </w:rPr>
        <w:t xml:space="preserve"> </w:t>
      </w:r>
      <w:r w:rsidR="00287CB4" w:rsidRPr="00F1594F">
        <w:rPr>
          <w:rFonts w:cstheme="minorHAnsi"/>
        </w:rPr>
        <w:t>report</w:t>
      </w:r>
      <w:r>
        <w:rPr>
          <w:rFonts w:cstheme="minorHAnsi"/>
        </w:rPr>
        <w:t>.</w:t>
      </w:r>
      <w:r w:rsidR="00287CB4">
        <w:rPr>
          <w:rFonts w:cstheme="minorHAnsi"/>
        </w:rPr>
        <w:t xml:space="preserve"> </w:t>
      </w:r>
      <w:r w:rsidRPr="00FB7C4E">
        <w:rPr>
          <w:rFonts w:cstheme="minorHAnsi"/>
        </w:rPr>
        <w:t xml:space="preserve">The BMF has agreed </w:t>
      </w:r>
      <w:r w:rsidR="00C26FFA">
        <w:t>a national approach to the implementation of the</w:t>
      </w:r>
      <w:r w:rsidRPr="00FB7C4E">
        <w:rPr>
          <w:rFonts w:cstheme="minorHAnsi"/>
        </w:rPr>
        <w:t xml:space="preserve"> </w:t>
      </w:r>
      <w:r w:rsidRPr="00E06DC9">
        <w:rPr>
          <w:rFonts w:cstheme="minorHAnsi"/>
          <w:i/>
        </w:rPr>
        <w:t>Building Confidence</w:t>
      </w:r>
      <w:r w:rsidRPr="00FB7C4E">
        <w:rPr>
          <w:rFonts w:cstheme="minorHAnsi"/>
        </w:rPr>
        <w:t xml:space="preserve"> </w:t>
      </w:r>
      <w:r w:rsidR="008905A5">
        <w:rPr>
          <w:rFonts w:cstheme="minorHAnsi"/>
        </w:rPr>
        <w:t>r</w:t>
      </w:r>
      <w:r w:rsidRPr="00FB7C4E">
        <w:rPr>
          <w:rFonts w:cstheme="minorHAnsi"/>
        </w:rPr>
        <w:t xml:space="preserve">eport </w:t>
      </w:r>
      <w:r w:rsidR="00C26FFA">
        <w:rPr>
          <w:rFonts w:cstheme="minorHAnsi"/>
        </w:rPr>
        <w:t>recommendations including</w:t>
      </w:r>
      <w:r w:rsidRPr="00FB7C4E">
        <w:rPr>
          <w:rFonts w:cstheme="minorHAnsi"/>
        </w:rPr>
        <w:t xml:space="preserve"> Recommendation 12</w:t>
      </w:r>
      <w:r w:rsidR="00F16F91">
        <w:rPr>
          <w:rFonts w:cstheme="minorHAnsi"/>
        </w:rPr>
        <w:t>.</w:t>
      </w:r>
    </w:p>
    <w:p w14:paraId="0ACC64CD" w14:textId="2AA20DC4" w:rsidR="006D4726" w:rsidRPr="00100569" w:rsidRDefault="006D4726">
      <w:pPr>
        <w:pStyle w:val="Heading2"/>
      </w:pPr>
      <w:r w:rsidRPr="006D4726">
        <w:t>Recommendation 11</w:t>
      </w:r>
    </w:p>
    <w:p w14:paraId="68DF96AC" w14:textId="26C5D6FC" w:rsidR="006D4726" w:rsidRPr="004C1FCA" w:rsidRDefault="006D4726" w:rsidP="006D4726">
      <w:pPr>
        <w:rPr>
          <w:rFonts w:cstheme="minorHAnsi"/>
          <w:i/>
        </w:rPr>
      </w:pPr>
      <w:r w:rsidRPr="004C1FCA">
        <w:rPr>
          <w:rFonts w:cstheme="minorHAnsi"/>
          <w:i/>
        </w:rPr>
        <w:t>The committee recommends the Australian Government consider imposing a penalties regime for non-compliance with the National Construction Code such as revocation of accreditation or a ban from tendering for Commonwealth funded construction work and substantial financial penalties.</w:t>
      </w:r>
    </w:p>
    <w:p w14:paraId="533AE1A7" w14:textId="77777777" w:rsidR="00F45FB5" w:rsidRPr="00FB7C4E" w:rsidRDefault="00F45FB5" w:rsidP="00FB7C4E">
      <w:pPr>
        <w:pStyle w:val="Heading3"/>
      </w:pPr>
      <w:r w:rsidRPr="00FB7C4E">
        <w:t>Response – Noted</w:t>
      </w:r>
    </w:p>
    <w:p w14:paraId="5755843C" w14:textId="609BF5ED" w:rsidR="00F8318A" w:rsidRDefault="00F8318A" w:rsidP="00F45FB5">
      <w:pPr>
        <w:rPr>
          <w:rFonts w:cstheme="minorHAnsi"/>
        </w:rPr>
      </w:pPr>
      <w:r>
        <w:rPr>
          <w:rFonts w:cstheme="minorHAnsi"/>
        </w:rPr>
        <w:t xml:space="preserve">The Australian Government </w:t>
      </w:r>
      <w:r w:rsidR="00484B20">
        <w:rPr>
          <w:rFonts w:cstheme="minorHAnsi"/>
        </w:rPr>
        <w:t>n</w:t>
      </w:r>
      <w:r>
        <w:rPr>
          <w:rFonts w:cstheme="minorHAnsi"/>
        </w:rPr>
        <w:t xml:space="preserve">otes this </w:t>
      </w:r>
      <w:r w:rsidR="00484B20">
        <w:rPr>
          <w:rFonts w:cstheme="minorHAnsi"/>
        </w:rPr>
        <w:t>r</w:t>
      </w:r>
      <w:r>
        <w:rPr>
          <w:rFonts w:cstheme="minorHAnsi"/>
        </w:rPr>
        <w:t xml:space="preserve">ecommendation. </w:t>
      </w:r>
    </w:p>
    <w:p w14:paraId="347D432D" w14:textId="6C3ABA8A" w:rsidR="00C10AB6" w:rsidRPr="004A29D4" w:rsidRDefault="00F45FB5" w:rsidP="00F45FB5">
      <w:pPr>
        <w:rPr>
          <w:rFonts w:cstheme="minorHAnsi"/>
        </w:rPr>
      </w:pPr>
      <w:r w:rsidRPr="004A29D4">
        <w:rPr>
          <w:rFonts w:cstheme="minorHAnsi"/>
        </w:rPr>
        <w:t>State and Territory gove</w:t>
      </w:r>
      <w:r>
        <w:rPr>
          <w:rFonts w:cstheme="minorHAnsi"/>
        </w:rPr>
        <w:t xml:space="preserve">rnments have responsibility for </w:t>
      </w:r>
      <w:r w:rsidRPr="004A29D4">
        <w:rPr>
          <w:rFonts w:cstheme="minorHAnsi"/>
        </w:rPr>
        <w:t>regulating building and construction activities in their respectiv</w:t>
      </w:r>
      <w:r>
        <w:rPr>
          <w:rFonts w:cstheme="minorHAnsi"/>
        </w:rPr>
        <w:t xml:space="preserve">e jurisdictions, which includes </w:t>
      </w:r>
      <w:r w:rsidRPr="004A29D4">
        <w:rPr>
          <w:rFonts w:cstheme="minorHAnsi"/>
        </w:rPr>
        <w:t>penalising non-compliance with the NCC.</w:t>
      </w:r>
      <w:r w:rsidR="00FA0A6E">
        <w:rPr>
          <w:rFonts w:cstheme="minorHAnsi"/>
        </w:rPr>
        <w:t xml:space="preserve"> </w:t>
      </w:r>
      <w:r w:rsidRPr="004A29D4">
        <w:rPr>
          <w:rFonts w:cstheme="minorHAnsi"/>
        </w:rPr>
        <w:t xml:space="preserve">There are constitutional limitations on the extent to which </w:t>
      </w:r>
      <w:r>
        <w:rPr>
          <w:rFonts w:cstheme="minorHAnsi"/>
        </w:rPr>
        <w:t xml:space="preserve">the Australian Government could </w:t>
      </w:r>
      <w:r w:rsidRPr="004A29D4">
        <w:rPr>
          <w:rFonts w:cstheme="minorHAnsi"/>
        </w:rPr>
        <w:t>regulate matters that the NCC deals with.</w:t>
      </w:r>
    </w:p>
    <w:p w14:paraId="27DED357" w14:textId="3401A436" w:rsidR="00895420" w:rsidRDefault="008448FE" w:rsidP="00270168">
      <w:r>
        <w:t>In relation to Commonwealth-funded building work, t</w:t>
      </w:r>
      <w:r w:rsidR="00895420">
        <w:t xml:space="preserve">he </w:t>
      </w:r>
      <w:r w:rsidR="00270168" w:rsidRPr="00100569">
        <w:rPr>
          <w:i/>
        </w:rPr>
        <w:t>Building and Construction Industry (Improving Productivity) Act 2016</w:t>
      </w:r>
      <w:r w:rsidR="00270168">
        <w:t xml:space="preserve"> requires that the </w:t>
      </w:r>
      <w:r w:rsidR="00270168" w:rsidRPr="00100569">
        <w:t xml:space="preserve">Australian Government </w:t>
      </w:r>
      <w:r w:rsidR="00270168">
        <w:t xml:space="preserve">only enter into contracts with </w:t>
      </w:r>
      <w:r w:rsidR="00895420">
        <w:t>build</w:t>
      </w:r>
      <w:r w:rsidR="00270168">
        <w:t>ers</w:t>
      </w:r>
      <w:r w:rsidR="00895420">
        <w:t xml:space="preserve"> </w:t>
      </w:r>
      <w:r w:rsidR="00270168">
        <w:t>accredited under the Australian Government building and construction industry Work Health and Safety</w:t>
      </w:r>
      <w:r w:rsidR="00F16F91">
        <w:t xml:space="preserve"> </w:t>
      </w:r>
      <w:r w:rsidR="00270168">
        <w:t>Accreditation Scheme (the Scheme)</w:t>
      </w:r>
      <w:r w:rsidR="00895420">
        <w:t xml:space="preserve">. </w:t>
      </w:r>
    </w:p>
    <w:p w14:paraId="3B8CFB81" w14:textId="7259C824" w:rsidR="005A428C" w:rsidRDefault="00FA0A6E" w:rsidP="00FA0A6E">
      <w:r>
        <w:t xml:space="preserve">The Federal Safety Commissioner </w:t>
      </w:r>
      <w:r w:rsidR="00270168">
        <w:t xml:space="preserve">administers the Scheme and imposed a condition of accreditation on all accredited companies in January 2017, requiring </w:t>
      </w:r>
      <w:r w:rsidR="00CB614A">
        <w:t>they</w:t>
      </w:r>
      <w:r w:rsidR="00270168">
        <w:t xml:space="preserve"> comply with the NCC performance requirements in relation to buildings</w:t>
      </w:r>
      <w:r w:rsidR="00FF40CD">
        <w:t xml:space="preserve"> </w:t>
      </w:r>
      <w:r w:rsidR="00FF40CD" w:rsidRPr="00FF40CD">
        <w:t>materials</w:t>
      </w:r>
      <w:r w:rsidR="00270168">
        <w:t xml:space="preserve">. </w:t>
      </w:r>
    </w:p>
    <w:p w14:paraId="172EB866" w14:textId="668F7DB0" w:rsidR="00B51BB0" w:rsidRDefault="00270168" w:rsidP="00FA0A6E">
      <w:r>
        <w:t xml:space="preserve">The </w:t>
      </w:r>
      <w:r w:rsidR="00F16F91">
        <w:t>Federal Safety Commissioner</w:t>
      </w:r>
      <w:r>
        <w:t xml:space="preserve"> </w:t>
      </w:r>
      <w:r w:rsidR="00FA0A6E">
        <w:t xml:space="preserve">has the power to suspend or revoke accreditation </w:t>
      </w:r>
      <w:r>
        <w:t>under the Scheme</w:t>
      </w:r>
      <w:r w:rsidR="00FA0A6E">
        <w:t xml:space="preserve">, affecting </w:t>
      </w:r>
      <w:r>
        <w:t xml:space="preserve">a company’s </w:t>
      </w:r>
      <w:r w:rsidR="00FA0A6E">
        <w:t xml:space="preserve">eligibility to enter into contracts for building work funded </w:t>
      </w:r>
      <w:r w:rsidR="005A428C">
        <w:t xml:space="preserve">directly and indirectly </w:t>
      </w:r>
      <w:r w:rsidR="00FA0A6E">
        <w:t>by the Commonwealth or corporate Commonwealth entities.</w:t>
      </w:r>
    </w:p>
    <w:p w14:paraId="117C420D" w14:textId="089DE6BF" w:rsidR="002729C1" w:rsidRDefault="00AC3613" w:rsidP="00F45FB5">
      <w:pPr>
        <w:rPr>
          <w:rFonts w:cstheme="minorHAnsi"/>
        </w:rPr>
      </w:pPr>
      <w:r>
        <w:rPr>
          <w:rFonts w:cstheme="minorHAnsi"/>
        </w:rPr>
        <w:t>T</w:t>
      </w:r>
      <w:r w:rsidR="00895420">
        <w:rPr>
          <w:rFonts w:cstheme="minorHAnsi"/>
        </w:rPr>
        <w:t xml:space="preserve">he </w:t>
      </w:r>
      <w:r w:rsidR="00270168">
        <w:rPr>
          <w:rFonts w:cstheme="minorHAnsi"/>
        </w:rPr>
        <w:t>Scheme</w:t>
      </w:r>
      <w:r w:rsidR="00E34BF4">
        <w:rPr>
          <w:rFonts w:cstheme="minorHAnsi"/>
        </w:rPr>
        <w:t xml:space="preserve"> </w:t>
      </w:r>
      <w:r w:rsidR="00B51BB0">
        <w:rPr>
          <w:rFonts w:cstheme="minorHAnsi"/>
        </w:rPr>
        <w:t xml:space="preserve">also </w:t>
      </w:r>
      <w:r w:rsidR="00E34BF4">
        <w:rPr>
          <w:rFonts w:cstheme="minorHAnsi"/>
        </w:rPr>
        <w:t>applies</w:t>
      </w:r>
      <w:r w:rsidR="007B2379">
        <w:rPr>
          <w:rFonts w:cstheme="minorHAnsi"/>
        </w:rPr>
        <w:t xml:space="preserve"> to </w:t>
      </w:r>
      <w:r w:rsidR="00B51BB0">
        <w:rPr>
          <w:rFonts w:cstheme="minorHAnsi"/>
        </w:rPr>
        <w:t>participants in</w:t>
      </w:r>
      <w:r w:rsidR="00FA0A6E">
        <w:rPr>
          <w:rFonts w:cstheme="minorHAnsi"/>
        </w:rPr>
        <w:t xml:space="preserve"> </w:t>
      </w:r>
      <w:r w:rsidR="007B2379">
        <w:rPr>
          <w:rFonts w:cstheme="minorHAnsi"/>
        </w:rPr>
        <w:t xml:space="preserve">regional grant programs, such as the National Stronger Regions Fund, Community Development Grants, Building Better Regions Fund and the Regional Growth Fund. For projects that reach the legislation’s threshold requirements, </w:t>
      </w:r>
      <w:r w:rsidR="00B51BB0">
        <w:rPr>
          <w:rFonts w:cstheme="minorHAnsi"/>
        </w:rPr>
        <w:t xml:space="preserve">relevant clauses are included in the funding agreements and compliance is </w:t>
      </w:r>
      <w:r w:rsidR="005A428C">
        <w:rPr>
          <w:rFonts w:cstheme="minorHAnsi"/>
        </w:rPr>
        <w:t>required before contracts can be entered into.</w:t>
      </w:r>
    </w:p>
    <w:p w14:paraId="535CDECA" w14:textId="77777777" w:rsidR="002729C1" w:rsidRDefault="002729C1">
      <w:pPr>
        <w:spacing w:before="0" w:after="160" w:line="259" w:lineRule="auto"/>
        <w:rPr>
          <w:rFonts w:cstheme="minorHAnsi"/>
        </w:rPr>
      </w:pPr>
      <w:r>
        <w:rPr>
          <w:rFonts w:cstheme="minorHAnsi"/>
        </w:rPr>
        <w:br w:type="page"/>
      </w:r>
    </w:p>
    <w:p w14:paraId="6F9CFA79" w14:textId="46F11FA2" w:rsidR="00F45FB5" w:rsidRPr="00100569" w:rsidRDefault="00F45FB5">
      <w:pPr>
        <w:pStyle w:val="Heading2"/>
      </w:pPr>
      <w:r w:rsidRPr="00FB7C4E">
        <w:lastRenderedPageBreak/>
        <w:t>Recommendation</w:t>
      </w:r>
      <w:r w:rsidRPr="00100569">
        <w:t xml:space="preserve"> 12</w:t>
      </w:r>
    </w:p>
    <w:p w14:paraId="44614AE0" w14:textId="6737452F" w:rsidR="00F45FB5" w:rsidRPr="00B9455B" w:rsidRDefault="00F45FB5" w:rsidP="00F45FB5">
      <w:pPr>
        <w:rPr>
          <w:rFonts w:cstheme="minorHAnsi"/>
          <w:i/>
        </w:rPr>
      </w:pPr>
      <w:r w:rsidRPr="00B9455B">
        <w:rPr>
          <w:rFonts w:cstheme="minorHAnsi"/>
          <w:i/>
        </w:rPr>
        <w:t>The committee recommends that the Australian Government consider the merits of requiring manufacturers, importers and suppliers to hold mandatory recall insurance for high-risk building products.</w:t>
      </w:r>
    </w:p>
    <w:p w14:paraId="4E6605A6" w14:textId="49E159B3" w:rsidR="00F45FB5" w:rsidRPr="00FB7C4E" w:rsidRDefault="00F45FB5" w:rsidP="00FB7C4E">
      <w:pPr>
        <w:pStyle w:val="Heading3"/>
      </w:pPr>
      <w:r w:rsidRPr="00FB7C4E">
        <w:t>Response – Not supported</w:t>
      </w:r>
    </w:p>
    <w:p w14:paraId="7EDFC095" w14:textId="3E3AF9CC" w:rsidR="00B9455B" w:rsidRDefault="00B9455B" w:rsidP="00F45FB5">
      <w:pPr>
        <w:rPr>
          <w:rFonts w:cs="Arial"/>
        </w:rPr>
      </w:pPr>
      <w:r>
        <w:t>The Governmen</w:t>
      </w:r>
      <w:r w:rsidRPr="00B9455B">
        <w:t xml:space="preserve">t </w:t>
      </w:r>
      <w:r w:rsidRPr="00B9455B">
        <w:rPr>
          <w:bCs/>
        </w:rPr>
        <w:t>does not support</w:t>
      </w:r>
      <w:r w:rsidRPr="00B9455B">
        <w:t xml:space="preserve"> </w:t>
      </w:r>
      <w:r>
        <w:t>this recommendation. Obtaining recall insurance should remain a commercial decision for each business.</w:t>
      </w:r>
    </w:p>
    <w:p w14:paraId="5168ECD2" w14:textId="6147BDC4" w:rsidR="00B00CBE" w:rsidRDefault="005D0CD8" w:rsidP="00F45FB5">
      <w:pPr>
        <w:rPr>
          <w:rFonts w:cstheme="minorHAnsi"/>
          <w:b/>
          <w:i/>
        </w:rPr>
      </w:pPr>
      <w:r w:rsidRPr="009244C2">
        <w:rPr>
          <w:rFonts w:cs="Arial"/>
        </w:rPr>
        <w:t>The Government notes that this recommendation is an adjunct to Recommendation 22</w:t>
      </w:r>
      <w:r>
        <w:rPr>
          <w:rFonts w:cs="Arial"/>
        </w:rPr>
        <w:t xml:space="preserve"> of the Asbestos Interim Report, which recommended that the A</w:t>
      </w:r>
      <w:r w:rsidR="00F16F91">
        <w:rPr>
          <w:rFonts w:cs="Arial"/>
        </w:rPr>
        <w:t xml:space="preserve">ustralian </w:t>
      </w:r>
      <w:r>
        <w:rPr>
          <w:rFonts w:cs="Arial"/>
        </w:rPr>
        <w:t>C</w:t>
      </w:r>
      <w:r w:rsidR="00F16F91">
        <w:rPr>
          <w:rFonts w:cs="Arial"/>
        </w:rPr>
        <w:t xml:space="preserve">ompetition and </w:t>
      </w:r>
      <w:r>
        <w:rPr>
          <w:rFonts w:cs="Arial"/>
        </w:rPr>
        <w:t>C</w:t>
      </w:r>
      <w:r w:rsidR="00F16F91">
        <w:rPr>
          <w:rFonts w:cs="Arial"/>
        </w:rPr>
        <w:t xml:space="preserve">onsumer </w:t>
      </w:r>
      <w:r>
        <w:rPr>
          <w:rFonts w:cs="Arial"/>
        </w:rPr>
        <w:t>C</w:t>
      </w:r>
      <w:r w:rsidR="00F16F91">
        <w:rPr>
          <w:rFonts w:cs="Arial"/>
        </w:rPr>
        <w:t>ommission</w:t>
      </w:r>
      <w:r>
        <w:rPr>
          <w:rFonts w:cs="Arial"/>
        </w:rPr>
        <w:t xml:space="preserve"> conduct compulsory recalls for products with asbestos</w:t>
      </w:r>
      <w:r w:rsidRPr="009244C2">
        <w:rPr>
          <w:rFonts w:cs="Arial"/>
        </w:rPr>
        <w:t>, which the Government also does not support.</w:t>
      </w:r>
    </w:p>
    <w:p w14:paraId="3AF38886" w14:textId="2B575EE6" w:rsidR="00F45FB5" w:rsidRPr="00100569" w:rsidRDefault="00AD54CE" w:rsidP="00FB7C4E">
      <w:pPr>
        <w:pStyle w:val="Heading2"/>
      </w:pPr>
      <w:r w:rsidRPr="00FB7C4E">
        <w:t>Recommendation</w:t>
      </w:r>
      <w:r w:rsidRPr="00100569">
        <w:t xml:space="preserve"> 13</w:t>
      </w:r>
    </w:p>
    <w:p w14:paraId="35C43CE7" w14:textId="054D9F40" w:rsidR="00F45FB5" w:rsidRPr="00B9455B" w:rsidRDefault="00AD54CE" w:rsidP="006D4726">
      <w:pPr>
        <w:rPr>
          <w:rFonts w:cstheme="minorHAnsi"/>
          <w:i/>
        </w:rPr>
      </w:pPr>
      <w:r w:rsidRPr="00B9455B">
        <w:rPr>
          <w:rFonts w:cstheme="minorHAnsi"/>
          <w:i/>
        </w:rPr>
        <w:t>The committee recommends that the Australian Government review the Customs Act 1901 (and other relevant legislation) to address the challenges of enforcing the existing importation of asbestos offence, with the aim to close loopholes and improve the capacity of prosecutors to obtain convictions against entities and individuals importing asbestos. This review should include consideration of increasing the threshold required to use 'mistake of fact' as a legal defence.</w:t>
      </w:r>
    </w:p>
    <w:p w14:paraId="5FCC563C" w14:textId="55DB77EB" w:rsidR="00D105C6" w:rsidRPr="00FB7C4E" w:rsidRDefault="00AD54CE" w:rsidP="00FB7C4E">
      <w:pPr>
        <w:pStyle w:val="Heading3"/>
      </w:pPr>
      <w:r w:rsidRPr="00FB7C4E">
        <w:t xml:space="preserve">Response – Noted </w:t>
      </w:r>
    </w:p>
    <w:p w14:paraId="31319506" w14:textId="7D0CED6A" w:rsidR="00484B20" w:rsidRPr="00484B20" w:rsidRDefault="00484B20" w:rsidP="00484B20">
      <w:pPr>
        <w:rPr>
          <w:rFonts w:cstheme="minorHAnsi"/>
        </w:rPr>
      </w:pPr>
      <w:r w:rsidRPr="00484B20">
        <w:rPr>
          <w:rFonts w:cstheme="minorHAnsi"/>
        </w:rPr>
        <w:t xml:space="preserve">The </w:t>
      </w:r>
      <w:r w:rsidR="00127ADB">
        <w:rPr>
          <w:rFonts w:cstheme="minorHAnsi"/>
        </w:rPr>
        <w:t xml:space="preserve">Australian </w:t>
      </w:r>
      <w:r w:rsidRPr="00484B20">
        <w:rPr>
          <w:rFonts w:cstheme="minorHAnsi"/>
        </w:rPr>
        <w:t>Govern</w:t>
      </w:r>
      <w:r>
        <w:rPr>
          <w:rFonts w:cstheme="minorHAnsi"/>
        </w:rPr>
        <w:t>ment notes this recommendation.</w:t>
      </w:r>
    </w:p>
    <w:p w14:paraId="5E5BDB6B" w14:textId="51E05740" w:rsidR="00484B20" w:rsidRPr="00484B20" w:rsidRDefault="00484B20" w:rsidP="00484B20">
      <w:pPr>
        <w:rPr>
          <w:rFonts w:cstheme="minorHAnsi"/>
        </w:rPr>
      </w:pPr>
      <w:r w:rsidRPr="00484B20">
        <w:rPr>
          <w:rFonts w:cstheme="minorHAnsi"/>
        </w:rPr>
        <w:t xml:space="preserve">Subsequent to the commencement of </w:t>
      </w:r>
      <w:r w:rsidR="00F64FA9">
        <w:rPr>
          <w:rFonts w:cstheme="minorHAnsi"/>
        </w:rPr>
        <w:t>this</w:t>
      </w:r>
      <w:r w:rsidRPr="00484B20">
        <w:rPr>
          <w:rFonts w:cstheme="minorHAnsi"/>
        </w:rPr>
        <w:t xml:space="preserve"> Inquiry, the Department of Home Affairs</w:t>
      </w:r>
      <w:r w:rsidR="001E7F0F">
        <w:rPr>
          <w:rFonts w:cstheme="minorHAnsi"/>
        </w:rPr>
        <w:t xml:space="preserve"> (</w:t>
      </w:r>
      <w:r w:rsidR="00AD4F13">
        <w:rPr>
          <w:rFonts w:cstheme="minorHAnsi"/>
        </w:rPr>
        <w:t>Home Affairs</w:t>
      </w:r>
      <w:r w:rsidR="001E7F0F">
        <w:rPr>
          <w:rFonts w:cstheme="minorHAnsi"/>
        </w:rPr>
        <w:t>)</w:t>
      </w:r>
      <w:r w:rsidRPr="00484B20">
        <w:rPr>
          <w:rFonts w:cstheme="minorHAnsi"/>
        </w:rPr>
        <w:t xml:space="preserve"> completed a review of offences and penalties for unlawful asbestos importation, including in relation to the mistake of fact defence. This review noted the importance of mistake of fact as a fundamental legal principle with regard to the question of ‘intent’. This review found that creating an amendment to the existing mistake of fact defence provisions to differentiate the treatment of asbestos importation would be at odds with other crimin</w:t>
      </w:r>
      <w:r>
        <w:rPr>
          <w:rFonts w:cstheme="minorHAnsi"/>
        </w:rPr>
        <w:t xml:space="preserve">al law offences in Australia.  </w:t>
      </w:r>
    </w:p>
    <w:p w14:paraId="0E33346D" w14:textId="6A331195" w:rsidR="00484B20" w:rsidRPr="00484B20" w:rsidRDefault="00AD4F13" w:rsidP="00484B20">
      <w:pPr>
        <w:rPr>
          <w:rFonts w:cstheme="minorHAnsi"/>
        </w:rPr>
      </w:pPr>
      <w:r>
        <w:rPr>
          <w:rFonts w:cstheme="minorHAnsi"/>
        </w:rPr>
        <w:t>Homes Affairs</w:t>
      </w:r>
      <w:r w:rsidR="00484B20" w:rsidRPr="00484B20">
        <w:rPr>
          <w:rFonts w:cstheme="minorHAnsi"/>
        </w:rPr>
        <w:t xml:space="preserve"> and the </w:t>
      </w:r>
      <w:r w:rsidR="001E7F0F">
        <w:rPr>
          <w:rFonts w:cstheme="minorHAnsi"/>
        </w:rPr>
        <w:t>ABF</w:t>
      </w:r>
      <w:r w:rsidR="00484B20" w:rsidRPr="00484B20">
        <w:rPr>
          <w:rFonts w:cstheme="minorHAnsi"/>
        </w:rPr>
        <w:t xml:space="preserve"> have continued to work with importers and industry to increase awareness of measures required pre-border to reduce the risk of unlawfully importing asbestos. To successfully utilise the mistake of fact defence, importers are required to demonstrate that they formed a mistaken, but honest and reasonable belief that the goods d</w:t>
      </w:r>
      <w:r>
        <w:rPr>
          <w:rFonts w:cstheme="minorHAnsi"/>
        </w:rPr>
        <w:t>id</w:t>
      </w:r>
      <w:r w:rsidR="00484B20" w:rsidRPr="00484B20">
        <w:rPr>
          <w:rFonts w:cstheme="minorHAnsi"/>
        </w:rPr>
        <w:t xml:space="preserve"> not contain asbestos prior to import. Given the efforts in this space and the level of educational material available, importers may be less likely to</w:t>
      </w:r>
      <w:r w:rsidR="0048361F">
        <w:rPr>
          <w:rFonts w:cstheme="minorHAnsi"/>
        </w:rPr>
        <w:t xml:space="preserve"> be able to</w:t>
      </w:r>
      <w:r w:rsidR="00484B20" w:rsidRPr="00484B20">
        <w:rPr>
          <w:rFonts w:cstheme="minorHAnsi"/>
        </w:rPr>
        <w:t xml:space="preserve"> show that the mistake was reasonable in cases where they only undertake minimal efforts to reduce the risk of asbestos in their supply chain. These ongoing importer education efforts have reinforced that ignorance of the law will not be sufficient to establis</w:t>
      </w:r>
      <w:r w:rsidR="00484B20">
        <w:rPr>
          <w:rFonts w:cstheme="minorHAnsi"/>
        </w:rPr>
        <w:t>h a defence of mistake of fact.</w:t>
      </w:r>
    </w:p>
    <w:p w14:paraId="4A5FFCA4" w14:textId="68FABA5E" w:rsidR="00AD4F13" w:rsidRPr="00881D6E" w:rsidRDefault="00484B20" w:rsidP="006D4726">
      <w:pPr>
        <w:rPr>
          <w:rFonts w:cstheme="minorHAnsi"/>
        </w:rPr>
      </w:pPr>
      <w:r w:rsidRPr="00484B20">
        <w:rPr>
          <w:rFonts w:cstheme="minorHAnsi"/>
        </w:rPr>
        <w:t xml:space="preserve">Additionally, in </w:t>
      </w:r>
      <w:r w:rsidR="00AD4F13">
        <w:rPr>
          <w:rFonts w:cstheme="minorHAnsi"/>
        </w:rPr>
        <w:t>March</w:t>
      </w:r>
      <w:r w:rsidR="00AD4F13" w:rsidRPr="00484B20">
        <w:rPr>
          <w:rFonts w:cstheme="minorHAnsi"/>
        </w:rPr>
        <w:t xml:space="preserve"> </w:t>
      </w:r>
      <w:r w:rsidRPr="00484B20">
        <w:rPr>
          <w:rFonts w:cstheme="minorHAnsi"/>
        </w:rPr>
        <w:t>2019</w:t>
      </w:r>
      <w:r w:rsidR="00AD4F13">
        <w:rPr>
          <w:rFonts w:cstheme="minorHAnsi"/>
        </w:rPr>
        <w:t>,</w:t>
      </w:r>
      <w:r w:rsidRPr="00484B20">
        <w:rPr>
          <w:rFonts w:cstheme="minorHAnsi"/>
        </w:rPr>
        <w:t xml:space="preserve"> Home Affairs </w:t>
      </w:r>
      <w:r w:rsidR="00AD4F13">
        <w:rPr>
          <w:rFonts w:cstheme="minorHAnsi"/>
        </w:rPr>
        <w:t>made</w:t>
      </w:r>
      <w:r w:rsidRPr="00484B20">
        <w:rPr>
          <w:rFonts w:cstheme="minorHAnsi"/>
        </w:rPr>
        <w:t xml:space="preserve"> changes to the Customs Regulation 2015 to </w:t>
      </w:r>
      <w:r w:rsidR="00AD4F13">
        <w:rPr>
          <w:rFonts w:cstheme="minorHAnsi"/>
        </w:rPr>
        <w:t>prescribe</w:t>
      </w:r>
      <w:r w:rsidR="00AD4F13" w:rsidRPr="00484B20">
        <w:rPr>
          <w:rFonts w:cstheme="minorHAnsi"/>
        </w:rPr>
        <w:t xml:space="preserve"> </w:t>
      </w:r>
      <w:r w:rsidRPr="00484B20">
        <w:rPr>
          <w:rFonts w:cstheme="minorHAnsi"/>
        </w:rPr>
        <w:t>asbestos</w:t>
      </w:r>
      <w:r w:rsidR="00AD4F13">
        <w:rPr>
          <w:rFonts w:cstheme="minorHAnsi"/>
        </w:rPr>
        <w:t>, and goods containing asbestos,</w:t>
      </w:r>
      <w:r w:rsidRPr="00484B20">
        <w:rPr>
          <w:rFonts w:cstheme="minorHAnsi"/>
        </w:rPr>
        <w:t xml:space="preserve"> a</w:t>
      </w:r>
      <w:r w:rsidR="00AD4F13">
        <w:rPr>
          <w:rFonts w:cstheme="minorHAnsi"/>
        </w:rPr>
        <w:t>s</w:t>
      </w:r>
      <w:r w:rsidRPr="00484B20">
        <w:rPr>
          <w:rFonts w:cstheme="minorHAnsi"/>
        </w:rPr>
        <w:t xml:space="preserve"> Tier 1 good</w:t>
      </w:r>
      <w:r w:rsidR="00AD4F13">
        <w:rPr>
          <w:rFonts w:cstheme="minorHAnsi"/>
        </w:rPr>
        <w:t>s</w:t>
      </w:r>
      <w:r w:rsidRPr="00484B20">
        <w:rPr>
          <w:rFonts w:cstheme="minorHAnsi"/>
        </w:rPr>
        <w:t>. This reform will have the practical effect of increasing deterrence of asbestos importation offences by allowing a court to impose a penalty of up to five years imprisonment for asbestos importation</w:t>
      </w:r>
      <w:r w:rsidR="00AD4F13">
        <w:rPr>
          <w:rFonts w:cstheme="minorHAnsi"/>
        </w:rPr>
        <w:t xml:space="preserve"> offences</w:t>
      </w:r>
      <w:r w:rsidRPr="00484B20">
        <w:rPr>
          <w:rFonts w:cstheme="minorHAnsi"/>
        </w:rPr>
        <w:t>.</w:t>
      </w:r>
    </w:p>
    <w:sectPr w:rsidR="00AD4F13" w:rsidRPr="00881D6E" w:rsidSect="00C5246E">
      <w:headerReference w:type="default" r:id="rId14"/>
      <w:footerReference w:type="default" r:id="rId15"/>
      <w:headerReference w:type="first" r:id="rId16"/>
      <w:pgSz w:w="11906" w:h="16838"/>
      <w:pgMar w:top="1134" w:right="1416" w:bottom="993" w:left="1418" w:header="426" w:footer="45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E153FB" w14:textId="77777777" w:rsidR="00855C8A" w:rsidRDefault="00855C8A" w:rsidP="00AA3DE9">
      <w:r>
        <w:separator/>
      </w:r>
    </w:p>
  </w:endnote>
  <w:endnote w:type="continuationSeparator" w:id="0">
    <w:p w14:paraId="41587F38" w14:textId="77777777" w:rsidR="00855C8A" w:rsidRDefault="00855C8A" w:rsidP="00AA3DE9">
      <w:r>
        <w:continuationSeparator/>
      </w:r>
    </w:p>
  </w:endnote>
  <w:endnote w:type="continuationNotice" w:id="1">
    <w:p w14:paraId="7C892D66" w14:textId="77777777" w:rsidR="00855C8A" w:rsidRDefault="00855C8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7236544"/>
      <w:docPartObj>
        <w:docPartGallery w:val="Page Numbers (Bottom of Page)"/>
        <w:docPartUnique/>
      </w:docPartObj>
    </w:sdtPr>
    <w:sdtEndPr/>
    <w:sdtContent>
      <w:sdt>
        <w:sdtPr>
          <w:id w:val="1991289705"/>
          <w:docPartObj>
            <w:docPartGallery w:val="Page Numbers (Top of Page)"/>
            <w:docPartUnique/>
          </w:docPartObj>
        </w:sdtPr>
        <w:sdtEndPr/>
        <w:sdtContent>
          <w:p w14:paraId="19E6F017" w14:textId="77777777" w:rsidR="00855C8A" w:rsidRPr="00404782" w:rsidRDefault="00855C8A" w:rsidP="00AA3DE9">
            <w:pPr>
              <w:pStyle w:val="Footer"/>
              <w:jc w:val="right"/>
            </w:pPr>
            <w:r w:rsidRPr="00404782">
              <w:t xml:space="preserve">Page </w:t>
            </w:r>
            <w:r w:rsidRPr="00404782">
              <w:fldChar w:fldCharType="begin"/>
            </w:r>
            <w:r w:rsidRPr="00404782">
              <w:instrText xml:space="preserve"> PAGE </w:instrText>
            </w:r>
            <w:r w:rsidRPr="00404782">
              <w:fldChar w:fldCharType="separate"/>
            </w:r>
            <w:r w:rsidR="00F05F60">
              <w:rPr>
                <w:noProof/>
              </w:rPr>
              <w:t>2</w:t>
            </w:r>
            <w:r w:rsidRPr="00404782">
              <w:fldChar w:fldCharType="end"/>
            </w:r>
            <w:r w:rsidRPr="00404782">
              <w:t xml:space="preserve"> of </w:t>
            </w:r>
            <w:r>
              <w:rPr>
                <w:noProof/>
              </w:rPr>
              <w:fldChar w:fldCharType="begin"/>
            </w:r>
            <w:r>
              <w:rPr>
                <w:noProof/>
              </w:rPr>
              <w:instrText xml:space="preserve"> NUMPAGES  </w:instrText>
            </w:r>
            <w:r>
              <w:rPr>
                <w:noProof/>
              </w:rPr>
              <w:fldChar w:fldCharType="separate"/>
            </w:r>
            <w:r w:rsidR="00F05F60">
              <w:rPr>
                <w:noProof/>
              </w:rPr>
              <w:t>9</w:t>
            </w:r>
            <w:r>
              <w:rPr>
                <w:noProof/>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EDE201" w14:textId="77777777" w:rsidR="00855C8A" w:rsidRDefault="00855C8A" w:rsidP="00AA3DE9">
      <w:r>
        <w:separator/>
      </w:r>
    </w:p>
  </w:footnote>
  <w:footnote w:type="continuationSeparator" w:id="0">
    <w:p w14:paraId="70086E2D" w14:textId="77777777" w:rsidR="00855C8A" w:rsidRDefault="00855C8A" w:rsidP="00AA3DE9">
      <w:r>
        <w:continuationSeparator/>
      </w:r>
    </w:p>
  </w:footnote>
  <w:footnote w:type="continuationNotice" w:id="1">
    <w:p w14:paraId="1FE387BB" w14:textId="77777777" w:rsidR="00855C8A" w:rsidRDefault="00855C8A">
      <w:pPr>
        <w:spacing w:before="0" w:after="0"/>
      </w:pPr>
    </w:p>
  </w:footnote>
  <w:footnote w:id="2">
    <w:p w14:paraId="679B315B" w14:textId="4EEDF7DB" w:rsidR="004662DC" w:rsidRDefault="00F05F60">
      <w:pPr>
        <w:pStyle w:val="FootnoteText"/>
      </w:pPr>
      <w:hyperlink r:id="rId1" w:tooltip="BMF Communique 18 July 2019" w:history="1">
        <w:r w:rsidR="004662DC" w:rsidRPr="00D53934">
          <w:rPr>
            <w:rStyle w:val="Hyperlink"/>
            <w:vertAlign w:val="superscript"/>
          </w:rPr>
          <w:footnoteRef/>
        </w:r>
        <w:r w:rsidR="004662DC" w:rsidRPr="00D53934">
          <w:rPr>
            <w:rStyle w:val="Hyperlink"/>
          </w:rPr>
          <w:t xml:space="preserve"> https://www.industry.gov.au/sites/default/files/2019-07/bmf-communique-18-july-2019.pdf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93CB98" w14:textId="36B7F5A9" w:rsidR="00855C8A" w:rsidRPr="00BB2CEF" w:rsidRDefault="00855C8A" w:rsidP="003E6001">
    <w:pPr>
      <w:pStyle w:val="Header"/>
      <w:spacing w:before="0" w:after="0"/>
      <w:rPr>
        <w:color w:val="FFFFFF" w:themeColor="background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CC02AF" w14:textId="23B0CD3C" w:rsidR="004F5BDE" w:rsidRDefault="004F5BD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F7399"/>
    <w:multiLevelType w:val="hybridMultilevel"/>
    <w:tmpl w:val="7DFEEA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79C1690"/>
    <w:multiLevelType w:val="hybridMultilevel"/>
    <w:tmpl w:val="853CDA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2F6E75"/>
    <w:multiLevelType w:val="hybridMultilevel"/>
    <w:tmpl w:val="B4F6BDDE"/>
    <w:lvl w:ilvl="0" w:tplc="C77C65D6">
      <w:start w:val="1"/>
      <w:numFmt w:val="decimal"/>
      <w:lvlText w:val="%1."/>
      <w:lvlJc w:val="left"/>
      <w:pPr>
        <w:ind w:left="360" w:hanging="360"/>
      </w:pPr>
    </w:lvl>
    <w:lvl w:ilvl="1" w:tplc="2B2A731A" w:tentative="1">
      <w:start w:val="1"/>
      <w:numFmt w:val="lowerLetter"/>
      <w:lvlText w:val="%2."/>
      <w:lvlJc w:val="left"/>
      <w:pPr>
        <w:ind w:left="1080" w:hanging="360"/>
      </w:pPr>
    </w:lvl>
    <w:lvl w:ilvl="2" w:tplc="2E8C04A2" w:tentative="1">
      <w:start w:val="1"/>
      <w:numFmt w:val="lowerRoman"/>
      <w:lvlText w:val="%3."/>
      <w:lvlJc w:val="right"/>
      <w:pPr>
        <w:ind w:left="1800" w:hanging="180"/>
      </w:pPr>
    </w:lvl>
    <w:lvl w:ilvl="3" w:tplc="1E0E5CEE" w:tentative="1">
      <w:start w:val="1"/>
      <w:numFmt w:val="decimal"/>
      <w:lvlText w:val="%4."/>
      <w:lvlJc w:val="left"/>
      <w:pPr>
        <w:ind w:left="2520" w:hanging="360"/>
      </w:pPr>
    </w:lvl>
    <w:lvl w:ilvl="4" w:tplc="6D000F26" w:tentative="1">
      <w:start w:val="1"/>
      <w:numFmt w:val="lowerLetter"/>
      <w:lvlText w:val="%5."/>
      <w:lvlJc w:val="left"/>
      <w:pPr>
        <w:ind w:left="3240" w:hanging="360"/>
      </w:pPr>
    </w:lvl>
    <w:lvl w:ilvl="5" w:tplc="61C64EE2" w:tentative="1">
      <w:start w:val="1"/>
      <w:numFmt w:val="lowerRoman"/>
      <w:lvlText w:val="%6."/>
      <w:lvlJc w:val="right"/>
      <w:pPr>
        <w:ind w:left="3960" w:hanging="180"/>
      </w:pPr>
    </w:lvl>
    <w:lvl w:ilvl="6" w:tplc="87DA2D78" w:tentative="1">
      <w:start w:val="1"/>
      <w:numFmt w:val="decimal"/>
      <w:lvlText w:val="%7."/>
      <w:lvlJc w:val="left"/>
      <w:pPr>
        <w:ind w:left="4680" w:hanging="360"/>
      </w:pPr>
    </w:lvl>
    <w:lvl w:ilvl="7" w:tplc="C3CE5B30" w:tentative="1">
      <w:start w:val="1"/>
      <w:numFmt w:val="lowerLetter"/>
      <w:lvlText w:val="%8."/>
      <w:lvlJc w:val="left"/>
      <w:pPr>
        <w:ind w:left="5400" w:hanging="360"/>
      </w:pPr>
    </w:lvl>
    <w:lvl w:ilvl="8" w:tplc="A35EFA9E" w:tentative="1">
      <w:start w:val="1"/>
      <w:numFmt w:val="lowerRoman"/>
      <w:lvlText w:val="%9."/>
      <w:lvlJc w:val="right"/>
      <w:pPr>
        <w:ind w:left="6120" w:hanging="180"/>
      </w:pPr>
    </w:lvl>
  </w:abstractNum>
  <w:abstractNum w:abstractNumId="3" w15:restartNumberingAfterBreak="0">
    <w:nsid w:val="0DA365D0"/>
    <w:multiLevelType w:val="hybridMultilevel"/>
    <w:tmpl w:val="35CC550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185A7300"/>
    <w:multiLevelType w:val="hybridMultilevel"/>
    <w:tmpl w:val="330CB088"/>
    <w:lvl w:ilvl="0" w:tplc="B6FE9CFA">
      <w:start w:val="1"/>
      <w:numFmt w:val="bullet"/>
      <w:lvlText w:val=""/>
      <w:lvlJc w:val="left"/>
      <w:pPr>
        <w:ind w:left="360" w:hanging="360"/>
      </w:pPr>
      <w:rPr>
        <w:rFonts w:ascii="Symbol" w:hAnsi="Symbol" w:hint="default"/>
      </w:rPr>
    </w:lvl>
    <w:lvl w:ilvl="1" w:tplc="6A36F10E">
      <w:start w:val="1"/>
      <w:numFmt w:val="bullet"/>
      <w:lvlText w:val="­"/>
      <w:lvlJc w:val="left"/>
      <w:pPr>
        <w:ind w:left="1080" w:hanging="360"/>
      </w:pPr>
      <w:rPr>
        <w:rFonts w:ascii="Courier New" w:hAnsi="Courier New" w:hint="default"/>
      </w:rPr>
    </w:lvl>
    <w:lvl w:ilvl="2" w:tplc="CD0A79D0" w:tentative="1">
      <w:start w:val="1"/>
      <w:numFmt w:val="bullet"/>
      <w:lvlText w:val=""/>
      <w:lvlJc w:val="left"/>
      <w:pPr>
        <w:ind w:left="1800" w:hanging="360"/>
      </w:pPr>
      <w:rPr>
        <w:rFonts w:ascii="Wingdings" w:hAnsi="Wingdings" w:hint="default"/>
      </w:rPr>
    </w:lvl>
    <w:lvl w:ilvl="3" w:tplc="7CE8617C" w:tentative="1">
      <w:start w:val="1"/>
      <w:numFmt w:val="bullet"/>
      <w:lvlText w:val=""/>
      <w:lvlJc w:val="left"/>
      <w:pPr>
        <w:ind w:left="2520" w:hanging="360"/>
      </w:pPr>
      <w:rPr>
        <w:rFonts w:ascii="Symbol" w:hAnsi="Symbol" w:hint="default"/>
      </w:rPr>
    </w:lvl>
    <w:lvl w:ilvl="4" w:tplc="3D30BDAA" w:tentative="1">
      <w:start w:val="1"/>
      <w:numFmt w:val="bullet"/>
      <w:lvlText w:val="o"/>
      <w:lvlJc w:val="left"/>
      <w:pPr>
        <w:ind w:left="3240" w:hanging="360"/>
      </w:pPr>
      <w:rPr>
        <w:rFonts w:ascii="Courier New" w:hAnsi="Courier New" w:cs="Courier New" w:hint="default"/>
      </w:rPr>
    </w:lvl>
    <w:lvl w:ilvl="5" w:tplc="C75CBFC0" w:tentative="1">
      <w:start w:val="1"/>
      <w:numFmt w:val="bullet"/>
      <w:lvlText w:val=""/>
      <w:lvlJc w:val="left"/>
      <w:pPr>
        <w:ind w:left="3960" w:hanging="360"/>
      </w:pPr>
      <w:rPr>
        <w:rFonts w:ascii="Wingdings" w:hAnsi="Wingdings" w:hint="default"/>
      </w:rPr>
    </w:lvl>
    <w:lvl w:ilvl="6" w:tplc="A1D27BAE" w:tentative="1">
      <w:start w:val="1"/>
      <w:numFmt w:val="bullet"/>
      <w:lvlText w:val=""/>
      <w:lvlJc w:val="left"/>
      <w:pPr>
        <w:ind w:left="4680" w:hanging="360"/>
      </w:pPr>
      <w:rPr>
        <w:rFonts w:ascii="Symbol" w:hAnsi="Symbol" w:hint="default"/>
      </w:rPr>
    </w:lvl>
    <w:lvl w:ilvl="7" w:tplc="2E001A3A" w:tentative="1">
      <w:start w:val="1"/>
      <w:numFmt w:val="bullet"/>
      <w:lvlText w:val="o"/>
      <w:lvlJc w:val="left"/>
      <w:pPr>
        <w:ind w:left="5400" w:hanging="360"/>
      </w:pPr>
      <w:rPr>
        <w:rFonts w:ascii="Courier New" w:hAnsi="Courier New" w:cs="Courier New" w:hint="default"/>
      </w:rPr>
    </w:lvl>
    <w:lvl w:ilvl="8" w:tplc="78A82B54" w:tentative="1">
      <w:start w:val="1"/>
      <w:numFmt w:val="bullet"/>
      <w:lvlText w:val=""/>
      <w:lvlJc w:val="left"/>
      <w:pPr>
        <w:ind w:left="6120" w:hanging="360"/>
      </w:pPr>
      <w:rPr>
        <w:rFonts w:ascii="Wingdings" w:hAnsi="Wingdings" w:hint="default"/>
      </w:rPr>
    </w:lvl>
  </w:abstractNum>
  <w:abstractNum w:abstractNumId="5" w15:restartNumberingAfterBreak="0">
    <w:nsid w:val="1E263E36"/>
    <w:multiLevelType w:val="hybridMultilevel"/>
    <w:tmpl w:val="A4D401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31051AE"/>
    <w:multiLevelType w:val="hybridMultilevel"/>
    <w:tmpl w:val="9564A0DE"/>
    <w:lvl w:ilvl="0" w:tplc="0C09000F">
      <w:start w:val="1"/>
      <w:numFmt w:val="decimal"/>
      <w:lvlText w:val="%1."/>
      <w:lvlJc w:val="left"/>
      <w:pPr>
        <w:ind w:left="360" w:hanging="360"/>
      </w:pPr>
      <w:rPr>
        <w:rFonts w:hint="default"/>
      </w:rPr>
    </w:lvl>
    <w:lvl w:ilvl="1" w:tplc="0C09000F">
      <w:start w:val="1"/>
      <w:numFmt w:val="decimal"/>
      <w:lvlText w:val="%2."/>
      <w:lvlJc w:val="left"/>
      <w:pPr>
        <w:ind w:left="1080" w:hanging="360"/>
      </w:pPr>
      <w:rPr>
        <w:rFont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31D5412"/>
    <w:multiLevelType w:val="hybridMultilevel"/>
    <w:tmpl w:val="EBF47E6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2D222671"/>
    <w:multiLevelType w:val="hybridMultilevel"/>
    <w:tmpl w:val="A15CC30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20E6D32"/>
    <w:multiLevelType w:val="hybridMultilevel"/>
    <w:tmpl w:val="9564A0DE"/>
    <w:lvl w:ilvl="0" w:tplc="0C09000F">
      <w:start w:val="1"/>
      <w:numFmt w:val="decimal"/>
      <w:lvlText w:val="%1."/>
      <w:lvlJc w:val="left"/>
      <w:pPr>
        <w:ind w:left="360" w:hanging="360"/>
      </w:pPr>
      <w:rPr>
        <w:rFonts w:hint="default"/>
      </w:rPr>
    </w:lvl>
    <w:lvl w:ilvl="1" w:tplc="0C09000F">
      <w:start w:val="1"/>
      <w:numFmt w:val="decimal"/>
      <w:lvlText w:val="%2."/>
      <w:lvlJc w:val="left"/>
      <w:pPr>
        <w:ind w:left="1080" w:hanging="360"/>
      </w:pPr>
      <w:rPr>
        <w:rFont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9930AF6"/>
    <w:multiLevelType w:val="hybridMultilevel"/>
    <w:tmpl w:val="4D34573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1" w15:restartNumberingAfterBreak="0">
    <w:nsid w:val="4B9A230B"/>
    <w:multiLevelType w:val="hybridMultilevel"/>
    <w:tmpl w:val="404873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1F7481B"/>
    <w:multiLevelType w:val="hybridMultilevel"/>
    <w:tmpl w:val="E744BE2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52490792"/>
    <w:multiLevelType w:val="hybridMultilevel"/>
    <w:tmpl w:val="371EEF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4E11321"/>
    <w:multiLevelType w:val="hybridMultilevel"/>
    <w:tmpl w:val="F7F87EB2"/>
    <w:lvl w:ilvl="0" w:tplc="04685802">
      <w:start w:val="1"/>
      <w:numFmt w:val="bullet"/>
      <w:pStyle w:val="ListParagraph"/>
      <w:lvlText w:val=""/>
      <w:lvlJc w:val="left"/>
      <w:pPr>
        <w:ind w:left="360" w:hanging="360"/>
      </w:pPr>
      <w:rPr>
        <w:rFonts w:ascii="Symbol" w:hAnsi="Symbol" w:hint="default"/>
        <w:sz w:val="2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F2D7F2B"/>
    <w:multiLevelType w:val="hybridMultilevel"/>
    <w:tmpl w:val="CEA6748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FDC3A57"/>
    <w:multiLevelType w:val="hybridMultilevel"/>
    <w:tmpl w:val="BED6B580"/>
    <w:lvl w:ilvl="0" w:tplc="6BAAE786">
      <w:start w:val="1"/>
      <w:numFmt w:val="bullet"/>
      <w:lvlText w:val=""/>
      <w:lvlJc w:val="left"/>
      <w:pPr>
        <w:ind w:left="360" w:hanging="360"/>
      </w:pPr>
      <w:rPr>
        <w:rFonts w:ascii="Symbol" w:hAnsi="Symbol" w:hint="default"/>
        <w:sz w:val="22"/>
      </w:rPr>
    </w:lvl>
    <w:lvl w:ilvl="1" w:tplc="6A36F10E">
      <w:start w:val="1"/>
      <w:numFmt w:val="bullet"/>
      <w:lvlText w:val="­"/>
      <w:lvlJc w:val="left"/>
      <w:pPr>
        <w:ind w:left="1080" w:hanging="360"/>
      </w:pPr>
      <w:rPr>
        <w:rFonts w:ascii="Courier New" w:hAnsi="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633A6B5B"/>
    <w:multiLevelType w:val="hybridMultilevel"/>
    <w:tmpl w:val="35CC550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64167011"/>
    <w:multiLevelType w:val="hybridMultilevel"/>
    <w:tmpl w:val="09A210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5456429"/>
    <w:multiLevelType w:val="multilevel"/>
    <w:tmpl w:val="0576E52C"/>
    <w:lvl w:ilvl="0">
      <w:start w:val="1"/>
      <w:numFmt w:val="decimal"/>
      <w:pStyle w:val="ListNumber"/>
      <w:lvlText w:val="%1."/>
      <w:lvlJc w:val="left"/>
      <w:pPr>
        <w:ind w:left="369" w:hanging="369"/>
      </w:pPr>
      <w:rPr>
        <w:rFonts w:ascii="Times New Roman" w:hAnsi="Times New Roman" w:cs="Times New Roman" w:hint="default"/>
        <w:color w:val="auto"/>
        <w:sz w:val="24"/>
        <w:szCs w:val="24"/>
      </w:rPr>
    </w:lvl>
    <w:lvl w:ilvl="1">
      <w:start w:val="1"/>
      <w:numFmt w:val="lowerLetter"/>
      <w:pStyle w:val="ListNumber2"/>
      <w:lvlText w:val="%2."/>
      <w:lvlJc w:val="left"/>
      <w:pPr>
        <w:ind w:left="738" w:hanging="369"/>
      </w:pPr>
      <w:rPr>
        <w:rFonts w:hint="default"/>
      </w:rPr>
    </w:lvl>
    <w:lvl w:ilvl="2">
      <w:start w:val="1"/>
      <w:numFmt w:val="lowerRoman"/>
      <w:pStyle w:val="ListNumber3"/>
      <w:lvlText w:val="%3."/>
      <w:lvlJc w:val="left"/>
      <w:pPr>
        <w:ind w:left="1107" w:hanging="369"/>
      </w:pPr>
      <w:rPr>
        <w:rFonts w:hint="default"/>
      </w:rPr>
    </w:lvl>
    <w:lvl w:ilvl="3">
      <w:start w:val="1"/>
      <w:numFmt w:val="none"/>
      <w:pStyle w:val="ListNumber4"/>
      <w:lvlText w:val="%4"/>
      <w:lvlJc w:val="left"/>
      <w:pPr>
        <w:ind w:left="1476" w:hanging="369"/>
      </w:pPr>
      <w:rPr>
        <w:rFonts w:hint="default"/>
      </w:rPr>
    </w:lvl>
    <w:lvl w:ilvl="4">
      <w:start w:val="1"/>
      <w:numFmt w:val="none"/>
      <w:pStyle w:val="ListNumber5"/>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20" w15:restartNumberingAfterBreak="0">
    <w:nsid w:val="677821F1"/>
    <w:multiLevelType w:val="hybridMultilevel"/>
    <w:tmpl w:val="9C1A42F2"/>
    <w:lvl w:ilvl="0" w:tplc="0C09000F">
      <w:start w:val="1"/>
      <w:numFmt w:val="decimal"/>
      <w:lvlText w:val="%1."/>
      <w:lvlJc w:val="left"/>
      <w:pPr>
        <w:ind w:left="363" w:hanging="360"/>
      </w:pPr>
    </w:lvl>
    <w:lvl w:ilvl="1" w:tplc="0C090019" w:tentative="1">
      <w:start w:val="1"/>
      <w:numFmt w:val="lowerLetter"/>
      <w:lvlText w:val="%2."/>
      <w:lvlJc w:val="left"/>
      <w:pPr>
        <w:ind w:left="1083" w:hanging="360"/>
      </w:pPr>
    </w:lvl>
    <w:lvl w:ilvl="2" w:tplc="0C09001B" w:tentative="1">
      <w:start w:val="1"/>
      <w:numFmt w:val="lowerRoman"/>
      <w:lvlText w:val="%3."/>
      <w:lvlJc w:val="right"/>
      <w:pPr>
        <w:ind w:left="1803" w:hanging="180"/>
      </w:pPr>
    </w:lvl>
    <w:lvl w:ilvl="3" w:tplc="0C09000F" w:tentative="1">
      <w:start w:val="1"/>
      <w:numFmt w:val="decimal"/>
      <w:lvlText w:val="%4."/>
      <w:lvlJc w:val="left"/>
      <w:pPr>
        <w:ind w:left="2523" w:hanging="360"/>
      </w:pPr>
    </w:lvl>
    <w:lvl w:ilvl="4" w:tplc="0C090019" w:tentative="1">
      <w:start w:val="1"/>
      <w:numFmt w:val="lowerLetter"/>
      <w:lvlText w:val="%5."/>
      <w:lvlJc w:val="left"/>
      <w:pPr>
        <w:ind w:left="3243" w:hanging="360"/>
      </w:pPr>
    </w:lvl>
    <w:lvl w:ilvl="5" w:tplc="0C09001B" w:tentative="1">
      <w:start w:val="1"/>
      <w:numFmt w:val="lowerRoman"/>
      <w:lvlText w:val="%6."/>
      <w:lvlJc w:val="right"/>
      <w:pPr>
        <w:ind w:left="3963" w:hanging="180"/>
      </w:pPr>
    </w:lvl>
    <w:lvl w:ilvl="6" w:tplc="0C09000F" w:tentative="1">
      <w:start w:val="1"/>
      <w:numFmt w:val="decimal"/>
      <w:lvlText w:val="%7."/>
      <w:lvlJc w:val="left"/>
      <w:pPr>
        <w:ind w:left="4683" w:hanging="360"/>
      </w:pPr>
    </w:lvl>
    <w:lvl w:ilvl="7" w:tplc="0C090019" w:tentative="1">
      <w:start w:val="1"/>
      <w:numFmt w:val="lowerLetter"/>
      <w:lvlText w:val="%8."/>
      <w:lvlJc w:val="left"/>
      <w:pPr>
        <w:ind w:left="5403" w:hanging="360"/>
      </w:pPr>
    </w:lvl>
    <w:lvl w:ilvl="8" w:tplc="0C09001B" w:tentative="1">
      <w:start w:val="1"/>
      <w:numFmt w:val="lowerRoman"/>
      <w:lvlText w:val="%9."/>
      <w:lvlJc w:val="right"/>
      <w:pPr>
        <w:ind w:left="6123" w:hanging="180"/>
      </w:pPr>
    </w:lvl>
  </w:abstractNum>
  <w:abstractNum w:abstractNumId="21" w15:restartNumberingAfterBreak="0">
    <w:nsid w:val="6AF743FB"/>
    <w:multiLevelType w:val="hybridMultilevel"/>
    <w:tmpl w:val="5EF41EFA"/>
    <w:lvl w:ilvl="0" w:tplc="D7FA3AFC">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39854E9"/>
    <w:multiLevelType w:val="hybridMultilevel"/>
    <w:tmpl w:val="7E10C54C"/>
    <w:lvl w:ilvl="0" w:tplc="0C090001">
      <w:start w:val="1"/>
      <w:numFmt w:val="bullet"/>
      <w:lvlText w:val=""/>
      <w:lvlJc w:val="left"/>
      <w:pPr>
        <w:ind w:left="360" w:hanging="360"/>
      </w:pPr>
      <w:rPr>
        <w:rFonts w:ascii="Symbol" w:hAnsi="Symbol" w:hint="default"/>
        <w:b/>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3" w15:restartNumberingAfterBreak="0">
    <w:nsid w:val="74610D71"/>
    <w:multiLevelType w:val="hybridMultilevel"/>
    <w:tmpl w:val="B00C52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FD1502F"/>
    <w:multiLevelType w:val="hybridMultilevel"/>
    <w:tmpl w:val="9EA23DB6"/>
    <w:lvl w:ilvl="0" w:tplc="D98A4330">
      <w:start w:val="1"/>
      <w:numFmt w:val="bullet"/>
      <w:lvlText w:val=""/>
      <w:lvlJc w:val="left"/>
      <w:pPr>
        <w:ind w:left="360" w:hanging="360"/>
      </w:pPr>
      <w:rPr>
        <w:rFonts w:ascii="Symbol" w:hAnsi="Symbol" w:hint="default"/>
        <w:sz w:val="22"/>
      </w:rPr>
    </w:lvl>
    <w:lvl w:ilvl="1" w:tplc="0C09000F">
      <w:start w:val="1"/>
      <w:numFmt w:val="decimal"/>
      <w:lvlText w:val="%2."/>
      <w:lvlJc w:val="left"/>
      <w:pPr>
        <w:ind w:left="1080" w:hanging="360"/>
      </w:pPr>
      <w:rPr>
        <w:rFonts w:hint="default"/>
      </w:rPr>
    </w:lvl>
    <w:lvl w:ilvl="2" w:tplc="B9C4466E">
      <w:start w:val="1"/>
      <w:numFmt w:val="bullet"/>
      <w:lvlText w:val=""/>
      <w:lvlJc w:val="left"/>
      <w:pPr>
        <w:ind w:left="1800" w:hanging="360"/>
      </w:pPr>
      <w:rPr>
        <w:rFonts w:ascii="Wingdings" w:hAnsi="Wingdings" w:hint="default"/>
      </w:rPr>
    </w:lvl>
    <w:lvl w:ilvl="3" w:tplc="7298A234" w:tentative="1">
      <w:start w:val="1"/>
      <w:numFmt w:val="bullet"/>
      <w:lvlText w:val=""/>
      <w:lvlJc w:val="left"/>
      <w:pPr>
        <w:ind w:left="2520" w:hanging="360"/>
      </w:pPr>
      <w:rPr>
        <w:rFonts w:ascii="Symbol" w:hAnsi="Symbol" w:hint="default"/>
      </w:rPr>
    </w:lvl>
    <w:lvl w:ilvl="4" w:tplc="578E343C" w:tentative="1">
      <w:start w:val="1"/>
      <w:numFmt w:val="bullet"/>
      <w:lvlText w:val="o"/>
      <w:lvlJc w:val="left"/>
      <w:pPr>
        <w:ind w:left="3240" w:hanging="360"/>
      </w:pPr>
      <w:rPr>
        <w:rFonts w:ascii="Courier New" w:hAnsi="Courier New" w:cs="Courier New" w:hint="default"/>
      </w:rPr>
    </w:lvl>
    <w:lvl w:ilvl="5" w:tplc="2912F362" w:tentative="1">
      <w:start w:val="1"/>
      <w:numFmt w:val="bullet"/>
      <w:lvlText w:val=""/>
      <w:lvlJc w:val="left"/>
      <w:pPr>
        <w:ind w:left="3960" w:hanging="360"/>
      </w:pPr>
      <w:rPr>
        <w:rFonts w:ascii="Wingdings" w:hAnsi="Wingdings" w:hint="default"/>
      </w:rPr>
    </w:lvl>
    <w:lvl w:ilvl="6" w:tplc="8E98E036" w:tentative="1">
      <w:start w:val="1"/>
      <w:numFmt w:val="bullet"/>
      <w:lvlText w:val=""/>
      <w:lvlJc w:val="left"/>
      <w:pPr>
        <w:ind w:left="4680" w:hanging="360"/>
      </w:pPr>
      <w:rPr>
        <w:rFonts w:ascii="Symbol" w:hAnsi="Symbol" w:hint="default"/>
      </w:rPr>
    </w:lvl>
    <w:lvl w:ilvl="7" w:tplc="06DEEAD6" w:tentative="1">
      <w:start w:val="1"/>
      <w:numFmt w:val="bullet"/>
      <w:lvlText w:val="o"/>
      <w:lvlJc w:val="left"/>
      <w:pPr>
        <w:ind w:left="5400" w:hanging="360"/>
      </w:pPr>
      <w:rPr>
        <w:rFonts w:ascii="Courier New" w:hAnsi="Courier New" w:cs="Courier New" w:hint="default"/>
      </w:rPr>
    </w:lvl>
    <w:lvl w:ilvl="8" w:tplc="905C8F5C" w:tentative="1">
      <w:start w:val="1"/>
      <w:numFmt w:val="bullet"/>
      <w:lvlText w:val=""/>
      <w:lvlJc w:val="left"/>
      <w:pPr>
        <w:ind w:left="6120" w:hanging="360"/>
      </w:pPr>
      <w:rPr>
        <w:rFonts w:ascii="Wingdings" w:hAnsi="Wingdings" w:hint="default"/>
      </w:rPr>
    </w:lvl>
  </w:abstractNum>
  <w:num w:numId="1">
    <w:abstractNumId w:val="16"/>
  </w:num>
  <w:num w:numId="2">
    <w:abstractNumId w:val="6"/>
  </w:num>
  <w:num w:numId="3">
    <w:abstractNumId w:val="24"/>
  </w:num>
  <w:num w:numId="4">
    <w:abstractNumId w:val="14"/>
  </w:num>
  <w:num w:numId="5">
    <w:abstractNumId w:val="3"/>
  </w:num>
  <w:num w:numId="6">
    <w:abstractNumId w:val="22"/>
  </w:num>
  <w:num w:numId="7">
    <w:abstractNumId w:val="7"/>
  </w:num>
  <w:num w:numId="8">
    <w:abstractNumId w:val="12"/>
  </w:num>
  <w:num w:numId="9">
    <w:abstractNumId w:val="15"/>
  </w:num>
  <w:num w:numId="10">
    <w:abstractNumId w:val="14"/>
  </w:num>
  <w:num w:numId="11">
    <w:abstractNumId w:val="14"/>
  </w:num>
  <w:num w:numId="12">
    <w:abstractNumId w:val="14"/>
  </w:num>
  <w:num w:numId="13">
    <w:abstractNumId w:val="9"/>
  </w:num>
  <w:num w:numId="14">
    <w:abstractNumId w:val="13"/>
  </w:num>
  <w:num w:numId="15">
    <w:abstractNumId w:val="14"/>
  </w:num>
  <w:num w:numId="16">
    <w:abstractNumId w:val="17"/>
  </w:num>
  <w:num w:numId="17">
    <w:abstractNumId w:val="14"/>
  </w:num>
  <w:num w:numId="18">
    <w:abstractNumId w:val="14"/>
  </w:num>
  <w:num w:numId="19">
    <w:abstractNumId w:val="14"/>
  </w:num>
  <w:num w:numId="20">
    <w:abstractNumId w:val="4"/>
  </w:num>
  <w:num w:numId="21">
    <w:abstractNumId w:val="14"/>
  </w:num>
  <w:num w:numId="22">
    <w:abstractNumId w:val="14"/>
  </w:num>
  <w:num w:numId="23">
    <w:abstractNumId w:val="19"/>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14"/>
  </w:num>
  <w:num w:numId="27">
    <w:abstractNumId w:val="14"/>
  </w:num>
  <w:num w:numId="28">
    <w:abstractNumId w:val="14"/>
  </w:num>
  <w:num w:numId="29">
    <w:abstractNumId w:val="20"/>
  </w:num>
  <w:num w:numId="30">
    <w:abstractNumId w:val="2"/>
  </w:num>
  <w:num w:numId="31">
    <w:abstractNumId w:val="18"/>
  </w:num>
  <w:num w:numId="32">
    <w:abstractNumId w:val="10"/>
  </w:num>
  <w:num w:numId="33">
    <w:abstractNumId w:val="1"/>
  </w:num>
  <w:num w:numId="34">
    <w:abstractNumId w:val="23"/>
  </w:num>
  <w:num w:numId="35">
    <w:abstractNumId w:val="21"/>
  </w:num>
  <w:num w:numId="36">
    <w:abstractNumId w:val="0"/>
  </w:num>
  <w:num w:numId="37">
    <w:abstractNumId w:val="11"/>
  </w:num>
  <w:num w:numId="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defaultTabStop w:val="720"/>
  <w:characterSpacingControl w:val="doNotCompress"/>
  <w:hdrShapeDefaults>
    <o:shapedefaults v:ext="edit" spidmax="1085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7FF"/>
    <w:rsid w:val="000014F3"/>
    <w:rsid w:val="0000302A"/>
    <w:rsid w:val="00007320"/>
    <w:rsid w:val="00007764"/>
    <w:rsid w:val="00007912"/>
    <w:rsid w:val="000133DD"/>
    <w:rsid w:val="0002490C"/>
    <w:rsid w:val="000265AC"/>
    <w:rsid w:val="00030F32"/>
    <w:rsid w:val="00030F45"/>
    <w:rsid w:val="00032B9D"/>
    <w:rsid w:val="000352E8"/>
    <w:rsid w:val="00040082"/>
    <w:rsid w:val="0004194A"/>
    <w:rsid w:val="0004219C"/>
    <w:rsid w:val="00044468"/>
    <w:rsid w:val="0004676C"/>
    <w:rsid w:val="0004695F"/>
    <w:rsid w:val="00047E11"/>
    <w:rsid w:val="00052077"/>
    <w:rsid w:val="000525F4"/>
    <w:rsid w:val="00053B0E"/>
    <w:rsid w:val="00061DD5"/>
    <w:rsid w:val="00064C15"/>
    <w:rsid w:val="00070172"/>
    <w:rsid w:val="00071407"/>
    <w:rsid w:val="000722C7"/>
    <w:rsid w:val="00074407"/>
    <w:rsid w:val="0007501A"/>
    <w:rsid w:val="00084586"/>
    <w:rsid w:val="00085F70"/>
    <w:rsid w:val="0009263A"/>
    <w:rsid w:val="0009568D"/>
    <w:rsid w:val="00096E6D"/>
    <w:rsid w:val="00097EF9"/>
    <w:rsid w:val="000A1A59"/>
    <w:rsid w:val="000A340F"/>
    <w:rsid w:val="000A518B"/>
    <w:rsid w:val="000A54B4"/>
    <w:rsid w:val="000B4CEF"/>
    <w:rsid w:val="000C46AF"/>
    <w:rsid w:val="000C79A0"/>
    <w:rsid w:val="000D3829"/>
    <w:rsid w:val="000D51AD"/>
    <w:rsid w:val="000D5B92"/>
    <w:rsid w:val="000E0955"/>
    <w:rsid w:val="000E224F"/>
    <w:rsid w:val="000E3B2C"/>
    <w:rsid w:val="000E41EC"/>
    <w:rsid w:val="000E5E31"/>
    <w:rsid w:val="000E6049"/>
    <w:rsid w:val="000E697A"/>
    <w:rsid w:val="000F3B24"/>
    <w:rsid w:val="000F4744"/>
    <w:rsid w:val="00100569"/>
    <w:rsid w:val="00101496"/>
    <w:rsid w:val="00102582"/>
    <w:rsid w:val="00115D56"/>
    <w:rsid w:val="001166DB"/>
    <w:rsid w:val="00120895"/>
    <w:rsid w:val="00121C0D"/>
    <w:rsid w:val="00122379"/>
    <w:rsid w:val="001255F6"/>
    <w:rsid w:val="00126018"/>
    <w:rsid w:val="001265F4"/>
    <w:rsid w:val="0012668D"/>
    <w:rsid w:val="00127ADB"/>
    <w:rsid w:val="001333DD"/>
    <w:rsid w:val="00133695"/>
    <w:rsid w:val="0013390F"/>
    <w:rsid w:val="00134329"/>
    <w:rsid w:val="00136C99"/>
    <w:rsid w:val="00145684"/>
    <w:rsid w:val="001469E4"/>
    <w:rsid w:val="00146BB7"/>
    <w:rsid w:val="00147758"/>
    <w:rsid w:val="00147C8A"/>
    <w:rsid w:val="001550F4"/>
    <w:rsid w:val="00157933"/>
    <w:rsid w:val="00161FD3"/>
    <w:rsid w:val="001623CB"/>
    <w:rsid w:val="00163261"/>
    <w:rsid w:val="001653C5"/>
    <w:rsid w:val="0016555F"/>
    <w:rsid w:val="00166F67"/>
    <w:rsid w:val="00167DD0"/>
    <w:rsid w:val="001745CE"/>
    <w:rsid w:val="00175647"/>
    <w:rsid w:val="00175E0B"/>
    <w:rsid w:val="001802A8"/>
    <w:rsid w:val="0018385F"/>
    <w:rsid w:val="00183E89"/>
    <w:rsid w:val="00184507"/>
    <w:rsid w:val="001873F7"/>
    <w:rsid w:val="00195318"/>
    <w:rsid w:val="001959AF"/>
    <w:rsid w:val="00195BD0"/>
    <w:rsid w:val="00196519"/>
    <w:rsid w:val="001972BF"/>
    <w:rsid w:val="001A03A2"/>
    <w:rsid w:val="001A3F6E"/>
    <w:rsid w:val="001A7F70"/>
    <w:rsid w:val="001B32FD"/>
    <w:rsid w:val="001B75AB"/>
    <w:rsid w:val="001B7A28"/>
    <w:rsid w:val="001C0A05"/>
    <w:rsid w:val="001C0F5C"/>
    <w:rsid w:val="001C423C"/>
    <w:rsid w:val="001C4BD6"/>
    <w:rsid w:val="001C4CC6"/>
    <w:rsid w:val="001D327D"/>
    <w:rsid w:val="001D66AA"/>
    <w:rsid w:val="001D69B5"/>
    <w:rsid w:val="001D7083"/>
    <w:rsid w:val="001E19AA"/>
    <w:rsid w:val="001E7F0F"/>
    <w:rsid w:val="001F0A8E"/>
    <w:rsid w:val="001F5954"/>
    <w:rsid w:val="002015DD"/>
    <w:rsid w:val="00201D56"/>
    <w:rsid w:val="00204C92"/>
    <w:rsid w:val="002063D2"/>
    <w:rsid w:val="002063EE"/>
    <w:rsid w:val="002115C6"/>
    <w:rsid w:val="00212940"/>
    <w:rsid w:val="00217EB0"/>
    <w:rsid w:val="0022005B"/>
    <w:rsid w:val="00223A9C"/>
    <w:rsid w:val="00232B80"/>
    <w:rsid w:val="00235F34"/>
    <w:rsid w:val="00236341"/>
    <w:rsid w:val="002406F8"/>
    <w:rsid w:val="0024498D"/>
    <w:rsid w:val="00245BE2"/>
    <w:rsid w:val="002529B9"/>
    <w:rsid w:val="0025647B"/>
    <w:rsid w:val="002601FB"/>
    <w:rsid w:val="00260A0B"/>
    <w:rsid w:val="00263264"/>
    <w:rsid w:val="00264226"/>
    <w:rsid w:val="0026432C"/>
    <w:rsid w:val="00266836"/>
    <w:rsid w:val="0026737C"/>
    <w:rsid w:val="00270168"/>
    <w:rsid w:val="002729C1"/>
    <w:rsid w:val="00276C31"/>
    <w:rsid w:val="0027787D"/>
    <w:rsid w:val="00284B49"/>
    <w:rsid w:val="0028617E"/>
    <w:rsid w:val="00287CB4"/>
    <w:rsid w:val="002903D9"/>
    <w:rsid w:val="0029575A"/>
    <w:rsid w:val="00297DCB"/>
    <w:rsid w:val="002A2551"/>
    <w:rsid w:val="002A2880"/>
    <w:rsid w:val="002A34D2"/>
    <w:rsid w:val="002A7AA8"/>
    <w:rsid w:val="002B2578"/>
    <w:rsid w:val="002B600D"/>
    <w:rsid w:val="002B698F"/>
    <w:rsid w:val="002B71F5"/>
    <w:rsid w:val="002C4FCF"/>
    <w:rsid w:val="002C5A98"/>
    <w:rsid w:val="002C5EBC"/>
    <w:rsid w:val="002D21AE"/>
    <w:rsid w:val="002D2BE3"/>
    <w:rsid w:val="002D2D1A"/>
    <w:rsid w:val="002D704C"/>
    <w:rsid w:val="002D79BD"/>
    <w:rsid w:val="002E2779"/>
    <w:rsid w:val="002E632C"/>
    <w:rsid w:val="002E70C1"/>
    <w:rsid w:val="002E7A1F"/>
    <w:rsid w:val="002F0259"/>
    <w:rsid w:val="002F07DF"/>
    <w:rsid w:val="002F3FB0"/>
    <w:rsid w:val="00301012"/>
    <w:rsid w:val="00301F34"/>
    <w:rsid w:val="00305226"/>
    <w:rsid w:val="003109F1"/>
    <w:rsid w:val="00312D5C"/>
    <w:rsid w:val="0031321B"/>
    <w:rsid w:val="00313B31"/>
    <w:rsid w:val="00314B5A"/>
    <w:rsid w:val="00315511"/>
    <w:rsid w:val="00316258"/>
    <w:rsid w:val="00323C1D"/>
    <w:rsid w:val="00323E8F"/>
    <w:rsid w:val="003244C4"/>
    <w:rsid w:val="003263AA"/>
    <w:rsid w:val="00331A88"/>
    <w:rsid w:val="00345406"/>
    <w:rsid w:val="00345779"/>
    <w:rsid w:val="00352EB2"/>
    <w:rsid w:val="00356C7D"/>
    <w:rsid w:val="0035783F"/>
    <w:rsid w:val="003639C0"/>
    <w:rsid w:val="003656B6"/>
    <w:rsid w:val="00365BC4"/>
    <w:rsid w:val="003662CF"/>
    <w:rsid w:val="00370842"/>
    <w:rsid w:val="003761BD"/>
    <w:rsid w:val="0038205C"/>
    <w:rsid w:val="00390B71"/>
    <w:rsid w:val="003914F7"/>
    <w:rsid w:val="003923AB"/>
    <w:rsid w:val="003A046C"/>
    <w:rsid w:val="003A0F5E"/>
    <w:rsid w:val="003A6E2A"/>
    <w:rsid w:val="003A729D"/>
    <w:rsid w:val="003B559D"/>
    <w:rsid w:val="003B5DBC"/>
    <w:rsid w:val="003B6169"/>
    <w:rsid w:val="003B64BA"/>
    <w:rsid w:val="003B67BA"/>
    <w:rsid w:val="003C117A"/>
    <w:rsid w:val="003C39DA"/>
    <w:rsid w:val="003C5E64"/>
    <w:rsid w:val="003C5F5D"/>
    <w:rsid w:val="003C6C79"/>
    <w:rsid w:val="003C6FF7"/>
    <w:rsid w:val="003C7EC3"/>
    <w:rsid w:val="003D36E6"/>
    <w:rsid w:val="003E093E"/>
    <w:rsid w:val="003E1163"/>
    <w:rsid w:val="003E2EA3"/>
    <w:rsid w:val="003E368A"/>
    <w:rsid w:val="003E6001"/>
    <w:rsid w:val="003E6D71"/>
    <w:rsid w:val="003E6DE7"/>
    <w:rsid w:val="003F0EF2"/>
    <w:rsid w:val="003F1620"/>
    <w:rsid w:val="003F1F42"/>
    <w:rsid w:val="003F20DD"/>
    <w:rsid w:val="003F2157"/>
    <w:rsid w:val="003F40EF"/>
    <w:rsid w:val="003F4F57"/>
    <w:rsid w:val="00401B57"/>
    <w:rsid w:val="00401B70"/>
    <w:rsid w:val="00401C74"/>
    <w:rsid w:val="004029AD"/>
    <w:rsid w:val="00404782"/>
    <w:rsid w:val="004077B2"/>
    <w:rsid w:val="00410988"/>
    <w:rsid w:val="004109B8"/>
    <w:rsid w:val="00415A47"/>
    <w:rsid w:val="00423709"/>
    <w:rsid w:val="00423A51"/>
    <w:rsid w:val="004257FF"/>
    <w:rsid w:val="004260AE"/>
    <w:rsid w:val="00430C23"/>
    <w:rsid w:val="00433CA7"/>
    <w:rsid w:val="0044625E"/>
    <w:rsid w:val="0044682B"/>
    <w:rsid w:val="004507E1"/>
    <w:rsid w:val="00450B23"/>
    <w:rsid w:val="00454492"/>
    <w:rsid w:val="004558C1"/>
    <w:rsid w:val="00457A63"/>
    <w:rsid w:val="00460064"/>
    <w:rsid w:val="00460D20"/>
    <w:rsid w:val="00465703"/>
    <w:rsid w:val="00465D97"/>
    <w:rsid w:val="00465F21"/>
    <w:rsid w:val="004662DC"/>
    <w:rsid w:val="00475E5F"/>
    <w:rsid w:val="0047634A"/>
    <w:rsid w:val="00477561"/>
    <w:rsid w:val="00482057"/>
    <w:rsid w:val="0048361F"/>
    <w:rsid w:val="004837F8"/>
    <w:rsid w:val="00484B20"/>
    <w:rsid w:val="00486128"/>
    <w:rsid w:val="00493C78"/>
    <w:rsid w:val="00497E26"/>
    <w:rsid w:val="004A0EDB"/>
    <w:rsid w:val="004A1006"/>
    <w:rsid w:val="004A35E1"/>
    <w:rsid w:val="004A4E48"/>
    <w:rsid w:val="004A7994"/>
    <w:rsid w:val="004A7BD0"/>
    <w:rsid w:val="004B347F"/>
    <w:rsid w:val="004C1FCA"/>
    <w:rsid w:val="004C49D0"/>
    <w:rsid w:val="004C4C2F"/>
    <w:rsid w:val="004C52BE"/>
    <w:rsid w:val="004D4DFD"/>
    <w:rsid w:val="004D71C9"/>
    <w:rsid w:val="004E6694"/>
    <w:rsid w:val="004F141C"/>
    <w:rsid w:val="004F2D4A"/>
    <w:rsid w:val="004F537E"/>
    <w:rsid w:val="004F5BDE"/>
    <w:rsid w:val="005023A8"/>
    <w:rsid w:val="005035EC"/>
    <w:rsid w:val="00503A91"/>
    <w:rsid w:val="00507B21"/>
    <w:rsid w:val="00511C57"/>
    <w:rsid w:val="00512256"/>
    <w:rsid w:val="00515989"/>
    <w:rsid w:val="00523AC0"/>
    <w:rsid w:val="00524DEA"/>
    <w:rsid w:val="005314A1"/>
    <w:rsid w:val="00532A75"/>
    <w:rsid w:val="005411B8"/>
    <w:rsid w:val="00541C48"/>
    <w:rsid w:val="00544408"/>
    <w:rsid w:val="005530F1"/>
    <w:rsid w:val="005609DC"/>
    <w:rsid w:val="00561DCD"/>
    <w:rsid w:val="0056294C"/>
    <w:rsid w:val="005649DB"/>
    <w:rsid w:val="00570392"/>
    <w:rsid w:val="00577337"/>
    <w:rsid w:val="00583223"/>
    <w:rsid w:val="00583DC8"/>
    <w:rsid w:val="00585466"/>
    <w:rsid w:val="00587185"/>
    <w:rsid w:val="00587BB3"/>
    <w:rsid w:val="00597D2A"/>
    <w:rsid w:val="00597E27"/>
    <w:rsid w:val="005A0377"/>
    <w:rsid w:val="005A1C3A"/>
    <w:rsid w:val="005A1FF6"/>
    <w:rsid w:val="005A30E6"/>
    <w:rsid w:val="005A428C"/>
    <w:rsid w:val="005A4FA5"/>
    <w:rsid w:val="005A7DE1"/>
    <w:rsid w:val="005B206D"/>
    <w:rsid w:val="005B39F4"/>
    <w:rsid w:val="005B3D81"/>
    <w:rsid w:val="005B567D"/>
    <w:rsid w:val="005B7DE9"/>
    <w:rsid w:val="005C0A39"/>
    <w:rsid w:val="005C4227"/>
    <w:rsid w:val="005C4810"/>
    <w:rsid w:val="005C6F53"/>
    <w:rsid w:val="005C70BB"/>
    <w:rsid w:val="005C7E83"/>
    <w:rsid w:val="005D0CD8"/>
    <w:rsid w:val="005D0D08"/>
    <w:rsid w:val="005D4FDB"/>
    <w:rsid w:val="005D56D0"/>
    <w:rsid w:val="005D7B22"/>
    <w:rsid w:val="005E134D"/>
    <w:rsid w:val="005E74CD"/>
    <w:rsid w:val="005F2FE3"/>
    <w:rsid w:val="005F3F7A"/>
    <w:rsid w:val="00611B85"/>
    <w:rsid w:val="006215E7"/>
    <w:rsid w:val="00621773"/>
    <w:rsid w:val="006228CB"/>
    <w:rsid w:val="006246B5"/>
    <w:rsid w:val="00631302"/>
    <w:rsid w:val="00635A1E"/>
    <w:rsid w:val="0063762A"/>
    <w:rsid w:val="006413D7"/>
    <w:rsid w:val="00641717"/>
    <w:rsid w:val="00641E88"/>
    <w:rsid w:val="00642B16"/>
    <w:rsid w:val="006439F4"/>
    <w:rsid w:val="00643EE3"/>
    <w:rsid w:val="006451F0"/>
    <w:rsid w:val="006464A1"/>
    <w:rsid w:val="0064679D"/>
    <w:rsid w:val="00646D1E"/>
    <w:rsid w:val="00650FA7"/>
    <w:rsid w:val="006572FC"/>
    <w:rsid w:val="00663D5A"/>
    <w:rsid w:val="00673E78"/>
    <w:rsid w:val="00674118"/>
    <w:rsid w:val="0067634F"/>
    <w:rsid w:val="00683B90"/>
    <w:rsid w:val="006848D7"/>
    <w:rsid w:val="006850CA"/>
    <w:rsid w:val="00687DD5"/>
    <w:rsid w:val="006A0338"/>
    <w:rsid w:val="006A259A"/>
    <w:rsid w:val="006A2C68"/>
    <w:rsid w:val="006A4636"/>
    <w:rsid w:val="006A4CEC"/>
    <w:rsid w:val="006A5E51"/>
    <w:rsid w:val="006B19EE"/>
    <w:rsid w:val="006B6F0B"/>
    <w:rsid w:val="006C1893"/>
    <w:rsid w:val="006C1A14"/>
    <w:rsid w:val="006C229B"/>
    <w:rsid w:val="006C2542"/>
    <w:rsid w:val="006C48B8"/>
    <w:rsid w:val="006C4FD5"/>
    <w:rsid w:val="006C5BE5"/>
    <w:rsid w:val="006C6031"/>
    <w:rsid w:val="006C6E0A"/>
    <w:rsid w:val="006D0111"/>
    <w:rsid w:val="006D1055"/>
    <w:rsid w:val="006D2B44"/>
    <w:rsid w:val="006D33B4"/>
    <w:rsid w:val="006D4726"/>
    <w:rsid w:val="006E3CE8"/>
    <w:rsid w:val="006F27A0"/>
    <w:rsid w:val="006F6395"/>
    <w:rsid w:val="007024C9"/>
    <w:rsid w:val="0071594F"/>
    <w:rsid w:val="0072325F"/>
    <w:rsid w:val="00723611"/>
    <w:rsid w:val="00727AFD"/>
    <w:rsid w:val="00730BB6"/>
    <w:rsid w:val="00731343"/>
    <w:rsid w:val="00733151"/>
    <w:rsid w:val="007346EC"/>
    <w:rsid w:val="00740EC5"/>
    <w:rsid w:val="00742862"/>
    <w:rsid w:val="00743C74"/>
    <w:rsid w:val="00751F24"/>
    <w:rsid w:val="00753E00"/>
    <w:rsid w:val="00755D32"/>
    <w:rsid w:val="007617E7"/>
    <w:rsid w:val="00764333"/>
    <w:rsid w:val="007670C8"/>
    <w:rsid w:val="00767E18"/>
    <w:rsid w:val="00772608"/>
    <w:rsid w:val="0077343C"/>
    <w:rsid w:val="00775C11"/>
    <w:rsid w:val="00777D89"/>
    <w:rsid w:val="00780829"/>
    <w:rsid w:val="00782B90"/>
    <w:rsid w:val="00783721"/>
    <w:rsid w:val="00784D10"/>
    <w:rsid w:val="0078749B"/>
    <w:rsid w:val="00790F4D"/>
    <w:rsid w:val="0079456D"/>
    <w:rsid w:val="00795357"/>
    <w:rsid w:val="007A3AA1"/>
    <w:rsid w:val="007A413F"/>
    <w:rsid w:val="007B2379"/>
    <w:rsid w:val="007B4AA2"/>
    <w:rsid w:val="007B4D56"/>
    <w:rsid w:val="007C5DCD"/>
    <w:rsid w:val="007D28FD"/>
    <w:rsid w:val="007D52E5"/>
    <w:rsid w:val="007D6B50"/>
    <w:rsid w:val="007E000F"/>
    <w:rsid w:val="007E123B"/>
    <w:rsid w:val="007E241D"/>
    <w:rsid w:val="007E679C"/>
    <w:rsid w:val="007E7CFD"/>
    <w:rsid w:val="007F0D34"/>
    <w:rsid w:val="007F131C"/>
    <w:rsid w:val="007F4E7C"/>
    <w:rsid w:val="007F6F9C"/>
    <w:rsid w:val="007F77C3"/>
    <w:rsid w:val="0080214D"/>
    <w:rsid w:val="0080246E"/>
    <w:rsid w:val="00803E9E"/>
    <w:rsid w:val="0081021A"/>
    <w:rsid w:val="008152F1"/>
    <w:rsid w:val="008221D4"/>
    <w:rsid w:val="00824AF2"/>
    <w:rsid w:val="008250FB"/>
    <w:rsid w:val="00826098"/>
    <w:rsid w:val="008320BA"/>
    <w:rsid w:val="00834088"/>
    <w:rsid w:val="00843914"/>
    <w:rsid w:val="008448FE"/>
    <w:rsid w:val="00844D8F"/>
    <w:rsid w:val="008452AE"/>
    <w:rsid w:val="00846F5C"/>
    <w:rsid w:val="00851AF1"/>
    <w:rsid w:val="008525C9"/>
    <w:rsid w:val="0085304C"/>
    <w:rsid w:val="00854186"/>
    <w:rsid w:val="008545FF"/>
    <w:rsid w:val="0085488D"/>
    <w:rsid w:val="00855811"/>
    <w:rsid w:val="00855AFF"/>
    <w:rsid w:val="00855C8A"/>
    <w:rsid w:val="0086450C"/>
    <w:rsid w:val="008650F3"/>
    <w:rsid w:val="0087422B"/>
    <w:rsid w:val="00876087"/>
    <w:rsid w:val="008767D7"/>
    <w:rsid w:val="00880685"/>
    <w:rsid w:val="00880FF2"/>
    <w:rsid w:val="00881515"/>
    <w:rsid w:val="00881FD8"/>
    <w:rsid w:val="0088406E"/>
    <w:rsid w:val="00885A9C"/>
    <w:rsid w:val="00886FF0"/>
    <w:rsid w:val="008901E5"/>
    <w:rsid w:val="008902B0"/>
    <w:rsid w:val="008905A5"/>
    <w:rsid w:val="008935BD"/>
    <w:rsid w:val="00895420"/>
    <w:rsid w:val="008A1A1D"/>
    <w:rsid w:val="008A1FDB"/>
    <w:rsid w:val="008A36E1"/>
    <w:rsid w:val="008A4A75"/>
    <w:rsid w:val="008B0BBF"/>
    <w:rsid w:val="008B1340"/>
    <w:rsid w:val="008B1363"/>
    <w:rsid w:val="008B1936"/>
    <w:rsid w:val="008C043B"/>
    <w:rsid w:val="008C0F93"/>
    <w:rsid w:val="008C13F4"/>
    <w:rsid w:val="008C37D6"/>
    <w:rsid w:val="008C7B90"/>
    <w:rsid w:val="008D33C2"/>
    <w:rsid w:val="008D34E8"/>
    <w:rsid w:val="008E028C"/>
    <w:rsid w:val="008E1406"/>
    <w:rsid w:val="008E177C"/>
    <w:rsid w:val="008E312F"/>
    <w:rsid w:val="008E33D0"/>
    <w:rsid w:val="008E4865"/>
    <w:rsid w:val="008E5A63"/>
    <w:rsid w:val="008F0842"/>
    <w:rsid w:val="008F115B"/>
    <w:rsid w:val="008F3E67"/>
    <w:rsid w:val="008F4837"/>
    <w:rsid w:val="00902799"/>
    <w:rsid w:val="0090394F"/>
    <w:rsid w:val="00904125"/>
    <w:rsid w:val="00904F81"/>
    <w:rsid w:val="00907CA1"/>
    <w:rsid w:val="009129B4"/>
    <w:rsid w:val="009129D5"/>
    <w:rsid w:val="00912EC8"/>
    <w:rsid w:val="00914BDD"/>
    <w:rsid w:val="009156DE"/>
    <w:rsid w:val="009157E5"/>
    <w:rsid w:val="009202A8"/>
    <w:rsid w:val="00921C3F"/>
    <w:rsid w:val="00927251"/>
    <w:rsid w:val="0093074F"/>
    <w:rsid w:val="00931F94"/>
    <w:rsid w:val="00932298"/>
    <w:rsid w:val="00932612"/>
    <w:rsid w:val="00934A23"/>
    <w:rsid w:val="00937577"/>
    <w:rsid w:val="00947526"/>
    <w:rsid w:val="00950F22"/>
    <w:rsid w:val="00952715"/>
    <w:rsid w:val="009529B0"/>
    <w:rsid w:val="00952D57"/>
    <w:rsid w:val="009539C6"/>
    <w:rsid w:val="00954A0E"/>
    <w:rsid w:val="00954E6A"/>
    <w:rsid w:val="00957F10"/>
    <w:rsid w:val="00961892"/>
    <w:rsid w:val="00972CCE"/>
    <w:rsid w:val="00973D18"/>
    <w:rsid w:val="00973D9E"/>
    <w:rsid w:val="009741B2"/>
    <w:rsid w:val="00976117"/>
    <w:rsid w:val="00977FCB"/>
    <w:rsid w:val="0098104C"/>
    <w:rsid w:val="009913D1"/>
    <w:rsid w:val="0099375D"/>
    <w:rsid w:val="00993EE8"/>
    <w:rsid w:val="00994111"/>
    <w:rsid w:val="00994544"/>
    <w:rsid w:val="009979B1"/>
    <w:rsid w:val="009979F5"/>
    <w:rsid w:val="009A1690"/>
    <w:rsid w:val="009A2EE1"/>
    <w:rsid w:val="009A44D1"/>
    <w:rsid w:val="009A6E5D"/>
    <w:rsid w:val="009B1801"/>
    <w:rsid w:val="009B3D36"/>
    <w:rsid w:val="009B45D1"/>
    <w:rsid w:val="009B616E"/>
    <w:rsid w:val="009C0E03"/>
    <w:rsid w:val="009C42F6"/>
    <w:rsid w:val="009D2A82"/>
    <w:rsid w:val="009E0671"/>
    <w:rsid w:val="009E375F"/>
    <w:rsid w:val="009F1C59"/>
    <w:rsid w:val="009F4DE6"/>
    <w:rsid w:val="009F7256"/>
    <w:rsid w:val="009F73A9"/>
    <w:rsid w:val="00A10EF4"/>
    <w:rsid w:val="00A13E0A"/>
    <w:rsid w:val="00A1644E"/>
    <w:rsid w:val="00A176E2"/>
    <w:rsid w:val="00A17F32"/>
    <w:rsid w:val="00A21999"/>
    <w:rsid w:val="00A225E8"/>
    <w:rsid w:val="00A23B35"/>
    <w:rsid w:val="00A242AE"/>
    <w:rsid w:val="00A31F40"/>
    <w:rsid w:val="00A33203"/>
    <w:rsid w:val="00A34551"/>
    <w:rsid w:val="00A374DF"/>
    <w:rsid w:val="00A37952"/>
    <w:rsid w:val="00A4051E"/>
    <w:rsid w:val="00A4160F"/>
    <w:rsid w:val="00A41BE0"/>
    <w:rsid w:val="00A422E0"/>
    <w:rsid w:val="00A42C76"/>
    <w:rsid w:val="00A4724B"/>
    <w:rsid w:val="00A507A6"/>
    <w:rsid w:val="00A54AB3"/>
    <w:rsid w:val="00A55BDB"/>
    <w:rsid w:val="00A64212"/>
    <w:rsid w:val="00A65B9B"/>
    <w:rsid w:val="00A66242"/>
    <w:rsid w:val="00A6735C"/>
    <w:rsid w:val="00A700C3"/>
    <w:rsid w:val="00A7141F"/>
    <w:rsid w:val="00A72E20"/>
    <w:rsid w:val="00A74567"/>
    <w:rsid w:val="00A76ED5"/>
    <w:rsid w:val="00A8557C"/>
    <w:rsid w:val="00A85ADA"/>
    <w:rsid w:val="00A8632F"/>
    <w:rsid w:val="00A865B1"/>
    <w:rsid w:val="00A87364"/>
    <w:rsid w:val="00A911E4"/>
    <w:rsid w:val="00A916FD"/>
    <w:rsid w:val="00A967AE"/>
    <w:rsid w:val="00A969E4"/>
    <w:rsid w:val="00AA3DE9"/>
    <w:rsid w:val="00AA4B87"/>
    <w:rsid w:val="00AA4FFD"/>
    <w:rsid w:val="00AB0E27"/>
    <w:rsid w:val="00AB4956"/>
    <w:rsid w:val="00AC14F8"/>
    <w:rsid w:val="00AC2EF0"/>
    <w:rsid w:val="00AC3613"/>
    <w:rsid w:val="00AC7F8C"/>
    <w:rsid w:val="00AD0043"/>
    <w:rsid w:val="00AD103C"/>
    <w:rsid w:val="00AD3041"/>
    <w:rsid w:val="00AD400D"/>
    <w:rsid w:val="00AD4F13"/>
    <w:rsid w:val="00AD54CE"/>
    <w:rsid w:val="00AE4131"/>
    <w:rsid w:val="00AE55EA"/>
    <w:rsid w:val="00AF07DC"/>
    <w:rsid w:val="00AF2390"/>
    <w:rsid w:val="00AF6683"/>
    <w:rsid w:val="00AF7BD6"/>
    <w:rsid w:val="00B00CBE"/>
    <w:rsid w:val="00B01218"/>
    <w:rsid w:val="00B0226F"/>
    <w:rsid w:val="00B0537A"/>
    <w:rsid w:val="00B05B9B"/>
    <w:rsid w:val="00B06411"/>
    <w:rsid w:val="00B1102F"/>
    <w:rsid w:val="00B12D3D"/>
    <w:rsid w:val="00B14EEF"/>
    <w:rsid w:val="00B1699C"/>
    <w:rsid w:val="00B205A7"/>
    <w:rsid w:val="00B24963"/>
    <w:rsid w:val="00B2618F"/>
    <w:rsid w:val="00B3159F"/>
    <w:rsid w:val="00B31AE7"/>
    <w:rsid w:val="00B3430C"/>
    <w:rsid w:val="00B373E7"/>
    <w:rsid w:val="00B419D3"/>
    <w:rsid w:val="00B4468C"/>
    <w:rsid w:val="00B4607A"/>
    <w:rsid w:val="00B46795"/>
    <w:rsid w:val="00B47DCD"/>
    <w:rsid w:val="00B50FAF"/>
    <w:rsid w:val="00B511F5"/>
    <w:rsid w:val="00B51BB0"/>
    <w:rsid w:val="00B5238F"/>
    <w:rsid w:val="00B55A0B"/>
    <w:rsid w:val="00B5769B"/>
    <w:rsid w:val="00B6498F"/>
    <w:rsid w:val="00B67498"/>
    <w:rsid w:val="00B72BA0"/>
    <w:rsid w:val="00B80112"/>
    <w:rsid w:val="00B8260D"/>
    <w:rsid w:val="00B840CE"/>
    <w:rsid w:val="00B86A34"/>
    <w:rsid w:val="00B86BD0"/>
    <w:rsid w:val="00B86F6E"/>
    <w:rsid w:val="00B926A5"/>
    <w:rsid w:val="00B9455B"/>
    <w:rsid w:val="00B95D24"/>
    <w:rsid w:val="00BA19D9"/>
    <w:rsid w:val="00BA7AF0"/>
    <w:rsid w:val="00BB1690"/>
    <w:rsid w:val="00BB2CEF"/>
    <w:rsid w:val="00BB45FB"/>
    <w:rsid w:val="00BB4C5F"/>
    <w:rsid w:val="00BB7D86"/>
    <w:rsid w:val="00BC0F1F"/>
    <w:rsid w:val="00BC32CB"/>
    <w:rsid w:val="00BC6005"/>
    <w:rsid w:val="00BC62BF"/>
    <w:rsid w:val="00BC70C4"/>
    <w:rsid w:val="00BD395E"/>
    <w:rsid w:val="00BD430F"/>
    <w:rsid w:val="00BD51C4"/>
    <w:rsid w:val="00BD568C"/>
    <w:rsid w:val="00BE0611"/>
    <w:rsid w:val="00BE07C4"/>
    <w:rsid w:val="00BE35CD"/>
    <w:rsid w:val="00BE42D0"/>
    <w:rsid w:val="00BE4363"/>
    <w:rsid w:val="00BE4B3A"/>
    <w:rsid w:val="00BE5502"/>
    <w:rsid w:val="00BE7A21"/>
    <w:rsid w:val="00BE7A8B"/>
    <w:rsid w:val="00BF233E"/>
    <w:rsid w:val="00BF4FB4"/>
    <w:rsid w:val="00BF5E90"/>
    <w:rsid w:val="00BF64EF"/>
    <w:rsid w:val="00BF6ED9"/>
    <w:rsid w:val="00BF7057"/>
    <w:rsid w:val="00C040F1"/>
    <w:rsid w:val="00C062AC"/>
    <w:rsid w:val="00C10AB6"/>
    <w:rsid w:val="00C1282D"/>
    <w:rsid w:val="00C12AA2"/>
    <w:rsid w:val="00C14325"/>
    <w:rsid w:val="00C17FCF"/>
    <w:rsid w:val="00C20D6E"/>
    <w:rsid w:val="00C23AEB"/>
    <w:rsid w:val="00C26106"/>
    <w:rsid w:val="00C26FFA"/>
    <w:rsid w:val="00C313BE"/>
    <w:rsid w:val="00C35C1E"/>
    <w:rsid w:val="00C379F2"/>
    <w:rsid w:val="00C4322D"/>
    <w:rsid w:val="00C438F0"/>
    <w:rsid w:val="00C46B51"/>
    <w:rsid w:val="00C506C4"/>
    <w:rsid w:val="00C5246E"/>
    <w:rsid w:val="00C54C57"/>
    <w:rsid w:val="00C630D2"/>
    <w:rsid w:val="00C63206"/>
    <w:rsid w:val="00C63F87"/>
    <w:rsid w:val="00C64F73"/>
    <w:rsid w:val="00C717BF"/>
    <w:rsid w:val="00C75AE7"/>
    <w:rsid w:val="00C75BD8"/>
    <w:rsid w:val="00C761FB"/>
    <w:rsid w:val="00C762C9"/>
    <w:rsid w:val="00C7656F"/>
    <w:rsid w:val="00C82196"/>
    <w:rsid w:val="00C844B2"/>
    <w:rsid w:val="00C84DCD"/>
    <w:rsid w:val="00C91780"/>
    <w:rsid w:val="00C93E1C"/>
    <w:rsid w:val="00C95868"/>
    <w:rsid w:val="00CA008F"/>
    <w:rsid w:val="00CA0934"/>
    <w:rsid w:val="00CA1832"/>
    <w:rsid w:val="00CA5657"/>
    <w:rsid w:val="00CA5AE7"/>
    <w:rsid w:val="00CA5C71"/>
    <w:rsid w:val="00CB09DF"/>
    <w:rsid w:val="00CB2886"/>
    <w:rsid w:val="00CB3061"/>
    <w:rsid w:val="00CB4951"/>
    <w:rsid w:val="00CB524E"/>
    <w:rsid w:val="00CB614A"/>
    <w:rsid w:val="00CC135A"/>
    <w:rsid w:val="00CC17FD"/>
    <w:rsid w:val="00CC4D6C"/>
    <w:rsid w:val="00CC53E2"/>
    <w:rsid w:val="00CC6B25"/>
    <w:rsid w:val="00CC75AA"/>
    <w:rsid w:val="00CD02FB"/>
    <w:rsid w:val="00CD100C"/>
    <w:rsid w:val="00CD253B"/>
    <w:rsid w:val="00CD4F2D"/>
    <w:rsid w:val="00CE3956"/>
    <w:rsid w:val="00CE4D0C"/>
    <w:rsid w:val="00CE7D1A"/>
    <w:rsid w:val="00CF3BDC"/>
    <w:rsid w:val="00CF501F"/>
    <w:rsid w:val="00CF50CB"/>
    <w:rsid w:val="00CF515C"/>
    <w:rsid w:val="00CF5356"/>
    <w:rsid w:val="00D002D6"/>
    <w:rsid w:val="00D00885"/>
    <w:rsid w:val="00D105C6"/>
    <w:rsid w:val="00D121D5"/>
    <w:rsid w:val="00D13841"/>
    <w:rsid w:val="00D200E0"/>
    <w:rsid w:val="00D23EC2"/>
    <w:rsid w:val="00D24FAB"/>
    <w:rsid w:val="00D30BBE"/>
    <w:rsid w:val="00D34BA5"/>
    <w:rsid w:val="00D35691"/>
    <w:rsid w:val="00D47FCE"/>
    <w:rsid w:val="00D5089F"/>
    <w:rsid w:val="00D515D0"/>
    <w:rsid w:val="00D53934"/>
    <w:rsid w:val="00D54085"/>
    <w:rsid w:val="00D543D3"/>
    <w:rsid w:val="00D5794A"/>
    <w:rsid w:val="00D70176"/>
    <w:rsid w:val="00D72B68"/>
    <w:rsid w:val="00D7426E"/>
    <w:rsid w:val="00D7651D"/>
    <w:rsid w:val="00D77BCE"/>
    <w:rsid w:val="00D77F79"/>
    <w:rsid w:val="00D801AA"/>
    <w:rsid w:val="00D818FA"/>
    <w:rsid w:val="00D84912"/>
    <w:rsid w:val="00D87322"/>
    <w:rsid w:val="00DA3CDF"/>
    <w:rsid w:val="00DA68A4"/>
    <w:rsid w:val="00DB0BE8"/>
    <w:rsid w:val="00DB37AA"/>
    <w:rsid w:val="00DB7D82"/>
    <w:rsid w:val="00DC2E7D"/>
    <w:rsid w:val="00DC36AB"/>
    <w:rsid w:val="00DC5E38"/>
    <w:rsid w:val="00DD5B20"/>
    <w:rsid w:val="00DD683B"/>
    <w:rsid w:val="00DD6F17"/>
    <w:rsid w:val="00DE02DD"/>
    <w:rsid w:val="00DE0E9A"/>
    <w:rsid w:val="00DE4C24"/>
    <w:rsid w:val="00DE6A8E"/>
    <w:rsid w:val="00DF1B70"/>
    <w:rsid w:val="00DF5E28"/>
    <w:rsid w:val="00E0227A"/>
    <w:rsid w:val="00E048D7"/>
    <w:rsid w:val="00E06DC9"/>
    <w:rsid w:val="00E1020C"/>
    <w:rsid w:val="00E13A5A"/>
    <w:rsid w:val="00E15BAC"/>
    <w:rsid w:val="00E17F1D"/>
    <w:rsid w:val="00E2374F"/>
    <w:rsid w:val="00E2607F"/>
    <w:rsid w:val="00E2691E"/>
    <w:rsid w:val="00E275E5"/>
    <w:rsid w:val="00E31609"/>
    <w:rsid w:val="00E317EA"/>
    <w:rsid w:val="00E32CF2"/>
    <w:rsid w:val="00E34BF4"/>
    <w:rsid w:val="00E3725A"/>
    <w:rsid w:val="00E37AF9"/>
    <w:rsid w:val="00E4156B"/>
    <w:rsid w:val="00E41E56"/>
    <w:rsid w:val="00E4215E"/>
    <w:rsid w:val="00E426F8"/>
    <w:rsid w:val="00E4500C"/>
    <w:rsid w:val="00E45177"/>
    <w:rsid w:val="00E45855"/>
    <w:rsid w:val="00E47831"/>
    <w:rsid w:val="00E51591"/>
    <w:rsid w:val="00E5343C"/>
    <w:rsid w:val="00E56EE2"/>
    <w:rsid w:val="00E61820"/>
    <w:rsid w:val="00E6710D"/>
    <w:rsid w:val="00E71593"/>
    <w:rsid w:val="00E71B5B"/>
    <w:rsid w:val="00E74887"/>
    <w:rsid w:val="00E81D8C"/>
    <w:rsid w:val="00E9034F"/>
    <w:rsid w:val="00E91696"/>
    <w:rsid w:val="00E922B2"/>
    <w:rsid w:val="00E946A2"/>
    <w:rsid w:val="00EA3218"/>
    <w:rsid w:val="00EA4062"/>
    <w:rsid w:val="00EA5F7D"/>
    <w:rsid w:val="00EA69E7"/>
    <w:rsid w:val="00EB7A20"/>
    <w:rsid w:val="00EC1EB0"/>
    <w:rsid w:val="00EC546A"/>
    <w:rsid w:val="00ED16DD"/>
    <w:rsid w:val="00ED7CBE"/>
    <w:rsid w:val="00EE14F3"/>
    <w:rsid w:val="00EF118B"/>
    <w:rsid w:val="00EF23A6"/>
    <w:rsid w:val="00EF3E16"/>
    <w:rsid w:val="00F037AC"/>
    <w:rsid w:val="00F039D9"/>
    <w:rsid w:val="00F03EF2"/>
    <w:rsid w:val="00F05F60"/>
    <w:rsid w:val="00F0754B"/>
    <w:rsid w:val="00F10272"/>
    <w:rsid w:val="00F106CD"/>
    <w:rsid w:val="00F133DD"/>
    <w:rsid w:val="00F1594F"/>
    <w:rsid w:val="00F159F9"/>
    <w:rsid w:val="00F16F91"/>
    <w:rsid w:val="00F17189"/>
    <w:rsid w:val="00F21331"/>
    <w:rsid w:val="00F24379"/>
    <w:rsid w:val="00F247F6"/>
    <w:rsid w:val="00F248C3"/>
    <w:rsid w:val="00F33BD7"/>
    <w:rsid w:val="00F44360"/>
    <w:rsid w:val="00F45FB5"/>
    <w:rsid w:val="00F47C13"/>
    <w:rsid w:val="00F50061"/>
    <w:rsid w:val="00F50FEF"/>
    <w:rsid w:val="00F612AF"/>
    <w:rsid w:val="00F63261"/>
    <w:rsid w:val="00F64FA9"/>
    <w:rsid w:val="00F67447"/>
    <w:rsid w:val="00F72083"/>
    <w:rsid w:val="00F72BFC"/>
    <w:rsid w:val="00F74544"/>
    <w:rsid w:val="00F74C57"/>
    <w:rsid w:val="00F75A53"/>
    <w:rsid w:val="00F76230"/>
    <w:rsid w:val="00F801B2"/>
    <w:rsid w:val="00F80BA6"/>
    <w:rsid w:val="00F8318A"/>
    <w:rsid w:val="00F836CF"/>
    <w:rsid w:val="00F86D49"/>
    <w:rsid w:val="00F9071D"/>
    <w:rsid w:val="00F9158B"/>
    <w:rsid w:val="00F9624D"/>
    <w:rsid w:val="00F96874"/>
    <w:rsid w:val="00FA0A6E"/>
    <w:rsid w:val="00FA2804"/>
    <w:rsid w:val="00FA62EE"/>
    <w:rsid w:val="00FA642C"/>
    <w:rsid w:val="00FA72C6"/>
    <w:rsid w:val="00FA7ED0"/>
    <w:rsid w:val="00FB08E1"/>
    <w:rsid w:val="00FB112E"/>
    <w:rsid w:val="00FB1712"/>
    <w:rsid w:val="00FB4CDE"/>
    <w:rsid w:val="00FB5FE6"/>
    <w:rsid w:val="00FB7C4E"/>
    <w:rsid w:val="00FC037F"/>
    <w:rsid w:val="00FC26DC"/>
    <w:rsid w:val="00FC3537"/>
    <w:rsid w:val="00FC4B96"/>
    <w:rsid w:val="00FD1DDE"/>
    <w:rsid w:val="00FD7595"/>
    <w:rsid w:val="00FD7E6A"/>
    <w:rsid w:val="00FE4A3E"/>
    <w:rsid w:val="00FF1197"/>
    <w:rsid w:val="00FF13F2"/>
    <w:rsid w:val="00FF3787"/>
    <w:rsid w:val="00FF40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14:docId w14:val="4E9E7463"/>
  <w15:chartTrackingRefBased/>
  <w15:docId w15:val="{0AD98DC0-4530-4F8A-AEF3-B4EB24930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3DE9"/>
    <w:pPr>
      <w:spacing w:before="120" w:after="12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B2578"/>
    <w:pPr>
      <w:spacing w:before="240" w:after="240"/>
      <w:jc w:val="center"/>
      <w:outlineLvl w:val="0"/>
    </w:pPr>
    <w:rPr>
      <w:b/>
      <w:smallCaps/>
      <w:sz w:val="32"/>
    </w:rPr>
  </w:style>
  <w:style w:type="paragraph" w:styleId="Heading2">
    <w:name w:val="heading 2"/>
    <w:basedOn w:val="Normal"/>
    <w:next w:val="Normal"/>
    <w:link w:val="Heading2Char"/>
    <w:uiPriority w:val="9"/>
    <w:unhideWhenUsed/>
    <w:qFormat/>
    <w:rsid w:val="003C5E64"/>
    <w:pPr>
      <w:spacing w:before="360"/>
      <w:outlineLvl w:val="1"/>
    </w:pPr>
    <w:rPr>
      <w:b/>
    </w:rPr>
  </w:style>
  <w:style w:type="paragraph" w:styleId="Heading3">
    <w:name w:val="heading 3"/>
    <w:basedOn w:val="Normal"/>
    <w:next w:val="Normal"/>
    <w:link w:val="Heading3Char"/>
    <w:uiPriority w:val="9"/>
    <w:unhideWhenUsed/>
    <w:qFormat/>
    <w:rsid w:val="00BE07C4"/>
    <w:pPr>
      <w:outlineLvl w:val="2"/>
    </w:pPr>
    <w:rPr>
      <w:b/>
      <w:i/>
    </w:rPr>
  </w:style>
  <w:style w:type="paragraph" w:styleId="Heading4">
    <w:name w:val="heading 4"/>
    <w:basedOn w:val="Normal"/>
    <w:next w:val="Normal"/>
    <w:link w:val="Heading4Char"/>
    <w:uiPriority w:val="9"/>
    <w:unhideWhenUsed/>
    <w:qFormat/>
    <w:rsid w:val="00BC70C4"/>
    <w:pPr>
      <w:keepNext/>
      <w:keepLines/>
      <w:outlineLvl w:val="3"/>
    </w:pPr>
    <w:rPr>
      <w:rFonts w:eastAsiaTheme="majorEastAsia"/>
      <w:i/>
      <w:iCs/>
      <w:u w:val="single"/>
    </w:rPr>
  </w:style>
  <w:style w:type="paragraph" w:styleId="Heading5">
    <w:name w:val="heading 5"/>
    <w:basedOn w:val="Normal"/>
    <w:next w:val="Normal"/>
    <w:link w:val="Heading5Char"/>
    <w:uiPriority w:val="9"/>
    <w:semiHidden/>
    <w:unhideWhenUsed/>
    <w:qFormat/>
    <w:rsid w:val="002B2578"/>
    <w:pPr>
      <w:keepNext/>
      <w:keepLines/>
      <w:spacing w:before="40" w:after="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point,Bulletr List Paragraph,FooterText,L,List Paragraph1,List Paragraph11,List Paragraph2,List Paragraph21,Listeafsnit1,NFP GP Bulleted List,Paragraphe de liste1,Parágrafo da Lista1,Recommendation,bullet point list,1 heading,列出段落"/>
    <w:basedOn w:val="Normal"/>
    <w:link w:val="ListParagraphChar"/>
    <w:uiPriority w:val="34"/>
    <w:qFormat/>
    <w:rsid w:val="00F133DD"/>
    <w:pPr>
      <w:numPr>
        <w:numId w:val="4"/>
      </w:numPr>
    </w:pPr>
    <w:rPr>
      <w:rFonts w:eastAsiaTheme="minorHAnsi" w:cstheme="minorBidi"/>
      <w:szCs w:val="22"/>
    </w:rPr>
  </w:style>
  <w:style w:type="character" w:customStyle="1" w:styleId="ListParagraphChar">
    <w:name w:val="List Paragraph Char"/>
    <w:aliases w:val="Bullet point Char,Bulletr List Paragraph Char,FooterText Char,L Char,List Paragraph1 Char,List Paragraph11 Char,List Paragraph2 Char,List Paragraph21 Char,Listeafsnit1 Char,NFP GP Bulleted List Char,Paragraphe de liste1 Char"/>
    <w:link w:val="ListParagraph"/>
    <w:uiPriority w:val="34"/>
    <w:qFormat/>
    <w:locked/>
    <w:rsid w:val="00F133DD"/>
    <w:rPr>
      <w:rFonts w:ascii="Times New Roman" w:hAnsi="Times New Roman"/>
      <w:sz w:val="24"/>
    </w:rPr>
  </w:style>
  <w:style w:type="character" w:styleId="Hyperlink">
    <w:name w:val="Hyperlink"/>
    <w:basedOn w:val="DefaultParagraphFont"/>
    <w:uiPriority w:val="99"/>
    <w:unhideWhenUsed/>
    <w:rsid w:val="00912EC8"/>
    <w:rPr>
      <w:color w:val="0563C1" w:themeColor="hyperlink"/>
      <w:u w:val="single"/>
    </w:rPr>
  </w:style>
  <w:style w:type="character" w:customStyle="1" w:styleId="Heading1Char">
    <w:name w:val="Heading 1 Char"/>
    <w:basedOn w:val="DefaultParagraphFont"/>
    <w:link w:val="Heading1"/>
    <w:uiPriority w:val="9"/>
    <w:rsid w:val="002B2578"/>
    <w:rPr>
      <w:rFonts w:ascii="Times New Roman" w:eastAsia="Times New Roman" w:hAnsi="Times New Roman" w:cs="Times New Roman"/>
      <w:b/>
      <w:smallCaps/>
      <w:sz w:val="32"/>
      <w:szCs w:val="24"/>
    </w:rPr>
  </w:style>
  <w:style w:type="paragraph" w:styleId="Header">
    <w:name w:val="header"/>
    <w:basedOn w:val="Normal"/>
    <w:link w:val="HeaderChar"/>
    <w:uiPriority w:val="99"/>
    <w:unhideWhenUsed/>
    <w:rsid w:val="00AA3DE9"/>
    <w:pPr>
      <w:tabs>
        <w:tab w:val="center" w:pos="4513"/>
        <w:tab w:val="right" w:pos="9026"/>
      </w:tabs>
    </w:pPr>
  </w:style>
  <w:style w:type="character" w:customStyle="1" w:styleId="HeaderChar">
    <w:name w:val="Header Char"/>
    <w:basedOn w:val="DefaultParagraphFont"/>
    <w:link w:val="Header"/>
    <w:uiPriority w:val="99"/>
    <w:rsid w:val="00AA3DE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A3DE9"/>
    <w:pPr>
      <w:tabs>
        <w:tab w:val="center" w:pos="4513"/>
        <w:tab w:val="right" w:pos="9026"/>
      </w:tabs>
    </w:pPr>
  </w:style>
  <w:style w:type="character" w:customStyle="1" w:styleId="FooterChar">
    <w:name w:val="Footer Char"/>
    <w:basedOn w:val="DefaultParagraphFont"/>
    <w:link w:val="Footer"/>
    <w:uiPriority w:val="99"/>
    <w:rsid w:val="00AA3DE9"/>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3C5E64"/>
    <w:rPr>
      <w:rFonts w:ascii="Times New Roman" w:eastAsia="Times New Roman" w:hAnsi="Times New Roman" w:cs="Times New Roman"/>
      <w:b/>
      <w:sz w:val="24"/>
      <w:szCs w:val="24"/>
    </w:rPr>
  </w:style>
  <w:style w:type="character" w:customStyle="1" w:styleId="Heading3Char">
    <w:name w:val="Heading 3 Char"/>
    <w:basedOn w:val="DefaultParagraphFont"/>
    <w:link w:val="Heading3"/>
    <w:uiPriority w:val="9"/>
    <w:rsid w:val="00BE07C4"/>
    <w:rPr>
      <w:rFonts w:ascii="Times New Roman" w:eastAsia="Times New Roman" w:hAnsi="Times New Roman" w:cs="Times New Roman"/>
      <w:b/>
      <w:i/>
      <w:sz w:val="24"/>
      <w:szCs w:val="24"/>
    </w:rPr>
  </w:style>
  <w:style w:type="character" w:customStyle="1" w:styleId="Heading4Char">
    <w:name w:val="Heading 4 Char"/>
    <w:basedOn w:val="DefaultParagraphFont"/>
    <w:link w:val="Heading4"/>
    <w:uiPriority w:val="9"/>
    <w:rsid w:val="00BC70C4"/>
    <w:rPr>
      <w:rFonts w:ascii="Times New Roman" w:eastAsiaTheme="majorEastAsia" w:hAnsi="Times New Roman" w:cs="Times New Roman"/>
      <w:i/>
      <w:iCs/>
      <w:sz w:val="24"/>
      <w:szCs w:val="24"/>
      <w:u w:val="single"/>
    </w:rPr>
  </w:style>
  <w:style w:type="character" w:styleId="CommentReference">
    <w:name w:val="annotation reference"/>
    <w:basedOn w:val="DefaultParagraphFont"/>
    <w:uiPriority w:val="99"/>
    <w:semiHidden/>
    <w:unhideWhenUsed/>
    <w:rsid w:val="00126018"/>
    <w:rPr>
      <w:sz w:val="16"/>
      <w:szCs w:val="16"/>
    </w:rPr>
  </w:style>
  <w:style w:type="paragraph" w:styleId="CommentText">
    <w:name w:val="annotation text"/>
    <w:basedOn w:val="Normal"/>
    <w:link w:val="CommentTextChar"/>
    <w:uiPriority w:val="99"/>
    <w:unhideWhenUsed/>
    <w:rsid w:val="00126018"/>
    <w:rPr>
      <w:sz w:val="20"/>
      <w:szCs w:val="20"/>
    </w:rPr>
  </w:style>
  <w:style w:type="character" w:customStyle="1" w:styleId="CommentTextChar">
    <w:name w:val="Comment Text Char"/>
    <w:basedOn w:val="DefaultParagraphFont"/>
    <w:link w:val="CommentText"/>
    <w:uiPriority w:val="99"/>
    <w:rsid w:val="0012601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26018"/>
    <w:rPr>
      <w:b/>
      <w:bCs/>
    </w:rPr>
  </w:style>
  <w:style w:type="character" w:customStyle="1" w:styleId="CommentSubjectChar">
    <w:name w:val="Comment Subject Char"/>
    <w:basedOn w:val="CommentTextChar"/>
    <w:link w:val="CommentSubject"/>
    <w:uiPriority w:val="99"/>
    <w:semiHidden/>
    <w:rsid w:val="0012601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26018"/>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6018"/>
    <w:rPr>
      <w:rFonts w:ascii="Segoe UI" w:eastAsia="Times New Roman" w:hAnsi="Segoe UI" w:cs="Segoe UI"/>
      <w:sz w:val="18"/>
      <w:szCs w:val="18"/>
    </w:rPr>
  </w:style>
  <w:style w:type="paragraph" w:styleId="FootnoteText">
    <w:name w:val="footnote text"/>
    <w:basedOn w:val="Normal"/>
    <w:link w:val="FootnoteTextChar"/>
    <w:uiPriority w:val="99"/>
    <w:semiHidden/>
    <w:unhideWhenUsed/>
    <w:rsid w:val="00115D56"/>
    <w:pPr>
      <w:spacing w:before="0" w:after="0"/>
    </w:pPr>
    <w:rPr>
      <w:sz w:val="20"/>
      <w:szCs w:val="20"/>
    </w:rPr>
  </w:style>
  <w:style w:type="character" w:customStyle="1" w:styleId="FootnoteTextChar">
    <w:name w:val="Footnote Text Char"/>
    <w:basedOn w:val="DefaultParagraphFont"/>
    <w:link w:val="FootnoteText"/>
    <w:uiPriority w:val="99"/>
    <w:semiHidden/>
    <w:rsid w:val="00115D5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15D56"/>
    <w:rPr>
      <w:vertAlign w:val="superscript"/>
    </w:rPr>
  </w:style>
  <w:style w:type="paragraph" w:customStyle="1" w:styleId="Default">
    <w:name w:val="Default"/>
    <w:rsid w:val="003A729D"/>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904125"/>
    <w:rPr>
      <w:b/>
      <w:bCs/>
    </w:rPr>
  </w:style>
  <w:style w:type="character" w:customStyle="1" w:styleId="Heading5Char">
    <w:name w:val="Heading 5 Char"/>
    <w:basedOn w:val="DefaultParagraphFont"/>
    <w:link w:val="Heading5"/>
    <w:uiPriority w:val="9"/>
    <w:semiHidden/>
    <w:rsid w:val="002B2578"/>
    <w:rPr>
      <w:rFonts w:ascii="Times New Roman" w:eastAsiaTheme="majorEastAsia" w:hAnsi="Times New Roman" w:cstheme="majorBidi"/>
      <w:sz w:val="24"/>
      <w:szCs w:val="24"/>
    </w:rPr>
  </w:style>
  <w:style w:type="paragraph" w:styleId="ListNumber">
    <w:name w:val="List Number"/>
    <w:basedOn w:val="Normal"/>
    <w:uiPriority w:val="99"/>
    <w:qFormat/>
    <w:rsid w:val="00DB7D82"/>
    <w:pPr>
      <w:numPr>
        <w:numId w:val="23"/>
      </w:numPr>
      <w:spacing w:before="0" w:after="200" w:line="276" w:lineRule="auto"/>
    </w:pPr>
    <w:rPr>
      <w:rFonts w:ascii="Arial" w:eastAsia="Calibri" w:hAnsi="Arial"/>
      <w:sz w:val="22"/>
      <w:szCs w:val="22"/>
    </w:rPr>
  </w:style>
  <w:style w:type="paragraph" w:styleId="ListNumber2">
    <w:name w:val="List Number 2"/>
    <w:basedOn w:val="Normal"/>
    <w:uiPriority w:val="99"/>
    <w:rsid w:val="00DB7D82"/>
    <w:pPr>
      <w:numPr>
        <w:ilvl w:val="1"/>
        <w:numId w:val="23"/>
      </w:numPr>
      <w:spacing w:before="0" w:after="200" w:line="276" w:lineRule="auto"/>
    </w:pPr>
    <w:rPr>
      <w:rFonts w:ascii="Arial" w:eastAsia="Calibri" w:hAnsi="Arial"/>
      <w:sz w:val="22"/>
      <w:szCs w:val="22"/>
    </w:rPr>
  </w:style>
  <w:style w:type="paragraph" w:styleId="ListNumber3">
    <w:name w:val="List Number 3"/>
    <w:basedOn w:val="Normal"/>
    <w:uiPriority w:val="99"/>
    <w:rsid w:val="00DB7D82"/>
    <w:pPr>
      <w:numPr>
        <w:ilvl w:val="2"/>
        <w:numId w:val="23"/>
      </w:numPr>
      <w:spacing w:before="0" w:after="200" w:line="276" w:lineRule="auto"/>
    </w:pPr>
    <w:rPr>
      <w:rFonts w:ascii="Arial" w:eastAsia="Calibri" w:hAnsi="Arial"/>
      <w:sz w:val="22"/>
      <w:szCs w:val="22"/>
    </w:rPr>
  </w:style>
  <w:style w:type="paragraph" w:styleId="ListNumber4">
    <w:name w:val="List Number 4"/>
    <w:basedOn w:val="Normal"/>
    <w:uiPriority w:val="99"/>
    <w:rsid w:val="00DB7D82"/>
    <w:pPr>
      <w:numPr>
        <w:ilvl w:val="3"/>
        <w:numId w:val="23"/>
      </w:numPr>
      <w:spacing w:before="0" w:after="200" w:line="276" w:lineRule="auto"/>
    </w:pPr>
    <w:rPr>
      <w:rFonts w:ascii="Arial" w:eastAsia="Calibri" w:hAnsi="Arial"/>
      <w:sz w:val="22"/>
      <w:szCs w:val="22"/>
    </w:rPr>
  </w:style>
  <w:style w:type="paragraph" w:styleId="ListNumber5">
    <w:name w:val="List Number 5"/>
    <w:basedOn w:val="Normal"/>
    <w:uiPriority w:val="99"/>
    <w:rsid w:val="00DB7D82"/>
    <w:pPr>
      <w:numPr>
        <w:ilvl w:val="4"/>
        <w:numId w:val="23"/>
      </w:numPr>
      <w:spacing w:before="0" w:after="200" w:line="276" w:lineRule="auto"/>
    </w:pPr>
    <w:rPr>
      <w:rFonts w:ascii="Arial" w:eastAsia="Calibri" w:hAnsi="Arial"/>
      <w:sz w:val="22"/>
      <w:szCs w:val="22"/>
    </w:rPr>
  </w:style>
  <w:style w:type="paragraph" w:styleId="NormalWeb">
    <w:name w:val="Normal (Web)"/>
    <w:basedOn w:val="Normal"/>
    <w:uiPriority w:val="99"/>
    <w:unhideWhenUsed/>
    <w:rsid w:val="00007320"/>
    <w:pPr>
      <w:spacing w:before="0" w:after="240"/>
    </w:pPr>
    <w:rPr>
      <w:lang w:eastAsia="en-AU"/>
    </w:rPr>
  </w:style>
  <w:style w:type="paragraph" w:styleId="ListBullet">
    <w:name w:val="List Bullet"/>
    <w:basedOn w:val="Normal"/>
    <w:uiPriority w:val="99"/>
    <w:unhideWhenUsed/>
    <w:rsid w:val="00007764"/>
    <w:pPr>
      <w:tabs>
        <w:tab w:val="num" w:pos="360"/>
      </w:tabs>
      <w:spacing w:before="0" w:after="160" w:line="259" w:lineRule="auto"/>
      <w:ind w:left="360" w:hanging="360"/>
    </w:pPr>
    <w:rPr>
      <w:rFonts w:asciiTheme="minorHAnsi" w:eastAsiaTheme="minorHAnsi" w:hAnsiTheme="minorHAnsi" w:cstheme="minorBidi"/>
      <w:sz w:val="22"/>
      <w:szCs w:val="22"/>
    </w:rPr>
  </w:style>
  <w:style w:type="paragraph" w:styleId="Revision">
    <w:name w:val="Revision"/>
    <w:hidden/>
    <w:uiPriority w:val="99"/>
    <w:semiHidden/>
    <w:rsid w:val="00BE5502"/>
    <w:pPr>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7346EC"/>
    <w:rPr>
      <w:color w:val="954F72" w:themeColor="followedHyperlink"/>
      <w:u w:val="single"/>
    </w:rPr>
  </w:style>
  <w:style w:type="character" w:customStyle="1" w:styleId="charsectno">
    <w:name w:val="charsectno"/>
    <w:basedOn w:val="DefaultParagraphFont"/>
    <w:rsid w:val="00FF40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637741">
      <w:bodyDiv w:val="1"/>
      <w:marLeft w:val="0"/>
      <w:marRight w:val="0"/>
      <w:marTop w:val="0"/>
      <w:marBottom w:val="0"/>
      <w:divBdr>
        <w:top w:val="none" w:sz="0" w:space="0" w:color="auto"/>
        <w:left w:val="none" w:sz="0" w:space="0" w:color="auto"/>
        <w:bottom w:val="none" w:sz="0" w:space="0" w:color="auto"/>
        <w:right w:val="none" w:sz="0" w:space="0" w:color="auto"/>
      </w:divBdr>
      <w:divsChild>
        <w:div w:id="827018846">
          <w:marLeft w:val="0"/>
          <w:marRight w:val="0"/>
          <w:marTop w:val="0"/>
          <w:marBottom w:val="0"/>
          <w:divBdr>
            <w:top w:val="none" w:sz="0" w:space="0" w:color="auto"/>
            <w:left w:val="none" w:sz="0" w:space="0" w:color="auto"/>
            <w:bottom w:val="none" w:sz="0" w:space="0" w:color="auto"/>
            <w:right w:val="none" w:sz="0" w:space="0" w:color="auto"/>
          </w:divBdr>
          <w:divsChild>
            <w:div w:id="81534042">
              <w:marLeft w:val="0"/>
              <w:marRight w:val="0"/>
              <w:marTop w:val="0"/>
              <w:marBottom w:val="0"/>
              <w:divBdr>
                <w:top w:val="none" w:sz="0" w:space="0" w:color="auto"/>
                <w:left w:val="none" w:sz="0" w:space="0" w:color="auto"/>
                <w:bottom w:val="none" w:sz="0" w:space="0" w:color="auto"/>
                <w:right w:val="none" w:sz="0" w:space="0" w:color="auto"/>
              </w:divBdr>
              <w:divsChild>
                <w:div w:id="177358336">
                  <w:marLeft w:val="0"/>
                  <w:marRight w:val="0"/>
                  <w:marTop w:val="0"/>
                  <w:marBottom w:val="0"/>
                  <w:divBdr>
                    <w:top w:val="none" w:sz="0" w:space="0" w:color="auto"/>
                    <w:left w:val="none" w:sz="0" w:space="0" w:color="auto"/>
                    <w:bottom w:val="none" w:sz="0" w:space="0" w:color="auto"/>
                    <w:right w:val="none" w:sz="0" w:space="0" w:color="auto"/>
                  </w:divBdr>
                  <w:divsChild>
                    <w:div w:id="1466584513">
                      <w:marLeft w:val="0"/>
                      <w:marRight w:val="0"/>
                      <w:marTop w:val="0"/>
                      <w:marBottom w:val="0"/>
                      <w:divBdr>
                        <w:top w:val="none" w:sz="0" w:space="0" w:color="auto"/>
                        <w:left w:val="none" w:sz="0" w:space="0" w:color="auto"/>
                        <w:bottom w:val="none" w:sz="0" w:space="0" w:color="auto"/>
                        <w:right w:val="none" w:sz="0" w:space="0" w:color="auto"/>
                      </w:divBdr>
                      <w:divsChild>
                        <w:div w:id="1293906103">
                          <w:marLeft w:val="0"/>
                          <w:marRight w:val="0"/>
                          <w:marTop w:val="0"/>
                          <w:marBottom w:val="0"/>
                          <w:divBdr>
                            <w:top w:val="none" w:sz="0" w:space="0" w:color="auto"/>
                            <w:left w:val="none" w:sz="0" w:space="0" w:color="auto"/>
                            <w:bottom w:val="none" w:sz="0" w:space="0" w:color="auto"/>
                            <w:right w:val="none" w:sz="0" w:space="0" w:color="auto"/>
                          </w:divBdr>
                          <w:divsChild>
                            <w:div w:id="485246643">
                              <w:marLeft w:val="0"/>
                              <w:marRight w:val="0"/>
                              <w:marTop w:val="0"/>
                              <w:marBottom w:val="0"/>
                              <w:divBdr>
                                <w:top w:val="none" w:sz="0" w:space="0" w:color="auto"/>
                                <w:left w:val="none" w:sz="0" w:space="0" w:color="auto"/>
                                <w:bottom w:val="none" w:sz="0" w:space="0" w:color="auto"/>
                                <w:right w:val="none" w:sz="0" w:space="0" w:color="auto"/>
                              </w:divBdr>
                              <w:divsChild>
                                <w:div w:id="1669013964">
                                  <w:marLeft w:val="0"/>
                                  <w:marRight w:val="0"/>
                                  <w:marTop w:val="0"/>
                                  <w:marBottom w:val="0"/>
                                  <w:divBdr>
                                    <w:top w:val="none" w:sz="0" w:space="0" w:color="auto"/>
                                    <w:left w:val="none" w:sz="0" w:space="0" w:color="auto"/>
                                    <w:bottom w:val="none" w:sz="0" w:space="0" w:color="auto"/>
                                    <w:right w:val="none" w:sz="0" w:space="0" w:color="auto"/>
                                  </w:divBdr>
                                  <w:divsChild>
                                    <w:div w:id="108379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882673">
      <w:bodyDiv w:val="1"/>
      <w:marLeft w:val="0"/>
      <w:marRight w:val="0"/>
      <w:marTop w:val="0"/>
      <w:marBottom w:val="0"/>
      <w:divBdr>
        <w:top w:val="none" w:sz="0" w:space="0" w:color="auto"/>
        <w:left w:val="none" w:sz="0" w:space="0" w:color="auto"/>
        <w:bottom w:val="none" w:sz="0" w:space="0" w:color="auto"/>
        <w:right w:val="none" w:sz="0" w:space="0" w:color="auto"/>
      </w:divBdr>
    </w:div>
    <w:div w:id="327755441">
      <w:bodyDiv w:val="1"/>
      <w:marLeft w:val="0"/>
      <w:marRight w:val="0"/>
      <w:marTop w:val="0"/>
      <w:marBottom w:val="0"/>
      <w:divBdr>
        <w:top w:val="none" w:sz="0" w:space="0" w:color="auto"/>
        <w:left w:val="none" w:sz="0" w:space="0" w:color="auto"/>
        <w:bottom w:val="none" w:sz="0" w:space="0" w:color="auto"/>
        <w:right w:val="none" w:sz="0" w:space="0" w:color="auto"/>
      </w:divBdr>
    </w:div>
    <w:div w:id="507215282">
      <w:bodyDiv w:val="1"/>
      <w:marLeft w:val="0"/>
      <w:marRight w:val="0"/>
      <w:marTop w:val="0"/>
      <w:marBottom w:val="0"/>
      <w:divBdr>
        <w:top w:val="none" w:sz="0" w:space="0" w:color="auto"/>
        <w:left w:val="none" w:sz="0" w:space="0" w:color="auto"/>
        <w:bottom w:val="none" w:sz="0" w:space="0" w:color="auto"/>
        <w:right w:val="none" w:sz="0" w:space="0" w:color="auto"/>
      </w:divBdr>
    </w:div>
    <w:div w:id="529033042">
      <w:bodyDiv w:val="1"/>
      <w:marLeft w:val="0"/>
      <w:marRight w:val="0"/>
      <w:marTop w:val="0"/>
      <w:marBottom w:val="0"/>
      <w:divBdr>
        <w:top w:val="none" w:sz="0" w:space="0" w:color="auto"/>
        <w:left w:val="none" w:sz="0" w:space="0" w:color="auto"/>
        <w:bottom w:val="none" w:sz="0" w:space="0" w:color="auto"/>
        <w:right w:val="none" w:sz="0" w:space="0" w:color="auto"/>
      </w:divBdr>
    </w:div>
    <w:div w:id="608968872">
      <w:bodyDiv w:val="1"/>
      <w:marLeft w:val="0"/>
      <w:marRight w:val="0"/>
      <w:marTop w:val="0"/>
      <w:marBottom w:val="0"/>
      <w:divBdr>
        <w:top w:val="none" w:sz="0" w:space="0" w:color="auto"/>
        <w:left w:val="none" w:sz="0" w:space="0" w:color="auto"/>
        <w:bottom w:val="none" w:sz="0" w:space="0" w:color="auto"/>
        <w:right w:val="none" w:sz="0" w:space="0" w:color="auto"/>
      </w:divBdr>
      <w:divsChild>
        <w:div w:id="1819028260">
          <w:marLeft w:val="0"/>
          <w:marRight w:val="0"/>
          <w:marTop w:val="1050"/>
          <w:marBottom w:val="0"/>
          <w:divBdr>
            <w:top w:val="none" w:sz="0" w:space="0" w:color="auto"/>
            <w:left w:val="none" w:sz="0" w:space="0" w:color="auto"/>
            <w:bottom w:val="none" w:sz="0" w:space="0" w:color="auto"/>
            <w:right w:val="none" w:sz="0" w:space="0" w:color="auto"/>
          </w:divBdr>
          <w:divsChild>
            <w:div w:id="1618027782">
              <w:marLeft w:val="0"/>
              <w:marRight w:val="0"/>
              <w:marTop w:val="0"/>
              <w:marBottom w:val="0"/>
              <w:divBdr>
                <w:top w:val="none" w:sz="0" w:space="0" w:color="auto"/>
                <w:left w:val="none" w:sz="0" w:space="0" w:color="auto"/>
                <w:bottom w:val="none" w:sz="0" w:space="0" w:color="auto"/>
                <w:right w:val="none" w:sz="0" w:space="0" w:color="auto"/>
              </w:divBdr>
              <w:divsChild>
                <w:div w:id="743841646">
                  <w:marLeft w:val="0"/>
                  <w:marRight w:val="0"/>
                  <w:marTop w:val="0"/>
                  <w:marBottom w:val="0"/>
                  <w:divBdr>
                    <w:top w:val="none" w:sz="0" w:space="0" w:color="auto"/>
                    <w:left w:val="none" w:sz="0" w:space="0" w:color="auto"/>
                    <w:bottom w:val="none" w:sz="0" w:space="0" w:color="auto"/>
                    <w:right w:val="none" w:sz="0" w:space="0" w:color="auto"/>
                  </w:divBdr>
                  <w:divsChild>
                    <w:div w:id="1205560955">
                      <w:marLeft w:val="0"/>
                      <w:marRight w:val="0"/>
                      <w:marTop w:val="0"/>
                      <w:marBottom w:val="0"/>
                      <w:divBdr>
                        <w:top w:val="none" w:sz="0" w:space="0" w:color="auto"/>
                        <w:left w:val="none" w:sz="0" w:space="0" w:color="auto"/>
                        <w:bottom w:val="none" w:sz="0" w:space="0" w:color="auto"/>
                        <w:right w:val="none" w:sz="0" w:space="0" w:color="auto"/>
                      </w:divBdr>
                      <w:divsChild>
                        <w:div w:id="146015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1940998">
      <w:bodyDiv w:val="1"/>
      <w:marLeft w:val="0"/>
      <w:marRight w:val="0"/>
      <w:marTop w:val="0"/>
      <w:marBottom w:val="0"/>
      <w:divBdr>
        <w:top w:val="none" w:sz="0" w:space="0" w:color="auto"/>
        <w:left w:val="none" w:sz="0" w:space="0" w:color="auto"/>
        <w:bottom w:val="none" w:sz="0" w:space="0" w:color="auto"/>
        <w:right w:val="none" w:sz="0" w:space="0" w:color="auto"/>
      </w:divBdr>
    </w:div>
    <w:div w:id="1031220703">
      <w:bodyDiv w:val="1"/>
      <w:marLeft w:val="0"/>
      <w:marRight w:val="0"/>
      <w:marTop w:val="0"/>
      <w:marBottom w:val="0"/>
      <w:divBdr>
        <w:top w:val="none" w:sz="0" w:space="0" w:color="auto"/>
        <w:left w:val="none" w:sz="0" w:space="0" w:color="auto"/>
        <w:bottom w:val="none" w:sz="0" w:space="0" w:color="auto"/>
        <w:right w:val="none" w:sz="0" w:space="0" w:color="auto"/>
      </w:divBdr>
    </w:div>
    <w:div w:id="1037781124">
      <w:bodyDiv w:val="1"/>
      <w:marLeft w:val="0"/>
      <w:marRight w:val="0"/>
      <w:marTop w:val="0"/>
      <w:marBottom w:val="0"/>
      <w:divBdr>
        <w:top w:val="none" w:sz="0" w:space="0" w:color="auto"/>
        <w:left w:val="none" w:sz="0" w:space="0" w:color="auto"/>
        <w:bottom w:val="none" w:sz="0" w:space="0" w:color="auto"/>
        <w:right w:val="none" w:sz="0" w:space="0" w:color="auto"/>
      </w:divBdr>
    </w:div>
    <w:div w:id="1424573882">
      <w:bodyDiv w:val="1"/>
      <w:marLeft w:val="0"/>
      <w:marRight w:val="0"/>
      <w:marTop w:val="0"/>
      <w:marBottom w:val="0"/>
      <w:divBdr>
        <w:top w:val="none" w:sz="0" w:space="0" w:color="auto"/>
        <w:left w:val="none" w:sz="0" w:space="0" w:color="auto"/>
        <w:bottom w:val="none" w:sz="0" w:space="0" w:color="auto"/>
        <w:right w:val="none" w:sz="0" w:space="0" w:color="auto"/>
      </w:divBdr>
      <w:divsChild>
        <w:div w:id="1479491817">
          <w:marLeft w:val="0"/>
          <w:marRight w:val="0"/>
          <w:marTop w:val="1050"/>
          <w:marBottom w:val="0"/>
          <w:divBdr>
            <w:top w:val="none" w:sz="0" w:space="0" w:color="auto"/>
            <w:left w:val="none" w:sz="0" w:space="0" w:color="auto"/>
            <w:bottom w:val="none" w:sz="0" w:space="0" w:color="auto"/>
            <w:right w:val="none" w:sz="0" w:space="0" w:color="auto"/>
          </w:divBdr>
          <w:divsChild>
            <w:div w:id="1433479046">
              <w:marLeft w:val="0"/>
              <w:marRight w:val="0"/>
              <w:marTop w:val="0"/>
              <w:marBottom w:val="0"/>
              <w:divBdr>
                <w:top w:val="none" w:sz="0" w:space="0" w:color="auto"/>
                <w:left w:val="none" w:sz="0" w:space="0" w:color="auto"/>
                <w:bottom w:val="none" w:sz="0" w:space="0" w:color="auto"/>
                <w:right w:val="none" w:sz="0" w:space="0" w:color="auto"/>
              </w:divBdr>
              <w:divsChild>
                <w:div w:id="929309497">
                  <w:marLeft w:val="0"/>
                  <w:marRight w:val="0"/>
                  <w:marTop w:val="0"/>
                  <w:marBottom w:val="0"/>
                  <w:divBdr>
                    <w:top w:val="none" w:sz="0" w:space="0" w:color="auto"/>
                    <w:left w:val="none" w:sz="0" w:space="0" w:color="auto"/>
                    <w:bottom w:val="none" w:sz="0" w:space="0" w:color="auto"/>
                    <w:right w:val="none" w:sz="0" w:space="0" w:color="auto"/>
                  </w:divBdr>
                  <w:divsChild>
                    <w:div w:id="2120952656">
                      <w:marLeft w:val="0"/>
                      <w:marRight w:val="0"/>
                      <w:marTop w:val="0"/>
                      <w:marBottom w:val="0"/>
                      <w:divBdr>
                        <w:top w:val="none" w:sz="0" w:space="0" w:color="auto"/>
                        <w:left w:val="none" w:sz="0" w:space="0" w:color="auto"/>
                        <w:bottom w:val="none" w:sz="0" w:space="0" w:color="auto"/>
                        <w:right w:val="none" w:sz="0" w:space="0" w:color="auto"/>
                      </w:divBdr>
                      <w:divsChild>
                        <w:div w:id="71797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849226">
      <w:bodyDiv w:val="1"/>
      <w:marLeft w:val="0"/>
      <w:marRight w:val="0"/>
      <w:marTop w:val="0"/>
      <w:marBottom w:val="0"/>
      <w:divBdr>
        <w:top w:val="none" w:sz="0" w:space="0" w:color="auto"/>
        <w:left w:val="none" w:sz="0" w:space="0" w:color="auto"/>
        <w:bottom w:val="none" w:sz="0" w:space="0" w:color="auto"/>
        <w:right w:val="none" w:sz="0" w:space="0" w:color="auto"/>
      </w:divBdr>
      <w:divsChild>
        <w:div w:id="721250808">
          <w:marLeft w:val="0"/>
          <w:marRight w:val="0"/>
          <w:marTop w:val="0"/>
          <w:marBottom w:val="0"/>
          <w:divBdr>
            <w:top w:val="single" w:sz="48" w:space="23" w:color="004A7F"/>
            <w:left w:val="none" w:sz="0" w:space="0" w:color="auto"/>
            <w:bottom w:val="single" w:sz="48" w:space="0" w:color="004A7F"/>
            <w:right w:val="none" w:sz="0" w:space="0" w:color="auto"/>
          </w:divBdr>
          <w:divsChild>
            <w:div w:id="1950120953">
              <w:marLeft w:val="-225"/>
              <w:marRight w:val="-225"/>
              <w:marTop w:val="0"/>
              <w:marBottom w:val="0"/>
              <w:divBdr>
                <w:top w:val="none" w:sz="0" w:space="0" w:color="auto"/>
                <w:left w:val="none" w:sz="0" w:space="0" w:color="auto"/>
                <w:bottom w:val="none" w:sz="0" w:space="0" w:color="auto"/>
                <w:right w:val="none" w:sz="0" w:space="0" w:color="auto"/>
              </w:divBdr>
              <w:divsChild>
                <w:div w:id="1174347134">
                  <w:marLeft w:val="0"/>
                  <w:marRight w:val="0"/>
                  <w:marTop w:val="0"/>
                  <w:marBottom w:val="0"/>
                  <w:divBdr>
                    <w:top w:val="none" w:sz="0" w:space="0" w:color="auto"/>
                    <w:left w:val="none" w:sz="0" w:space="0" w:color="auto"/>
                    <w:bottom w:val="none" w:sz="0" w:space="0" w:color="auto"/>
                    <w:right w:val="none" w:sz="0" w:space="0" w:color="auto"/>
                  </w:divBdr>
                  <w:divsChild>
                    <w:div w:id="3343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241863">
      <w:bodyDiv w:val="1"/>
      <w:marLeft w:val="0"/>
      <w:marRight w:val="0"/>
      <w:marTop w:val="0"/>
      <w:marBottom w:val="0"/>
      <w:divBdr>
        <w:top w:val="none" w:sz="0" w:space="0" w:color="auto"/>
        <w:left w:val="none" w:sz="0" w:space="0" w:color="auto"/>
        <w:bottom w:val="none" w:sz="0" w:space="0" w:color="auto"/>
        <w:right w:val="none" w:sz="0" w:space="0" w:color="auto"/>
      </w:divBdr>
    </w:div>
    <w:div w:id="1873612711">
      <w:bodyDiv w:val="1"/>
      <w:marLeft w:val="0"/>
      <w:marRight w:val="0"/>
      <w:marTop w:val="0"/>
      <w:marBottom w:val="0"/>
      <w:divBdr>
        <w:top w:val="none" w:sz="0" w:space="0" w:color="auto"/>
        <w:left w:val="none" w:sz="0" w:space="0" w:color="auto"/>
        <w:bottom w:val="none" w:sz="0" w:space="0" w:color="auto"/>
        <w:right w:val="none" w:sz="0" w:space="0" w:color="auto"/>
      </w:divBdr>
      <w:divsChild>
        <w:div w:id="1170097650">
          <w:marLeft w:val="0"/>
          <w:marRight w:val="0"/>
          <w:marTop w:val="0"/>
          <w:marBottom w:val="0"/>
          <w:divBdr>
            <w:top w:val="single" w:sz="48" w:space="23" w:color="004A7F"/>
            <w:left w:val="none" w:sz="0" w:space="0" w:color="auto"/>
            <w:bottom w:val="single" w:sz="48" w:space="0" w:color="004A7F"/>
            <w:right w:val="none" w:sz="0" w:space="0" w:color="auto"/>
          </w:divBdr>
          <w:divsChild>
            <w:div w:id="944724837">
              <w:marLeft w:val="-225"/>
              <w:marRight w:val="-225"/>
              <w:marTop w:val="0"/>
              <w:marBottom w:val="0"/>
              <w:divBdr>
                <w:top w:val="none" w:sz="0" w:space="0" w:color="auto"/>
                <w:left w:val="none" w:sz="0" w:space="0" w:color="auto"/>
                <w:bottom w:val="none" w:sz="0" w:space="0" w:color="auto"/>
                <w:right w:val="none" w:sz="0" w:space="0" w:color="auto"/>
              </w:divBdr>
              <w:divsChild>
                <w:div w:id="442382758">
                  <w:marLeft w:val="0"/>
                  <w:marRight w:val="0"/>
                  <w:marTop w:val="0"/>
                  <w:marBottom w:val="0"/>
                  <w:divBdr>
                    <w:top w:val="none" w:sz="0" w:space="0" w:color="auto"/>
                    <w:left w:val="none" w:sz="0" w:space="0" w:color="auto"/>
                    <w:bottom w:val="none" w:sz="0" w:space="0" w:color="auto"/>
                    <w:right w:val="none" w:sz="0" w:space="0" w:color="auto"/>
                  </w:divBdr>
                  <w:divsChild>
                    <w:div w:id="15698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566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ochub/div/sectoralgrowthpolicy/businessfunctions/buildingindustrypolicymanagement/buildingindustrypolicyissues/docs/www.abcb.gov.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industry.gov.au/sites/default/files/2019-07/bmf-communique-18-july-20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147BCF96234C4F88189F5C12E1DFB5" ma:contentTypeVersion="29" ma:contentTypeDescription="Create a new document." ma:contentTypeScope="" ma:versionID="283c6c8e49767abdc54fd68151216980">
  <xsd:schema xmlns:xsd="http://www.w3.org/2001/XMLSchema" xmlns:xs="http://www.w3.org/2001/XMLSchema" xmlns:p="http://schemas.microsoft.com/office/2006/metadata/properties" xmlns:ns1="http://schemas.microsoft.com/sharepoint/v3" xmlns:ns2="498945f5-0448-4b4c-97d9-fcd4d7a5a1b1" xmlns:ns3="http://schemas.microsoft.com/sharepoint/v4" targetNamespace="http://schemas.microsoft.com/office/2006/metadata/properties" ma:root="true" ma:fieldsID="0f1d729e3d7b96b47dffbe75385b9def" ns1:_="" ns2:_="" ns3:_="">
    <xsd:import namespace="http://schemas.microsoft.com/sharepoint/v3"/>
    <xsd:import namespace="498945f5-0448-4b4c-97d9-fcd4d7a5a1b1"/>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a25a1a23adf4c92a153145de6afe324" minOccurs="0"/>
                <xsd:element ref="ns2:TaxCatchAll" minOccurs="0"/>
                <xsd:element ref="ns2:pe2555c81638466f9eb614edb9ecde52" minOccurs="0"/>
                <xsd:element ref="ns2:g7bcb40ba23249a78edca7d43a67c1c9" minOccurs="0"/>
                <xsd:element ref="ns2:adb9bed2e36e4a93af574aeb444da63e" minOccurs="0"/>
                <xsd:element ref="ns2:n99e4c9942c6404eb103464a00e6097b" minOccurs="0"/>
                <xsd:element ref="ns1:Comments" minOccurs="0"/>
                <xsd:element ref="ns2:DocHub_PDMSNumber" minOccurs="0"/>
                <xsd:element ref="ns2:h562caa41cd8435eb8b6f0bdc23e20a9" minOccurs="0"/>
                <xsd:element ref="ns2:ccb99dc9f08a42648d3c9cc38ac4e7e1" minOccurs="0"/>
                <xsd:element ref="ns2:jffd395a7291496faaefad93e123a102" minOccurs="0"/>
                <xsd:element ref="ns2:f3c15194519446c1ae7c79cc9b01c009" minOccurs="0"/>
                <xsd:element ref="ns2:SharedWithUsers"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22"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8945f5-0448-4b4c-97d9-fcd4d7a5a1b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a25a1a23adf4c92a153145de6afe324" ma:index="12" ma:taxonomy="true" ma:internalName="aa25a1a23adf4c92a153145de6afe324" ma:taxonomyFieldName="DocHub_SecurityClassification" ma:displayName="Security Classification" ma:fieldId="{aa25a1a2-3adf-4c92-a153-145de6afe324}" ma:sspId="fb0313f7-9433-48c0-866e-9e0bbee59a50" ma:termSetId="f68a6a0b-bd85-4d9d-9c73-c45af096016b"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32c53e56-ba7a-482a-8980-6f177a156077}" ma:internalName="TaxCatchAll" ma:showField="CatchAllData" ma:web="498945f5-0448-4b4c-97d9-fcd4d7a5a1b1">
      <xsd:complexType>
        <xsd:complexContent>
          <xsd:extension base="dms:MultiChoiceLookup">
            <xsd:sequence>
              <xsd:element name="Value" type="dms:Lookup" maxOccurs="unbounded" minOccurs="0" nillable="true"/>
            </xsd:sequence>
          </xsd:extension>
        </xsd:complexContent>
      </xsd:complexType>
    </xsd:element>
    <xsd:element name="pe2555c81638466f9eb614edb9ecde52" ma:index="15" ma:taxonomy="true" ma:internalName="pe2555c81638466f9eb614edb9ecde52" ma:taxonomyFieldName="DocHub_DocumentType" ma:displayName="Document Type" ma:indexed="true" ma:fieldId="{9e2555c8-1638-466f-9eb6-14edb9ecde52}" ma:sspId="fb0313f7-9433-48c0-866e-9e0bbee59a50" ma:termSetId="0e4c18c5-28eb-4f9e-8056-b3cddd4b5d9b" ma:anchorId="00000000-0000-0000-0000-000000000000" ma:open="false" ma:isKeyword="false">
      <xsd:complexType>
        <xsd:sequence>
          <xsd:element ref="pc:Terms" minOccurs="0" maxOccurs="1"/>
        </xsd:sequence>
      </xsd:complexType>
    </xsd:element>
    <xsd:element name="g7bcb40ba23249a78edca7d43a67c1c9" ma:index="17" nillable="true" ma:taxonomy="true" ma:internalName="g7bcb40ba23249a78edca7d43a67c1c9" ma:taxonomyFieldName="DocHub_WorkActivity" ma:displayName="Work Activity" ma:indexed="true" ma:fieldId="{07bcb40b-a232-49a7-8edc-a7d43a67c1c9}" ma:sspId="fb0313f7-9433-48c0-866e-9e0bbee59a50" ma:termSetId="6713ebbd-194a-499f-ab84-a4d70e145fb7" ma:anchorId="00000000-0000-0000-0000-000000000000" ma:open="false" ma:isKeyword="false">
      <xsd:complexType>
        <xsd:sequence>
          <xsd:element ref="pc:Terms" minOccurs="0" maxOccurs="1"/>
        </xsd:sequence>
      </xsd:complexType>
    </xsd:element>
    <xsd:element name="adb9bed2e36e4a93af574aeb444da63e" ma:index="19" nillable="true" ma:taxonomy="true" ma:internalName="adb9bed2e36e4a93af574aeb444da63e" ma:taxonomyFieldName="DocHub_Keywords" ma:displayName="Division Keywords" ma:fieldId="{adb9bed2-e36e-4a93-af57-4aeb444da63e}" ma:taxonomyMulti="true" ma:sspId="fb0313f7-9433-48c0-866e-9e0bbee59a50" ma:termSetId="2bfc713d-067c-4d39-b284-75f65e0f335d" ma:anchorId="00000000-0000-0000-0000-000000000000" ma:open="true" ma:isKeyword="false">
      <xsd:complexType>
        <xsd:sequence>
          <xsd:element ref="pc:Terms" minOccurs="0" maxOccurs="1"/>
        </xsd:sequence>
      </xsd:complexType>
    </xsd:element>
    <xsd:element name="n99e4c9942c6404eb103464a00e6097b" ma:index="21" nillable="true" ma:taxonomy="true" ma:internalName="n99e4c9942c6404eb103464a00e6097b" ma:taxonomyFieldName="DocHub_Year" ma:displayName="Year" ma:indexed="true" ma:fieldId="{799e4c99-42c6-404e-b103-464a00e6097b}" ma:sspId="fb0313f7-9433-48c0-866e-9e0bbee59a50" ma:termSetId="07e1743d-d980-4fe7-a67d-b87ecf7f18f6" ma:anchorId="00000000-0000-0000-0000-000000000000" ma:open="false" ma:isKeyword="false">
      <xsd:complexType>
        <xsd:sequence>
          <xsd:element ref="pc:Terms" minOccurs="0" maxOccurs="1"/>
        </xsd:sequence>
      </xsd:complexType>
    </xsd:element>
    <xsd:element name="DocHub_PDMSNumber" ma:index="23" nillable="true" ma:displayName="PDMS Number" ma:description="Parliamentary Document Management System (PDMS) Reference Number" ma:internalName="DocHub_PDMSNumber">
      <xsd:simpleType>
        <xsd:restriction base="dms:Text">
          <xsd:maxLength value="255"/>
        </xsd:restriction>
      </xsd:simpleType>
    </xsd:element>
    <xsd:element name="h562caa41cd8435eb8b6f0bdc23e20a9" ma:index="24" nillable="true" ma:taxonomy="true" ma:internalName="h562caa41cd8435eb8b6f0bdc23e20a9" ma:taxonomyFieldName="DocHub_BriefingCorrespondenceType" ma:displayName="Briefing / Correspondence Type" ma:indexed="true" ma:fieldId="{1562caa4-1cd8-435e-b8b6-f0bdc23e20a9}" ma:sspId="fb0313f7-9433-48c0-866e-9e0bbee59a50" ma:termSetId="caaae84e-cb57-45e4-b635-a2aae71a9e6c" ma:anchorId="00000000-0000-0000-0000-000000000000" ma:open="false" ma:isKeyword="false">
      <xsd:complexType>
        <xsd:sequence>
          <xsd:element ref="pc:Terms" minOccurs="0" maxOccurs="1"/>
        </xsd:sequence>
      </xsd:complexType>
    </xsd:element>
    <xsd:element name="ccb99dc9f08a42648d3c9cc38ac4e7e1" ma:index="28" nillable="true" ma:taxonomy="true" ma:internalName="ccb99dc9f08a42648d3c9cc38ac4e7e1" ma:taxonomyFieldName="DocHub_Topic" ma:displayName="Work Topic" ma:indexed="true" ma:default="" ma:fieldId="{ccb99dc9-f08a-4264-8d3c-9cc38ac4e7e1}" ma:sspId="fb0313f7-9433-48c0-866e-9e0bbee59a50" ma:termSetId="831db4c2-964f-4bd2-8bab-2703a13df8cd" ma:anchorId="00000000-0000-0000-0000-000000000000" ma:open="false" ma:isKeyword="false">
      <xsd:complexType>
        <xsd:sequence>
          <xsd:element ref="pc:Terms" minOccurs="0" maxOccurs="1"/>
        </xsd:sequence>
      </xsd:complexType>
    </xsd:element>
    <xsd:element name="jffd395a7291496faaefad93e123a102" ma:index="30" nillable="true" ma:taxonomy="true" ma:internalName="jffd395a7291496faaefad93e123a102" ma:taxonomyFieldName="DocHub_Forums_x002F_Committees" ma:displayName="Forums / Committees" ma:indexed="true" ma:default="" ma:fieldId="{3ffd395a-7291-496f-aaef-ad93e123a102}" ma:sspId="fb0313f7-9433-48c0-866e-9e0bbee59a50" ma:termSetId="a4fcc36f-70d3-4f3a-b836-1533657d0178" ma:anchorId="00000000-0000-0000-0000-000000000000" ma:open="false" ma:isKeyword="false">
      <xsd:complexType>
        <xsd:sequence>
          <xsd:element ref="pc:Terms" minOccurs="0" maxOccurs="1"/>
        </xsd:sequence>
      </xsd:complexType>
    </xsd:element>
    <xsd:element name="f3c15194519446c1ae7c79cc9b01c009" ma:index="32" nillable="true" ma:taxonomy="true" ma:internalName="f3c15194519446c1ae7c79cc9b01c009" ma:taxonomyFieldName="DocHub_BuildingIndustryMinisters" ma:displayName="Minister" ma:indexed="true" ma:default="" ma:fieldId="{f3c15194-5194-46c1-ae7c-79cc9b01c009}" ma:sspId="fb0313f7-9433-48c0-866e-9e0bbee59a50" ma:termSetId="6626e42a-a0d3-4b7d-ad8b-2bc7b868d136" ma:anchorId="00000000-0000-0000-0000-000000000000" ma:open="false" ma:isKeyword="false">
      <xsd:complexType>
        <xsd:sequence>
          <xsd:element ref="pc:Terms" minOccurs="0" maxOccurs="1"/>
        </xsd:sequence>
      </xsd:complexType>
    </xsd:element>
    <xsd:element name="SharedWithUsers" ma:index="3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pe2555c81638466f9eb614edb9ecde52 xmlns="498945f5-0448-4b4c-97d9-fcd4d7a5a1b1">
      <Terms xmlns="http://schemas.microsoft.com/office/infopath/2007/PartnerControls">
        <TermInfo xmlns="http://schemas.microsoft.com/office/infopath/2007/PartnerControls">
          <TermName xmlns="http://schemas.microsoft.com/office/infopath/2007/PartnerControls">Response</TermName>
          <TermId xmlns="http://schemas.microsoft.com/office/infopath/2007/PartnerControls">7897ed89-a3ff-48a8-b822-42f8261dd490</TermId>
        </TermInfo>
      </Terms>
    </pe2555c81638466f9eb614edb9ecde52>
    <TaxCatchAll xmlns="498945f5-0448-4b4c-97d9-fcd4d7a5a1b1">
      <Value>1376</Value>
      <Value>1427</Value>
      <Value>2308</Value>
      <Value>454</Value>
      <Value>543</Value>
      <Value>1489</Value>
      <Value>25</Value>
      <Value>329</Value>
      <Value>2606</Value>
      <Value>190</Value>
      <Value>2023</Value>
    </TaxCatchAll>
    <ccb99dc9f08a42648d3c9cc38ac4e7e1 xmlns="498945f5-0448-4b4c-97d9-fcd4d7a5a1b1">
      <Terms xmlns="http://schemas.microsoft.com/office/infopath/2007/PartnerControls">
        <TermInfo xmlns="http://schemas.microsoft.com/office/infopath/2007/PartnerControls">
          <TermName xmlns="http://schemas.microsoft.com/office/infopath/2007/PartnerControls">Non-Conforming Building Products</TermName>
          <TermId xmlns="http://schemas.microsoft.com/office/infopath/2007/PartnerControls">6690e34e-0486-42b0-8ac2-b7f591dff320</TermId>
        </TermInfo>
      </Terms>
    </ccb99dc9f08a42648d3c9cc38ac4e7e1>
    <IconOverlay xmlns="http://schemas.microsoft.com/sharepoint/v4" xsi:nil="true"/>
    <g7bcb40ba23249a78edca7d43a67c1c9 xmlns="498945f5-0448-4b4c-97d9-fcd4d7a5a1b1">
      <Terms xmlns="http://schemas.microsoft.com/office/infopath/2007/PartnerControls">
        <TermInfo xmlns="http://schemas.microsoft.com/office/infopath/2007/PartnerControls">
          <TermName xmlns="http://schemas.microsoft.com/office/infopath/2007/PartnerControls">Inquiry</TermName>
          <TermId xmlns="http://schemas.microsoft.com/office/infopath/2007/PartnerControls">cba4782b-1293-4dd5-99db-34982ee38822</TermId>
        </TermInfo>
      </Terms>
    </g7bcb40ba23249a78edca7d43a67c1c9>
    <jffd395a7291496faaefad93e123a102 xmlns="498945f5-0448-4b4c-97d9-fcd4d7a5a1b1">
      <Terms xmlns="http://schemas.microsoft.com/office/infopath/2007/PartnerControls"/>
    </jffd395a7291496faaefad93e123a102>
    <h562caa41cd8435eb8b6f0bdc23e20a9 xmlns="498945f5-0448-4b4c-97d9-fcd4d7a5a1b1">
      <Terms xmlns="http://schemas.microsoft.com/office/infopath/2007/PartnerControls">
        <TermInfo xmlns="http://schemas.microsoft.com/office/infopath/2007/PartnerControls">
          <TermName xmlns="http://schemas.microsoft.com/office/infopath/2007/PartnerControls">Ministerial Brief</TermName>
          <TermId xmlns="http://schemas.microsoft.com/office/infopath/2007/PartnerControls">41499136-5c42-4d85-bd48-d02f3358268b</TermId>
        </TermInfo>
      </Terms>
    </h562caa41cd8435eb8b6f0bdc23e20a9>
    <n99e4c9942c6404eb103464a00e6097b xmlns="498945f5-0448-4b4c-97d9-fcd4d7a5a1b1">
      <Terms xmlns="http://schemas.microsoft.com/office/infopath/2007/PartnerControls">
        <TermInfo xmlns="http://schemas.microsoft.com/office/infopath/2007/PartnerControls">
          <TermName xmlns="http://schemas.microsoft.com/office/infopath/2007/PartnerControls">2020</TermName>
          <TermId xmlns="http://schemas.microsoft.com/office/infopath/2007/PartnerControls">6a3660c5-15bd-4052-a0a1-6237663b7600</TermId>
        </TermInfo>
      </Terms>
    </n99e4c9942c6404eb103464a00e6097b>
    <adb9bed2e36e4a93af574aeb444da63e xmlns="498945f5-0448-4b4c-97d9-fcd4d7a5a1b1">
      <Terms xmlns="http://schemas.microsoft.com/office/infopath/2007/PartnerControls">
        <TermInfo xmlns="http://schemas.microsoft.com/office/infopath/2007/PartnerControls">
          <TermName xmlns="http://schemas.microsoft.com/office/infopath/2007/PartnerControls">Senate Inquiry</TermName>
          <TermId xmlns="http://schemas.microsoft.com/office/infopath/2007/PartnerControls">204d2ed0-a635-48f2-9567-a85ebbaaa29a</TermId>
        </TermInfo>
        <TermInfo xmlns="http://schemas.microsoft.com/office/infopath/2007/PartnerControls">
          <TermName xmlns="http://schemas.microsoft.com/office/infopath/2007/PartnerControls">Government Response</TermName>
          <TermId xmlns="http://schemas.microsoft.com/office/infopath/2007/PartnerControls">e77f92c4-9416-4cb8-a492-20b9474ea472</TermId>
        </TermInfo>
        <TermInfo xmlns="http://schemas.microsoft.com/office/infopath/2007/PartnerControls">
          <TermName xmlns="http://schemas.microsoft.com/office/infopath/2007/PartnerControls">cladding</TermName>
          <TermId xmlns="http://schemas.microsoft.com/office/infopath/2007/PartnerControls">b89ab45f-d80e-4ed9-9dc8-ea1cec8cf0cb</TermId>
        </TermInfo>
        <TermInfo xmlns="http://schemas.microsoft.com/office/infopath/2007/PartnerControls">
          <TermName xmlns="http://schemas.microsoft.com/office/infopath/2007/PartnerControls">ACP</TermName>
          <TermId xmlns="http://schemas.microsoft.com/office/infopath/2007/PartnerControls">3f336c68-cead-4047-aa13-b7e9d7c18be5</TermId>
        </TermInfo>
      </Terms>
    </adb9bed2e36e4a93af574aeb444da63e>
    <DocHub_PDMSNumber xmlns="498945f5-0448-4b4c-97d9-fcd4d7a5a1b1">MC20-001495</DocHub_PDMSNumber>
    <aa25a1a23adf4c92a153145de6afe324 xmlns="498945f5-0448-4b4c-97d9-fcd4d7a5a1b1">
      <Terms xmlns="http://schemas.microsoft.com/office/infopath/2007/PartnerControls">
        <TermInfo xmlns="http://schemas.microsoft.com/office/infopath/2007/PartnerControls">
          <TermName xmlns="http://schemas.microsoft.com/office/infopath/2007/PartnerControls">For Official Use Only</TermName>
          <TermId xmlns="http://schemas.microsoft.com/office/infopath/2007/PartnerControls">11f6fb0b-52ce-4109-8f7f-521b2a62f692</TermId>
        </TermInfo>
      </Terms>
    </aa25a1a23adf4c92a153145de6afe324>
    <Comments xmlns="http://schemas.microsoft.com/sharepoint/v3">Final approved Government response (approved by Assistant Minister Morton)</Comments>
    <f3c15194519446c1ae7c79cc9b01c009 xmlns="498945f5-0448-4b4c-97d9-fcd4d7a5a1b1">
      <Terms xmlns="http://schemas.microsoft.com/office/infopath/2007/PartnerControls">
        <TermInfo xmlns="http://schemas.microsoft.com/office/infopath/2007/PartnerControls">
          <TermName xmlns="http://schemas.microsoft.com/office/infopath/2007/PartnerControls">Andrews</TermName>
          <TermId xmlns="http://schemas.microsoft.com/office/infopath/2007/PartnerControls">799a6b15-b5c7-4f7c-9fef-9f9c4b14013e</TermId>
        </TermInfo>
      </Terms>
    </f3c15194519446c1ae7c79cc9b01c009>
    <_dlc_DocId xmlns="498945f5-0448-4b4c-97d9-fcd4d7a5a1b1">A3PSR54DD4M5-206227225-2386</_dlc_DocId>
    <_dlc_DocIdUrl xmlns="498945f5-0448-4b4c-97d9-fcd4d7a5a1b1">
      <Url>https://dochub/div/sectoralgrowthpolicy/businessfunctions/buildingindustrypolicymanagement/buildingindustrypolicyissues/_layouts/15/DocIdRedir.aspx?ID=A3PSR54DD4M5-206227225-2386</Url>
      <Description>A3PSR54DD4M5-206227225-2386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0B50A6-AD7A-49B2-BBF4-A7FFECFA48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98945f5-0448-4b4c-97d9-fcd4d7a5a1b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986084-04B5-426F-9E82-E71531ED18FA}">
  <ds:schemaRefs>
    <ds:schemaRef ds:uri="http://schemas.microsoft.com/sharepoint/events"/>
  </ds:schemaRefs>
</ds:datastoreItem>
</file>

<file path=customXml/itemProps3.xml><?xml version="1.0" encoding="utf-8"?>
<ds:datastoreItem xmlns:ds="http://schemas.openxmlformats.org/officeDocument/2006/customXml" ds:itemID="{7EC1E221-A5DC-4831-BFD4-225AEAEF7169}">
  <ds:schemaRefs>
    <ds:schemaRef ds:uri="http://purl.org/dc/elements/1.1/"/>
    <ds:schemaRef ds:uri="http://schemas.microsoft.com/office/2006/metadata/properties"/>
    <ds:schemaRef ds:uri="http://schemas.microsoft.com/sharepoint/v3"/>
    <ds:schemaRef ds:uri="http://schemas.microsoft.com/sharepoint/v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98945f5-0448-4b4c-97d9-fcd4d7a5a1b1"/>
    <ds:schemaRef ds:uri="http://www.w3.org/XML/1998/namespace"/>
    <ds:schemaRef ds:uri="http://purl.org/dc/dcmitype/"/>
  </ds:schemaRefs>
</ds:datastoreItem>
</file>

<file path=customXml/itemProps4.xml><?xml version="1.0" encoding="utf-8"?>
<ds:datastoreItem xmlns:ds="http://schemas.openxmlformats.org/officeDocument/2006/customXml" ds:itemID="{AC85D343-576F-471F-AD75-837BAACE186D}">
  <ds:schemaRefs>
    <ds:schemaRef ds:uri="http://schemas.microsoft.com/sharepoint/v3/contenttype/forms"/>
  </ds:schemaRefs>
</ds:datastoreItem>
</file>

<file path=customXml/itemProps5.xml><?xml version="1.0" encoding="utf-8"?>
<ds:datastoreItem xmlns:ds="http://schemas.openxmlformats.org/officeDocument/2006/customXml" ds:itemID="{C1513BB9-AC95-4E86-B9EC-ADB6BB957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9</Pages>
  <Words>3771</Words>
  <Characters>20860</Characters>
  <Application>Microsoft Office Word</Application>
  <DocSecurity>0</DocSecurity>
  <Lines>353</Lines>
  <Paragraphs>132</Paragraphs>
  <ScaleCrop>false</ScaleCrop>
  <HeadingPairs>
    <vt:vector size="2" baseType="variant">
      <vt:variant>
        <vt:lpstr>Title</vt:lpstr>
      </vt:variant>
      <vt:variant>
        <vt:i4>1</vt:i4>
      </vt:variant>
    </vt:vector>
  </HeadingPairs>
  <TitlesOfParts>
    <vt:vector size="1" baseType="lpstr">
      <vt:lpstr/>
    </vt:vector>
  </TitlesOfParts>
  <Company>Department of Industry, Innovation and Science</Company>
  <LinksUpToDate>false</LinksUpToDate>
  <CharactersWithSpaces>24499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 Rodney</dc:creator>
  <cp:keywords/>
  <dc:description/>
  <cp:lastModifiedBy>Irvin, Andie</cp:lastModifiedBy>
  <cp:revision>4</cp:revision>
  <cp:lastPrinted>2020-03-11T00:15:00Z</cp:lastPrinted>
  <dcterms:created xsi:type="dcterms:W3CDTF">2020-03-11T00:15:00Z</dcterms:created>
  <dcterms:modified xsi:type="dcterms:W3CDTF">2020-04-23T04:08:00Z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0x010100BA147BCF96234C4F88189F5C12E1DFB5</vt:lpwstr>
  </property>
  <property fmtid="{D5CDD505-2E9C-101B-9397-08002B2CF9AE}" pid="3" name="_dlc_DocIdItemGuid">
    <vt:lpwstr>865bb089-69d4-4cd9-a506-6b815dc3efab</vt:lpwstr>
  </property>
  <property fmtid="{D5CDD505-2E9C-101B-9397-08002B2CF9AE}" pid="4" name="DocHub_Year">
    <vt:lpwstr>2606;#2020|6a3660c5-15bd-4052-a0a1-6237663b7600</vt:lpwstr>
  </property>
  <property fmtid="{D5CDD505-2E9C-101B-9397-08002B2CF9AE}" pid="5" name="DocHub_DocumentType">
    <vt:lpwstr>190;#Response|7897ed89-a3ff-48a8-b822-42f8261dd490</vt:lpwstr>
  </property>
  <property fmtid="{D5CDD505-2E9C-101B-9397-08002B2CF9AE}" pid="6" name="DocHub_SecurityClassification">
    <vt:lpwstr>25;#For Official Use Only|11f6fb0b-52ce-4109-8f7f-521b2a62f692</vt:lpwstr>
  </property>
  <property fmtid="{D5CDD505-2E9C-101B-9397-08002B2CF9AE}" pid="7" name="DocHub_Keywords">
    <vt:lpwstr>1489;#Senate Inquiry|204d2ed0-a635-48f2-9567-a85ebbaaa29a;#329;#Government Response|e77f92c4-9416-4cb8-a492-20b9474ea472;#1376;#cladding|b89ab45f-d80e-4ed9-9dc8-ea1cec8cf0cb;#1427;#ACP|3f336c68-cead-4047-aa13-b7e9d7c18be5</vt:lpwstr>
  </property>
  <property fmtid="{D5CDD505-2E9C-101B-9397-08002B2CF9AE}" pid="8" name="DocHub_BriefingCorrespondenceType">
    <vt:lpwstr>543;#Ministerial Brief|41499136-5c42-4d85-bd48-d02f3358268b</vt:lpwstr>
  </property>
  <property fmtid="{D5CDD505-2E9C-101B-9397-08002B2CF9AE}" pid="9" name="DocHub_WorkActivity">
    <vt:lpwstr>454;#Inquiry|cba4782b-1293-4dd5-99db-34982ee38822</vt:lpwstr>
  </property>
  <property fmtid="{D5CDD505-2E9C-101B-9397-08002B2CF9AE}" pid="10" name="DocHub_Topic">
    <vt:lpwstr>2023;#Non-Conforming Building Products|6690e34e-0486-42b0-8ac2-b7f591dff320</vt:lpwstr>
  </property>
  <property fmtid="{D5CDD505-2E9C-101B-9397-08002B2CF9AE}" pid="11" name="DocHub_Forums/Committees">
    <vt:lpwstr/>
  </property>
  <property fmtid="{D5CDD505-2E9C-101B-9397-08002B2CF9AE}" pid="12" name="DocHub_BuildingIndustryMinisters">
    <vt:lpwstr>2308;#Andrews|799a6b15-b5c7-4f7c-9fef-9f9c4b14013e</vt:lpwstr>
  </property>
</Properties>
</file>