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C803EC" w:rsidP="005F5BFE">
      <w:pPr>
        <w:spacing w:before="360"/>
        <w:ind w:right="95"/>
        <w:jc w:val="center"/>
      </w:pPr>
      <w:r>
        <w:rPr>
          <w:caps/>
          <w:noProof/>
        </w:rPr>
        <w:drawing>
          <wp:inline distT="0" distB="0" distL="0" distR="0" wp14:anchorId="7F388D1B" wp14:editId="378A5040">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1A9A54F7" w:rsidR="002A31E6" w:rsidRPr="00AD043B" w:rsidRDefault="00C803EC" w:rsidP="00AD043B">
      <w:pPr>
        <w:pStyle w:val="CoverTitleMain"/>
      </w:pPr>
      <w:r w:rsidRPr="00AD043B">
        <w:t xml:space="preserve">Australian Government response to the </w:t>
      </w:r>
      <w:sdt>
        <w:sdtPr>
          <w:rPr>
            <w:rStyle w:val="commiChar"/>
          </w:rPr>
          <w:alias w:val="Committee Type"/>
          <w:tag w:val="CommitteeType"/>
          <w:id w:val="-551847750"/>
          <w:placeholder>
            <w:docPart w:val="8656F8A7C77145CBAF61E28C2658706A"/>
          </w:placeholder>
        </w:sdtPr>
        <w:sdtEndPr>
          <w:rPr>
            <w:rStyle w:val="DefaultParagraphFont"/>
          </w:rPr>
        </w:sdtEndPr>
        <w:sdtContent>
          <w:r w:rsidRPr="00AD043B">
            <w:t>Senate</w:t>
          </w:r>
          <w:r w:rsidR="00315A89">
            <w:t> </w:t>
          </w:r>
          <w:r w:rsidR="00D64599" w:rsidRPr="00AD043B">
            <w:t xml:space="preserve">Economics References </w:t>
          </w:r>
          <w:r w:rsidRPr="00AD043B">
            <w:t>Committee</w:t>
          </w:r>
        </w:sdtContent>
      </w:sdt>
      <w:r w:rsidR="00D64599" w:rsidRPr="00AD043B">
        <w:rPr>
          <w:rStyle w:val="commiChar"/>
        </w:rPr>
        <w:t xml:space="preserve"> </w:t>
      </w:r>
      <w:r w:rsidR="00D26D9F" w:rsidRPr="00AD043B">
        <w:rPr>
          <w:rStyle w:val="commiChar"/>
        </w:rPr>
        <w:t xml:space="preserve">final </w:t>
      </w:r>
      <w:r w:rsidRPr="00AD043B">
        <w:t>report:</w:t>
      </w:r>
    </w:p>
    <w:bookmarkStart w:id="0" w:name="_Hlk202798966"/>
    <w:p w14:paraId="06B4A7B1" w14:textId="3B429964" w:rsidR="002A31E6" w:rsidRPr="00AD043B" w:rsidRDefault="00D07F98" w:rsidP="00AD043B">
      <w:pPr>
        <w:pStyle w:val="CoverTitleMain"/>
        <w:spacing w:before="240" w:after="7800"/>
      </w:pPr>
      <w:sdt>
        <w:sdtPr>
          <w:rPr>
            <w:rStyle w:val="commiChar"/>
          </w:rPr>
          <w:alias w:val="Report Title"/>
          <w:tag w:val="ReportTitle"/>
          <w:id w:val="160520125"/>
          <w:placeholder>
            <w:docPart w:val="749CD8EB45014960823471CA5E14FDC1"/>
          </w:placeholder>
        </w:sdtPr>
        <w:sdtEndPr>
          <w:rPr>
            <w:rStyle w:val="commiChar"/>
          </w:rPr>
        </w:sdtEndPr>
        <w:sdtContent>
          <w:r w:rsidR="00C803EC" w:rsidRPr="00AD043B">
            <w:t>Not-for-profit entities—Tax assessments</w:t>
          </w:r>
        </w:sdtContent>
      </w:sdt>
      <w:bookmarkEnd w:id="0"/>
    </w:p>
    <w:p w14:paraId="26B52DAF" w14:textId="768A9B91" w:rsidR="002A31E6" w:rsidRPr="00315A89" w:rsidRDefault="005B10BD" w:rsidP="00315A89">
      <w:pPr>
        <w:pStyle w:val="CoverDate"/>
      </w:pPr>
      <w:r w:rsidRPr="00315A89">
        <w:t>July</w:t>
      </w:r>
      <w:r w:rsidR="00C803EC" w:rsidRPr="00315A89">
        <w:t xml:space="preserve"> </w:t>
      </w:r>
      <w:r w:rsidRPr="00315A89">
        <w:t>2025</w:t>
      </w:r>
    </w:p>
    <w:p w14:paraId="7564D92C" w14:textId="77777777" w:rsidR="00B47ECF" w:rsidRPr="00835798" w:rsidRDefault="00B47ECF" w:rsidP="005F5BFE">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38EC6997" w14:textId="77777777" w:rsidR="00B47ECF" w:rsidRPr="00C47A9C" w:rsidRDefault="00C803EC" w:rsidP="005F5BFE">
      <w:pPr>
        <w:pStyle w:val="Heading1"/>
        <w:keepNext w:val="0"/>
      </w:pPr>
      <w:bookmarkStart w:id="1" w:name="_Toc256000000"/>
      <w:bookmarkStart w:id="2" w:name="_Toc307237589"/>
      <w:r w:rsidRPr="00C47A9C">
        <w:lastRenderedPageBreak/>
        <w:t>Introduction</w:t>
      </w:r>
      <w:bookmarkEnd w:id="1"/>
      <w:bookmarkEnd w:id="2"/>
    </w:p>
    <w:p w14:paraId="609BA264" w14:textId="3F156153" w:rsidR="00B47ECF" w:rsidRDefault="00D64599" w:rsidP="005F5BFE">
      <w:r>
        <w:t xml:space="preserve">This is the Australian Government’s response to the Senate Economics References Committee’s </w:t>
      </w:r>
      <w:r w:rsidR="00D26D9F">
        <w:t xml:space="preserve">final </w:t>
      </w:r>
      <w:r>
        <w:t xml:space="preserve">report </w:t>
      </w:r>
      <w:r w:rsidRPr="00AD043B">
        <w:rPr>
          <w:rStyle w:val="Emphasis"/>
        </w:rPr>
        <w:t>Not</w:t>
      </w:r>
      <w:r w:rsidRPr="00AD043B">
        <w:rPr>
          <w:rStyle w:val="Emphasis"/>
        </w:rPr>
        <w:noBreakHyphen/>
        <w:t>for</w:t>
      </w:r>
      <w:r w:rsidRPr="00AD043B">
        <w:rPr>
          <w:rStyle w:val="Emphasis"/>
        </w:rPr>
        <w:noBreakHyphen/>
        <w:t>profit ent</w:t>
      </w:r>
      <w:r w:rsidR="00D26D9F" w:rsidRPr="00AD043B">
        <w:rPr>
          <w:rStyle w:val="Emphasis"/>
        </w:rPr>
        <w:t>i</w:t>
      </w:r>
      <w:r w:rsidRPr="00AD043B">
        <w:rPr>
          <w:rStyle w:val="Emphasis"/>
        </w:rPr>
        <w:t>ties – Tax assessments</w:t>
      </w:r>
      <w:r>
        <w:t xml:space="preserve"> published </w:t>
      </w:r>
      <w:r w:rsidR="00A35A76">
        <w:t>on 1</w:t>
      </w:r>
      <w:r w:rsidR="00CA1F88">
        <w:t> </w:t>
      </w:r>
      <w:r w:rsidR="00A35A76">
        <w:t>November</w:t>
      </w:r>
      <w:r w:rsidR="00CA1F88">
        <w:t> </w:t>
      </w:r>
      <w:r w:rsidR="00A35A76">
        <w:t>2024</w:t>
      </w:r>
      <w:r>
        <w:t xml:space="preserve">. </w:t>
      </w:r>
    </w:p>
    <w:p w14:paraId="4BC86CC6" w14:textId="071B0000" w:rsidR="00D26D9F" w:rsidRDefault="00D26D9F" w:rsidP="005F5BFE">
      <w:r>
        <w:t xml:space="preserve">The </w:t>
      </w:r>
      <w:r w:rsidR="00A35A76">
        <w:t>g</w:t>
      </w:r>
      <w:r>
        <w:t>overnment notes the concern expressed by not</w:t>
      </w:r>
      <w:r>
        <w:noBreakHyphen/>
        <w:t>for</w:t>
      </w:r>
      <w:r>
        <w:noBreakHyphen/>
        <w:t>profit entities</w:t>
      </w:r>
      <w:r w:rsidR="00F07333">
        <w:t xml:space="preserve"> in submissions to the committee inquiry. </w:t>
      </w:r>
      <w:r w:rsidR="00807016">
        <w:t xml:space="preserve">Many </w:t>
      </w:r>
      <w:r w:rsidR="00F07333">
        <w:t xml:space="preserve">of these </w:t>
      </w:r>
      <w:r w:rsidR="00792F16">
        <w:t xml:space="preserve">concerns </w:t>
      </w:r>
      <w:r w:rsidR="00F07333">
        <w:t xml:space="preserve">relate to a </w:t>
      </w:r>
      <w:r w:rsidR="00807016">
        <w:t>perceived new requirement for entities with only charitable purposes to register with the Australian Charities and Not</w:t>
      </w:r>
      <w:r w:rsidR="00807016">
        <w:noBreakHyphen/>
        <w:t>for</w:t>
      </w:r>
      <w:r w:rsidR="00807016">
        <w:noBreakHyphen/>
        <w:t xml:space="preserve">profits Commission (ACNC) </w:t>
      </w:r>
      <w:proofErr w:type="gramStart"/>
      <w:r w:rsidR="00792F16">
        <w:t xml:space="preserve">in order </w:t>
      </w:r>
      <w:r w:rsidR="00807016">
        <w:t>to</w:t>
      </w:r>
      <w:proofErr w:type="gramEnd"/>
      <w:r w:rsidR="00807016">
        <w:t xml:space="preserve"> be exempt from income tax.</w:t>
      </w:r>
      <w:r w:rsidR="00F07333">
        <w:t xml:space="preserve"> Other</w:t>
      </w:r>
      <w:r w:rsidR="00792F16">
        <w:t xml:space="preserve"> concerns</w:t>
      </w:r>
      <w:r w:rsidR="00F07333">
        <w:t xml:space="preserve"> were </w:t>
      </w:r>
      <w:r w:rsidR="00792F16">
        <w:t xml:space="preserve">raised </w:t>
      </w:r>
      <w:r w:rsidR="00F07333">
        <w:t>about eligibility for the income tax exemption.</w:t>
      </w:r>
    </w:p>
    <w:p w14:paraId="7EDE5260" w14:textId="06ED2AF9" w:rsidR="00D64599" w:rsidRDefault="00F14ABA" w:rsidP="005F5BFE">
      <w:r>
        <w:t>T</w:t>
      </w:r>
      <w:r w:rsidR="00D26D9F">
        <w:t>he</w:t>
      </w:r>
      <w:r w:rsidR="00FC7AB0">
        <w:t xml:space="preserve"> requirement </w:t>
      </w:r>
      <w:r w:rsidR="00F07333">
        <w:t>for not</w:t>
      </w:r>
      <w:r w:rsidR="00F07333">
        <w:noBreakHyphen/>
        <w:t>for</w:t>
      </w:r>
      <w:r w:rsidR="00F07333">
        <w:noBreakHyphen/>
        <w:t xml:space="preserve">profits </w:t>
      </w:r>
      <w:r w:rsidR="00FC7AB0">
        <w:t xml:space="preserve">to lodge a </w:t>
      </w:r>
      <w:r w:rsidR="00F07333">
        <w:t>self</w:t>
      </w:r>
      <w:r w:rsidR="00F07333">
        <w:noBreakHyphen/>
        <w:t xml:space="preserve">review </w:t>
      </w:r>
      <w:r w:rsidR="00FC7AB0">
        <w:t>return</w:t>
      </w:r>
      <w:r w:rsidR="00D26D9F">
        <w:t xml:space="preserve"> does not alter which not</w:t>
      </w:r>
      <w:r w:rsidR="00D26D9F">
        <w:noBreakHyphen/>
        <w:t>for</w:t>
      </w:r>
      <w:r w:rsidR="00D26D9F">
        <w:noBreakHyphen/>
        <w:t xml:space="preserve">profits are exempt from income tax. Nor does it impose a new requirement for entities with only charitable purposes to register with the </w:t>
      </w:r>
      <w:r w:rsidR="00A35A76">
        <w:t>ACNC</w:t>
      </w:r>
      <w:r w:rsidR="00D26D9F">
        <w:t xml:space="preserve"> </w:t>
      </w:r>
      <w:r w:rsidR="00FC7AB0">
        <w:t xml:space="preserve">as a condition of being </w:t>
      </w:r>
      <w:r w:rsidR="00D26D9F">
        <w:t>exempt from income tax.</w:t>
      </w:r>
      <w:r w:rsidR="00807016">
        <w:t xml:space="preserve"> This requirement has existed since the establishment of the ACNC in 2012.</w:t>
      </w:r>
    </w:p>
    <w:p w14:paraId="0EC6BF9E" w14:textId="17C80E95" w:rsidR="00C47A9C" w:rsidRPr="00AD043B" w:rsidRDefault="00A35A76" w:rsidP="00AD043B">
      <w:r>
        <w:t xml:space="preserve">The government’s response to the committee’s recommendations </w:t>
      </w:r>
      <w:r w:rsidR="005F5BFE">
        <w:t>is</w:t>
      </w:r>
      <w:r>
        <w:t xml:space="preserve"> provided below.</w:t>
      </w:r>
      <w:r w:rsidR="00C803EC" w:rsidRPr="00C47A9C">
        <w:rPr>
          <w:caps/>
          <w:sz w:val="28"/>
          <w:szCs w:val="28"/>
        </w:rPr>
        <w:br w:type="page"/>
      </w:r>
    </w:p>
    <w:p w14:paraId="54B4AE1F" w14:textId="2FE108EE" w:rsidR="00C47A9C" w:rsidRDefault="00C803EC" w:rsidP="005F5BFE">
      <w:pPr>
        <w:pStyle w:val="Heading1"/>
        <w:keepNext w:val="0"/>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C2158" w14:paraId="5860208F" w14:textId="77777777" w:rsidTr="00FB6B0E">
        <w:trPr>
          <w:trHeight w:val="70"/>
        </w:trPr>
        <w:tc>
          <w:tcPr>
            <w:tcW w:w="9016" w:type="dxa"/>
          </w:tcPr>
          <w:p w14:paraId="66EE6193" w14:textId="50AE7B4D" w:rsidR="00C47A9C" w:rsidRPr="008774BA" w:rsidRDefault="00C803EC" w:rsidP="005F5BFE">
            <w:pPr>
              <w:pStyle w:val="BoxHeading"/>
              <w:keepNext w:val="0"/>
              <w:rPr>
                <w:caps/>
              </w:rPr>
            </w:pPr>
            <w:r w:rsidRPr="008774BA">
              <w:t>Recommendation 1</w:t>
            </w:r>
          </w:p>
          <w:p w14:paraId="4F16936E" w14:textId="2B0E36A2" w:rsidR="00C47A9C" w:rsidRPr="008774BA" w:rsidRDefault="00C803EC" w:rsidP="005F5BFE">
            <w:pPr>
              <w:pStyle w:val="BoxText"/>
            </w:pPr>
            <w:r w:rsidRPr="008774BA">
              <w:t>The Committee recommends that</w:t>
            </w:r>
            <w:r w:rsidR="00E2544E">
              <w:t xml:space="preserve"> the Australian Government introduce thresholds that exempt smaller, low</w:t>
            </w:r>
            <w:r w:rsidR="00CA1F88">
              <w:noBreakHyphen/>
            </w:r>
            <w:r w:rsidR="00E2544E">
              <w:t>risk not</w:t>
            </w:r>
            <w:r w:rsidR="00CA1F88">
              <w:noBreakHyphen/>
            </w:r>
            <w:r w:rsidR="00E2544E">
              <w:t>for</w:t>
            </w:r>
            <w:r w:rsidR="00CA1F88">
              <w:noBreakHyphen/>
            </w:r>
            <w:r w:rsidR="00E2544E">
              <w:t>profit entities from completing the self</w:t>
            </w:r>
            <w:r w:rsidR="00E2544E">
              <w:noBreakHyphen/>
              <w:t>review assessment, capturing only those with a turnover above a certain amount.</w:t>
            </w:r>
          </w:p>
          <w:p w14:paraId="30A4F0C9" w14:textId="77777777" w:rsidR="00FB6B0E" w:rsidRPr="009753EB" w:rsidRDefault="00C803EC" w:rsidP="005F5BFE">
            <w:pPr>
              <w:pStyle w:val="BoxSubHeading"/>
              <w:keepNext w:val="0"/>
              <w:rPr>
                <w:caps/>
              </w:rPr>
            </w:pPr>
            <w:r w:rsidRPr="009753EB">
              <w:t xml:space="preserve">Australian Government response </w:t>
            </w:r>
          </w:p>
          <w:p w14:paraId="5532AD1A" w14:textId="6DC5CB1A" w:rsidR="008774BA" w:rsidRPr="00FC1C00" w:rsidRDefault="00C803EC" w:rsidP="005F5BFE">
            <w:pPr>
              <w:pStyle w:val="BoxText"/>
              <w:rPr>
                <w:rFonts w:asciiTheme="majorHAnsi" w:hAnsiTheme="majorHAnsi" w:cstheme="majorHAnsi"/>
              </w:rPr>
            </w:pPr>
            <w:r w:rsidRPr="00FC1C00">
              <w:rPr>
                <w:rFonts w:asciiTheme="majorHAnsi" w:hAnsiTheme="majorHAnsi" w:cstheme="majorHAnsi"/>
                <w:caps/>
              </w:rPr>
              <w:t>t</w:t>
            </w:r>
            <w:r w:rsidRPr="00FC1C00">
              <w:rPr>
                <w:rFonts w:asciiTheme="majorHAnsi" w:hAnsiTheme="majorHAnsi" w:cstheme="majorHAnsi"/>
              </w:rPr>
              <w:t>he Government</w:t>
            </w:r>
            <w:r w:rsidR="000B6C7D" w:rsidRPr="00FC1C00">
              <w:rPr>
                <w:rFonts w:asciiTheme="majorHAnsi" w:hAnsiTheme="majorHAnsi" w:cstheme="majorHAnsi"/>
                <w:b/>
                <w:bCs/>
              </w:rPr>
              <w:t xml:space="preserve"> </w:t>
            </w:r>
            <w:r w:rsidR="001D0F0C" w:rsidRPr="00AD043B">
              <w:rPr>
                <w:rStyle w:val="Strong"/>
              </w:rPr>
              <w:t>notes</w:t>
            </w:r>
            <w:r w:rsidR="00076769" w:rsidRPr="00FC1C00">
              <w:rPr>
                <w:rFonts w:asciiTheme="majorHAnsi" w:hAnsiTheme="majorHAnsi" w:cstheme="majorHAnsi"/>
              </w:rPr>
              <w:t xml:space="preserve"> </w:t>
            </w:r>
            <w:r w:rsidRPr="00FC1C00">
              <w:rPr>
                <w:rFonts w:asciiTheme="majorHAnsi" w:hAnsiTheme="majorHAnsi" w:cstheme="majorHAnsi"/>
              </w:rPr>
              <w:t>this recommendation.</w:t>
            </w:r>
          </w:p>
          <w:p w14:paraId="260DF79A" w14:textId="0D647824" w:rsidR="00427A5C" w:rsidRPr="00FC1C00" w:rsidRDefault="00427A5C" w:rsidP="005F5BFE">
            <w:pPr>
              <w:pStyle w:val="BoxText"/>
              <w:rPr>
                <w:rFonts w:asciiTheme="majorHAnsi" w:hAnsiTheme="majorHAnsi" w:cstheme="majorHAnsi"/>
              </w:rPr>
            </w:pPr>
            <w:r w:rsidRPr="00FC1C00">
              <w:rPr>
                <w:rFonts w:asciiTheme="majorHAnsi" w:hAnsiTheme="majorHAnsi" w:cstheme="majorHAnsi"/>
              </w:rPr>
              <w:t>The requirement for not</w:t>
            </w:r>
            <w:r w:rsidRPr="00FC1C00">
              <w:rPr>
                <w:rFonts w:asciiTheme="majorHAnsi" w:hAnsiTheme="majorHAnsi" w:cstheme="majorHAnsi"/>
              </w:rPr>
              <w:noBreakHyphen/>
              <w:t>for</w:t>
            </w:r>
            <w:r w:rsidRPr="00FC1C00">
              <w:rPr>
                <w:rFonts w:asciiTheme="majorHAnsi" w:hAnsiTheme="majorHAnsi" w:cstheme="majorHAnsi"/>
              </w:rPr>
              <w:noBreakHyphen/>
              <w:t>profits to lodge a self</w:t>
            </w:r>
            <w:r w:rsidRPr="00FC1C00">
              <w:rPr>
                <w:rFonts w:asciiTheme="majorHAnsi" w:hAnsiTheme="majorHAnsi" w:cstheme="majorHAnsi"/>
              </w:rPr>
              <w:noBreakHyphen/>
              <w:t>review return</w:t>
            </w:r>
            <w:r>
              <w:rPr>
                <w:rFonts w:asciiTheme="majorHAnsi" w:hAnsiTheme="majorHAnsi" w:cstheme="majorHAnsi"/>
              </w:rPr>
              <w:t xml:space="preserve"> was put in place by the Morrison government through the 2021</w:t>
            </w:r>
            <w:r w:rsidR="00685175">
              <w:rPr>
                <w:rFonts w:asciiTheme="majorHAnsi" w:hAnsiTheme="majorHAnsi" w:cstheme="majorHAnsi"/>
              </w:rPr>
              <w:t>–</w:t>
            </w:r>
            <w:r>
              <w:rPr>
                <w:rFonts w:asciiTheme="majorHAnsi" w:hAnsiTheme="majorHAnsi" w:cstheme="majorHAnsi"/>
              </w:rPr>
              <w:t xml:space="preserve">22 Budget. The Australian Taxation Office (ATO) has been administering the reporting change in line with the Morrison government’s policy decision. </w:t>
            </w:r>
            <w:r w:rsidRPr="00FC1C00">
              <w:rPr>
                <w:rFonts w:asciiTheme="majorHAnsi" w:hAnsiTheme="majorHAnsi" w:cstheme="majorHAnsi"/>
              </w:rPr>
              <w:t xml:space="preserve"> </w:t>
            </w:r>
          </w:p>
          <w:p w14:paraId="0A4A511A" w14:textId="62E6A979" w:rsidR="00427A5C" w:rsidRPr="00FC1C00" w:rsidRDefault="00427A5C" w:rsidP="005F5BFE">
            <w:pPr>
              <w:pStyle w:val="BoxText"/>
              <w:rPr>
                <w:rFonts w:asciiTheme="majorHAnsi" w:hAnsiTheme="majorHAnsi" w:cstheme="majorHAnsi"/>
              </w:rPr>
            </w:pPr>
            <w:r w:rsidRPr="00FC1C00">
              <w:rPr>
                <w:rFonts w:asciiTheme="majorHAnsi" w:hAnsiTheme="majorHAnsi" w:cstheme="majorHAnsi"/>
              </w:rPr>
              <w:t xml:space="preserve">The Albanese government has recognised that many affected organisations will be small and have limited resources, so we have ensured the </w:t>
            </w:r>
            <w:r w:rsidR="00FC1C00">
              <w:rPr>
                <w:rFonts w:asciiTheme="majorHAnsi" w:hAnsiTheme="majorHAnsi" w:cstheme="majorHAnsi"/>
              </w:rPr>
              <w:t>ATO</w:t>
            </w:r>
            <w:r w:rsidRPr="00FC1C00">
              <w:rPr>
                <w:rFonts w:asciiTheme="majorHAnsi" w:hAnsiTheme="majorHAnsi" w:cstheme="majorHAnsi"/>
              </w:rPr>
              <w:t xml:space="preserve"> will take a practical compliance approach to help organisations meet the new reporting requirement. </w:t>
            </w:r>
          </w:p>
          <w:p w14:paraId="44CBC3C9" w14:textId="2A2937B1" w:rsidR="00116213" w:rsidRDefault="00FC63D6" w:rsidP="005F5BFE">
            <w:pPr>
              <w:pStyle w:val="BoxText"/>
            </w:pPr>
            <w:r w:rsidRPr="00FC1C00">
              <w:rPr>
                <w:rFonts w:asciiTheme="majorHAnsi" w:hAnsiTheme="majorHAnsi" w:cstheme="majorHAnsi"/>
              </w:rPr>
              <w:t>The requirement to</w:t>
            </w:r>
            <w:r>
              <w:t xml:space="preserve"> provide a</w:t>
            </w:r>
            <w:r w:rsidR="00D64599">
              <w:t xml:space="preserve"> self</w:t>
            </w:r>
            <w:r w:rsidR="00D64599">
              <w:noBreakHyphen/>
              <w:t>review</w:t>
            </w:r>
            <w:r>
              <w:t xml:space="preserve"> return already incorporates a risk</w:t>
            </w:r>
            <w:r>
              <w:noBreakHyphen/>
              <w:t xml:space="preserve">based approach by excluding entities that do not have an Australian Business Number. </w:t>
            </w:r>
          </w:p>
          <w:p w14:paraId="331C1BB8" w14:textId="0073AB66" w:rsidR="008774BA" w:rsidRPr="00FC63D6" w:rsidRDefault="00116213" w:rsidP="005F5BFE">
            <w:pPr>
              <w:pStyle w:val="BoxText"/>
            </w:pPr>
            <w:r>
              <w:t>T</w:t>
            </w:r>
            <w:r w:rsidR="00541EB1">
              <w:t>he ATO will pre</w:t>
            </w:r>
            <w:r w:rsidR="00CA1F88">
              <w:noBreakHyphen/>
            </w:r>
            <w:r w:rsidR="000D6C8D">
              <w:t>populate</w:t>
            </w:r>
            <w:r w:rsidR="00541EB1">
              <w:t xml:space="preserve"> information in future </w:t>
            </w:r>
            <w:r w:rsidR="008B2F51">
              <w:t>self</w:t>
            </w:r>
            <w:r w:rsidR="00CA1F88">
              <w:noBreakHyphen/>
            </w:r>
            <w:r w:rsidR="008B2F51">
              <w:t xml:space="preserve">review </w:t>
            </w:r>
            <w:r w:rsidR="00541EB1">
              <w:t>returns based on information provided by not</w:t>
            </w:r>
            <w:r w:rsidR="00CA1F88">
              <w:noBreakHyphen/>
            </w:r>
            <w:r w:rsidR="00541EB1">
              <w:t>for</w:t>
            </w:r>
            <w:r w:rsidR="00CA1F88">
              <w:noBreakHyphen/>
            </w:r>
            <w:r w:rsidR="00541EB1">
              <w:t xml:space="preserve">profits in earlier returns. </w:t>
            </w:r>
            <w:r w:rsidR="003E54B8">
              <w:t xml:space="preserve">The administrative burden of submitting a return is </w:t>
            </w:r>
            <w:r w:rsidR="008B2F51">
              <w:t xml:space="preserve">therefore </w:t>
            </w:r>
            <w:r w:rsidR="00792F16">
              <w:t xml:space="preserve">expected to be </w:t>
            </w:r>
            <w:r w:rsidR="003E54B8">
              <w:t>minim</w:t>
            </w:r>
            <w:r w:rsidR="00792F16">
              <w:t>ised over time</w:t>
            </w:r>
            <w:r w:rsidR="003E54B8">
              <w:t>.</w:t>
            </w:r>
          </w:p>
        </w:tc>
      </w:tr>
      <w:tr w:rsidR="00AC2158" w14:paraId="1CCEFE42" w14:textId="77777777" w:rsidTr="00FB6B0E">
        <w:trPr>
          <w:trHeight w:val="70"/>
        </w:trPr>
        <w:tc>
          <w:tcPr>
            <w:tcW w:w="9016" w:type="dxa"/>
          </w:tcPr>
          <w:p w14:paraId="1D51AA6B" w14:textId="2A2005E4" w:rsidR="00FB6B0E" w:rsidRPr="008774BA" w:rsidRDefault="00C803EC" w:rsidP="005F5BFE">
            <w:pPr>
              <w:pStyle w:val="BoxHeading"/>
              <w:keepNext w:val="0"/>
              <w:rPr>
                <w:caps/>
              </w:rPr>
            </w:pPr>
            <w:r w:rsidRPr="008774BA">
              <w:t xml:space="preserve">Recommendation </w:t>
            </w:r>
            <w:r>
              <w:t>2</w:t>
            </w:r>
          </w:p>
          <w:p w14:paraId="61038CCE" w14:textId="6E9C7054" w:rsidR="00FB6B0E" w:rsidRPr="008774BA" w:rsidRDefault="00C803EC" w:rsidP="005F5BFE">
            <w:pPr>
              <w:pStyle w:val="BoxText"/>
            </w:pPr>
            <w:r w:rsidRPr="008774BA">
              <w:t>The Committee recommends that</w:t>
            </w:r>
            <w:r w:rsidR="00E2544E">
              <w:t xml:space="preserve"> the Australian Taxation Office extend the deadline for the return of the not</w:t>
            </w:r>
            <w:r w:rsidR="00CA1F88">
              <w:noBreakHyphen/>
            </w:r>
            <w:r w:rsidR="00E2544E">
              <w:t>for</w:t>
            </w:r>
            <w:r w:rsidR="00CA1F88">
              <w:noBreakHyphen/>
            </w:r>
            <w:r w:rsidR="00E2544E">
              <w:t>profit self</w:t>
            </w:r>
            <w:r w:rsidR="00CA1F88">
              <w:noBreakHyphen/>
            </w:r>
            <w:r w:rsidR="00E2544E">
              <w:t>review assessment beyond 31</w:t>
            </w:r>
            <w:r w:rsidR="00CA1F88">
              <w:t> </w:t>
            </w:r>
            <w:r w:rsidR="00E2544E">
              <w:t>March</w:t>
            </w:r>
            <w:r w:rsidR="00CA1F88">
              <w:t> </w:t>
            </w:r>
            <w:r w:rsidR="00E2544E">
              <w:t>2025.</w:t>
            </w:r>
          </w:p>
          <w:p w14:paraId="603DB50B" w14:textId="77777777" w:rsidR="00FB6B0E" w:rsidRPr="009753EB" w:rsidRDefault="00C803EC" w:rsidP="005F5BFE">
            <w:pPr>
              <w:pStyle w:val="BoxSubHeading"/>
              <w:keepNext w:val="0"/>
              <w:rPr>
                <w:caps/>
              </w:rPr>
            </w:pPr>
            <w:r w:rsidRPr="009753EB">
              <w:t xml:space="preserve">Australian Government response </w:t>
            </w:r>
          </w:p>
          <w:p w14:paraId="3A574AA7" w14:textId="21708591" w:rsidR="00FB6B0E" w:rsidRDefault="00C803EC" w:rsidP="005F5BFE">
            <w:pPr>
              <w:pStyle w:val="BoxText"/>
            </w:pPr>
            <w:r>
              <w:rPr>
                <w:caps/>
              </w:rPr>
              <w:t>t</w:t>
            </w:r>
            <w:r>
              <w:t xml:space="preserve">he Government </w:t>
            </w:r>
            <w:r w:rsidRPr="00703D23">
              <w:rPr>
                <w:rStyle w:val="Strong"/>
              </w:rPr>
              <w:t>notes</w:t>
            </w:r>
            <w:r w:rsidRPr="008774BA">
              <w:t xml:space="preserve"> </w:t>
            </w:r>
            <w:r>
              <w:t>this recommendation.</w:t>
            </w:r>
          </w:p>
          <w:p w14:paraId="0C2FB211" w14:textId="6EBAA4EE" w:rsidR="000D6C8D" w:rsidRPr="000D6C8D" w:rsidRDefault="00E2544E" w:rsidP="005F5BFE">
            <w:pPr>
              <w:pStyle w:val="BoxText"/>
            </w:pPr>
            <w:r>
              <w:t xml:space="preserve">The deadline for returning the </w:t>
            </w:r>
            <w:r w:rsidR="000B6C7D">
              <w:t>self</w:t>
            </w:r>
            <w:r w:rsidR="00CA1F88">
              <w:noBreakHyphen/>
            </w:r>
            <w:r w:rsidR="000B6C7D">
              <w:t>review return</w:t>
            </w:r>
            <w:r>
              <w:t xml:space="preserve"> is </w:t>
            </w:r>
            <w:r w:rsidR="00F07333">
              <w:t>decided</w:t>
            </w:r>
            <w:r w:rsidR="00265C4B">
              <w:t xml:space="preserve"> by </w:t>
            </w:r>
            <w:r>
              <w:t xml:space="preserve">the </w:t>
            </w:r>
            <w:r w:rsidR="00D34099">
              <w:t>ATO</w:t>
            </w:r>
            <w:r w:rsidR="00C803EC">
              <w:t>.</w:t>
            </w:r>
            <w:r w:rsidR="00212E4A">
              <w:t xml:space="preserve"> The </w:t>
            </w:r>
            <w:r w:rsidR="00212E4A" w:rsidRPr="00AD043B">
              <w:rPr>
                <w:rStyle w:val="Emphasis"/>
              </w:rPr>
              <w:t xml:space="preserve">Taxation Administration Act 1953 </w:t>
            </w:r>
            <w:r w:rsidR="00212E4A">
              <w:t>allows the Commissioner of Taxation to defer a deadline</w:t>
            </w:r>
            <w:r w:rsidR="000B6C7D">
              <w:t xml:space="preserve"> for a return.</w:t>
            </w:r>
          </w:p>
        </w:tc>
      </w:tr>
      <w:tr w:rsidR="00AC2158" w14:paraId="4B6176B8" w14:textId="77777777" w:rsidTr="005F5BFE">
        <w:tc>
          <w:tcPr>
            <w:tcW w:w="9016" w:type="dxa"/>
          </w:tcPr>
          <w:p w14:paraId="7ABED39C" w14:textId="346DC8EF" w:rsidR="00FB6B0E" w:rsidRPr="008774BA" w:rsidRDefault="00C803EC" w:rsidP="005F5BFE">
            <w:pPr>
              <w:pStyle w:val="BoxHeading"/>
              <w:keepNext w:val="0"/>
              <w:rPr>
                <w:caps/>
              </w:rPr>
            </w:pPr>
            <w:r w:rsidRPr="008774BA">
              <w:t xml:space="preserve">Recommendation </w:t>
            </w:r>
            <w:r>
              <w:t>3</w:t>
            </w:r>
          </w:p>
          <w:p w14:paraId="05C9081A" w14:textId="332FC224" w:rsidR="00FB6B0E" w:rsidRPr="008774BA" w:rsidRDefault="00C803EC" w:rsidP="005F5BFE">
            <w:pPr>
              <w:pStyle w:val="BoxText"/>
              <w:widowControl w:val="0"/>
            </w:pPr>
            <w:r w:rsidRPr="008774BA">
              <w:t>The Committee recommends that</w:t>
            </w:r>
            <w:r w:rsidR="00E2544E">
              <w:t xml:space="preserve"> the Australian Government explores the appropriateness and/or practicality of the Australian Charities and Not</w:t>
            </w:r>
            <w:r w:rsidR="00CA1F88">
              <w:noBreakHyphen/>
            </w:r>
            <w:r w:rsidR="00E2544E">
              <w:t>for</w:t>
            </w:r>
            <w:r w:rsidR="00CA1F88">
              <w:noBreakHyphen/>
            </w:r>
            <w:r w:rsidR="00E2544E">
              <w:t>profits Commission managing the self</w:t>
            </w:r>
            <w:r w:rsidR="00E2544E">
              <w:noBreakHyphen/>
              <w:t>review assessment regime in place of the Australian Taxation Office.</w:t>
            </w:r>
          </w:p>
          <w:p w14:paraId="0C488DD0" w14:textId="77777777" w:rsidR="00FB6B0E" w:rsidRPr="009753EB" w:rsidRDefault="00C803EC" w:rsidP="005F5BFE">
            <w:pPr>
              <w:pStyle w:val="BoxSubHeading"/>
              <w:keepNext w:val="0"/>
              <w:rPr>
                <w:caps/>
              </w:rPr>
            </w:pPr>
            <w:r w:rsidRPr="009753EB">
              <w:t xml:space="preserve">Australian Government response </w:t>
            </w:r>
          </w:p>
          <w:p w14:paraId="56751929" w14:textId="7F78FF2B" w:rsidR="00FB6B0E" w:rsidRDefault="00C803EC" w:rsidP="005F5BFE">
            <w:pPr>
              <w:pStyle w:val="BoxText"/>
            </w:pPr>
            <w:r>
              <w:rPr>
                <w:caps/>
              </w:rPr>
              <w:t>t</w:t>
            </w:r>
            <w:r>
              <w:t xml:space="preserve">he Government </w:t>
            </w:r>
            <w:r w:rsidR="001D0F0C" w:rsidRPr="00703D23">
              <w:rPr>
                <w:rStyle w:val="Strong"/>
              </w:rPr>
              <w:t>notes</w:t>
            </w:r>
            <w:r w:rsidRPr="008774BA">
              <w:t xml:space="preserve"> </w:t>
            </w:r>
            <w:r>
              <w:t>this recommendation.</w:t>
            </w:r>
          </w:p>
          <w:p w14:paraId="0C553AB9" w14:textId="2A5C7363" w:rsidR="00E2544E" w:rsidRDefault="00E2544E" w:rsidP="005F5BFE">
            <w:pPr>
              <w:pStyle w:val="BoxText"/>
            </w:pPr>
            <w:r>
              <w:t>The Commissioner of Taxation has general administration of</w:t>
            </w:r>
            <w:r w:rsidR="00212E4A">
              <w:t xml:space="preserve"> income</w:t>
            </w:r>
            <w:r>
              <w:t xml:space="preserve"> tax law. The A</w:t>
            </w:r>
            <w:r w:rsidR="00D34099">
              <w:t>TO</w:t>
            </w:r>
            <w:r>
              <w:t xml:space="preserve"> is therefore the </w:t>
            </w:r>
            <w:r w:rsidR="00F07333">
              <w:t>right body</w:t>
            </w:r>
            <w:r>
              <w:t xml:space="preserve"> to assess the taxable status of not</w:t>
            </w:r>
            <w:r>
              <w:noBreakHyphen/>
              <w:t>for</w:t>
            </w:r>
            <w:r>
              <w:noBreakHyphen/>
              <w:t>profit entities</w:t>
            </w:r>
            <w:r w:rsidR="00265C4B">
              <w:t xml:space="preserve"> against the requirements of income tax law.</w:t>
            </w:r>
          </w:p>
          <w:p w14:paraId="354711C1" w14:textId="77777777" w:rsidR="009D7F0C" w:rsidRDefault="009D7F0C" w:rsidP="005F5BFE">
            <w:pPr>
              <w:pStyle w:val="BoxText"/>
            </w:pPr>
            <w:r>
              <w:lastRenderedPageBreak/>
              <w:t>This is consistent with the role the ATO has in</w:t>
            </w:r>
            <w:r w:rsidR="00E2544E">
              <w:t xml:space="preserve"> assess</w:t>
            </w:r>
            <w:r>
              <w:t>ing</w:t>
            </w:r>
            <w:r w:rsidR="00E2544E">
              <w:t xml:space="preserve"> the taxable status of charities. While registration with the ACNC is a necessary condition for a charity to be exempt from income tax, it is not a sufficient condition. A charity must also satisfy one of four conditions</w:t>
            </w:r>
            <w:r w:rsidR="00E2544E" w:rsidRPr="00E2544E">
              <w:rPr>
                <w:rStyle w:val="FootnoteReference"/>
                <w:vertAlign w:val="superscript"/>
              </w:rPr>
              <w:footnoteReference w:id="1"/>
            </w:r>
            <w:r w:rsidR="00E2544E">
              <w:t xml:space="preserve"> to be exempt from income tax. The ATO assesses whether a charity meets one of those conditions.</w:t>
            </w:r>
          </w:p>
          <w:p w14:paraId="55485919" w14:textId="77777777" w:rsidR="008B2F51" w:rsidRDefault="009D7F0C" w:rsidP="005F5BFE">
            <w:pPr>
              <w:pStyle w:val="BoxText"/>
            </w:pPr>
            <w:r>
              <w:t xml:space="preserve">The ACNC may collect information from an entity that is necessary for the ATO to assess compliance of the entity with the tax law. However, it may only do so from entities that it has registered. </w:t>
            </w:r>
          </w:p>
          <w:p w14:paraId="4709507C" w14:textId="611ECADA" w:rsidR="00E2544E" w:rsidRPr="00E2544E" w:rsidRDefault="009D7F0C" w:rsidP="005F5BFE">
            <w:pPr>
              <w:pStyle w:val="BoxText"/>
            </w:pPr>
            <w:r>
              <w:t>Having the ACNC collect information from non</w:t>
            </w:r>
            <w:r w:rsidR="008F7C86">
              <w:noBreakHyphen/>
            </w:r>
            <w:r>
              <w:t>charitable NFPs would require the ACNC to be able to register those NFPs. These entities would then need to follow all requirements of ACNC</w:t>
            </w:r>
            <w:r w:rsidR="008F7C86">
              <w:noBreakHyphen/>
            </w:r>
            <w:r>
              <w:t xml:space="preserve">registered bodies, such as annual financial reporting. This would impose a </w:t>
            </w:r>
            <w:r w:rsidR="00F229E1">
              <w:t xml:space="preserve">comparable or </w:t>
            </w:r>
            <w:r>
              <w:t xml:space="preserve">greater administrative burden on NFPs than completing the </w:t>
            </w:r>
            <w:r w:rsidR="00D34099">
              <w:t>self</w:t>
            </w:r>
            <w:r w:rsidR="008F7C86">
              <w:noBreakHyphen/>
            </w:r>
            <w:r w:rsidR="00D34099">
              <w:t>review</w:t>
            </w:r>
            <w:r>
              <w:t>.</w:t>
            </w:r>
          </w:p>
        </w:tc>
      </w:tr>
      <w:tr w:rsidR="00E2544E" w14:paraId="37BA8548" w14:textId="77777777" w:rsidTr="005F5BFE">
        <w:tc>
          <w:tcPr>
            <w:tcW w:w="9016" w:type="dxa"/>
          </w:tcPr>
          <w:p w14:paraId="02D4952E" w14:textId="5D78B273" w:rsidR="00E2544E" w:rsidRPr="008774BA" w:rsidRDefault="00E2544E" w:rsidP="005F5BFE">
            <w:pPr>
              <w:pStyle w:val="BoxHeading"/>
              <w:keepNext w:val="0"/>
              <w:rPr>
                <w:caps/>
              </w:rPr>
            </w:pPr>
            <w:r w:rsidRPr="008774BA">
              <w:lastRenderedPageBreak/>
              <w:t xml:space="preserve">Recommendation </w:t>
            </w:r>
            <w:r>
              <w:t>4</w:t>
            </w:r>
          </w:p>
          <w:p w14:paraId="306BC09B" w14:textId="00FA57EC" w:rsidR="00E2544E" w:rsidRPr="008774BA" w:rsidRDefault="00E2544E" w:rsidP="005F5BFE">
            <w:pPr>
              <w:pStyle w:val="BoxText"/>
            </w:pPr>
            <w:r w:rsidRPr="008774BA">
              <w:t>The Committee recommends that</w:t>
            </w:r>
            <w:r>
              <w:t xml:space="preserve"> the Australian Taxation Office and Australian Charities and Not</w:t>
            </w:r>
            <w:r w:rsidR="008F7C86">
              <w:noBreakHyphen/>
            </w:r>
            <w:r>
              <w:t>for</w:t>
            </w:r>
            <w:r w:rsidR="008F7C86">
              <w:noBreakHyphen/>
            </w:r>
            <w:r>
              <w:t>profits Commission work to harmonise their guidance on tax obligations for not</w:t>
            </w:r>
            <w:r w:rsidR="008F7C86">
              <w:noBreakHyphen/>
            </w:r>
            <w:r>
              <w:t>for</w:t>
            </w:r>
            <w:r w:rsidR="008F7C86">
              <w:noBreakHyphen/>
            </w:r>
            <w:r>
              <w:t>profit entities, and that the Australian Charities and Not</w:t>
            </w:r>
            <w:r w:rsidR="008F7C86">
              <w:noBreakHyphen/>
            </w:r>
            <w:r>
              <w:t>for</w:t>
            </w:r>
            <w:r w:rsidR="008F7C86">
              <w:noBreakHyphen/>
            </w:r>
            <w:r>
              <w:t>profits Commission updates its online information on factors affecting the registration of not</w:t>
            </w:r>
            <w:r w:rsidR="008F7C86">
              <w:noBreakHyphen/>
            </w:r>
            <w:r>
              <w:t>for</w:t>
            </w:r>
            <w:r w:rsidR="008F7C86">
              <w:noBreakHyphen/>
            </w:r>
            <w:r>
              <w:t>profit entities as charities.</w:t>
            </w:r>
          </w:p>
          <w:p w14:paraId="30C8CB4F" w14:textId="77777777" w:rsidR="00E2544E" w:rsidRPr="009753EB" w:rsidRDefault="00E2544E" w:rsidP="005F5BFE">
            <w:pPr>
              <w:pStyle w:val="BoxSubHeading"/>
              <w:keepNext w:val="0"/>
              <w:rPr>
                <w:caps/>
              </w:rPr>
            </w:pPr>
            <w:r w:rsidRPr="009753EB">
              <w:t xml:space="preserve">Australian Government response </w:t>
            </w:r>
          </w:p>
          <w:p w14:paraId="222C6DBE" w14:textId="3377AD4B" w:rsidR="00E2544E" w:rsidRDefault="00E2544E" w:rsidP="005F5BFE">
            <w:pPr>
              <w:pStyle w:val="BoxText"/>
            </w:pPr>
            <w:r>
              <w:rPr>
                <w:caps/>
              </w:rPr>
              <w:t>t</w:t>
            </w:r>
            <w:r>
              <w:t>he Government</w:t>
            </w:r>
            <w:r w:rsidRPr="00FB6B0E">
              <w:rPr>
                <w:b/>
                <w:bCs/>
              </w:rPr>
              <w:t xml:space="preserve"> </w:t>
            </w:r>
            <w:r w:rsidR="00992676" w:rsidRPr="00703D23">
              <w:rPr>
                <w:rStyle w:val="Strong"/>
              </w:rPr>
              <w:t>notes</w:t>
            </w:r>
            <w:r w:rsidR="00992676">
              <w:rPr>
                <w:b/>
                <w:bCs/>
              </w:rPr>
              <w:t xml:space="preserve"> </w:t>
            </w:r>
            <w:r>
              <w:t>this recommendation.</w:t>
            </w:r>
          </w:p>
          <w:p w14:paraId="1CBA722A" w14:textId="4EBF8B66" w:rsidR="00E2544E" w:rsidRPr="008774BA" w:rsidRDefault="00D34099" w:rsidP="005F5BFE">
            <w:pPr>
              <w:pStyle w:val="BoxText"/>
            </w:pPr>
            <w:r>
              <w:t xml:space="preserve">The Government supports the ATO and ACNC continuing to provide guidance to charities and NFPs on their obligations. As independent bodies, the ATO and ACNC </w:t>
            </w:r>
            <w:r w:rsidR="00212E4A">
              <w:t>decide</w:t>
            </w:r>
            <w:r w:rsidR="00DB2C16">
              <w:t xml:space="preserve"> the best ways of providing such guidance.</w:t>
            </w:r>
          </w:p>
        </w:tc>
      </w:tr>
      <w:tr w:rsidR="00E2544E" w14:paraId="5C033F16" w14:textId="77777777" w:rsidTr="005F5BFE">
        <w:tc>
          <w:tcPr>
            <w:tcW w:w="9016" w:type="dxa"/>
          </w:tcPr>
          <w:p w14:paraId="005E30A6" w14:textId="1AF9DB41" w:rsidR="00E2544E" w:rsidRPr="008774BA" w:rsidRDefault="00E2544E" w:rsidP="005F5BFE">
            <w:pPr>
              <w:pStyle w:val="BoxHeading"/>
              <w:keepNext w:val="0"/>
              <w:rPr>
                <w:caps/>
              </w:rPr>
            </w:pPr>
            <w:r w:rsidRPr="008774BA">
              <w:t xml:space="preserve">Recommendation </w:t>
            </w:r>
            <w:r>
              <w:t>5</w:t>
            </w:r>
          </w:p>
          <w:p w14:paraId="387D04C1" w14:textId="142CAE14" w:rsidR="00E2544E" w:rsidRPr="008774BA" w:rsidRDefault="00E2544E" w:rsidP="005F5BFE">
            <w:pPr>
              <w:pStyle w:val="BoxText"/>
            </w:pPr>
            <w:r w:rsidRPr="008774BA">
              <w:t>The Committee recommends that</w:t>
            </w:r>
            <w:r>
              <w:t xml:space="preserve"> the Australian Taxation Office undertakes enhanced and results</w:t>
            </w:r>
            <w:r>
              <w:noBreakHyphen/>
              <w:t>focused consultation with the not</w:t>
            </w:r>
            <w:r w:rsidR="000D7147">
              <w:noBreakHyphen/>
            </w:r>
            <w:r>
              <w:t>for</w:t>
            </w:r>
            <w:r w:rsidR="000D7147">
              <w:noBreakHyphen/>
            </w:r>
            <w:r>
              <w:t>profit sector, aimed at genuinely resolving challenges and uncertainties being experienced</w:t>
            </w:r>
            <w:r w:rsidR="000B6C7D">
              <w:t xml:space="preserve"> </w:t>
            </w:r>
            <w:r>
              <w:t xml:space="preserve">in the self-review assessment process </w:t>
            </w:r>
            <w:r w:rsidR="008C1C6B">
              <w:t>–</w:t>
            </w:r>
            <w:r>
              <w:t xml:space="preserve"> including extending the hours of the telephone helpline to better suit volunteers, Australian Tax Office staff bringing laptops to town hall meetings to address registration issues in real time, and updating and sharing on the Australian Taxation Office website the information packs for treasurers of not</w:t>
            </w:r>
            <w:r>
              <w:noBreakHyphen/>
              <w:t>for</w:t>
            </w:r>
            <w:r>
              <w:noBreakHyphen/>
              <w:t>profit entities that were previously available.</w:t>
            </w:r>
          </w:p>
          <w:p w14:paraId="2F2C3FA6" w14:textId="77777777" w:rsidR="00E2544E" w:rsidRPr="009753EB" w:rsidRDefault="00E2544E" w:rsidP="005F5BFE">
            <w:pPr>
              <w:pStyle w:val="BoxSubHeading"/>
              <w:keepNext w:val="0"/>
              <w:rPr>
                <w:caps/>
              </w:rPr>
            </w:pPr>
            <w:r w:rsidRPr="009753EB">
              <w:t xml:space="preserve">Australian Government response </w:t>
            </w:r>
          </w:p>
          <w:p w14:paraId="4F929BDF" w14:textId="0FE1C052" w:rsidR="00E2544E" w:rsidRDefault="00E2544E" w:rsidP="005F5BFE">
            <w:pPr>
              <w:pStyle w:val="BoxText"/>
            </w:pPr>
            <w:r>
              <w:rPr>
                <w:caps/>
              </w:rPr>
              <w:t>t</w:t>
            </w:r>
            <w:r>
              <w:t xml:space="preserve">he Government </w:t>
            </w:r>
            <w:r w:rsidR="00992676" w:rsidRPr="00703D23">
              <w:rPr>
                <w:rStyle w:val="Strong"/>
              </w:rPr>
              <w:t>notes</w:t>
            </w:r>
            <w:r w:rsidRPr="008774BA">
              <w:t xml:space="preserve"> </w:t>
            </w:r>
            <w:r>
              <w:t>this recommendation.</w:t>
            </w:r>
          </w:p>
          <w:p w14:paraId="22E59148" w14:textId="125D7B1B" w:rsidR="00E2544E" w:rsidRPr="008774BA" w:rsidRDefault="000B6C7D" w:rsidP="00FC1C00">
            <w:pPr>
              <w:pStyle w:val="BoxText"/>
              <w:spacing w:after="80"/>
            </w:pPr>
            <w:r w:rsidRPr="000B6C7D">
              <w:t>The Government supports the ATO continuing to</w:t>
            </w:r>
            <w:r>
              <w:t xml:space="preserve"> </w:t>
            </w:r>
            <w:r w:rsidR="00FC63D6">
              <w:t>help</w:t>
            </w:r>
            <w:r>
              <w:t xml:space="preserve"> not</w:t>
            </w:r>
            <w:r w:rsidR="000D7147">
              <w:noBreakHyphen/>
            </w:r>
            <w:r>
              <w:t>for</w:t>
            </w:r>
            <w:r w:rsidR="000D7147">
              <w:noBreakHyphen/>
            </w:r>
            <w:r>
              <w:t>profits meet their obligations to provide a self</w:t>
            </w:r>
            <w:r>
              <w:noBreakHyphen/>
              <w:t>review return</w:t>
            </w:r>
            <w:r w:rsidRPr="000B6C7D">
              <w:t xml:space="preserve">. As </w:t>
            </w:r>
            <w:r>
              <w:t xml:space="preserve">an </w:t>
            </w:r>
            <w:r w:rsidRPr="000B6C7D">
              <w:t>independent bod</w:t>
            </w:r>
            <w:r w:rsidR="008B2F51">
              <w:t>y</w:t>
            </w:r>
            <w:r w:rsidRPr="000B6C7D">
              <w:t>, the ATO decide</w:t>
            </w:r>
            <w:r>
              <w:t>s</w:t>
            </w:r>
            <w:r w:rsidRPr="000B6C7D">
              <w:t xml:space="preserve"> the best way</w:t>
            </w:r>
            <w:r>
              <w:t xml:space="preserve"> of</w:t>
            </w:r>
            <w:r w:rsidRPr="000B6C7D">
              <w:t xml:space="preserve"> providing such </w:t>
            </w:r>
            <w:r>
              <w:t>assistance</w:t>
            </w:r>
            <w:r w:rsidRPr="000B6C7D">
              <w:t>.</w:t>
            </w:r>
          </w:p>
        </w:tc>
      </w:tr>
    </w:tbl>
    <w:p w14:paraId="31D47FE6" w14:textId="77777777" w:rsidR="0077630F" w:rsidRPr="00685175" w:rsidRDefault="0077630F" w:rsidP="00685175">
      <w:pPr>
        <w:pStyle w:val="GhostLine"/>
      </w:pPr>
    </w:p>
    <w:sectPr w:rsidR="0077630F" w:rsidRPr="00685175"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DD7E" w14:textId="77777777" w:rsidR="00216D30" w:rsidRDefault="00216D30">
      <w:pPr>
        <w:spacing w:before="0" w:after="0"/>
      </w:pPr>
      <w:r>
        <w:separator/>
      </w:r>
    </w:p>
  </w:endnote>
  <w:endnote w:type="continuationSeparator" w:id="0">
    <w:p w14:paraId="53ADA680" w14:textId="77777777" w:rsidR="00216D30" w:rsidRDefault="00216D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2684C635" w:rsidR="0077630F" w:rsidRPr="00F347BE" w:rsidRDefault="00C803EC"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D07F98">
        <w:t>Response to the recommendations</w:t>
      </w:r>
    </w:fldSimple>
    <w:r>
      <w:tab/>
    </w:r>
    <w:r w:rsidRPr="00103F3C">
      <w:rPr>
        <w:position w:val="-8"/>
      </w:rPr>
      <w:drawing>
        <wp:inline distT="0" distB="0" distL="0" distR="0" wp14:anchorId="70A2181D" wp14:editId="15840F9E">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01C3F238" w:rsidR="0077630F" w:rsidRPr="00F347BE" w:rsidRDefault="00C803EC" w:rsidP="00F347BE">
    <w:pPr>
      <w:pStyle w:val="FooterOdd"/>
      <w:jc w:val="left"/>
    </w:pPr>
    <w:r w:rsidRPr="00103F3C">
      <w:rPr>
        <w:noProof/>
        <w:position w:val="-8"/>
      </w:rPr>
      <w:drawing>
        <wp:inline distT="0" distB="0" distL="0" distR="0" wp14:anchorId="0657D647" wp14:editId="72C405E8">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D07F98">
        <w:rPr>
          <w:noProof/>
        </w:rPr>
        <w:t>Response to the recommendations</w:t>
      </w:r>
    </w:fldSimple>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5139F140" w:rsidR="0077630F" w:rsidRPr="00F347BE" w:rsidRDefault="00C803EC" w:rsidP="00F347BE">
    <w:pPr>
      <w:pStyle w:val="FooterOdd"/>
      <w:jc w:val="left"/>
    </w:pPr>
    <w:r w:rsidRPr="00103F3C">
      <w:rPr>
        <w:noProof/>
        <w:position w:val="-8"/>
      </w:rPr>
      <w:drawing>
        <wp:inline distT="0" distB="0" distL="0" distR="0" wp14:anchorId="64653440" wp14:editId="19926247">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D07F98">
        <w:rPr>
          <w:noProof/>
        </w:rPr>
        <w:t>Introduction</w:t>
      </w:r>
    </w:fldSimple>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2DA2" w14:textId="77777777" w:rsidR="00216D30" w:rsidRDefault="00216D30" w:rsidP="00B47ECF">
      <w:r>
        <w:separator/>
      </w:r>
    </w:p>
  </w:footnote>
  <w:footnote w:type="continuationSeparator" w:id="0">
    <w:p w14:paraId="4C18F9FA" w14:textId="77777777" w:rsidR="00216D30" w:rsidRDefault="00216D30" w:rsidP="00B47ECF">
      <w:r>
        <w:continuationSeparator/>
      </w:r>
    </w:p>
  </w:footnote>
  <w:footnote w:id="1">
    <w:p w14:paraId="6B502AB6" w14:textId="10087BD5" w:rsidR="00E2544E" w:rsidRDefault="00E2544E">
      <w:pPr>
        <w:pStyle w:val="FootnoteText"/>
      </w:pPr>
      <w:r>
        <w:rPr>
          <w:rStyle w:val="FootnoteReference"/>
        </w:rPr>
        <w:footnoteRef/>
      </w:r>
      <w:r>
        <w:t xml:space="preserve"> </w:t>
      </w:r>
      <w:r>
        <w:tab/>
        <w:t>A charity must have a physical presence and pursue its objectives principally in Australia; be a deductible gift recipient; have a physical presence in Australia, pursue its objectives principally outside Australia and be prescribed by regulation; or, be located outside of Australia, income</w:t>
      </w:r>
      <w:r>
        <w:noBreakHyphen/>
        <w:t>tax exempt in the country in which it is resident and prescribed by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3BEE42C4" w:rsidR="008774BA" w:rsidRDefault="00F347BE">
    <w:pPr>
      <w:pStyle w:val="Header"/>
    </w:pPr>
    <w:r>
      <w:rPr>
        <w:noProof/>
      </w:rPr>
      <w:drawing>
        <wp:anchor distT="0" distB="0" distL="114300" distR="114300" simplePos="0" relativeHeight="251659264" behindDoc="1" locked="1" layoutInCell="1" allowOverlap="1" wp14:anchorId="50358270" wp14:editId="2FD9DEB3">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3E842F5F" w:rsidR="008774BA" w:rsidRDefault="00F347BE">
    <w:pPr>
      <w:pStyle w:val="Header"/>
    </w:pPr>
    <w:r>
      <w:rPr>
        <w:noProof/>
      </w:rPr>
      <w:drawing>
        <wp:anchor distT="0" distB="0" distL="114300" distR="114300" simplePos="0" relativeHeight="251660288" behindDoc="1" locked="1" layoutInCell="1" allowOverlap="1" wp14:anchorId="544154F7" wp14:editId="69655CB2">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360A7ADE"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4B1878E1"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701A2501" w:rsidR="0077630F" w:rsidRDefault="00F347BE">
    <w:pPr>
      <w:pStyle w:val="Header"/>
    </w:pPr>
    <w:r>
      <w:rPr>
        <w:noProof/>
      </w:rPr>
      <w:drawing>
        <wp:anchor distT="0" distB="0" distL="114300" distR="114300" simplePos="0" relativeHeight="251658240" behindDoc="1" locked="1" layoutInCell="1" allowOverlap="1" wp14:anchorId="65238440" wp14:editId="1E95658A">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C346DD00">
      <w:start w:val="1"/>
      <w:numFmt w:val="decimal"/>
      <w:pStyle w:val="OneLevelNumberedParagraph"/>
      <w:lvlText w:val="%1."/>
      <w:lvlJc w:val="left"/>
      <w:pPr>
        <w:tabs>
          <w:tab w:val="num" w:pos="567"/>
        </w:tabs>
        <w:ind w:left="567" w:hanging="567"/>
      </w:pPr>
      <w:rPr>
        <w:rFonts w:hint="default"/>
      </w:rPr>
    </w:lvl>
    <w:lvl w:ilvl="1" w:tplc="F6862ACC" w:tentative="1">
      <w:start w:val="1"/>
      <w:numFmt w:val="lowerLetter"/>
      <w:lvlText w:val="%2."/>
      <w:lvlJc w:val="left"/>
      <w:pPr>
        <w:ind w:left="1440" w:hanging="360"/>
      </w:pPr>
    </w:lvl>
    <w:lvl w:ilvl="2" w:tplc="3A146F6E" w:tentative="1">
      <w:start w:val="1"/>
      <w:numFmt w:val="lowerRoman"/>
      <w:lvlText w:val="%3."/>
      <w:lvlJc w:val="right"/>
      <w:pPr>
        <w:ind w:left="2160" w:hanging="180"/>
      </w:pPr>
    </w:lvl>
    <w:lvl w:ilvl="3" w:tplc="54B6502A" w:tentative="1">
      <w:start w:val="1"/>
      <w:numFmt w:val="decimal"/>
      <w:lvlText w:val="%4."/>
      <w:lvlJc w:val="left"/>
      <w:pPr>
        <w:ind w:left="2880" w:hanging="360"/>
      </w:pPr>
    </w:lvl>
    <w:lvl w:ilvl="4" w:tplc="BAF27AA8" w:tentative="1">
      <w:start w:val="1"/>
      <w:numFmt w:val="lowerLetter"/>
      <w:lvlText w:val="%5."/>
      <w:lvlJc w:val="left"/>
      <w:pPr>
        <w:ind w:left="3600" w:hanging="360"/>
      </w:pPr>
    </w:lvl>
    <w:lvl w:ilvl="5" w:tplc="E70EB28E" w:tentative="1">
      <w:start w:val="1"/>
      <w:numFmt w:val="lowerRoman"/>
      <w:lvlText w:val="%6."/>
      <w:lvlJc w:val="right"/>
      <w:pPr>
        <w:ind w:left="4320" w:hanging="180"/>
      </w:pPr>
    </w:lvl>
    <w:lvl w:ilvl="6" w:tplc="9E36F9A8" w:tentative="1">
      <w:start w:val="1"/>
      <w:numFmt w:val="decimal"/>
      <w:lvlText w:val="%7."/>
      <w:lvlJc w:val="left"/>
      <w:pPr>
        <w:ind w:left="5040" w:hanging="360"/>
      </w:pPr>
    </w:lvl>
    <w:lvl w:ilvl="7" w:tplc="487C4790" w:tentative="1">
      <w:start w:val="1"/>
      <w:numFmt w:val="lowerLetter"/>
      <w:lvlText w:val="%8."/>
      <w:lvlJc w:val="left"/>
      <w:pPr>
        <w:ind w:left="5760" w:hanging="360"/>
      </w:pPr>
    </w:lvl>
    <w:lvl w:ilvl="8" w:tplc="B60ECD02"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6C209F28">
      <w:start w:val="1"/>
      <w:numFmt w:val="bullet"/>
      <w:pStyle w:val="Bullet"/>
      <w:lvlText w:val=""/>
      <w:lvlJc w:val="left"/>
      <w:pPr>
        <w:ind w:left="720" w:hanging="360"/>
      </w:pPr>
      <w:rPr>
        <w:rFonts w:ascii="Symbol" w:hAnsi="Symbol" w:hint="default"/>
      </w:rPr>
    </w:lvl>
    <w:lvl w:ilvl="1" w:tplc="4DBEEE2C" w:tentative="1">
      <w:start w:val="1"/>
      <w:numFmt w:val="bullet"/>
      <w:lvlText w:val="o"/>
      <w:lvlJc w:val="left"/>
      <w:pPr>
        <w:ind w:left="1440" w:hanging="360"/>
      </w:pPr>
      <w:rPr>
        <w:rFonts w:ascii="Courier New" w:hAnsi="Courier New" w:cs="Courier New" w:hint="default"/>
      </w:rPr>
    </w:lvl>
    <w:lvl w:ilvl="2" w:tplc="ACEE9E2C" w:tentative="1">
      <w:start w:val="1"/>
      <w:numFmt w:val="bullet"/>
      <w:lvlText w:val=""/>
      <w:lvlJc w:val="left"/>
      <w:pPr>
        <w:ind w:left="2160" w:hanging="360"/>
      </w:pPr>
      <w:rPr>
        <w:rFonts w:ascii="Wingdings" w:hAnsi="Wingdings" w:hint="default"/>
      </w:rPr>
    </w:lvl>
    <w:lvl w:ilvl="3" w:tplc="9648CA9A" w:tentative="1">
      <w:start w:val="1"/>
      <w:numFmt w:val="bullet"/>
      <w:lvlText w:val=""/>
      <w:lvlJc w:val="left"/>
      <w:pPr>
        <w:ind w:left="2880" w:hanging="360"/>
      </w:pPr>
      <w:rPr>
        <w:rFonts w:ascii="Symbol" w:hAnsi="Symbol" w:hint="default"/>
      </w:rPr>
    </w:lvl>
    <w:lvl w:ilvl="4" w:tplc="F7A0706E" w:tentative="1">
      <w:start w:val="1"/>
      <w:numFmt w:val="bullet"/>
      <w:lvlText w:val="o"/>
      <w:lvlJc w:val="left"/>
      <w:pPr>
        <w:ind w:left="3600" w:hanging="360"/>
      </w:pPr>
      <w:rPr>
        <w:rFonts w:ascii="Courier New" w:hAnsi="Courier New" w:cs="Courier New" w:hint="default"/>
      </w:rPr>
    </w:lvl>
    <w:lvl w:ilvl="5" w:tplc="BF1648DA" w:tentative="1">
      <w:start w:val="1"/>
      <w:numFmt w:val="bullet"/>
      <w:lvlText w:val=""/>
      <w:lvlJc w:val="left"/>
      <w:pPr>
        <w:ind w:left="4320" w:hanging="360"/>
      </w:pPr>
      <w:rPr>
        <w:rFonts w:ascii="Wingdings" w:hAnsi="Wingdings" w:hint="default"/>
      </w:rPr>
    </w:lvl>
    <w:lvl w:ilvl="6" w:tplc="2B3E5864" w:tentative="1">
      <w:start w:val="1"/>
      <w:numFmt w:val="bullet"/>
      <w:lvlText w:val=""/>
      <w:lvlJc w:val="left"/>
      <w:pPr>
        <w:ind w:left="5040" w:hanging="360"/>
      </w:pPr>
      <w:rPr>
        <w:rFonts w:ascii="Symbol" w:hAnsi="Symbol" w:hint="default"/>
      </w:rPr>
    </w:lvl>
    <w:lvl w:ilvl="7" w:tplc="8196FC74" w:tentative="1">
      <w:start w:val="1"/>
      <w:numFmt w:val="bullet"/>
      <w:lvlText w:val="o"/>
      <w:lvlJc w:val="left"/>
      <w:pPr>
        <w:ind w:left="5760" w:hanging="360"/>
      </w:pPr>
      <w:rPr>
        <w:rFonts w:ascii="Courier New" w:hAnsi="Courier New" w:cs="Courier New" w:hint="default"/>
      </w:rPr>
    </w:lvl>
    <w:lvl w:ilvl="8" w:tplc="B72A4D9E"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6029125">
    <w:abstractNumId w:val="2"/>
  </w:num>
  <w:num w:numId="2" w16cid:durableId="2014457591">
    <w:abstractNumId w:val="4"/>
  </w:num>
  <w:num w:numId="3" w16cid:durableId="768889851">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3797703">
    <w:abstractNumId w:val="0"/>
  </w:num>
  <w:num w:numId="5" w16cid:durableId="936595825">
    <w:abstractNumId w:val="5"/>
  </w:num>
  <w:num w:numId="6" w16cid:durableId="1711878146">
    <w:abstractNumId w:val="6"/>
  </w:num>
  <w:num w:numId="7" w16cid:durableId="929119586">
    <w:abstractNumId w:val="3"/>
  </w:num>
  <w:num w:numId="8" w16cid:durableId="1101877851">
    <w:abstractNumId w:val="7"/>
  </w:num>
  <w:num w:numId="9" w16cid:durableId="1414819102">
    <w:abstractNumId w:val="1"/>
  </w:num>
  <w:num w:numId="10" w16cid:durableId="642201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05A94"/>
    <w:rsid w:val="00031025"/>
    <w:rsid w:val="00034CEF"/>
    <w:rsid w:val="00056FF5"/>
    <w:rsid w:val="00076769"/>
    <w:rsid w:val="000846EF"/>
    <w:rsid w:val="000867E2"/>
    <w:rsid w:val="000B6C7D"/>
    <w:rsid w:val="000D051A"/>
    <w:rsid w:val="000D1C7F"/>
    <w:rsid w:val="000D6C8D"/>
    <w:rsid w:val="000D7147"/>
    <w:rsid w:val="00102631"/>
    <w:rsid w:val="00116213"/>
    <w:rsid w:val="001350F2"/>
    <w:rsid w:val="00187F60"/>
    <w:rsid w:val="001C381B"/>
    <w:rsid w:val="001D0F0C"/>
    <w:rsid w:val="001E63C5"/>
    <w:rsid w:val="001F3858"/>
    <w:rsid w:val="00205BAC"/>
    <w:rsid w:val="00212E4A"/>
    <w:rsid w:val="00214F69"/>
    <w:rsid w:val="00216D30"/>
    <w:rsid w:val="00236901"/>
    <w:rsid w:val="00265C4B"/>
    <w:rsid w:val="00283788"/>
    <w:rsid w:val="00285D85"/>
    <w:rsid w:val="00294C27"/>
    <w:rsid w:val="002A1637"/>
    <w:rsid w:val="002A30D0"/>
    <w:rsid w:val="002A31E6"/>
    <w:rsid w:val="002B4442"/>
    <w:rsid w:val="002F52A6"/>
    <w:rsid w:val="00314312"/>
    <w:rsid w:val="00315A89"/>
    <w:rsid w:val="00326FB8"/>
    <w:rsid w:val="0033653A"/>
    <w:rsid w:val="00340F54"/>
    <w:rsid w:val="003463B6"/>
    <w:rsid w:val="00353FD7"/>
    <w:rsid w:val="003D402B"/>
    <w:rsid w:val="003E54B8"/>
    <w:rsid w:val="004063DC"/>
    <w:rsid w:val="0042266F"/>
    <w:rsid w:val="00427A5C"/>
    <w:rsid w:val="00475DC8"/>
    <w:rsid w:val="00485C11"/>
    <w:rsid w:val="00495C13"/>
    <w:rsid w:val="004E6938"/>
    <w:rsid w:val="004F6768"/>
    <w:rsid w:val="00507077"/>
    <w:rsid w:val="00510BCE"/>
    <w:rsid w:val="005243F9"/>
    <w:rsid w:val="00541EB1"/>
    <w:rsid w:val="005537C9"/>
    <w:rsid w:val="00583E60"/>
    <w:rsid w:val="005A000F"/>
    <w:rsid w:val="005A6276"/>
    <w:rsid w:val="005B10BD"/>
    <w:rsid w:val="005E449B"/>
    <w:rsid w:val="005F268E"/>
    <w:rsid w:val="005F5BFE"/>
    <w:rsid w:val="0066657F"/>
    <w:rsid w:val="006848CE"/>
    <w:rsid w:val="00685175"/>
    <w:rsid w:val="006D1D3B"/>
    <w:rsid w:val="00703D23"/>
    <w:rsid w:val="00725F12"/>
    <w:rsid w:val="0077630F"/>
    <w:rsid w:val="007820EC"/>
    <w:rsid w:val="00792F16"/>
    <w:rsid w:val="007C5FCA"/>
    <w:rsid w:val="00807016"/>
    <w:rsid w:val="00835798"/>
    <w:rsid w:val="00854626"/>
    <w:rsid w:val="008671CE"/>
    <w:rsid w:val="008706FC"/>
    <w:rsid w:val="008774BA"/>
    <w:rsid w:val="008B2F51"/>
    <w:rsid w:val="008C1C6B"/>
    <w:rsid w:val="008D32D4"/>
    <w:rsid w:val="008D6E34"/>
    <w:rsid w:val="008F7C86"/>
    <w:rsid w:val="00935E3D"/>
    <w:rsid w:val="009753EB"/>
    <w:rsid w:val="00992676"/>
    <w:rsid w:val="009D7F0C"/>
    <w:rsid w:val="00A2437E"/>
    <w:rsid w:val="00A35A76"/>
    <w:rsid w:val="00A47334"/>
    <w:rsid w:val="00A7212C"/>
    <w:rsid w:val="00A9127B"/>
    <w:rsid w:val="00AC2158"/>
    <w:rsid w:val="00AD043B"/>
    <w:rsid w:val="00B11725"/>
    <w:rsid w:val="00B47ECF"/>
    <w:rsid w:val="00BB1B65"/>
    <w:rsid w:val="00BB61C6"/>
    <w:rsid w:val="00BE31D9"/>
    <w:rsid w:val="00BF7584"/>
    <w:rsid w:val="00C11FD9"/>
    <w:rsid w:val="00C14842"/>
    <w:rsid w:val="00C45BA7"/>
    <w:rsid w:val="00C47A9C"/>
    <w:rsid w:val="00C56EF0"/>
    <w:rsid w:val="00C803EC"/>
    <w:rsid w:val="00CA1F88"/>
    <w:rsid w:val="00CA789F"/>
    <w:rsid w:val="00CF75DF"/>
    <w:rsid w:val="00D04818"/>
    <w:rsid w:val="00D07F98"/>
    <w:rsid w:val="00D26D9F"/>
    <w:rsid w:val="00D34099"/>
    <w:rsid w:val="00D64599"/>
    <w:rsid w:val="00DB2C16"/>
    <w:rsid w:val="00DC3C5E"/>
    <w:rsid w:val="00E12215"/>
    <w:rsid w:val="00E2544E"/>
    <w:rsid w:val="00EC7701"/>
    <w:rsid w:val="00EF2F09"/>
    <w:rsid w:val="00EF3B94"/>
    <w:rsid w:val="00F07333"/>
    <w:rsid w:val="00F14ABA"/>
    <w:rsid w:val="00F229E1"/>
    <w:rsid w:val="00F347BE"/>
    <w:rsid w:val="00F53754"/>
    <w:rsid w:val="00F769CE"/>
    <w:rsid w:val="00F92A63"/>
    <w:rsid w:val="00FB6B0E"/>
    <w:rsid w:val="00FC1C00"/>
    <w:rsid w:val="00FC63D6"/>
    <w:rsid w:val="00FC7AB0"/>
    <w:rsid w:val="00FE045B"/>
    <w:rsid w:val="00FE0827"/>
    <w:rsid w:val="00FE2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FE0827"/>
    <w:pPr>
      <w:spacing w:before="360"/>
      <w:jc w:val="center"/>
      <w:outlineLvl w:val="0"/>
    </w:pPr>
    <w:rPr>
      <w:rFonts w:ascii="Montserrat Light" w:hAnsi="Montserrat Light"/>
      <w:sz w:val="32"/>
      <w:szCs w:val="32"/>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CoverTitleMain"/>
    <w:rsid w:val="00315A89"/>
    <w:pPr>
      <w:jc w:val="right"/>
      <w:outlineLvl w:val="9"/>
    </w:pPr>
    <w:rPr>
      <w:sz w:val="28"/>
      <w:szCs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styleId="Revision">
    <w:name w:val="Revision"/>
    <w:hidden/>
    <w:uiPriority w:val="99"/>
    <w:semiHidden/>
    <w:rsid w:val="00792F16"/>
    <w:pPr>
      <w:spacing w:after="0" w:line="240" w:lineRule="auto"/>
    </w:pPr>
    <w:rPr>
      <w:rFonts w:ascii="Calibri Light" w:eastAsia="Times New Roman" w:hAnsi="Calibri Light" w:cs="Times New Roman"/>
      <w:szCs w:val="20"/>
      <w:lang w:eastAsia="en-AU"/>
    </w:rPr>
  </w:style>
  <w:style w:type="character" w:styleId="Strong">
    <w:name w:val="Strong"/>
    <w:basedOn w:val="DefaultParagraphFont"/>
    <w:uiPriority w:val="22"/>
    <w:qFormat/>
    <w:rsid w:val="00703D23"/>
    <w:rPr>
      <w:b/>
      <w:bCs/>
    </w:rPr>
  </w:style>
  <w:style w:type="character" w:styleId="Emphasis">
    <w:name w:val="Emphasis"/>
    <w:basedOn w:val="DefaultParagraphFont"/>
    <w:uiPriority w:val="20"/>
    <w:qFormat/>
    <w:rsid w:val="00AD043B"/>
    <w:rPr>
      <w:i/>
      <w:iCs/>
    </w:rPr>
  </w:style>
  <w:style w:type="paragraph" w:customStyle="1" w:styleId="GhostLine">
    <w:name w:val="Ghost Line"/>
    <w:basedOn w:val="Normal"/>
    <w:qFormat/>
    <w:rsid w:val="00685175"/>
    <w:pPr>
      <w:spacing w:before="0" w:after="0"/>
    </w:pPr>
    <w:rPr>
      <w:caps/>
      <w:vanish/>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CA789F" w:rsidRDefault="00B368ED" w:rsidP="002F52A6">
          <w:pPr>
            <w:pStyle w:val="8656F8A7C77145CBAF61E28C2658706A"/>
          </w:pPr>
          <w:r>
            <w:rPr>
              <w:rFonts w:ascii="Montserrat Light" w:hAnsi="Montserrat Light"/>
              <w:sz w:val="32"/>
              <w:szCs w:val="32"/>
            </w:rPr>
            <w:t>Committee Type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CA789F" w:rsidRDefault="00B368ED"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3C84" w:rsidRDefault="00A93C84">
      <w:pPr>
        <w:spacing w:after="0" w:line="240" w:lineRule="auto"/>
      </w:pPr>
      <w:r>
        <w:separator/>
      </w:r>
    </w:p>
  </w:endnote>
  <w:endnote w:type="continuationSeparator" w:id="0">
    <w:p w:rsidR="00A93C84" w:rsidRDefault="00A93C8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3C84" w:rsidRDefault="00A93C84">
      <w:pPr>
        <w:spacing w:after="0" w:line="240" w:lineRule="auto"/>
      </w:pPr>
      <w:r>
        <w:separator/>
      </w:r>
    </w:p>
  </w:footnote>
  <w:footnote w:type="continuationSeparator" w:id="0">
    <w:p w:rsidR="00A93C84" w:rsidRDefault="00A93C8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034CEF"/>
    <w:rsid w:val="001F3858"/>
    <w:rsid w:val="00285D85"/>
    <w:rsid w:val="002F52A6"/>
    <w:rsid w:val="003D402B"/>
    <w:rsid w:val="004F6768"/>
    <w:rsid w:val="005F268E"/>
    <w:rsid w:val="008B1EF4"/>
    <w:rsid w:val="00A93C84"/>
    <w:rsid w:val="00B368ED"/>
    <w:rsid w:val="00B84B01"/>
    <w:rsid w:val="00BB61C6"/>
    <w:rsid w:val="00C11FD9"/>
    <w:rsid w:val="00CA789F"/>
    <w:rsid w:val="00CF75DF"/>
    <w:rsid w:val="00DE431E"/>
    <w:rsid w:val="00E7416D"/>
    <w:rsid w:val="00EE65A9"/>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848</Words>
  <Characters>5085</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Australian Government response to the Senate Economics References Committee final report: Not-for-profit entities—Tax assessments</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Economics References Committee final report: Not-for-profit entities—Tax assessments</dc:title>
  <dc:subject/>
  <dc:creator>Australian Government</dc:creator>
  <cp:keywords/>
  <cp:lastModifiedBy/>
  <cp:revision>1</cp:revision>
  <dcterms:created xsi:type="dcterms:W3CDTF">2025-07-09T05:18:00Z</dcterms:created>
  <dcterms:modified xsi:type="dcterms:W3CDTF">2025-07-09T05:19:00Z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2025-07-09T05:19:12Z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b848928c-efc3-4ab9-9139-64b624c15768</vt:lpwstr>
  </property>
  <property fmtid="{D5CDD505-2E9C-101B-9397-08002B2CF9AE}" pid="8" name="MSIP_Label_4f932d64-9ab1-4d9b-81d2-a3a8b82dd47d_ContentBits">
    <vt:lpwstr>0</vt:lpwstr>
  </property>
</Properties>
</file>