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BA43" w14:textId="77777777" w:rsidR="006C077D" w:rsidRDefault="007923F0" w:rsidP="0032060F">
      <w:pPr>
        <w:pStyle w:val="BodyText"/>
      </w:pPr>
      <w:r>
        <w:rPr>
          <w:noProof/>
          <w:lang w:val="en-AU" w:eastAsia="en-AU"/>
        </w:rPr>
        <w:drawing>
          <wp:anchor distT="0" distB="0" distL="114300" distR="114300" simplePos="0" relativeHeight="251658242" behindDoc="1" locked="0" layoutInCell="1" allowOverlap="1" wp14:anchorId="0164AFFD" wp14:editId="359980E2">
            <wp:simplePos x="0" y="0"/>
            <wp:positionH relativeFrom="page">
              <wp:align>right</wp:align>
            </wp:positionH>
            <wp:positionV relativeFrom="paragraph">
              <wp:posOffset>0</wp:posOffset>
            </wp:positionV>
            <wp:extent cx="7548114" cy="10679430"/>
            <wp:effectExtent l="0" t="0" r="0" b="7620"/>
            <wp:wrapNone/>
            <wp:docPr id="7" name="Picture 7" descr="Photo of a building"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48114" cy="1067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29E1E" w14:textId="77777777" w:rsidR="00FF4A2C" w:rsidRDefault="006C077D" w:rsidP="0032060F">
      <w:pPr>
        <w:pStyle w:val="BodyText"/>
      </w:pPr>
      <w:r w:rsidRPr="006C077D">
        <w:rPr>
          <w:noProof/>
          <w:lang w:val="en-AU" w:eastAsia="en-AU"/>
        </w:rPr>
        <mc:AlternateContent>
          <mc:Choice Requires="wps">
            <w:drawing>
              <wp:anchor distT="91440" distB="91440" distL="114300" distR="114300" simplePos="0" relativeHeight="251658241" behindDoc="0" locked="0" layoutInCell="1" allowOverlap="1" wp14:anchorId="219D8A01" wp14:editId="33C400EF">
                <wp:simplePos x="0" y="0"/>
                <wp:positionH relativeFrom="page">
                  <wp:align>right</wp:align>
                </wp:positionH>
                <wp:positionV relativeFrom="paragraph">
                  <wp:posOffset>7244715</wp:posOffset>
                </wp:positionV>
                <wp:extent cx="7564755" cy="16002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863" cy="1600200"/>
                        </a:xfrm>
                        <a:prstGeom prst="rect">
                          <a:avLst/>
                        </a:prstGeom>
                        <a:solidFill>
                          <a:schemeClr val="bg1">
                            <a:alpha val="77000"/>
                          </a:schemeClr>
                        </a:solidFill>
                        <a:ln w="9525">
                          <a:noFill/>
                          <a:miter lim="800000"/>
                          <a:headEnd/>
                          <a:tailEnd/>
                        </a:ln>
                      </wps:spPr>
                      <wps:txbx>
                        <w:txbxContent>
                          <w:p w14:paraId="2D71E031" w14:textId="77777777" w:rsidR="00604DE8" w:rsidRPr="006C077D" w:rsidRDefault="00604DE8" w:rsidP="00310A44">
                            <w:pPr>
                              <w:pBdr>
                                <w:top w:val="single" w:sz="24" w:space="8" w:color="4472C4" w:themeColor="accent1"/>
                                <w:bottom w:val="single" w:sz="24" w:space="8" w:color="4472C4" w:themeColor="accent1"/>
                              </w:pBdr>
                              <w:ind w:firstLine="720"/>
                              <w:rPr>
                                <w:iCs/>
                                <w:sz w:val="40"/>
                                <w:szCs w:val="40"/>
                              </w:rPr>
                            </w:pPr>
                            <w:r w:rsidRPr="006C077D">
                              <w:rPr>
                                <w:iCs/>
                                <w:sz w:val="40"/>
                                <w:szCs w:val="40"/>
                              </w:rPr>
                              <w:t xml:space="preserve">Building Confidence Report </w:t>
                            </w:r>
                          </w:p>
                          <w:p w14:paraId="04B27300" w14:textId="77777777" w:rsidR="00604DE8" w:rsidRPr="006C077D" w:rsidRDefault="00604DE8" w:rsidP="00310A44">
                            <w:pPr>
                              <w:pBdr>
                                <w:top w:val="single" w:sz="24" w:space="8" w:color="4472C4" w:themeColor="accent1"/>
                                <w:bottom w:val="single" w:sz="24" w:space="8" w:color="4472C4" w:themeColor="accent1"/>
                              </w:pBdr>
                              <w:ind w:firstLine="720"/>
                              <w:rPr>
                                <w:iCs/>
                                <w:sz w:val="40"/>
                                <w:szCs w:val="40"/>
                              </w:rPr>
                            </w:pPr>
                            <w:r>
                              <w:rPr>
                                <w:iCs/>
                                <w:sz w:val="40"/>
                                <w:szCs w:val="40"/>
                              </w:rPr>
                              <w:t xml:space="preserve">Jurisdictional </w:t>
                            </w:r>
                            <w:r w:rsidRPr="006C077D">
                              <w:rPr>
                                <w:iCs/>
                                <w:sz w:val="40"/>
                                <w:szCs w:val="40"/>
                              </w:rPr>
                              <w:t>Update</w:t>
                            </w:r>
                          </w:p>
                          <w:p w14:paraId="4CF26725" w14:textId="77777777" w:rsidR="00604DE8" w:rsidRDefault="00604DE8">
                            <w:pPr>
                              <w:pBdr>
                                <w:top w:val="single" w:sz="24" w:space="8" w:color="4472C4" w:themeColor="accent1"/>
                                <w:bottom w:val="single" w:sz="24" w:space="8" w:color="4472C4" w:themeColor="accent1"/>
                              </w:pBdr>
                              <w:rPr>
                                <w:i/>
                                <w:iCs/>
                                <w:color w:val="4472C4" w:themeColor="accent1"/>
                                <w:sz w:val="24"/>
                                <w:szCs w:val="24"/>
                              </w:rPr>
                            </w:pPr>
                          </w:p>
                          <w:p w14:paraId="0A6BCD5D" w14:textId="77777777" w:rsidR="00604DE8" w:rsidRPr="006C077D" w:rsidRDefault="00604DE8" w:rsidP="00310A44">
                            <w:pPr>
                              <w:pBdr>
                                <w:top w:val="single" w:sz="24" w:space="8" w:color="4472C4" w:themeColor="accent1"/>
                                <w:bottom w:val="single" w:sz="24" w:space="8" w:color="4472C4" w:themeColor="accent1"/>
                              </w:pBdr>
                              <w:ind w:firstLine="720"/>
                              <w:rPr>
                                <w:iCs/>
                                <w:sz w:val="24"/>
                                <w:szCs w:val="24"/>
                              </w:rPr>
                            </w:pPr>
                            <w:r w:rsidRPr="006C077D">
                              <w:rPr>
                                <w:iCs/>
                                <w:sz w:val="24"/>
                                <w:szCs w:val="24"/>
                              </w:rPr>
                              <w:t>December 2019</w:t>
                            </w:r>
                          </w:p>
                          <w:p w14:paraId="64B210DF" w14:textId="77777777" w:rsidR="00604DE8" w:rsidRDefault="00604DE8">
                            <w:pPr>
                              <w:pBdr>
                                <w:top w:val="single" w:sz="24" w:space="8" w:color="4472C4" w:themeColor="accent1"/>
                                <w:bottom w:val="single" w:sz="24" w:space="8" w:color="4472C4" w:themeColor="accent1"/>
                              </w:pBdr>
                              <w:rPr>
                                <w:i/>
                                <w:iCs/>
                                <w:color w:val="4472C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D8A01" id="_x0000_t202" coordsize="21600,21600" o:spt="202" path="m,l,21600r21600,l21600,xe">
                <v:stroke joinstyle="miter"/>
                <v:path gradientshapeok="t" o:connecttype="rect"/>
              </v:shapetype>
              <v:shape id="Text Box 2" o:spid="_x0000_s1026" type="#_x0000_t202" style="position:absolute;margin-left:544.45pt;margin-top:570.45pt;width:595.65pt;height:126pt;z-index:251658241;visibility:visible;mso-wrap-style:square;mso-width-percent:0;mso-height-percent:0;mso-wrap-distance-left:9pt;mso-wrap-distance-top:7.2pt;mso-wrap-distance-right:9pt;mso-wrap-distance-bottom:7.2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" fillcolor="white [3212]" stroked="f">
                <v:fill opacity="50372f"/>
                <v:textbox>
                  <w:txbxContent>
                    <w:p w14:paraId="2D71E031" w14:textId="77777777" w:rsidR="00604DE8" w:rsidRPr="006C077D" w:rsidRDefault="00604DE8" w:rsidP="00310A44">
                      <w:pPr>
                        <w:pBdr>
                          <w:top w:val="single" w:sz="24" w:space="8" w:color="4472C4" w:themeColor="accent1"/>
                          <w:bottom w:val="single" w:sz="24" w:space="8" w:color="4472C4" w:themeColor="accent1"/>
                        </w:pBdr>
                        <w:ind w:firstLine="720"/>
                        <w:rPr>
                          <w:iCs/>
                          <w:sz w:val="40"/>
                          <w:szCs w:val="40"/>
                        </w:rPr>
                      </w:pPr>
                      <w:r w:rsidRPr="006C077D">
                        <w:rPr>
                          <w:iCs/>
                          <w:sz w:val="40"/>
                          <w:szCs w:val="40"/>
                        </w:rPr>
                        <w:t xml:space="preserve">Building Confidence Report </w:t>
                      </w:r>
                    </w:p>
                    <w:p w14:paraId="04B27300" w14:textId="77777777" w:rsidR="00604DE8" w:rsidRPr="006C077D" w:rsidRDefault="00604DE8" w:rsidP="00310A44">
                      <w:pPr>
                        <w:pBdr>
                          <w:top w:val="single" w:sz="24" w:space="8" w:color="4472C4" w:themeColor="accent1"/>
                          <w:bottom w:val="single" w:sz="24" w:space="8" w:color="4472C4" w:themeColor="accent1"/>
                        </w:pBdr>
                        <w:ind w:firstLine="720"/>
                        <w:rPr>
                          <w:iCs/>
                          <w:sz w:val="40"/>
                          <w:szCs w:val="40"/>
                        </w:rPr>
                      </w:pPr>
                      <w:r>
                        <w:rPr>
                          <w:iCs/>
                          <w:sz w:val="40"/>
                          <w:szCs w:val="40"/>
                        </w:rPr>
                        <w:t xml:space="preserve">Jurisdictional </w:t>
                      </w:r>
                      <w:r w:rsidRPr="006C077D">
                        <w:rPr>
                          <w:iCs/>
                          <w:sz w:val="40"/>
                          <w:szCs w:val="40"/>
                        </w:rPr>
                        <w:t>Update</w:t>
                      </w:r>
                    </w:p>
                    <w:p w14:paraId="4CF26725" w14:textId="77777777" w:rsidR="00604DE8" w:rsidRDefault="00604DE8">
                      <w:pPr>
                        <w:pBdr>
                          <w:top w:val="single" w:sz="24" w:space="8" w:color="4472C4" w:themeColor="accent1"/>
                          <w:bottom w:val="single" w:sz="24" w:space="8" w:color="4472C4" w:themeColor="accent1"/>
                        </w:pBdr>
                        <w:rPr>
                          <w:i/>
                          <w:iCs/>
                          <w:color w:val="4472C4" w:themeColor="accent1"/>
                          <w:sz w:val="24"/>
                          <w:szCs w:val="24"/>
                        </w:rPr>
                      </w:pPr>
                    </w:p>
                    <w:p w14:paraId="0A6BCD5D" w14:textId="77777777" w:rsidR="00604DE8" w:rsidRPr="006C077D" w:rsidRDefault="00604DE8" w:rsidP="00310A44">
                      <w:pPr>
                        <w:pBdr>
                          <w:top w:val="single" w:sz="24" w:space="8" w:color="4472C4" w:themeColor="accent1"/>
                          <w:bottom w:val="single" w:sz="24" w:space="8" w:color="4472C4" w:themeColor="accent1"/>
                        </w:pBdr>
                        <w:ind w:firstLine="720"/>
                        <w:rPr>
                          <w:iCs/>
                          <w:sz w:val="24"/>
                          <w:szCs w:val="24"/>
                        </w:rPr>
                      </w:pPr>
                      <w:bookmarkStart w:id="1" w:name="_GoBack"/>
                      <w:r w:rsidRPr="006C077D">
                        <w:rPr>
                          <w:iCs/>
                          <w:sz w:val="24"/>
                          <w:szCs w:val="24"/>
                        </w:rPr>
                        <w:t>December 2019</w:t>
                      </w:r>
                    </w:p>
                    <w:bookmarkEnd w:id="1"/>
                    <w:p w14:paraId="64B210DF" w14:textId="77777777" w:rsidR="00604DE8" w:rsidRDefault="00604DE8">
                      <w:pPr>
                        <w:pBdr>
                          <w:top w:val="single" w:sz="24" w:space="8" w:color="4472C4" w:themeColor="accent1"/>
                          <w:bottom w:val="single" w:sz="24" w:space="8" w:color="4472C4" w:themeColor="accent1"/>
                        </w:pBdr>
                        <w:rPr>
                          <w:i/>
                          <w:iCs/>
                          <w:color w:val="4472C4" w:themeColor="accent1"/>
                          <w:sz w:val="24"/>
                        </w:rPr>
                      </w:pPr>
                    </w:p>
                  </w:txbxContent>
                </v:textbox>
                <w10:wrap type="topAndBottom" anchorx="page"/>
              </v:shape>
            </w:pict>
          </mc:Fallback>
        </mc:AlternateContent>
      </w:r>
    </w:p>
    <w:p w14:paraId="5408AF74" w14:textId="77777777" w:rsidR="00FF4A2C" w:rsidRDefault="00FF4A2C" w:rsidP="00FF4A2C">
      <w:pPr>
        <w:rPr>
          <w:rFonts w:ascii="Times New Roman"/>
          <w:sz w:val="20"/>
        </w:rPr>
        <w:sectPr w:rsidR="00FF4A2C" w:rsidSect="00FF4A2C">
          <w:pgSz w:w="11910" w:h="16840"/>
          <w:pgMar w:top="0" w:right="0" w:bottom="0" w:left="0" w:header="720" w:footer="720" w:gutter="0"/>
          <w:cols w:space="720"/>
        </w:sectPr>
      </w:pPr>
    </w:p>
    <w:p w14:paraId="73C66EF4" w14:textId="77777777" w:rsidR="00FF4A2C" w:rsidRDefault="00FF4A2C" w:rsidP="00A96FF6">
      <w:pPr>
        <w:pStyle w:val="Heading1"/>
        <w:spacing w:before="600"/>
        <w:ind w:left="153"/>
      </w:pPr>
      <w:bookmarkStart w:id="0" w:name="_Toc27738649"/>
      <w:r>
        <w:lastRenderedPageBreak/>
        <w:t>Contents</w:t>
      </w:r>
      <w:bookmarkEnd w:id="0"/>
    </w:p>
    <w:sdt>
      <w:sdtPr>
        <w:rPr>
          <w:rFonts w:ascii="Arial" w:eastAsia="Arial" w:hAnsi="Arial" w:cs="Arial"/>
        </w:rPr>
        <w:id w:val="-193007245"/>
        <w:docPartObj>
          <w:docPartGallery w:val="Table of Contents"/>
          <w:docPartUnique/>
        </w:docPartObj>
      </w:sdtPr>
      <w:sdtEndPr/>
      <w:sdtContent>
        <w:p w14:paraId="1E9B6966" w14:textId="1241FB94" w:rsidR="00351D12" w:rsidRDefault="00FF4A2C">
          <w:pPr>
            <w:pStyle w:val="TOC1"/>
            <w:tabs>
              <w:tab w:val="right" w:leader="dot" w:pos="10080"/>
            </w:tabs>
            <w:rPr>
              <w:rFonts w:asciiTheme="minorHAnsi" w:eastAsiaTheme="minorEastAsia" w:hAnsiTheme="minorHAnsi" w:cstheme="minorBidi"/>
              <w:noProof/>
              <w:lang w:val="en-AU" w:eastAsia="en-AU"/>
            </w:rPr>
          </w:pPr>
          <w:r>
            <w:fldChar w:fldCharType="begin"/>
          </w:r>
          <w:r>
            <w:instrText xml:space="preserve">TOC \o "1-1" \h \z \u </w:instrText>
          </w:r>
          <w:r>
            <w:fldChar w:fldCharType="separate"/>
          </w:r>
          <w:hyperlink w:anchor="_Toc27738649" w:history="1">
            <w:r w:rsidR="00351D12" w:rsidRPr="00EB5779">
              <w:rPr>
                <w:rStyle w:val="Hyperlink"/>
                <w:noProof/>
              </w:rPr>
              <w:t>Contents</w:t>
            </w:r>
            <w:r w:rsidR="00351D12">
              <w:rPr>
                <w:noProof/>
                <w:webHidden/>
              </w:rPr>
              <w:tab/>
            </w:r>
            <w:r w:rsidR="00351D12">
              <w:rPr>
                <w:noProof/>
                <w:webHidden/>
              </w:rPr>
              <w:fldChar w:fldCharType="begin"/>
            </w:r>
            <w:r w:rsidR="00351D12">
              <w:rPr>
                <w:noProof/>
                <w:webHidden/>
              </w:rPr>
              <w:instrText xml:space="preserve"> PAGEREF _Toc27738649 \h </w:instrText>
            </w:r>
            <w:r w:rsidR="00351D12">
              <w:rPr>
                <w:noProof/>
                <w:webHidden/>
              </w:rPr>
            </w:r>
            <w:r w:rsidR="00351D12">
              <w:rPr>
                <w:noProof/>
                <w:webHidden/>
              </w:rPr>
              <w:fldChar w:fldCharType="separate"/>
            </w:r>
            <w:r w:rsidR="00A90DF3">
              <w:rPr>
                <w:noProof/>
                <w:webHidden/>
              </w:rPr>
              <w:t>2</w:t>
            </w:r>
            <w:r w:rsidR="00351D12">
              <w:rPr>
                <w:noProof/>
                <w:webHidden/>
              </w:rPr>
              <w:fldChar w:fldCharType="end"/>
            </w:r>
          </w:hyperlink>
        </w:p>
        <w:p w14:paraId="4B27311D" w14:textId="41887497"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0" w:history="1">
            <w:r w:rsidR="00351D12" w:rsidRPr="00EB5779">
              <w:rPr>
                <w:rStyle w:val="Hyperlink"/>
                <w:noProof/>
              </w:rPr>
              <w:t>Overview</w:t>
            </w:r>
            <w:r w:rsidR="00351D12">
              <w:rPr>
                <w:noProof/>
                <w:webHidden/>
              </w:rPr>
              <w:tab/>
            </w:r>
            <w:r w:rsidR="00351D12">
              <w:rPr>
                <w:noProof/>
                <w:webHidden/>
              </w:rPr>
              <w:fldChar w:fldCharType="begin"/>
            </w:r>
            <w:r w:rsidR="00351D12">
              <w:rPr>
                <w:noProof/>
                <w:webHidden/>
              </w:rPr>
              <w:instrText xml:space="preserve"> PAGEREF _Toc27738650 \h </w:instrText>
            </w:r>
            <w:r w:rsidR="00351D12">
              <w:rPr>
                <w:noProof/>
                <w:webHidden/>
              </w:rPr>
            </w:r>
            <w:r w:rsidR="00351D12">
              <w:rPr>
                <w:noProof/>
                <w:webHidden/>
              </w:rPr>
              <w:fldChar w:fldCharType="separate"/>
            </w:r>
            <w:r>
              <w:rPr>
                <w:noProof/>
                <w:webHidden/>
              </w:rPr>
              <w:t>3</w:t>
            </w:r>
            <w:r w:rsidR="00351D12">
              <w:rPr>
                <w:noProof/>
                <w:webHidden/>
              </w:rPr>
              <w:fldChar w:fldCharType="end"/>
            </w:r>
          </w:hyperlink>
        </w:p>
        <w:p w14:paraId="3994152E" w14:textId="78330CBD"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1" w:history="1">
            <w:r w:rsidR="00351D12" w:rsidRPr="00EB5779">
              <w:rPr>
                <w:rStyle w:val="Hyperlink"/>
                <w:noProof/>
              </w:rPr>
              <w:t>Recommendations</w:t>
            </w:r>
            <w:r w:rsidR="00351D12">
              <w:rPr>
                <w:noProof/>
                <w:webHidden/>
              </w:rPr>
              <w:tab/>
            </w:r>
            <w:r w:rsidR="00351D12">
              <w:rPr>
                <w:noProof/>
                <w:webHidden/>
              </w:rPr>
              <w:fldChar w:fldCharType="begin"/>
            </w:r>
            <w:r w:rsidR="00351D12">
              <w:rPr>
                <w:noProof/>
                <w:webHidden/>
              </w:rPr>
              <w:instrText xml:space="preserve"> PAGEREF _Toc27738651 \h </w:instrText>
            </w:r>
            <w:r w:rsidR="00351D12">
              <w:rPr>
                <w:noProof/>
                <w:webHidden/>
              </w:rPr>
            </w:r>
            <w:r w:rsidR="00351D12">
              <w:rPr>
                <w:noProof/>
                <w:webHidden/>
              </w:rPr>
              <w:fldChar w:fldCharType="separate"/>
            </w:r>
            <w:r>
              <w:rPr>
                <w:noProof/>
                <w:webHidden/>
              </w:rPr>
              <w:t>5</w:t>
            </w:r>
            <w:r w:rsidR="00351D12">
              <w:rPr>
                <w:noProof/>
                <w:webHidden/>
              </w:rPr>
              <w:fldChar w:fldCharType="end"/>
            </w:r>
          </w:hyperlink>
        </w:p>
        <w:p w14:paraId="00FD51EB" w14:textId="1F2207E6"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2" w:history="1">
            <w:r w:rsidR="00351D12" w:rsidRPr="00EB5779">
              <w:rPr>
                <w:rStyle w:val="Hyperlink"/>
                <w:noProof/>
              </w:rPr>
              <w:t>New South Wales</w:t>
            </w:r>
            <w:r w:rsidR="00351D12">
              <w:rPr>
                <w:noProof/>
                <w:webHidden/>
              </w:rPr>
              <w:tab/>
            </w:r>
            <w:r w:rsidR="00351D12">
              <w:rPr>
                <w:noProof/>
                <w:webHidden/>
              </w:rPr>
              <w:fldChar w:fldCharType="begin"/>
            </w:r>
            <w:r w:rsidR="00351D12">
              <w:rPr>
                <w:noProof/>
                <w:webHidden/>
              </w:rPr>
              <w:instrText xml:space="preserve"> PAGEREF _Toc27738652 \h </w:instrText>
            </w:r>
            <w:r w:rsidR="00351D12">
              <w:rPr>
                <w:noProof/>
                <w:webHidden/>
              </w:rPr>
            </w:r>
            <w:r w:rsidR="00351D12">
              <w:rPr>
                <w:noProof/>
                <w:webHidden/>
              </w:rPr>
              <w:fldChar w:fldCharType="separate"/>
            </w:r>
            <w:r>
              <w:rPr>
                <w:noProof/>
                <w:webHidden/>
              </w:rPr>
              <w:t>8</w:t>
            </w:r>
            <w:r w:rsidR="00351D12">
              <w:rPr>
                <w:noProof/>
                <w:webHidden/>
              </w:rPr>
              <w:fldChar w:fldCharType="end"/>
            </w:r>
          </w:hyperlink>
        </w:p>
        <w:p w14:paraId="113C4D6F" w14:textId="48E79AE0"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3" w:history="1">
            <w:r w:rsidR="00351D12" w:rsidRPr="00EB5779">
              <w:rPr>
                <w:rStyle w:val="Hyperlink"/>
                <w:noProof/>
              </w:rPr>
              <w:t>Victoria</w:t>
            </w:r>
            <w:r w:rsidR="00351D12">
              <w:rPr>
                <w:noProof/>
                <w:webHidden/>
              </w:rPr>
              <w:tab/>
            </w:r>
            <w:r w:rsidR="00351D12">
              <w:rPr>
                <w:noProof/>
                <w:webHidden/>
              </w:rPr>
              <w:fldChar w:fldCharType="begin"/>
            </w:r>
            <w:r w:rsidR="00351D12">
              <w:rPr>
                <w:noProof/>
                <w:webHidden/>
              </w:rPr>
              <w:instrText xml:space="preserve"> PAGEREF _Toc27738653 \h </w:instrText>
            </w:r>
            <w:r w:rsidR="00351D12">
              <w:rPr>
                <w:noProof/>
                <w:webHidden/>
              </w:rPr>
            </w:r>
            <w:r w:rsidR="00351D12">
              <w:rPr>
                <w:noProof/>
                <w:webHidden/>
              </w:rPr>
              <w:fldChar w:fldCharType="separate"/>
            </w:r>
            <w:r>
              <w:rPr>
                <w:noProof/>
                <w:webHidden/>
              </w:rPr>
              <w:t>11</w:t>
            </w:r>
            <w:r w:rsidR="00351D12">
              <w:rPr>
                <w:noProof/>
                <w:webHidden/>
              </w:rPr>
              <w:fldChar w:fldCharType="end"/>
            </w:r>
          </w:hyperlink>
        </w:p>
        <w:p w14:paraId="5173637B" w14:textId="7F6F17DF"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4" w:history="1">
            <w:r w:rsidR="00351D12" w:rsidRPr="00EB5779">
              <w:rPr>
                <w:rStyle w:val="Hyperlink"/>
                <w:noProof/>
              </w:rPr>
              <w:t>Queensland</w:t>
            </w:r>
            <w:r w:rsidR="00351D12">
              <w:rPr>
                <w:noProof/>
                <w:webHidden/>
              </w:rPr>
              <w:tab/>
            </w:r>
            <w:r w:rsidR="00351D12">
              <w:rPr>
                <w:noProof/>
                <w:webHidden/>
              </w:rPr>
              <w:fldChar w:fldCharType="begin"/>
            </w:r>
            <w:r w:rsidR="00351D12">
              <w:rPr>
                <w:noProof/>
                <w:webHidden/>
              </w:rPr>
              <w:instrText xml:space="preserve"> PAGEREF _Toc27738654 \h </w:instrText>
            </w:r>
            <w:r w:rsidR="00351D12">
              <w:rPr>
                <w:noProof/>
                <w:webHidden/>
              </w:rPr>
            </w:r>
            <w:r w:rsidR="00351D12">
              <w:rPr>
                <w:noProof/>
                <w:webHidden/>
              </w:rPr>
              <w:fldChar w:fldCharType="separate"/>
            </w:r>
            <w:r>
              <w:rPr>
                <w:noProof/>
                <w:webHidden/>
              </w:rPr>
              <w:t>14</w:t>
            </w:r>
            <w:r w:rsidR="00351D12">
              <w:rPr>
                <w:noProof/>
                <w:webHidden/>
              </w:rPr>
              <w:fldChar w:fldCharType="end"/>
            </w:r>
          </w:hyperlink>
        </w:p>
        <w:p w14:paraId="52BC47F4" w14:textId="1C01E6F8"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5" w:history="1">
            <w:r w:rsidR="00351D12" w:rsidRPr="00EB5779">
              <w:rPr>
                <w:rStyle w:val="Hyperlink"/>
                <w:noProof/>
              </w:rPr>
              <w:t>Western Australia</w:t>
            </w:r>
            <w:r w:rsidR="00351D12">
              <w:rPr>
                <w:noProof/>
                <w:webHidden/>
              </w:rPr>
              <w:tab/>
            </w:r>
            <w:r w:rsidR="00351D12">
              <w:rPr>
                <w:noProof/>
                <w:webHidden/>
              </w:rPr>
              <w:fldChar w:fldCharType="begin"/>
            </w:r>
            <w:r w:rsidR="00351D12">
              <w:rPr>
                <w:noProof/>
                <w:webHidden/>
              </w:rPr>
              <w:instrText xml:space="preserve"> PAGEREF _Toc27738655 \h </w:instrText>
            </w:r>
            <w:r w:rsidR="00351D12">
              <w:rPr>
                <w:noProof/>
                <w:webHidden/>
              </w:rPr>
            </w:r>
            <w:r w:rsidR="00351D12">
              <w:rPr>
                <w:noProof/>
                <w:webHidden/>
              </w:rPr>
              <w:fldChar w:fldCharType="separate"/>
            </w:r>
            <w:r>
              <w:rPr>
                <w:noProof/>
                <w:webHidden/>
              </w:rPr>
              <w:t>17</w:t>
            </w:r>
            <w:r w:rsidR="00351D12">
              <w:rPr>
                <w:noProof/>
                <w:webHidden/>
              </w:rPr>
              <w:fldChar w:fldCharType="end"/>
            </w:r>
          </w:hyperlink>
        </w:p>
        <w:p w14:paraId="1C212AC4" w14:textId="62DDA040"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6" w:history="1">
            <w:r w:rsidR="00351D12" w:rsidRPr="00EB5779">
              <w:rPr>
                <w:rStyle w:val="Hyperlink"/>
                <w:noProof/>
              </w:rPr>
              <w:t>South Australia</w:t>
            </w:r>
            <w:r w:rsidR="00351D12">
              <w:rPr>
                <w:noProof/>
                <w:webHidden/>
              </w:rPr>
              <w:tab/>
            </w:r>
            <w:r w:rsidR="00351D12">
              <w:rPr>
                <w:noProof/>
                <w:webHidden/>
              </w:rPr>
              <w:fldChar w:fldCharType="begin"/>
            </w:r>
            <w:r w:rsidR="00351D12">
              <w:rPr>
                <w:noProof/>
                <w:webHidden/>
              </w:rPr>
              <w:instrText xml:space="preserve"> PAGEREF _Toc27738656 \h </w:instrText>
            </w:r>
            <w:r w:rsidR="00351D12">
              <w:rPr>
                <w:noProof/>
                <w:webHidden/>
              </w:rPr>
            </w:r>
            <w:r w:rsidR="00351D12">
              <w:rPr>
                <w:noProof/>
                <w:webHidden/>
              </w:rPr>
              <w:fldChar w:fldCharType="separate"/>
            </w:r>
            <w:r>
              <w:rPr>
                <w:noProof/>
                <w:webHidden/>
              </w:rPr>
              <w:t>21</w:t>
            </w:r>
            <w:r w:rsidR="00351D12">
              <w:rPr>
                <w:noProof/>
                <w:webHidden/>
              </w:rPr>
              <w:fldChar w:fldCharType="end"/>
            </w:r>
          </w:hyperlink>
        </w:p>
        <w:p w14:paraId="3F7273D9" w14:textId="68EBB0D3"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7" w:history="1">
            <w:r w:rsidR="00351D12" w:rsidRPr="00EB5779">
              <w:rPr>
                <w:rStyle w:val="Hyperlink"/>
                <w:noProof/>
              </w:rPr>
              <w:t>Tasmania</w:t>
            </w:r>
            <w:r w:rsidR="00351D12">
              <w:rPr>
                <w:noProof/>
                <w:webHidden/>
              </w:rPr>
              <w:tab/>
            </w:r>
            <w:r w:rsidR="00351D12">
              <w:rPr>
                <w:noProof/>
                <w:webHidden/>
              </w:rPr>
              <w:fldChar w:fldCharType="begin"/>
            </w:r>
            <w:r w:rsidR="00351D12">
              <w:rPr>
                <w:noProof/>
                <w:webHidden/>
              </w:rPr>
              <w:instrText xml:space="preserve"> PAGEREF _Toc27738657 \h </w:instrText>
            </w:r>
            <w:r w:rsidR="00351D12">
              <w:rPr>
                <w:noProof/>
                <w:webHidden/>
              </w:rPr>
            </w:r>
            <w:r w:rsidR="00351D12">
              <w:rPr>
                <w:noProof/>
                <w:webHidden/>
              </w:rPr>
              <w:fldChar w:fldCharType="separate"/>
            </w:r>
            <w:r>
              <w:rPr>
                <w:noProof/>
                <w:webHidden/>
              </w:rPr>
              <w:t>25</w:t>
            </w:r>
            <w:r w:rsidR="00351D12">
              <w:rPr>
                <w:noProof/>
                <w:webHidden/>
              </w:rPr>
              <w:fldChar w:fldCharType="end"/>
            </w:r>
          </w:hyperlink>
        </w:p>
        <w:p w14:paraId="24D33316" w14:textId="4778EB69"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8" w:history="1">
            <w:r w:rsidR="00351D12" w:rsidRPr="00EB5779">
              <w:rPr>
                <w:rStyle w:val="Hyperlink"/>
                <w:noProof/>
              </w:rPr>
              <w:t>Australian Capital Territory</w:t>
            </w:r>
            <w:r w:rsidR="00351D12">
              <w:rPr>
                <w:noProof/>
                <w:webHidden/>
              </w:rPr>
              <w:tab/>
            </w:r>
            <w:r w:rsidR="00351D12">
              <w:rPr>
                <w:noProof/>
                <w:webHidden/>
              </w:rPr>
              <w:fldChar w:fldCharType="begin"/>
            </w:r>
            <w:r w:rsidR="00351D12">
              <w:rPr>
                <w:noProof/>
                <w:webHidden/>
              </w:rPr>
              <w:instrText xml:space="preserve"> PAGEREF _Toc27738658 \h </w:instrText>
            </w:r>
            <w:r w:rsidR="00351D12">
              <w:rPr>
                <w:noProof/>
                <w:webHidden/>
              </w:rPr>
            </w:r>
            <w:r w:rsidR="00351D12">
              <w:rPr>
                <w:noProof/>
                <w:webHidden/>
              </w:rPr>
              <w:fldChar w:fldCharType="separate"/>
            </w:r>
            <w:r>
              <w:rPr>
                <w:noProof/>
                <w:webHidden/>
              </w:rPr>
              <w:t>27</w:t>
            </w:r>
            <w:r w:rsidR="00351D12">
              <w:rPr>
                <w:noProof/>
                <w:webHidden/>
              </w:rPr>
              <w:fldChar w:fldCharType="end"/>
            </w:r>
          </w:hyperlink>
        </w:p>
        <w:p w14:paraId="555B9202" w14:textId="69398F34"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59" w:history="1">
            <w:r w:rsidR="00351D12" w:rsidRPr="00EB5779">
              <w:rPr>
                <w:rStyle w:val="Hyperlink"/>
                <w:noProof/>
              </w:rPr>
              <w:t>Northern Territory</w:t>
            </w:r>
            <w:r w:rsidR="00351D12">
              <w:rPr>
                <w:noProof/>
                <w:webHidden/>
              </w:rPr>
              <w:tab/>
            </w:r>
            <w:r w:rsidR="00351D12">
              <w:rPr>
                <w:noProof/>
                <w:webHidden/>
              </w:rPr>
              <w:fldChar w:fldCharType="begin"/>
            </w:r>
            <w:r w:rsidR="00351D12">
              <w:rPr>
                <w:noProof/>
                <w:webHidden/>
              </w:rPr>
              <w:instrText xml:space="preserve"> PAGEREF _Toc27738659 \h </w:instrText>
            </w:r>
            <w:r w:rsidR="00351D12">
              <w:rPr>
                <w:noProof/>
                <w:webHidden/>
              </w:rPr>
            </w:r>
            <w:r w:rsidR="00351D12">
              <w:rPr>
                <w:noProof/>
                <w:webHidden/>
              </w:rPr>
              <w:fldChar w:fldCharType="separate"/>
            </w:r>
            <w:r>
              <w:rPr>
                <w:noProof/>
                <w:webHidden/>
              </w:rPr>
              <w:t>30</w:t>
            </w:r>
            <w:r w:rsidR="00351D12">
              <w:rPr>
                <w:noProof/>
                <w:webHidden/>
              </w:rPr>
              <w:fldChar w:fldCharType="end"/>
            </w:r>
          </w:hyperlink>
        </w:p>
        <w:p w14:paraId="34FD275A" w14:textId="5134A20D" w:rsidR="00351D12" w:rsidRDefault="00A90DF3">
          <w:pPr>
            <w:pStyle w:val="TOC1"/>
            <w:tabs>
              <w:tab w:val="right" w:leader="dot" w:pos="10080"/>
            </w:tabs>
            <w:rPr>
              <w:rFonts w:asciiTheme="minorHAnsi" w:eastAsiaTheme="minorEastAsia" w:hAnsiTheme="minorHAnsi" w:cstheme="minorBidi"/>
              <w:noProof/>
              <w:lang w:val="en-AU" w:eastAsia="en-AU"/>
            </w:rPr>
          </w:pPr>
          <w:hyperlink w:anchor="_Toc27738660" w:history="1">
            <w:r w:rsidR="00351D12" w:rsidRPr="00EB5779">
              <w:rPr>
                <w:rStyle w:val="Hyperlink"/>
                <w:noProof/>
              </w:rPr>
              <w:t>Australian Building Codes Board (ABCB)</w:t>
            </w:r>
            <w:r w:rsidR="00351D12">
              <w:rPr>
                <w:noProof/>
                <w:webHidden/>
              </w:rPr>
              <w:tab/>
            </w:r>
            <w:r w:rsidR="00351D12">
              <w:rPr>
                <w:noProof/>
                <w:webHidden/>
              </w:rPr>
              <w:fldChar w:fldCharType="begin"/>
            </w:r>
            <w:r w:rsidR="00351D12">
              <w:rPr>
                <w:noProof/>
                <w:webHidden/>
              </w:rPr>
              <w:instrText xml:space="preserve"> PAGEREF _Toc27738660 \h </w:instrText>
            </w:r>
            <w:r w:rsidR="00351D12">
              <w:rPr>
                <w:noProof/>
                <w:webHidden/>
              </w:rPr>
            </w:r>
            <w:r w:rsidR="00351D12">
              <w:rPr>
                <w:noProof/>
                <w:webHidden/>
              </w:rPr>
              <w:fldChar w:fldCharType="separate"/>
            </w:r>
            <w:r>
              <w:rPr>
                <w:noProof/>
                <w:webHidden/>
              </w:rPr>
              <w:t>32</w:t>
            </w:r>
            <w:r w:rsidR="00351D12">
              <w:rPr>
                <w:noProof/>
                <w:webHidden/>
              </w:rPr>
              <w:fldChar w:fldCharType="end"/>
            </w:r>
          </w:hyperlink>
        </w:p>
        <w:p w14:paraId="2167808E" w14:textId="0AB711AE" w:rsidR="00984AD5" w:rsidRDefault="00FF4A2C" w:rsidP="00A96FF6">
          <w:r>
            <w:fldChar w:fldCharType="end"/>
          </w:r>
        </w:p>
      </w:sdtContent>
    </w:sdt>
    <w:p w14:paraId="2C2D7FFB" w14:textId="77777777" w:rsidR="000B42C8" w:rsidRDefault="000B42C8" w:rsidP="000B42C8">
      <w:pPr>
        <w:pStyle w:val="Heading2"/>
      </w:pPr>
      <w:bookmarkStart w:id="1" w:name="_Toc19023739"/>
      <w:bookmarkStart w:id="2" w:name="_Toc19289802"/>
      <w:r w:rsidRPr="001D216A">
        <w:t>Copyright</w:t>
      </w:r>
      <w:bookmarkEnd w:id="1"/>
      <w:bookmarkEnd w:id="2"/>
    </w:p>
    <w:p w14:paraId="68939D8B" w14:textId="1E77382D" w:rsidR="000B42C8" w:rsidRPr="0068286F" w:rsidRDefault="000B42C8" w:rsidP="000B42C8">
      <w:pPr>
        <w:pStyle w:val="BodyText"/>
        <w:rPr>
          <w:rStyle w:val="Strong"/>
        </w:rPr>
      </w:pPr>
      <w:r w:rsidRPr="0068286F">
        <w:rPr>
          <w:rStyle w:val="Strong"/>
        </w:rPr>
        <w:t xml:space="preserve">© Commonwealth of </w:t>
      </w:r>
      <w:r>
        <w:rPr>
          <w:rStyle w:val="Strong"/>
        </w:rPr>
        <w:t>Australia 20</w:t>
      </w:r>
      <w:r>
        <w:rPr>
          <w:rStyle w:val="Strong"/>
        </w:rPr>
        <w:t>19</w:t>
      </w:r>
    </w:p>
    <w:p w14:paraId="020FC3C7" w14:textId="77777777" w:rsidR="000B42C8" w:rsidRPr="0068286F" w:rsidRDefault="000B42C8" w:rsidP="000B42C8">
      <w:pPr>
        <w:pStyle w:val="BodyText"/>
        <w:rPr>
          <w:rStyle w:val="Strong"/>
        </w:rPr>
      </w:pPr>
      <w:r w:rsidRPr="0068286F">
        <w:rPr>
          <w:rStyle w:val="Strong"/>
        </w:rPr>
        <w:t>Ownership of intellectual property rights</w:t>
      </w:r>
    </w:p>
    <w:p w14:paraId="31D65A72" w14:textId="77777777" w:rsidR="000B42C8" w:rsidRDefault="000B42C8" w:rsidP="000B42C8">
      <w:pPr>
        <w:pStyle w:val="BodyText"/>
      </w:pPr>
      <w:r>
        <w:t>Unless otherwise noted, copyright (and any other intellectual property rights, if any) in this publication is owned by the Commonwealth of Australia.</w:t>
      </w:r>
    </w:p>
    <w:p w14:paraId="0758A741" w14:textId="77777777" w:rsidR="000B42C8" w:rsidRDefault="000B42C8" w:rsidP="000B42C8">
      <w:pPr>
        <w:pStyle w:val="BodyText"/>
        <w:rPr>
          <w:rStyle w:val="Strong"/>
        </w:rPr>
      </w:pPr>
      <w:r w:rsidRPr="0068286F">
        <w:rPr>
          <w:rStyle w:val="Strong"/>
        </w:rPr>
        <w:t>Creative Commons licence</w:t>
      </w:r>
    </w:p>
    <w:p w14:paraId="6F1518F1" w14:textId="77777777" w:rsidR="000B42C8" w:rsidRPr="0068286F" w:rsidRDefault="000B42C8" w:rsidP="000B42C8">
      <w:pPr>
        <w:rPr>
          <w:rStyle w:val="Strong"/>
        </w:rPr>
      </w:pPr>
      <w:r>
        <w:rPr>
          <w:b/>
          <w:noProof/>
          <w:lang w:eastAsia="en-AU"/>
        </w:rPr>
        <w:drawing>
          <wp:inline distT="0" distB="0" distL="0" distR="0" wp14:anchorId="6AE295AB" wp14:editId="1194A5E7">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176AB576" w14:textId="77777777" w:rsidR="000B42C8" w:rsidRPr="001D216A" w:rsidRDefault="000B42C8" w:rsidP="000B42C8">
      <w:pPr>
        <w:pStyle w:val="BodyText"/>
        <w:rPr>
          <w:rStyle w:val="Strong"/>
        </w:rPr>
      </w:pPr>
      <w:r w:rsidRPr="001D216A">
        <w:rPr>
          <w:rStyle w:val="Strong"/>
        </w:rPr>
        <w:t xml:space="preserve">Attribution </w:t>
      </w:r>
    </w:p>
    <w:p w14:paraId="73C03686" w14:textId="77777777" w:rsidR="000B42C8" w:rsidRPr="001D216A" w:rsidRDefault="000B42C8" w:rsidP="000B42C8">
      <w:pPr>
        <w:pStyle w:val="BodyText"/>
        <w:rPr>
          <w:rStyle w:val="Strong"/>
        </w:rPr>
      </w:pPr>
      <w:r w:rsidRPr="001D216A">
        <w:rPr>
          <w:rStyle w:val="Strong"/>
        </w:rPr>
        <w:t>CC BY</w:t>
      </w:r>
    </w:p>
    <w:p w14:paraId="2FF89789" w14:textId="77777777" w:rsidR="000B42C8" w:rsidRDefault="000B42C8" w:rsidP="000B42C8">
      <w:pPr>
        <w:pStyle w:val="BodyText"/>
      </w:pPr>
      <w:r>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6EDA2920" w14:textId="77777777" w:rsidR="000B42C8" w:rsidRDefault="000B42C8" w:rsidP="000B42C8">
      <w:pPr>
        <w:pStyle w:val="BodyText"/>
      </w:pPr>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4" w:history="1">
        <w:r w:rsidRPr="00DB39DE">
          <w:rPr>
            <w:rStyle w:val="Hyperlink"/>
          </w:rPr>
          <w:t>https://</w:t>
        </w:r>
        <w:r w:rsidRPr="000B42C8">
          <w:rPr>
            <w:rStyle w:val="Hyperlink"/>
          </w:rPr>
          <w:t>creativecommons</w:t>
        </w:r>
        <w:r w:rsidRPr="00DB39DE">
          <w:rPr>
            <w:rStyle w:val="Hyperlink"/>
          </w:rPr>
          <w:t>.org/licenses/by/4.0/</w:t>
        </w:r>
      </w:hyperlink>
    </w:p>
    <w:p w14:paraId="42689FF8" w14:textId="77777777" w:rsidR="000B42C8" w:rsidRDefault="000B42C8" w:rsidP="000B42C8">
      <w:pPr>
        <w:pStyle w:val="BodyText"/>
      </w:pPr>
      <w:r>
        <w:t xml:space="preserve">The full licence terms are available from </w:t>
      </w:r>
      <w:hyperlink r:id="rId15" w:history="1">
        <w:r w:rsidRPr="00DB39DE">
          <w:rPr>
            <w:rStyle w:val="Hyperlink"/>
          </w:rPr>
          <w:t>https://creativecommons.org/licenses/by/4.0/legalcode</w:t>
        </w:r>
      </w:hyperlink>
    </w:p>
    <w:p w14:paraId="1268AFF4" w14:textId="3F13A22B" w:rsidR="000B42C8" w:rsidRPr="00984AD5" w:rsidRDefault="000B42C8" w:rsidP="000B42C8">
      <w:pPr>
        <w:pStyle w:val="BodyText"/>
      </w:pPr>
      <w:r>
        <w:t xml:space="preserve">Content contained herein should be attributed as </w:t>
      </w:r>
      <w:r>
        <w:rPr>
          <w:i/>
        </w:rPr>
        <w:t xml:space="preserve">Building </w:t>
      </w:r>
      <w:r w:rsidR="00A90DF3">
        <w:rPr>
          <w:i/>
        </w:rPr>
        <w:t>C</w:t>
      </w:r>
      <w:r>
        <w:rPr>
          <w:i/>
        </w:rPr>
        <w:t>onfidence</w:t>
      </w:r>
      <w:r w:rsidR="00A90DF3">
        <w:rPr>
          <w:i/>
        </w:rPr>
        <w:t xml:space="preserve"> Report: Jurisdictional Update</w:t>
      </w:r>
      <w:r w:rsidRPr="000F2564">
        <w:rPr>
          <w:i/>
        </w:rPr>
        <w:t>, Australian Government Department of Industry, Science</w:t>
      </w:r>
      <w:r>
        <w:rPr>
          <w:i/>
        </w:rPr>
        <w:t xml:space="preserve"> and Resources</w:t>
      </w:r>
      <w:r w:rsidRPr="000F2564">
        <w:t>.</w:t>
      </w:r>
    </w:p>
    <w:p w14:paraId="59A33ABA" w14:textId="5345D4C3" w:rsidR="005C4E20" w:rsidRPr="00984AD5" w:rsidRDefault="005C4E20" w:rsidP="00984AD5">
      <w:pPr>
        <w:tabs>
          <w:tab w:val="left" w:pos="7009"/>
        </w:tabs>
        <w:sectPr w:rsidR="005C4E20" w:rsidRPr="00984AD5">
          <w:headerReference w:type="default" r:id="rId16"/>
          <w:footerReference w:type="default" r:id="rId17"/>
          <w:pgSz w:w="11910" w:h="16840"/>
          <w:pgMar w:top="840" w:right="680" w:bottom="740" w:left="1140" w:header="567" w:footer="550" w:gutter="0"/>
          <w:pgNumType w:start="2"/>
          <w:cols w:space="720"/>
        </w:sectPr>
      </w:pPr>
    </w:p>
    <w:p w14:paraId="6E9C7275" w14:textId="77777777" w:rsidR="00FF4A2C" w:rsidRPr="008B5B68" w:rsidRDefault="00FF4A2C" w:rsidP="008B5B68">
      <w:pPr>
        <w:pStyle w:val="Heading1"/>
      </w:pPr>
      <w:bookmarkStart w:id="3" w:name="_Toc27738650"/>
      <w:r w:rsidRPr="008B5B68">
        <w:lastRenderedPageBreak/>
        <w:t>Overview</w:t>
      </w:r>
      <w:bookmarkEnd w:id="3"/>
    </w:p>
    <w:p w14:paraId="02DFF1F6" w14:textId="77777777" w:rsidR="00FF4A2C" w:rsidRPr="0032060F" w:rsidRDefault="00FF4A2C" w:rsidP="0032060F">
      <w:pPr>
        <w:pStyle w:val="BodyText"/>
      </w:pPr>
      <w:r w:rsidRPr="0032060F">
        <w:t>The tragic fire at Grenfell Tower in London in June 2017 raised global concerns about building safety and industry compliance with required standards. Australia is not immune as shown by the recent Neo200 apartment and 2014 Lacrosse apartment fires in Melbourne</w:t>
      </w:r>
      <w:r w:rsidR="0046220A" w:rsidRPr="0032060F">
        <w:t xml:space="preserve"> </w:t>
      </w:r>
      <w:r w:rsidRPr="0032060F">
        <w:t>and building issues in the Opal Tower building in Sydney.</w:t>
      </w:r>
    </w:p>
    <w:p w14:paraId="64521CCB" w14:textId="77777777" w:rsidR="00FF4A2C" w:rsidRPr="0032060F" w:rsidRDefault="00FF4A2C" w:rsidP="0032060F">
      <w:pPr>
        <w:pStyle w:val="BodyText"/>
      </w:pPr>
      <w:r w:rsidRPr="0032060F">
        <w:t>Australian governments—Commonwealth, state and territory—are strongly committed to ensuring the safety of Australia’s buildings through effective regulation, certification and enforcement, and working with the sector to support industry-led initiatives to improve practice and compliance.</w:t>
      </w:r>
    </w:p>
    <w:p w14:paraId="3D277AF4" w14:textId="77777777" w:rsidR="00FF4A2C" w:rsidRPr="0032060F" w:rsidRDefault="00FF4A2C" w:rsidP="0032060F">
      <w:pPr>
        <w:pStyle w:val="BodyText"/>
      </w:pPr>
      <w:r w:rsidRPr="0032060F">
        <w:t>Through the Building Ministers’ Forum (BMF), jurisdictions have worked together to identify and address immediate safety issues, and to assess the broader compliance and enforcement problems within the industry.</w:t>
      </w:r>
    </w:p>
    <w:p w14:paraId="2EA4C001" w14:textId="77777777" w:rsidR="00FF4A2C" w:rsidRPr="0032060F" w:rsidRDefault="00FF4A2C" w:rsidP="0032060F">
      <w:pPr>
        <w:pStyle w:val="BodyText"/>
      </w:pPr>
      <w:r w:rsidRPr="0032060F">
        <w:t>Following the Grenfell Tower tragedy in 2017, Ministers took immediate action to prevent the misuse of aluminium composite panels in Australia. The BMF undertook a number of coordinated actions in response to cladding that did not meet Australia’s standards, focusing on high-rise buildings.</w:t>
      </w:r>
    </w:p>
    <w:p w14:paraId="0166A648" w14:textId="77777777" w:rsidR="00FF4A2C" w:rsidRPr="0032060F" w:rsidRDefault="00FF4A2C" w:rsidP="0032060F">
      <w:pPr>
        <w:pStyle w:val="BodyText"/>
      </w:pPr>
      <w:r w:rsidRPr="0032060F">
        <w:t>The BMF commissioned the Building Confidence Report (BCR), an independent expert examination of the broader compliance and enforcement problems within Australia’s building and construction system. The report concluded that there are a number of significant systematic deficiencies with Australia’s building industry culture and Australia’s governance arrangements</w:t>
      </w:r>
      <w:r w:rsidR="0046220A" w:rsidRPr="0032060F">
        <w:t xml:space="preserve"> </w:t>
      </w:r>
      <w:r w:rsidRPr="0032060F">
        <w:t>and made 24 recommendations to address these (see Table 1).</w:t>
      </w:r>
    </w:p>
    <w:p w14:paraId="2B08BB89" w14:textId="77777777" w:rsidR="00AD66F5" w:rsidRPr="0032060F" w:rsidRDefault="00AD66F5" w:rsidP="0032060F">
      <w:pPr>
        <w:pStyle w:val="BodyText"/>
      </w:pPr>
      <w:r w:rsidRPr="0032060F">
        <w:t xml:space="preserve">The BMF provided in-principle support for the report and affirmed Australian governments’ commitment to delivering reforms that will restore the community’s confidence in the nation’s building and construction industry. </w:t>
      </w:r>
      <w:r w:rsidR="0072656D" w:rsidRPr="0032060F">
        <w:t>This document</w:t>
      </w:r>
      <w:r w:rsidRPr="0032060F">
        <w:t xml:space="preserve"> sets out a summary of reforms underway in each jurisdiction.</w:t>
      </w:r>
    </w:p>
    <w:p w14:paraId="090F41ED" w14:textId="77777777" w:rsidR="00AD66F5" w:rsidRPr="0032060F" w:rsidRDefault="00AD66F5" w:rsidP="0032060F">
      <w:pPr>
        <w:pStyle w:val="BodyText"/>
      </w:pPr>
      <w:r w:rsidRPr="0032060F">
        <w:t xml:space="preserve">At the BMF held on 18 July 2019, Building Ministers supported a national framework to address the issues identified in the BCR and determined that an implementation team would be established, for a period of time, as part of the Australian Building Codes Board (ABCB). </w:t>
      </w:r>
      <w:r w:rsidR="007E1FB4" w:rsidRPr="0032060F">
        <w:t xml:space="preserve">The BCR Implementation Team has now been established within the ABCB. </w:t>
      </w:r>
      <w:r w:rsidRPr="0032060F">
        <w:t>While states and territories retain responsibility for building and construction matters; the implementation team will develop and report on this national framework as well as the design, construction and certification of complex buildings.</w:t>
      </w:r>
    </w:p>
    <w:p w14:paraId="199FA37E" w14:textId="77777777" w:rsidR="00FF4A2C" w:rsidRPr="0032060F" w:rsidRDefault="00FF4A2C" w:rsidP="0032060F">
      <w:pPr>
        <w:pStyle w:val="BodyText"/>
        <w:sectPr w:rsidR="00FF4A2C" w:rsidRPr="0032060F">
          <w:pgSz w:w="11910" w:h="16840"/>
          <w:pgMar w:top="840" w:right="680" w:bottom="740" w:left="1140" w:header="567" w:footer="550" w:gutter="0"/>
          <w:cols w:space="720"/>
        </w:sectPr>
      </w:pPr>
    </w:p>
    <w:p w14:paraId="1C4FCA3B" w14:textId="566F36B1" w:rsidR="00FF4A2C" w:rsidRDefault="00FF4A2C" w:rsidP="00FF4A2C">
      <w:pPr>
        <w:pStyle w:val="Heading1"/>
        <w:spacing w:before="84"/>
        <w:ind w:left="956"/>
      </w:pPr>
      <w:bookmarkStart w:id="4" w:name="_Toc27738651"/>
      <w:r>
        <w:rPr>
          <w:color w:val="00283D"/>
        </w:rPr>
        <w:lastRenderedPageBreak/>
        <w:t>Recommendations</w:t>
      </w:r>
      <w:bookmarkEnd w:id="4"/>
    </w:p>
    <w:p w14:paraId="3C0DE86A" w14:textId="77777777" w:rsidR="00FF4A2C" w:rsidRDefault="00FF4A2C" w:rsidP="008916E2">
      <w:pPr>
        <w:pStyle w:val="Heading2"/>
        <w:spacing w:before="205"/>
      </w:pPr>
      <w:r w:rsidRPr="008916E2">
        <w:rPr>
          <w:color w:val="00283D"/>
        </w:rPr>
        <w:t>Table 1: Snapshot of jurisdiction’s positions by recommendation</w:t>
      </w:r>
    </w:p>
    <w:p w14:paraId="7C9A0013" w14:textId="77777777" w:rsidR="00FF4A2C" w:rsidRDefault="00FF4A2C" w:rsidP="008916E2"/>
    <w:tbl>
      <w:tblPr>
        <w:tblW w:w="0" w:type="auto"/>
        <w:tblInd w:w="100"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8791"/>
        <w:gridCol w:w="872"/>
        <w:gridCol w:w="873"/>
        <w:gridCol w:w="872"/>
        <w:gridCol w:w="873"/>
        <w:gridCol w:w="872"/>
        <w:gridCol w:w="873"/>
        <w:gridCol w:w="872"/>
        <w:gridCol w:w="873"/>
      </w:tblGrid>
      <w:tr w:rsidR="00036C7E" w14:paraId="16E92E14" w14:textId="77777777" w:rsidTr="00310A44">
        <w:trPr>
          <w:trHeight w:hRule="exact" w:val="1008"/>
        </w:trPr>
        <w:tc>
          <w:tcPr>
            <w:tcW w:w="8791" w:type="dxa"/>
            <w:vMerge w:val="restart"/>
            <w:shd w:val="clear" w:color="auto" w:fill="005577"/>
          </w:tcPr>
          <w:p w14:paraId="3B01C360" w14:textId="77777777" w:rsidR="00036C7E" w:rsidRDefault="00036C7E" w:rsidP="00A87137">
            <w:pPr>
              <w:pStyle w:val="TableParagraph"/>
              <w:rPr>
                <w:sz w:val="24"/>
              </w:rPr>
            </w:pPr>
          </w:p>
          <w:p w14:paraId="4DB1180F" w14:textId="77777777" w:rsidR="00036C7E" w:rsidRDefault="00036C7E" w:rsidP="00A87137">
            <w:pPr>
              <w:pStyle w:val="TableParagraph"/>
              <w:spacing w:before="5"/>
              <w:rPr>
                <w:sz w:val="25"/>
              </w:rPr>
            </w:pPr>
          </w:p>
          <w:p w14:paraId="1DF4DDA7" w14:textId="77777777" w:rsidR="00036C7E" w:rsidRDefault="00036C7E" w:rsidP="00A87137">
            <w:pPr>
              <w:pStyle w:val="TableParagraph"/>
              <w:ind w:left="1989"/>
              <w:rPr>
                <w:b/>
              </w:rPr>
            </w:pPr>
            <w:r>
              <w:rPr>
                <w:b/>
                <w:color w:val="FFFFFF"/>
              </w:rPr>
              <w:t>Building Confidence Report Recommendation</w:t>
            </w:r>
          </w:p>
        </w:tc>
        <w:tc>
          <w:tcPr>
            <w:tcW w:w="6980" w:type="dxa"/>
            <w:gridSpan w:val="8"/>
            <w:shd w:val="clear" w:color="auto" w:fill="005577"/>
          </w:tcPr>
          <w:p w14:paraId="55E82037" w14:textId="77777777" w:rsidR="00036C7E" w:rsidRDefault="00036C7E" w:rsidP="00A87137">
            <w:pPr>
              <w:pStyle w:val="TableParagraph"/>
              <w:spacing w:before="52"/>
              <w:ind w:left="1548"/>
              <w:rPr>
                <w:b/>
              </w:rPr>
            </w:pPr>
            <w:r>
              <w:rPr>
                <w:b/>
                <w:color w:val="FFFFFF"/>
              </w:rPr>
              <w:t>Jurisdiction position</w:t>
            </w:r>
          </w:p>
          <w:p w14:paraId="4528C1EF" w14:textId="77777777" w:rsidR="00036C7E" w:rsidRDefault="00036C7E" w:rsidP="00A87137">
            <w:pPr>
              <w:pStyle w:val="TableParagraph"/>
              <w:tabs>
                <w:tab w:val="left" w:pos="2275"/>
              </w:tabs>
              <w:spacing w:before="4" w:line="219" w:lineRule="exact"/>
              <w:ind w:left="115"/>
              <w:rPr>
                <w:rFonts w:ascii="Calibri"/>
                <w:i/>
                <w:sz w:val="18"/>
              </w:rPr>
            </w:pPr>
            <w:r>
              <w:rPr>
                <w:rFonts w:ascii="Calibri"/>
                <w:b/>
                <w:i/>
                <w:color w:val="FFFFFF"/>
                <w:sz w:val="18"/>
              </w:rPr>
              <w:t>S</w:t>
            </w:r>
            <w:r>
              <w:rPr>
                <w:rFonts w:ascii="Calibri"/>
                <w:b/>
                <w:i/>
                <w:color w:val="FFFFFF"/>
                <w:spacing w:val="-1"/>
                <w:sz w:val="18"/>
              </w:rPr>
              <w:t xml:space="preserve"> </w:t>
            </w:r>
            <w:r>
              <w:rPr>
                <w:rFonts w:ascii="Calibri"/>
                <w:i/>
                <w:color w:val="FFFFFF"/>
                <w:sz w:val="18"/>
              </w:rPr>
              <w:t>Support</w:t>
            </w:r>
            <w:r>
              <w:rPr>
                <w:rFonts w:ascii="Calibri"/>
                <w:i/>
                <w:color w:val="FFFFFF"/>
                <w:sz w:val="18"/>
              </w:rPr>
              <w:tab/>
            </w:r>
            <w:r>
              <w:rPr>
                <w:rFonts w:ascii="Calibri"/>
                <w:b/>
                <w:i/>
                <w:color w:val="FFFFFF"/>
                <w:sz w:val="18"/>
              </w:rPr>
              <w:t xml:space="preserve">IPS </w:t>
            </w:r>
            <w:r>
              <w:rPr>
                <w:rFonts w:ascii="Calibri"/>
                <w:i/>
                <w:color w:val="FFFFFF"/>
                <w:sz w:val="18"/>
              </w:rPr>
              <w:t>In-Principle</w:t>
            </w:r>
            <w:r>
              <w:rPr>
                <w:rFonts w:ascii="Calibri"/>
                <w:i/>
                <w:color w:val="FFFFFF"/>
                <w:spacing w:val="-6"/>
                <w:sz w:val="18"/>
              </w:rPr>
              <w:t xml:space="preserve"> </w:t>
            </w:r>
            <w:r>
              <w:rPr>
                <w:rFonts w:ascii="Calibri"/>
                <w:i/>
                <w:color w:val="FFFFFF"/>
                <w:sz w:val="18"/>
              </w:rPr>
              <w:t>Support</w:t>
            </w:r>
          </w:p>
          <w:p w14:paraId="47A4D380" w14:textId="77777777" w:rsidR="00036C7E" w:rsidRDefault="00036C7E" w:rsidP="00A87137">
            <w:pPr>
              <w:pStyle w:val="TableParagraph"/>
              <w:tabs>
                <w:tab w:val="left" w:pos="2275"/>
              </w:tabs>
              <w:spacing w:line="219" w:lineRule="exact"/>
              <w:ind w:left="115"/>
              <w:rPr>
                <w:rFonts w:ascii="Calibri"/>
                <w:i/>
                <w:sz w:val="18"/>
              </w:rPr>
            </w:pPr>
            <w:r>
              <w:rPr>
                <w:rFonts w:ascii="Calibri"/>
                <w:b/>
                <w:i/>
                <w:color w:val="FFFFFF"/>
                <w:sz w:val="18"/>
              </w:rPr>
              <w:t>NS</w:t>
            </w:r>
            <w:r>
              <w:rPr>
                <w:rFonts w:ascii="Calibri"/>
                <w:b/>
                <w:i/>
                <w:color w:val="FFFFFF"/>
                <w:spacing w:val="-1"/>
                <w:sz w:val="18"/>
              </w:rPr>
              <w:t xml:space="preserve"> </w:t>
            </w:r>
            <w:r>
              <w:rPr>
                <w:rFonts w:ascii="Calibri"/>
                <w:i/>
                <w:color w:val="FFFFFF"/>
                <w:sz w:val="18"/>
              </w:rPr>
              <w:t>Not</w:t>
            </w:r>
            <w:r>
              <w:rPr>
                <w:rFonts w:ascii="Calibri"/>
                <w:i/>
                <w:color w:val="FFFFFF"/>
                <w:spacing w:val="-2"/>
                <w:sz w:val="18"/>
              </w:rPr>
              <w:t xml:space="preserve"> </w:t>
            </w:r>
            <w:r>
              <w:rPr>
                <w:rFonts w:ascii="Calibri"/>
                <w:i/>
                <w:color w:val="FFFFFF"/>
                <w:sz w:val="18"/>
              </w:rPr>
              <w:t>Supported</w:t>
            </w:r>
            <w:r>
              <w:rPr>
                <w:rFonts w:ascii="Calibri"/>
                <w:i/>
                <w:color w:val="FFFFFF"/>
                <w:sz w:val="18"/>
              </w:rPr>
              <w:tab/>
            </w:r>
            <w:r>
              <w:rPr>
                <w:rFonts w:ascii="Calibri"/>
                <w:b/>
                <w:i/>
                <w:color w:val="FFFFFF"/>
                <w:sz w:val="18"/>
              </w:rPr>
              <w:t xml:space="preserve">UC </w:t>
            </w:r>
            <w:r>
              <w:rPr>
                <w:rFonts w:ascii="Calibri"/>
                <w:i/>
                <w:color w:val="FFFFFF"/>
                <w:sz w:val="18"/>
              </w:rPr>
              <w:t>Under</w:t>
            </w:r>
            <w:r>
              <w:rPr>
                <w:rFonts w:ascii="Calibri"/>
                <w:i/>
                <w:color w:val="FFFFFF"/>
                <w:spacing w:val="-6"/>
                <w:sz w:val="18"/>
              </w:rPr>
              <w:t xml:space="preserve"> </w:t>
            </w:r>
            <w:r>
              <w:rPr>
                <w:rFonts w:ascii="Calibri"/>
                <w:i/>
                <w:color w:val="FFFFFF"/>
                <w:sz w:val="18"/>
              </w:rPr>
              <w:t>Consideration</w:t>
            </w:r>
          </w:p>
          <w:p w14:paraId="1952C200" w14:textId="77777777" w:rsidR="00036C7E" w:rsidRDefault="00036C7E" w:rsidP="00A87137">
            <w:pPr>
              <w:pStyle w:val="TableParagraph"/>
              <w:tabs>
                <w:tab w:val="left" w:pos="2275"/>
              </w:tabs>
              <w:spacing w:before="1"/>
              <w:ind w:left="115"/>
              <w:rPr>
                <w:rFonts w:ascii="Calibri"/>
                <w:i/>
                <w:sz w:val="18"/>
              </w:rPr>
            </w:pPr>
            <w:r>
              <w:rPr>
                <w:rFonts w:ascii="Calibri"/>
                <w:b/>
                <w:i/>
                <w:color w:val="FFFFFF"/>
                <w:sz w:val="18"/>
              </w:rPr>
              <w:t>AI</w:t>
            </w:r>
            <w:r>
              <w:rPr>
                <w:rFonts w:ascii="Calibri"/>
                <w:b/>
                <w:i/>
                <w:color w:val="FFFFFF"/>
                <w:spacing w:val="-2"/>
                <w:sz w:val="18"/>
              </w:rPr>
              <w:t xml:space="preserve"> </w:t>
            </w:r>
            <w:r>
              <w:rPr>
                <w:rFonts w:ascii="Calibri"/>
                <w:i/>
                <w:color w:val="FFFFFF"/>
                <w:sz w:val="18"/>
              </w:rPr>
              <w:t>Already</w:t>
            </w:r>
            <w:r>
              <w:rPr>
                <w:rFonts w:ascii="Calibri"/>
                <w:i/>
                <w:color w:val="FFFFFF"/>
                <w:spacing w:val="-1"/>
                <w:sz w:val="18"/>
              </w:rPr>
              <w:t xml:space="preserve"> </w:t>
            </w:r>
            <w:r>
              <w:rPr>
                <w:rFonts w:ascii="Calibri"/>
                <w:i/>
                <w:color w:val="FFFFFF"/>
                <w:sz w:val="18"/>
              </w:rPr>
              <w:t>Implemented</w:t>
            </w:r>
            <w:r>
              <w:rPr>
                <w:rFonts w:ascii="Calibri"/>
                <w:i/>
                <w:color w:val="FFFFFF"/>
                <w:sz w:val="18"/>
              </w:rPr>
              <w:tab/>
            </w:r>
            <w:r>
              <w:rPr>
                <w:rFonts w:ascii="Calibri"/>
                <w:b/>
                <w:i/>
                <w:color w:val="FFFFFF"/>
                <w:sz w:val="18"/>
              </w:rPr>
              <w:t xml:space="preserve">PI </w:t>
            </w:r>
            <w:r>
              <w:rPr>
                <w:rFonts w:ascii="Calibri"/>
                <w:i/>
                <w:color w:val="FFFFFF"/>
                <w:sz w:val="18"/>
              </w:rPr>
              <w:t>Partially</w:t>
            </w:r>
            <w:r>
              <w:rPr>
                <w:rFonts w:ascii="Calibri"/>
                <w:i/>
                <w:color w:val="FFFFFF"/>
                <w:spacing w:val="-7"/>
                <w:sz w:val="18"/>
              </w:rPr>
              <w:t xml:space="preserve"> </w:t>
            </w:r>
            <w:r>
              <w:rPr>
                <w:rFonts w:ascii="Calibri"/>
                <w:i/>
                <w:color w:val="FFFFFF"/>
                <w:sz w:val="18"/>
              </w:rPr>
              <w:t>Implemented</w:t>
            </w:r>
          </w:p>
        </w:tc>
      </w:tr>
      <w:tr w:rsidR="00036C7E" w14:paraId="0BC8D835" w14:textId="77777777" w:rsidTr="00310A44">
        <w:trPr>
          <w:trHeight w:hRule="exact" w:val="365"/>
        </w:trPr>
        <w:tc>
          <w:tcPr>
            <w:tcW w:w="8791" w:type="dxa"/>
            <w:vMerge/>
            <w:shd w:val="clear" w:color="auto" w:fill="005577"/>
          </w:tcPr>
          <w:p w14:paraId="0A9971F6" w14:textId="77777777" w:rsidR="00036C7E" w:rsidRDefault="00036C7E" w:rsidP="00A87137"/>
        </w:tc>
        <w:tc>
          <w:tcPr>
            <w:tcW w:w="872" w:type="dxa"/>
            <w:shd w:val="clear" w:color="auto" w:fill="005577"/>
          </w:tcPr>
          <w:p w14:paraId="3BB5A2CA" w14:textId="77777777" w:rsidR="00036C7E" w:rsidRDefault="00036C7E" w:rsidP="00A87137">
            <w:pPr>
              <w:pStyle w:val="TableParagraph"/>
              <w:spacing w:before="52"/>
              <w:ind w:left="101" w:right="100"/>
              <w:jc w:val="center"/>
              <w:rPr>
                <w:b/>
                <w:sz w:val="18"/>
              </w:rPr>
            </w:pPr>
            <w:r>
              <w:rPr>
                <w:b/>
                <w:color w:val="FFFFFF"/>
                <w:sz w:val="18"/>
              </w:rPr>
              <w:t>NSW</w:t>
            </w:r>
          </w:p>
        </w:tc>
        <w:tc>
          <w:tcPr>
            <w:tcW w:w="873" w:type="dxa"/>
            <w:shd w:val="clear" w:color="auto" w:fill="005577"/>
          </w:tcPr>
          <w:p w14:paraId="4232F09B" w14:textId="77777777" w:rsidR="00036C7E" w:rsidRDefault="00036C7E" w:rsidP="00A87137">
            <w:pPr>
              <w:pStyle w:val="TableParagraph"/>
              <w:spacing w:before="52"/>
              <w:ind w:left="168" w:right="169"/>
              <w:jc w:val="center"/>
              <w:rPr>
                <w:b/>
                <w:sz w:val="18"/>
              </w:rPr>
            </w:pPr>
            <w:r>
              <w:rPr>
                <w:b/>
                <w:color w:val="FFFFFF"/>
                <w:sz w:val="18"/>
              </w:rPr>
              <w:t>Vic</w:t>
            </w:r>
          </w:p>
        </w:tc>
        <w:tc>
          <w:tcPr>
            <w:tcW w:w="872" w:type="dxa"/>
            <w:shd w:val="clear" w:color="auto" w:fill="005577"/>
          </w:tcPr>
          <w:p w14:paraId="37454041" w14:textId="77777777" w:rsidR="00036C7E" w:rsidRDefault="00036C7E" w:rsidP="00A87137">
            <w:pPr>
              <w:pStyle w:val="TableParagraph"/>
              <w:spacing w:before="52"/>
              <w:ind w:left="151" w:right="154"/>
              <w:jc w:val="center"/>
              <w:rPr>
                <w:b/>
                <w:sz w:val="18"/>
              </w:rPr>
            </w:pPr>
            <w:r>
              <w:rPr>
                <w:b/>
                <w:color w:val="FFFFFF"/>
                <w:sz w:val="18"/>
              </w:rPr>
              <w:t>Qld</w:t>
            </w:r>
          </w:p>
        </w:tc>
        <w:tc>
          <w:tcPr>
            <w:tcW w:w="873" w:type="dxa"/>
            <w:shd w:val="clear" w:color="auto" w:fill="005577"/>
          </w:tcPr>
          <w:p w14:paraId="76BEBE33" w14:textId="77777777" w:rsidR="00036C7E" w:rsidRDefault="00036C7E" w:rsidP="00A87137">
            <w:pPr>
              <w:pStyle w:val="TableParagraph"/>
              <w:spacing w:before="52"/>
              <w:ind w:right="173"/>
              <w:jc w:val="right"/>
              <w:rPr>
                <w:b/>
                <w:sz w:val="18"/>
              </w:rPr>
            </w:pPr>
            <w:r>
              <w:rPr>
                <w:b/>
                <w:color w:val="FFFFFF"/>
                <w:sz w:val="18"/>
              </w:rPr>
              <w:t>WA</w:t>
            </w:r>
          </w:p>
        </w:tc>
        <w:tc>
          <w:tcPr>
            <w:tcW w:w="872" w:type="dxa"/>
            <w:shd w:val="clear" w:color="auto" w:fill="005577"/>
          </w:tcPr>
          <w:p w14:paraId="0E939A66" w14:textId="77777777" w:rsidR="00036C7E" w:rsidRDefault="00036C7E" w:rsidP="00A87137">
            <w:pPr>
              <w:pStyle w:val="TableParagraph"/>
              <w:spacing w:before="52"/>
              <w:ind w:left="151" w:right="152"/>
              <w:jc w:val="center"/>
              <w:rPr>
                <w:b/>
                <w:sz w:val="18"/>
              </w:rPr>
            </w:pPr>
            <w:r>
              <w:rPr>
                <w:b/>
                <w:color w:val="FFFFFF"/>
                <w:sz w:val="18"/>
              </w:rPr>
              <w:t>SA</w:t>
            </w:r>
          </w:p>
        </w:tc>
        <w:tc>
          <w:tcPr>
            <w:tcW w:w="873" w:type="dxa"/>
            <w:shd w:val="clear" w:color="auto" w:fill="005577"/>
          </w:tcPr>
          <w:p w14:paraId="4F96F5DF" w14:textId="77777777" w:rsidR="00036C7E" w:rsidRDefault="00036C7E" w:rsidP="00A87137">
            <w:pPr>
              <w:pStyle w:val="TableParagraph"/>
              <w:spacing w:before="52"/>
              <w:ind w:left="148" w:right="147"/>
              <w:jc w:val="center"/>
              <w:rPr>
                <w:b/>
                <w:sz w:val="18"/>
              </w:rPr>
            </w:pPr>
            <w:r>
              <w:rPr>
                <w:b/>
                <w:color w:val="FFFFFF"/>
                <w:sz w:val="18"/>
              </w:rPr>
              <w:t>Tas</w:t>
            </w:r>
          </w:p>
        </w:tc>
        <w:tc>
          <w:tcPr>
            <w:tcW w:w="872" w:type="dxa"/>
            <w:shd w:val="clear" w:color="auto" w:fill="005577"/>
          </w:tcPr>
          <w:p w14:paraId="6D635C67" w14:textId="77777777" w:rsidR="00036C7E" w:rsidRDefault="00036C7E" w:rsidP="00A87137">
            <w:pPr>
              <w:pStyle w:val="TableParagraph"/>
              <w:spacing w:before="52"/>
              <w:ind w:right="140"/>
              <w:jc w:val="right"/>
              <w:rPr>
                <w:b/>
                <w:sz w:val="18"/>
              </w:rPr>
            </w:pPr>
            <w:r>
              <w:rPr>
                <w:b/>
                <w:color w:val="FFFFFF"/>
                <w:sz w:val="18"/>
              </w:rPr>
              <w:t>ACT</w:t>
            </w:r>
          </w:p>
        </w:tc>
        <w:tc>
          <w:tcPr>
            <w:tcW w:w="873" w:type="dxa"/>
            <w:shd w:val="clear" w:color="auto" w:fill="005577"/>
          </w:tcPr>
          <w:p w14:paraId="17DCC6F1" w14:textId="77777777" w:rsidR="00036C7E" w:rsidRDefault="00036C7E" w:rsidP="00A87137">
            <w:pPr>
              <w:pStyle w:val="TableParagraph"/>
              <w:spacing w:before="52"/>
              <w:ind w:left="201"/>
              <w:rPr>
                <w:b/>
                <w:sz w:val="18"/>
              </w:rPr>
            </w:pPr>
            <w:r>
              <w:rPr>
                <w:b/>
                <w:color w:val="FFFFFF"/>
                <w:sz w:val="18"/>
              </w:rPr>
              <w:t>NT</w:t>
            </w:r>
          </w:p>
        </w:tc>
      </w:tr>
      <w:tr w:rsidR="00036C7E" w14:paraId="293026DF" w14:textId="77777777" w:rsidTr="007F4F87">
        <w:trPr>
          <w:trHeight w:hRule="exact" w:val="2059"/>
        </w:trPr>
        <w:tc>
          <w:tcPr>
            <w:tcW w:w="8791" w:type="dxa"/>
            <w:shd w:val="clear" w:color="auto" w:fill="F1F1F1"/>
          </w:tcPr>
          <w:p w14:paraId="331B15C3" w14:textId="77777777" w:rsidR="00036C7E" w:rsidRDefault="00036C7E" w:rsidP="00A87137">
            <w:pPr>
              <w:pStyle w:val="TableParagraph"/>
              <w:numPr>
                <w:ilvl w:val="0"/>
                <w:numId w:val="3"/>
              </w:numPr>
              <w:tabs>
                <w:tab w:val="left" w:pos="475"/>
              </w:tabs>
              <w:spacing w:before="60"/>
              <w:ind w:right="182"/>
            </w:pPr>
            <w:r>
              <w:t>That each jurisdiction requires the registration of the following categories of building practitioners involved in the design, construction and maintenance of</w:t>
            </w:r>
            <w:r>
              <w:rPr>
                <w:spacing w:val="-36"/>
              </w:rPr>
              <w:t xml:space="preserve"> </w:t>
            </w:r>
            <w:r>
              <w:t>buildings:</w:t>
            </w:r>
          </w:p>
          <w:p w14:paraId="311EAFA2" w14:textId="77777777" w:rsidR="00036C7E" w:rsidRDefault="00036C7E" w:rsidP="00A87137">
            <w:pPr>
              <w:pStyle w:val="TableParagraph"/>
              <w:numPr>
                <w:ilvl w:val="1"/>
                <w:numId w:val="3"/>
              </w:numPr>
              <w:tabs>
                <w:tab w:val="left" w:pos="1194"/>
                <w:tab w:val="left" w:pos="1195"/>
                <w:tab w:val="left" w:pos="4663"/>
                <w:tab w:val="left" w:pos="5023"/>
              </w:tabs>
              <w:spacing w:before="116" w:line="268" w:lineRule="exact"/>
            </w:pPr>
            <w:r>
              <w:t>Builder</w:t>
            </w:r>
            <w:r>
              <w:tab/>
            </w:r>
            <w:r>
              <w:rPr>
                <w:rFonts w:ascii="Symbol" w:hAnsi="Symbol"/>
              </w:rPr>
              <w:t></w:t>
            </w:r>
            <w:r>
              <w:rPr>
                <w:rFonts w:ascii="Times New Roman" w:hAnsi="Times New Roman"/>
              </w:rPr>
              <w:tab/>
            </w:r>
            <w:r>
              <w:t>Engineer</w:t>
            </w:r>
          </w:p>
          <w:p w14:paraId="0144B2DF" w14:textId="77777777" w:rsidR="00036C7E" w:rsidRDefault="00036C7E" w:rsidP="00A87137">
            <w:pPr>
              <w:pStyle w:val="TableParagraph"/>
              <w:numPr>
                <w:ilvl w:val="1"/>
                <w:numId w:val="3"/>
              </w:numPr>
              <w:tabs>
                <w:tab w:val="left" w:pos="1194"/>
                <w:tab w:val="left" w:pos="1195"/>
                <w:tab w:val="left" w:pos="4663"/>
                <w:tab w:val="left" w:pos="5023"/>
              </w:tabs>
              <w:spacing w:line="268" w:lineRule="exact"/>
            </w:pPr>
            <w:r>
              <w:t>Site or</w:t>
            </w:r>
            <w:r>
              <w:rPr>
                <w:spacing w:val="-4"/>
              </w:rPr>
              <w:t xml:space="preserve"> </w:t>
            </w:r>
            <w:r>
              <w:t>Project</w:t>
            </w:r>
            <w:r>
              <w:rPr>
                <w:spacing w:val="-2"/>
              </w:rPr>
              <w:t xml:space="preserve"> </w:t>
            </w:r>
            <w:r>
              <w:t>Manager</w:t>
            </w:r>
            <w:r>
              <w:tab/>
            </w:r>
            <w:r>
              <w:rPr>
                <w:rFonts w:ascii="Symbol" w:hAnsi="Symbol"/>
              </w:rPr>
              <w:t></w:t>
            </w:r>
            <w:r>
              <w:rPr>
                <w:rFonts w:ascii="Times New Roman" w:hAnsi="Times New Roman"/>
              </w:rPr>
              <w:tab/>
            </w:r>
            <w:r>
              <w:t>Designer/</w:t>
            </w:r>
            <w:r>
              <w:rPr>
                <w:spacing w:val="-5"/>
              </w:rPr>
              <w:t xml:space="preserve"> </w:t>
            </w:r>
            <w:r>
              <w:t>Draftsperson</w:t>
            </w:r>
          </w:p>
          <w:p w14:paraId="438EC065" w14:textId="77777777" w:rsidR="00036C7E" w:rsidRDefault="00036C7E" w:rsidP="00A87137">
            <w:pPr>
              <w:pStyle w:val="TableParagraph"/>
              <w:numPr>
                <w:ilvl w:val="1"/>
                <w:numId w:val="3"/>
              </w:numPr>
              <w:tabs>
                <w:tab w:val="left" w:pos="1194"/>
                <w:tab w:val="left" w:pos="1195"/>
                <w:tab w:val="left" w:pos="4663"/>
                <w:tab w:val="left" w:pos="5023"/>
              </w:tabs>
              <w:spacing w:line="268" w:lineRule="exact"/>
            </w:pPr>
            <w:r>
              <w:t>Building</w:t>
            </w:r>
            <w:r>
              <w:rPr>
                <w:spacing w:val="-1"/>
              </w:rPr>
              <w:t xml:space="preserve"> </w:t>
            </w:r>
            <w:r>
              <w:t>Surveyor</w:t>
            </w:r>
            <w:r>
              <w:tab/>
            </w:r>
            <w:r>
              <w:rPr>
                <w:rFonts w:ascii="Symbol" w:hAnsi="Symbol"/>
              </w:rPr>
              <w:t></w:t>
            </w:r>
            <w:r>
              <w:rPr>
                <w:rFonts w:ascii="Times New Roman" w:hAnsi="Times New Roman"/>
              </w:rPr>
              <w:tab/>
            </w:r>
            <w:r>
              <w:t>Plumber</w:t>
            </w:r>
          </w:p>
          <w:p w14:paraId="5677C30D" w14:textId="77777777" w:rsidR="00036C7E" w:rsidRDefault="00036C7E" w:rsidP="00A87137">
            <w:pPr>
              <w:pStyle w:val="TableParagraph"/>
              <w:numPr>
                <w:ilvl w:val="1"/>
                <w:numId w:val="3"/>
              </w:numPr>
              <w:tabs>
                <w:tab w:val="left" w:pos="1194"/>
                <w:tab w:val="left" w:pos="1195"/>
                <w:tab w:val="left" w:pos="4663"/>
                <w:tab w:val="left" w:pos="5023"/>
              </w:tabs>
              <w:spacing w:line="268" w:lineRule="exact"/>
            </w:pPr>
            <w:r>
              <w:t>Building</w:t>
            </w:r>
            <w:r>
              <w:rPr>
                <w:spacing w:val="1"/>
              </w:rPr>
              <w:t xml:space="preserve"> </w:t>
            </w:r>
            <w:r>
              <w:t>Inspector</w:t>
            </w:r>
            <w:r>
              <w:tab/>
            </w:r>
            <w:r>
              <w:rPr>
                <w:rFonts w:ascii="Symbol" w:hAnsi="Symbol"/>
              </w:rPr>
              <w:t></w:t>
            </w:r>
            <w:r>
              <w:rPr>
                <w:rFonts w:ascii="Times New Roman" w:hAnsi="Times New Roman"/>
              </w:rPr>
              <w:tab/>
            </w:r>
            <w:r>
              <w:t>Fire Safety</w:t>
            </w:r>
            <w:r>
              <w:rPr>
                <w:spacing w:val="-10"/>
              </w:rPr>
              <w:t xml:space="preserve"> </w:t>
            </w:r>
            <w:r>
              <w:t>Practitioner</w:t>
            </w:r>
          </w:p>
          <w:p w14:paraId="4B829F4A" w14:textId="77777777" w:rsidR="00036C7E" w:rsidRDefault="00036C7E" w:rsidP="00A87137">
            <w:pPr>
              <w:pStyle w:val="TableParagraph"/>
              <w:numPr>
                <w:ilvl w:val="1"/>
                <w:numId w:val="3"/>
              </w:numPr>
              <w:tabs>
                <w:tab w:val="left" w:pos="1194"/>
                <w:tab w:val="left" w:pos="1195"/>
              </w:tabs>
              <w:spacing w:line="269" w:lineRule="exact"/>
            </w:pPr>
            <w:r>
              <w:t>Architect</w:t>
            </w:r>
          </w:p>
        </w:tc>
        <w:tc>
          <w:tcPr>
            <w:tcW w:w="872" w:type="dxa"/>
            <w:vAlign w:val="center"/>
          </w:tcPr>
          <w:p w14:paraId="52863BA6" w14:textId="77777777" w:rsidR="00036C7E" w:rsidRDefault="00036C7E" w:rsidP="007F4F87">
            <w:pPr>
              <w:pStyle w:val="TableParagraph"/>
              <w:spacing w:before="1"/>
              <w:ind w:right="100"/>
              <w:jc w:val="center"/>
              <w:rPr>
                <w:rFonts w:ascii="Calibri"/>
                <w:sz w:val="20"/>
              </w:rPr>
            </w:pPr>
            <w:r>
              <w:rPr>
                <w:rFonts w:ascii="Calibri"/>
                <w:sz w:val="20"/>
              </w:rPr>
              <w:t>PI</w:t>
            </w:r>
          </w:p>
        </w:tc>
        <w:tc>
          <w:tcPr>
            <w:tcW w:w="873" w:type="dxa"/>
            <w:vAlign w:val="center"/>
          </w:tcPr>
          <w:p w14:paraId="2D0097B8" w14:textId="3B4CC644" w:rsidR="00036C7E" w:rsidRDefault="00036C7E" w:rsidP="007F4F87">
            <w:pPr>
              <w:pStyle w:val="TableParagraph"/>
              <w:spacing w:before="1"/>
              <w:ind w:left="168" w:right="167"/>
              <w:jc w:val="center"/>
              <w:rPr>
                <w:rFonts w:ascii="Calibri"/>
                <w:sz w:val="20"/>
              </w:rPr>
            </w:pPr>
            <w:r>
              <w:rPr>
                <w:rFonts w:ascii="Calibri"/>
                <w:sz w:val="20"/>
              </w:rPr>
              <w:t>PI</w:t>
            </w:r>
          </w:p>
        </w:tc>
        <w:tc>
          <w:tcPr>
            <w:tcW w:w="872" w:type="dxa"/>
            <w:vAlign w:val="center"/>
          </w:tcPr>
          <w:p w14:paraId="457050C6" w14:textId="0B5EE8D0" w:rsidR="00036C7E" w:rsidRDefault="00036C7E" w:rsidP="007F4F87">
            <w:pPr>
              <w:pStyle w:val="TableParagraph"/>
              <w:spacing w:before="1"/>
              <w:ind w:left="151" w:right="152"/>
              <w:jc w:val="center"/>
              <w:rPr>
                <w:rFonts w:ascii="Calibri"/>
                <w:sz w:val="20"/>
              </w:rPr>
            </w:pPr>
            <w:r>
              <w:rPr>
                <w:rFonts w:ascii="Calibri"/>
                <w:sz w:val="20"/>
              </w:rPr>
              <w:t>AI</w:t>
            </w:r>
          </w:p>
        </w:tc>
        <w:tc>
          <w:tcPr>
            <w:tcW w:w="873" w:type="dxa"/>
            <w:vAlign w:val="center"/>
          </w:tcPr>
          <w:p w14:paraId="043D09B2" w14:textId="77777777" w:rsidR="00036C7E" w:rsidRDefault="00036C7E" w:rsidP="007F4F87">
            <w:pPr>
              <w:pStyle w:val="TableParagraph"/>
              <w:spacing w:before="1"/>
              <w:ind w:right="245"/>
              <w:jc w:val="center"/>
              <w:rPr>
                <w:rFonts w:ascii="Calibri"/>
                <w:sz w:val="20"/>
              </w:rPr>
            </w:pPr>
            <w:r>
              <w:rPr>
                <w:rFonts w:ascii="Calibri"/>
                <w:w w:val="95"/>
                <w:sz w:val="20"/>
              </w:rPr>
              <w:t>PI</w:t>
            </w:r>
          </w:p>
        </w:tc>
        <w:tc>
          <w:tcPr>
            <w:tcW w:w="872" w:type="dxa"/>
            <w:vAlign w:val="center"/>
          </w:tcPr>
          <w:p w14:paraId="2AEAC13D" w14:textId="77777777" w:rsidR="00036C7E" w:rsidRDefault="00036C7E" w:rsidP="007F4F87">
            <w:pPr>
              <w:pStyle w:val="TableParagraph"/>
              <w:spacing w:before="1"/>
              <w:ind w:left="151" w:right="151"/>
              <w:jc w:val="center"/>
              <w:rPr>
                <w:rFonts w:ascii="Calibri"/>
                <w:sz w:val="20"/>
              </w:rPr>
            </w:pPr>
            <w:r>
              <w:rPr>
                <w:rFonts w:ascii="Calibri"/>
                <w:sz w:val="20"/>
              </w:rPr>
              <w:t>PI</w:t>
            </w:r>
          </w:p>
        </w:tc>
        <w:tc>
          <w:tcPr>
            <w:tcW w:w="873" w:type="dxa"/>
            <w:vAlign w:val="center"/>
          </w:tcPr>
          <w:p w14:paraId="75D313E8" w14:textId="77777777" w:rsidR="00036C7E" w:rsidRDefault="00036C7E" w:rsidP="007F4F87">
            <w:pPr>
              <w:pStyle w:val="TableParagraph"/>
              <w:spacing w:before="1"/>
              <w:ind w:left="148" w:right="147"/>
              <w:jc w:val="center"/>
              <w:rPr>
                <w:rFonts w:ascii="Calibri"/>
                <w:sz w:val="20"/>
              </w:rPr>
            </w:pPr>
            <w:r>
              <w:rPr>
                <w:rFonts w:ascii="Calibri"/>
                <w:sz w:val="20"/>
              </w:rPr>
              <w:t>AI</w:t>
            </w:r>
          </w:p>
        </w:tc>
        <w:tc>
          <w:tcPr>
            <w:tcW w:w="872" w:type="dxa"/>
            <w:vAlign w:val="center"/>
          </w:tcPr>
          <w:p w14:paraId="110C41E8" w14:textId="77777777" w:rsidR="00036C7E" w:rsidRDefault="00036C7E" w:rsidP="007F4F87">
            <w:pPr>
              <w:pStyle w:val="TableParagraph"/>
              <w:spacing w:before="1"/>
              <w:ind w:right="244"/>
              <w:jc w:val="center"/>
              <w:rPr>
                <w:rFonts w:ascii="Calibri"/>
                <w:sz w:val="20"/>
              </w:rPr>
            </w:pPr>
            <w:r>
              <w:rPr>
                <w:rFonts w:ascii="Calibri"/>
                <w:w w:val="95"/>
                <w:sz w:val="20"/>
              </w:rPr>
              <w:t>PI</w:t>
            </w:r>
          </w:p>
        </w:tc>
        <w:tc>
          <w:tcPr>
            <w:tcW w:w="873" w:type="dxa"/>
            <w:vAlign w:val="center"/>
          </w:tcPr>
          <w:p w14:paraId="3544BDBF" w14:textId="77777777" w:rsidR="00036C7E" w:rsidRDefault="00036C7E" w:rsidP="007F4F87">
            <w:pPr>
              <w:pStyle w:val="TableParagraph"/>
              <w:spacing w:before="1"/>
              <w:ind w:left="245"/>
              <w:jc w:val="center"/>
              <w:rPr>
                <w:rFonts w:ascii="Calibri"/>
                <w:sz w:val="20"/>
              </w:rPr>
            </w:pPr>
            <w:r>
              <w:rPr>
                <w:rFonts w:ascii="Calibri"/>
                <w:sz w:val="20"/>
              </w:rPr>
              <w:t>PI</w:t>
            </w:r>
          </w:p>
        </w:tc>
      </w:tr>
      <w:tr w:rsidR="00036C7E" w14:paraId="14CF40A0" w14:textId="77777777" w:rsidTr="007F4F87">
        <w:trPr>
          <w:trHeight w:hRule="exact" w:val="2683"/>
        </w:trPr>
        <w:tc>
          <w:tcPr>
            <w:tcW w:w="8791" w:type="dxa"/>
            <w:shd w:val="clear" w:color="auto" w:fill="F1F1F1"/>
          </w:tcPr>
          <w:p w14:paraId="375014BA" w14:textId="77777777" w:rsidR="00036C7E" w:rsidRDefault="00036C7E" w:rsidP="00A87137">
            <w:pPr>
              <w:pStyle w:val="TableParagraph"/>
              <w:numPr>
                <w:ilvl w:val="0"/>
                <w:numId w:val="2"/>
              </w:numPr>
              <w:tabs>
                <w:tab w:val="left" w:pos="475"/>
              </w:tabs>
              <w:spacing w:before="55"/>
              <w:ind w:right="673"/>
            </w:pPr>
            <w:r>
              <w:t>That each jurisdiction prescribes consistent requirements for the registration of building practitioners</w:t>
            </w:r>
            <w:r>
              <w:rPr>
                <w:spacing w:val="-17"/>
              </w:rPr>
              <w:t xml:space="preserve"> </w:t>
            </w:r>
            <w:r>
              <w:t>including:</w:t>
            </w:r>
          </w:p>
          <w:p w14:paraId="1637E3A3" w14:textId="77777777" w:rsidR="00036C7E" w:rsidRDefault="00036C7E" w:rsidP="00A87137">
            <w:pPr>
              <w:pStyle w:val="TableParagraph"/>
              <w:numPr>
                <w:ilvl w:val="1"/>
                <w:numId w:val="2"/>
              </w:numPr>
              <w:tabs>
                <w:tab w:val="left" w:pos="834"/>
                <w:tab w:val="left" w:pos="835"/>
              </w:tabs>
              <w:spacing w:before="20" w:line="252" w:lineRule="exact"/>
              <w:ind w:right="141"/>
            </w:pPr>
            <w:r>
              <w:t>certificated training which includes compulsory training on the operation and use of the NCC as it applies to each category of</w:t>
            </w:r>
            <w:r>
              <w:rPr>
                <w:spacing w:val="-20"/>
              </w:rPr>
              <w:t xml:space="preserve"> </w:t>
            </w:r>
            <w:r>
              <w:t>registration;</w:t>
            </w:r>
          </w:p>
          <w:p w14:paraId="7924A34D" w14:textId="77777777" w:rsidR="00036C7E" w:rsidRDefault="00036C7E" w:rsidP="00A87137">
            <w:pPr>
              <w:pStyle w:val="TableParagraph"/>
              <w:numPr>
                <w:ilvl w:val="1"/>
                <w:numId w:val="2"/>
              </w:numPr>
              <w:tabs>
                <w:tab w:val="left" w:pos="834"/>
                <w:tab w:val="left" w:pos="835"/>
              </w:tabs>
              <w:spacing w:line="265" w:lineRule="exact"/>
            </w:pPr>
            <w:r>
              <w:t>additional competency and experience</w:t>
            </w:r>
            <w:r>
              <w:rPr>
                <w:spacing w:val="-18"/>
              </w:rPr>
              <w:t xml:space="preserve"> </w:t>
            </w:r>
            <w:r>
              <w:t>requirements;</w:t>
            </w:r>
          </w:p>
          <w:p w14:paraId="0D99BEEE" w14:textId="77777777" w:rsidR="00036C7E" w:rsidRDefault="00036C7E" w:rsidP="00A87137">
            <w:pPr>
              <w:pStyle w:val="TableParagraph"/>
              <w:numPr>
                <w:ilvl w:val="1"/>
                <w:numId w:val="2"/>
              </w:numPr>
              <w:tabs>
                <w:tab w:val="left" w:pos="834"/>
                <w:tab w:val="left" w:pos="835"/>
              </w:tabs>
              <w:ind w:right="164"/>
            </w:pPr>
            <w:r>
              <w:t>where it is available, compulsory insurance in the form of professional indemnity and/or warranty insurance together with financial viability requirements where appropriate;</w:t>
            </w:r>
            <w:r>
              <w:rPr>
                <w:spacing w:val="-5"/>
              </w:rPr>
              <w:t xml:space="preserve"> </w:t>
            </w:r>
            <w:r>
              <w:t>and</w:t>
            </w:r>
          </w:p>
          <w:p w14:paraId="5E3E70F9" w14:textId="77777777" w:rsidR="00036C7E" w:rsidRDefault="00036C7E" w:rsidP="00A87137">
            <w:pPr>
              <w:pStyle w:val="TableParagraph"/>
              <w:numPr>
                <w:ilvl w:val="1"/>
                <w:numId w:val="2"/>
              </w:numPr>
              <w:tabs>
                <w:tab w:val="left" w:pos="834"/>
                <w:tab w:val="left" w:pos="835"/>
              </w:tabs>
              <w:spacing w:before="22" w:line="252" w:lineRule="exact"/>
              <w:ind w:right="643"/>
            </w:pPr>
            <w:r>
              <w:t>evidence of practitioner integrity, based on an assessment of fit-and-proper person</w:t>
            </w:r>
            <w:r>
              <w:rPr>
                <w:spacing w:val="-10"/>
              </w:rPr>
              <w:t xml:space="preserve"> </w:t>
            </w:r>
            <w:r>
              <w:t>requirements.</w:t>
            </w:r>
          </w:p>
        </w:tc>
        <w:tc>
          <w:tcPr>
            <w:tcW w:w="872" w:type="dxa"/>
            <w:vAlign w:val="center"/>
          </w:tcPr>
          <w:p w14:paraId="64E8658F" w14:textId="77777777" w:rsidR="00036C7E" w:rsidRDefault="00036C7E" w:rsidP="007F4F87">
            <w:pPr>
              <w:pStyle w:val="TableParagraph"/>
              <w:ind w:left="100" w:right="100"/>
              <w:jc w:val="center"/>
              <w:rPr>
                <w:rFonts w:ascii="Calibri"/>
                <w:sz w:val="20"/>
              </w:rPr>
            </w:pPr>
            <w:r>
              <w:rPr>
                <w:rFonts w:ascii="Calibri"/>
                <w:sz w:val="20"/>
              </w:rPr>
              <w:t>PI</w:t>
            </w:r>
          </w:p>
        </w:tc>
        <w:tc>
          <w:tcPr>
            <w:tcW w:w="873" w:type="dxa"/>
            <w:vAlign w:val="center"/>
          </w:tcPr>
          <w:p w14:paraId="11991491" w14:textId="77777777" w:rsidR="00036C7E" w:rsidRPr="00C64BAC" w:rsidRDefault="00036C7E" w:rsidP="007F4F87">
            <w:pPr>
              <w:pStyle w:val="TableParagraph"/>
              <w:ind w:left="168" w:right="167"/>
              <w:jc w:val="center"/>
              <w:rPr>
                <w:rFonts w:ascii="Calibri"/>
                <w:sz w:val="20"/>
              </w:rPr>
            </w:pPr>
            <w:r w:rsidRPr="00C64BAC">
              <w:rPr>
                <w:rFonts w:ascii="Calibri"/>
                <w:sz w:val="20"/>
              </w:rPr>
              <w:t>PI</w:t>
            </w:r>
          </w:p>
        </w:tc>
        <w:tc>
          <w:tcPr>
            <w:tcW w:w="872" w:type="dxa"/>
            <w:vAlign w:val="center"/>
          </w:tcPr>
          <w:p w14:paraId="4E1186E9" w14:textId="53161953" w:rsidR="00036C7E" w:rsidRPr="00C64BAC" w:rsidRDefault="00036C7E" w:rsidP="007F4F87">
            <w:pPr>
              <w:pStyle w:val="TableParagraph"/>
              <w:ind w:left="151" w:right="152"/>
              <w:jc w:val="center"/>
              <w:rPr>
                <w:rFonts w:ascii="Calibri"/>
                <w:sz w:val="20"/>
              </w:rPr>
            </w:pPr>
            <w:r w:rsidRPr="00C64BAC">
              <w:rPr>
                <w:rFonts w:ascii="Calibri"/>
                <w:sz w:val="20"/>
              </w:rPr>
              <w:t>AI</w:t>
            </w:r>
          </w:p>
        </w:tc>
        <w:tc>
          <w:tcPr>
            <w:tcW w:w="873" w:type="dxa"/>
            <w:vAlign w:val="center"/>
          </w:tcPr>
          <w:p w14:paraId="5A2BE4DA" w14:textId="6B2BE3BB" w:rsidR="00036C7E" w:rsidRPr="00C64BAC" w:rsidRDefault="00036C7E" w:rsidP="007F4F87">
            <w:pPr>
              <w:pStyle w:val="TableParagraph"/>
              <w:ind w:right="198"/>
              <w:jc w:val="center"/>
              <w:rPr>
                <w:rFonts w:ascii="Calibri"/>
                <w:sz w:val="20"/>
              </w:rPr>
            </w:pPr>
            <w:r w:rsidRPr="00C64BAC">
              <w:rPr>
                <w:rFonts w:ascii="Calibri"/>
                <w:w w:val="95"/>
                <w:sz w:val="20"/>
              </w:rPr>
              <w:t>UC</w:t>
            </w:r>
          </w:p>
        </w:tc>
        <w:tc>
          <w:tcPr>
            <w:tcW w:w="872" w:type="dxa"/>
            <w:vAlign w:val="center"/>
          </w:tcPr>
          <w:p w14:paraId="44B32C24" w14:textId="77777777" w:rsidR="00036C7E" w:rsidRDefault="00036C7E" w:rsidP="007F4F87">
            <w:pPr>
              <w:pStyle w:val="TableParagraph"/>
              <w:ind w:left="151" w:right="151"/>
              <w:jc w:val="center"/>
              <w:rPr>
                <w:rFonts w:ascii="Calibri"/>
                <w:sz w:val="20"/>
              </w:rPr>
            </w:pPr>
            <w:r>
              <w:rPr>
                <w:rFonts w:ascii="Calibri"/>
                <w:sz w:val="20"/>
              </w:rPr>
              <w:t>PI</w:t>
            </w:r>
          </w:p>
        </w:tc>
        <w:tc>
          <w:tcPr>
            <w:tcW w:w="873" w:type="dxa"/>
            <w:vAlign w:val="center"/>
          </w:tcPr>
          <w:p w14:paraId="79DEBD7C" w14:textId="77777777" w:rsidR="00036C7E" w:rsidRDefault="00036C7E" w:rsidP="007F4F87">
            <w:pPr>
              <w:pStyle w:val="TableParagraph"/>
              <w:ind w:left="148" w:right="147"/>
              <w:jc w:val="center"/>
              <w:rPr>
                <w:rFonts w:ascii="Calibri"/>
                <w:sz w:val="20"/>
              </w:rPr>
            </w:pPr>
            <w:r>
              <w:rPr>
                <w:rFonts w:ascii="Calibri"/>
                <w:sz w:val="20"/>
              </w:rPr>
              <w:t>AI</w:t>
            </w:r>
          </w:p>
        </w:tc>
        <w:tc>
          <w:tcPr>
            <w:tcW w:w="872" w:type="dxa"/>
            <w:vAlign w:val="center"/>
          </w:tcPr>
          <w:p w14:paraId="4015FE27" w14:textId="77777777" w:rsidR="00036C7E" w:rsidRDefault="00036C7E" w:rsidP="007F4F87">
            <w:pPr>
              <w:pStyle w:val="TableParagraph"/>
              <w:ind w:right="244"/>
              <w:jc w:val="center"/>
              <w:rPr>
                <w:rFonts w:ascii="Calibri"/>
                <w:sz w:val="20"/>
              </w:rPr>
            </w:pPr>
            <w:r>
              <w:rPr>
                <w:rFonts w:ascii="Calibri"/>
                <w:w w:val="95"/>
                <w:sz w:val="20"/>
              </w:rPr>
              <w:t>PI</w:t>
            </w:r>
          </w:p>
        </w:tc>
        <w:tc>
          <w:tcPr>
            <w:tcW w:w="873" w:type="dxa"/>
            <w:vAlign w:val="center"/>
          </w:tcPr>
          <w:p w14:paraId="7BFC3020" w14:textId="77777777" w:rsidR="00036C7E" w:rsidRDefault="00036C7E" w:rsidP="007F4F87">
            <w:pPr>
              <w:pStyle w:val="TableParagraph"/>
              <w:ind w:left="245"/>
              <w:jc w:val="center"/>
              <w:rPr>
                <w:rFonts w:ascii="Calibri"/>
                <w:sz w:val="20"/>
              </w:rPr>
            </w:pPr>
            <w:r>
              <w:rPr>
                <w:rFonts w:ascii="Calibri"/>
                <w:sz w:val="20"/>
              </w:rPr>
              <w:t>PI</w:t>
            </w:r>
          </w:p>
        </w:tc>
      </w:tr>
      <w:tr w:rsidR="00036C7E" w14:paraId="7FDA9446" w14:textId="77777777" w:rsidTr="007F4F87">
        <w:trPr>
          <w:trHeight w:hRule="exact" w:val="603"/>
        </w:trPr>
        <w:tc>
          <w:tcPr>
            <w:tcW w:w="8791" w:type="dxa"/>
            <w:shd w:val="clear" w:color="auto" w:fill="F1F1F1"/>
          </w:tcPr>
          <w:p w14:paraId="6DEEFD7C" w14:textId="77777777" w:rsidR="00036C7E" w:rsidRDefault="00036C7E" w:rsidP="00A87137">
            <w:pPr>
              <w:pStyle w:val="TableParagraph"/>
              <w:spacing w:before="55"/>
              <w:ind w:left="474" w:hanging="360"/>
            </w:pPr>
            <w:r>
              <w:t>3. That each jurisdiction requires all practitioners to undertake compulsory Continuing Professional Development (CPD) on the NCC.</w:t>
            </w:r>
          </w:p>
        </w:tc>
        <w:tc>
          <w:tcPr>
            <w:tcW w:w="872" w:type="dxa"/>
            <w:vAlign w:val="center"/>
          </w:tcPr>
          <w:p w14:paraId="260D7DC3" w14:textId="77777777" w:rsidR="00036C7E" w:rsidRDefault="00036C7E" w:rsidP="007F4F87">
            <w:pPr>
              <w:pStyle w:val="TableParagraph"/>
              <w:ind w:left="100" w:right="100"/>
              <w:jc w:val="center"/>
              <w:rPr>
                <w:rFonts w:ascii="Calibri"/>
                <w:sz w:val="20"/>
              </w:rPr>
            </w:pPr>
            <w:r>
              <w:rPr>
                <w:rFonts w:ascii="Calibri"/>
                <w:sz w:val="20"/>
              </w:rPr>
              <w:t>IPS</w:t>
            </w:r>
          </w:p>
        </w:tc>
        <w:tc>
          <w:tcPr>
            <w:tcW w:w="873" w:type="dxa"/>
            <w:vAlign w:val="center"/>
          </w:tcPr>
          <w:p w14:paraId="4BFC6D6F" w14:textId="77777777" w:rsidR="00036C7E" w:rsidRDefault="00036C7E" w:rsidP="007F4F87">
            <w:pPr>
              <w:pStyle w:val="TableParagraph"/>
              <w:ind w:right="167"/>
              <w:jc w:val="center"/>
              <w:rPr>
                <w:rFonts w:ascii="Calibri"/>
                <w:sz w:val="20"/>
              </w:rPr>
            </w:pPr>
            <w:r>
              <w:rPr>
                <w:rFonts w:ascii="Calibri"/>
                <w:sz w:val="20"/>
              </w:rPr>
              <w:t>PI</w:t>
            </w:r>
          </w:p>
        </w:tc>
        <w:tc>
          <w:tcPr>
            <w:tcW w:w="872" w:type="dxa"/>
            <w:vAlign w:val="center"/>
          </w:tcPr>
          <w:p w14:paraId="2CAB0BA4" w14:textId="0DCC79B1" w:rsidR="00036C7E" w:rsidRDefault="00036C7E" w:rsidP="007F4F87">
            <w:pPr>
              <w:pStyle w:val="TableParagraph"/>
              <w:ind w:left="151" w:right="152"/>
              <w:jc w:val="center"/>
              <w:rPr>
                <w:rFonts w:ascii="Calibri"/>
                <w:sz w:val="20"/>
              </w:rPr>
            </w:pPr>
            <w:r>
              <w:rPr>
                <w:rFonts w:ascii="Calibri"/>
                <w:sz w:val="20"/>
              </w:rPr>
              <w:t>PI</w:t>
            </w:r>
          </w:p>
        </w:tc>
        <w:tc>
          <w:tcPr>
            <w:tcW w:w="873" w:type="dxa"/>
            <w:vAlign w:val="center"/>
          </w:tcPr>
          <w:p w14:paraId="10B63FEE" w14:textId="77777777" w:rsidR="00036C7E" w:rsidRDefault="00036C7E" w:rsidP="007F4F87">
            <w:pPr>
              <w:pStyle w:val="TableParagraph"/>
              <w:ind w:right="198"/>
              <w:jc w:val="center"/>
              <w:rPr>
                <w:rFonts w:ascii="Calibri"/>
                <w:sz w:val="20"/>
              </w:rPr>
            </w:pPr>
            <w:r>
              <w:rPr>
                <w:rFonts w:ascii="Calibri"/>
                <w:w w:val="95"/>
                <w:sz w:val="20"/>
              </w:rPr>
              <w:t>IPS</w:t>
            </w:r>
          </w:p>
        </w:tc>
        <w:tc>
          <w:tcPr>
            <w:tcW w:w="872" w:type="dxa"/>
            <w:vAlign w:val="center"/>
          </w:tcPr>
          <w:p w14:paraId="5841B0CE" w14:textId="77777777" w:rsidR="00036C7E" w:rsidRDefault="00036C7E" w:rsidP="007F4F87">
            <w:pPr>
              <w:pStyle w:val="TableParagraph"/>
              <w:ind w:left="151" w:right="151"/>
              <w:jc w:val="center"/>
              <w:rPr>
                <w:rFonts w:ascii="Calibri"/>
                <w:sz w:val="20"/>
              </w:rPr>
            </w:pPr>
            <w:r>
              <w:rPr>
                <w:rFonts w:ascii="Calibri"/>
                <w:sz w:val="20"/>
              </w:rPr>
              <w:t>IPS</w:t>
            </w:r>
          </w:p>
        </w:tc>
        <w:tc>
          <w:tcPr>
            <w:tcW w:w="873" w:type="dxa"/>
            <w:vAlign w:val="center"/>
          </w:tcPr>
          <w:p w14:paraId="11E74601" w14:textId="77777777" w:rsidR="00036C7E" w:rsidRDefault="00036C7E" w:rsidP="007F4F87">
            <w:pPr>
              <w:pStyle w:val="TableParagraph"/>
              <w:ind w:left="148" w:right="147"/>
              <w:jc w:val="center"/>
              <w:rPr>
                <w:rFonts w:ascii="Calibri"/>
                <w:sz w:val="20"/>
              </w:rPr>
            </w:pPr>
            <w:r>
              <w:rPr>
                <w:rFonts w:ascii="Calibri"/>
                <w:sz w:val="20"/>
              </w:rPr>
              <w:t>AI</w:t>
            </w:r>
          </w:p>
        </w:tc>
        <w:tc>
          <w:tcPr>
            <w:tcW w:w="872" w:type="dxa"/>
            <w:vAlign w:val="center"/>
          </w:tcPr>
          <w:p w14:paraId="618DAF88" w14:textId="77777777" w:rsidR="00036C7E" w:rsidRDefault="00036C7E" w:rsidP="007F4F87">
            <w:pPr>
              <w:pStyle w:val="TableParagraph"/>
              <w:ind w:right="244"/>
              <w:jc w:val="center"/>
              <w:rPr>
                <w:rFonts w:ascii="Calibri"/>
                <w:sz w:val="20"/>
              </w:rPr>
            </w:pPr>
            <w:r>
              <w:rPr>
                <w:rFonts w:ascii="Calibri"/>
                <w:w w:val="95"/>
                <w:sz w:val="20"/>
              </w:rPr>
              <w:t>PI</w:t>
            </w:r>
          </w:p>
        </w:tc>
        <w:tc>
          <w:tcPr>
            <w:tcW w:w="873" w:type="dxa"/>
            <w:vAlign w:val="center"/>
          </w:tcPr>
          <w:p w14:paraId="28AC94F0" w14:textId="77777777" w:rsidR="00036C7E" w:rsidRDefault="00036C7E" w:rsidP="007F4F87">
            <w:pPr>
              <w:pStyle w:val="TableParagraph"/>
              <w:ind w:left="200"/>
              <w:jc w:val="center"/>
              <w:rPr>
                <w:rFonts w:ascii="Calibri"/>
                <w:sz w:val="20"/>
              </w:rPr>
            </w:pPr>
            <w:r>
              <w:rPr>
                <w:rFonts w:ascii="Calibri"/>
                <w:sz w:val="20"/>
              </w:rPr>
              <w:t>IPS</w:t>
            </w:r>
          </w:p>
        </w:tc>
      </w:tr>
      <w:tr w:rsidR="00036C7E" w14:paraId="5D4EE048" w14:textId="77777777" w:rsidTr="007F4F87">
        <w:trPr>
          <w:trHeight w:hRule="exact" w:val="605"/>
        </w:trPr>
        <w:tc>
          <w:tcPr>
            <w:tcW w:w="8791" w:type="dxa"/>
            <w:tcBorders>
              <w:bottom w:val="single" w:sz="4" w:space="0" w:color="ADAAAA"/>
            </w:tcBorders>
            <w:shd w:val="clear" w:color="auto" w:fill="F1F1F1"/>
          </w:tcPr>
          <w:p w14:paraId="7F774081" w14:textId="77777777" w:rsidR="00036C7E" w:rsidRDefault="00036C7E" w:rsidP="00A87137">
            <w:pPr>
              <w:pStyle w:val="TableParagraph"/>
              <w:spacing w:before="55"/>
              <w:ind w:left="474" w:hanging="360"/>
            </w:pPr>
            <w:r>
              <w:t>4. That each jurisdiction establishes a supervised training scheme which provides a defined pathway for becoming a registered building surveyor.</w:t>
            </w:r>
          </w:p>
        </w:tc>
        <w:tc>
          <w:tcPr>
            <w:tcW w:w="872" w:type="dxa"/>
            <w:tcBorders>
              <w:bottom w:val="single" w:sz="4" w:space="0" w:color="ADAAAA"/>
            </w:tcBorders>
            <w:vAlign w:val="center"/>
          </w:tcPr>
          <w:p w14:paraId="21A97AC9" w14:textId="77777777" w:rsidR="00036C7E" w:rsidRDefault="00036C7E" w:rsidP="007F4F87">
            <w:pPr>
              <w:pStyle w:val="TableParagraph"/>
              <w:spacing w:before="1"/>
              <w:ind w:left="99" w:right="100"/>
              <w:jc w:val="center"/>
              <w:rPr>
                <w:rFonts w:ascii="Calibri"/>
                <w:sz w:val="20"/>
              </w:rPr>
            </w:pPr>
            <w:r>
              <w:rPr>
                <w:rFonts w:ascii="Calibri"/>
                <w:sz w:val="20"/>
              </w:rPr>
              <w:t>UC</w:t>
            </w:r>
          </w:p>
        </w:tc>
        <w:tc>
          <w:tcPr>
            <w:tcW w:w="873" w:type="dxa"/>
            <w:tcBorders>
              <w:bottom w:val="single" w:sz="4" w:space="0" w:color="ADAAAA"/>
            </w:tcBorders>
            <w:vAlign w:val="center"/>
          </w:tcPr>
          <w:p w14:paraId="6C32DD4F" w14:textId="78653F68" w:rsidR="00036C7E" w:rsidRDefault="00036C7E" w:rsidP="007F4F87">
            <w:pPr>
              <w:pStyle w:val="TableParagraph"/>
              <w:spacing w:before="1"/>
              <w:ind w:left="168" w:right="168"/>
              <w:jc w:val="center"/>
              <w:rPr>
                <w:rFonts w:ascii="Calibri"/>
                <w:sz w:val="20"/>
              </w:rPr>
            </w:pPr>
            <w:r>
              <w:rPr>
                <w:rFonts w:ascii="Calibri"/>
                <w:sz w:val="20"/>
              </w:rPr>
              <w:t>UC</w:t>
            </w:r>
          </w:p>
        </w:tc>
        <w:tc>
          <w:tcPr>
            <w:tcW w:w="872" w:type="dxa"/>
            <w:tcBorders>
              <w:bottom w:val="single" w:sz="4" w:space="0" w:color="ADAAAA"/>
            </w:tcBorders>
            <w:vAlign w:val="center"/>
          </w:tcPr>
          <w:p w14:paraId="05628611" w14:textId="77777777" w:rsidR="00036C7E" w:rsidRDefault="00036C7E" w:rsidP="007F4F87">
            <w:pPr>
              <w:pStyle w:val="TableParagraph"/>
              <w:spacing w:before="1"/>
              <w:ind w:left="151" w:right="153"/>
              <w:jc w:val="center"/>
              <w:rPr>
                <w:rFonts w:ascii="Calibri"/>
                <w:sz w:val="20"/>
              </w:rPr>
            </w:pPr>
            <w:r>
              <w:rPr>
                <w:rFonts w:ascii="Calibri"/>
                <w:sz w:val="20"/>
              </w:rPr>
              <w:t>AI</w:t>
            </w:r>
          </w:p>
        </w:tc>
        <w:tc>
          <w:tcPr>
            <w:tcW w:w="873" w:type="dxa"/>
            <w:tcBorders>
              <w:bottom w:val="single" w:sz="4" w:space="0" w:color="ADAAAA"/>
            </w:tcBorders>
            <w:vAlign w:val="center"/>
          </w:tcPr>
          <w:p w14:paraId="25F69E76" w14:textId="77777777" w:rsidR="00036C7E" w:rsidRDefault="00036C7E" w:rsidP="007F4F87">
            <w:pPr>
              <w:pStyle w:val="TableParagraph"/>
              <w:spacing w:before="1"/>
              <w:ind w:right="198"/>
              <w:jc w:val="center"/>
              <w:rPr>
                <w:rFonts w:ascii="Calibri"/>
                <w:sz w:val="20"/>
              </w:rPr>
            </w:pPr>
            <w:r>
              <w:rPr>
                <w:rFonts w:ascii="Calibri"/>
                <w:w w:val="95"/>
                <w:sz w:val="20"/>
              </w:rPr>
              <w:t>IPS</w:t>
            </w:r>
          </w:p>
        </w:tc>
        <w:tc>
          <w:tcPr>
            <w:tcW w:w="872" w:type="dxa"/>
            <w:tcBorders>
              <w:bottom w:val="single" w:sz="4" w:space="0" w:color="ADAAAA"/>
            </w:tcBorders>
            <w:vAlign w:val="center"/>
          </w:tcPr>
          <w:p w14:paraId="3CB81577" w14:textId="77777777" w:rsidR="00036C7E" w:rsidRDefault="00036C7E" w:rsidP="007F4F87">
            <w:pPr>
              <w:pStyle w:val="TableParagraph"/>
              <w:spacing w:before="1"/>
              <w:ind w:left="151" w:right="151"/>
              <w:jc w:val="center"/>
              <w:rPr>
                <w:rFonts w:ascii="Calibri"/>
                <w:sz w:val="20"/>
              </w:rPr>
            </w:pPr>
            <w:r>
              <w:rPr>
                <w:rFonts w:ascii="Calibri"/>
                <w:sz w:val="20"/>
              </w:rPr>
              <w:t>IPS</w:t>
            </w:r>
          </w:p>
        </w:tc>
        <w:tc>
          <w:tcPr>
            <w:tcW w:w="873" w:type="dxa"/>
            <w:tcBorders>
              <w:bottom w:val="single" w:sz="4" w:space="0" w:color="ADAAAA"/>
            </w:tcBorders>
            <w:vAlign w:val="center"/>
          </w:tcPr>
          <w:p w14:paraId="438BD06A" w14:textId="77777777" w:rsidR="00036C7E" w:rsidRDefault="00036C7E" w:rsidP="007F4F87">
            <w:pPr>
              <w:pStyle w:val="TableParagraph"/>
              <w:spacing w:before="1"/>
              <w:ind w:left="148" w:right="147"/>
              <w:jc w:val="center"/>
              <w:rPr>
                <w:rFonts w:ascii="Calibri"/>
                <w:sz w:val="20"/>
              </w:rPr>
            </w:pPr>
            <w:r>
              <w:rPr>
                <w:rFonts w:ascii="Calibri"/>
                <w:sz w:val="20"/>
              </w:rPr>
              <w:t>AI</w:t>
            </w:r>
          </w:p>
        </w:tc>
        <w:tc>
          <w:tcPr>
            <w:tcW w:w="872" w:type="dxa"/>
            <w:tcBorders>
              <w:bottom w:val="single" w:sz="4" w:space="0" w:color="ADAAAA"/>
            </w:tcBorders>
            <w:vAlign w:val="center"/>
          </w:tcPr>
          <w:p w14:paraId="2A63FD06" w14:textId="77777777" w:rsidR="00036C7E" w:rsidRDefault="00036C7E" w:rsidP="007F4F87">
            <w:pPr>
              <w:pStyle w:val="TableParagraph"/>
              <w:spacing w:before="1"/>
              <w:ind w:right="205"/>
              <w:jc w:val="center"/>
              <w:rPr>
                <w:rFonts w:ascii="Calibri"/>
                <w:sz w:val="20"/>
              </w:rPr>
            </w:pPr>
            <w:r>
              <w:rPr>
                <w:rFonts w:ascii="Calibri"/>
                <w:sz w:val="20"/>
              </w:rPr>
              <w:t>UC</w:t>
            </w:r>
          </w:p>
        </w:tc>
        <w:tc>
          <w:tcPr>
            <w:tcW w:w="873" w:type="dxa"/>
            <w:tcBorders>
              <w:bottom w:val="single" w:sz="4" w:space="0" w:color="ADAAAA"/>
            </w:tcBorders>
            <w:vAlign w:val="center"/>
          </w:tcPr>
          <w:p w14:paraId="522B2C49" w14:textId="77777777" w:rsidR="00036C7E" w:rsidRDefault="00036C7E" w:rsidP="007F4F87">
            <w:pPr>
              <w:pStyle w:val="TableParagraph"/>
              <w:spacing w:before="1"/>
              <w:ind w:left="200"/>
              <w:jc w:val="center"/>
              <w:rPr>
                <w:rFonts w:ascii="Calibri"/>
                <w:sz w:val="20"/>
              </w:rPr>
            </w:pPr>
            <w:r>
              <w:rPr>
                <w:rFonts w:ascii="Calibri"/>
                <w:sz w:val="20"/>
              </w:rPr>
              <w:t>IPS</w:t>
            </w:r>
          </w:p>
        </w:tc>
      </w:tr>
      <w:tr w:rsidR="00036C7E" w14:paraId="41C44DF8" w14:textId="77777777" w:rsidTr="007F4F87">
        <w:trPr>
          <w:trHeight w:hRule="exact" w:val="1106"/>
        </w:trPr>
        <w:tc>
          <w:tcPr>
            <w:tcW w:w="8791" w:type="dxa"/>
            <w:tcBorders>
              <w:top w:val="single" w:sz="4" w:space="0" w:color="ADAAAA"/>
            </w:tcBorders>
            <w:shd w:val="clear" w:color="auto" w:fill="F1F1F1"/>
          </w:tcPr>
          <w:p w14:paraId="35FF1C59" w14:textId="77777777" w:rsidR="00036C7E" w:rsidRDefault="00036C7E" w:rsidP="00A87137">
            <w:pPr>
              <w:pStyle w:val="TableParagraph"/>
              <w:spacing w:before="55"/>
              <w:ind w:left="474" w:right="228" w:hanging="360"/>
            </w:pPr>
            <w:r>
              <w:t>5. That each state establishes formal mechanisms for a more collaborative and effective partnership between those with responsibility for regulatory oversight, including relevant state government bodies, local governments and private building surveyors (if they have an enforcement role).</w:t>
            </w:r>
          </w:p>
        </w:tc>
        <w:tc>
          <w:tcPr>
            <w:tcW w:w="872" w:type="dxa"/>
            <w:tcBorders>
              <w:top w:val="single" w:sz="4" w:space="0" w:color="ADAAAA"/>
            </w:tcBorders>
            <w:vAlign w:val="center"/>
          </w:tcPr>
          <w:p w14:paraId="0E56597C" w14:textId="77777777" w:rsidR="00036C7E" w:rsidRDefault="00036C7E" w:rsidP="007F4F87">
            <w:pPr>
              <w:pStyle w:val="TableParagraph"/>
              <w:ind w:left="100" w:right="100"/>
              <w:jc w:val="center"/>
              <w:rPr>
                <w:rFonts w:ascii="Calibri"/>
                <w:sz w:val="20"/>
              </w:rPr>
            </w:pPr>
            <w:r>
              <w:rPr>
                <w:rFonts w:ascii="Calibri"/>
                <w:sz w:val="20"/>
              </w:rPr>
              <w:t>IPS</w:t>
            </w:r>
          </w:p>
        </w:tc>
        <w:tc>
          <w:tcPr>
            <w:tcW w:w="873" w:type="dxa"/>
            <w:tcBorders>
              <w:top w:val="single" w:sz="4" w:space="0" w:color="ADAAAA"/>
            </w:tcBorders>
            <w:vAlign w:val="center"/>
          </w:tcPr>
          <w:p w14:paraId="1C12F83D" w14:textId="77777777" w:rsidR="00036C7E" w:rsidRDefault="00036C7E" w:rsidP="007F4F87">
            <w:pPr>
              <w:pStyle w:val="TableParagraph"/>
              <w:ind w:left="1"/>
              <w:jc w:val="center"/>
              <w:rPr>
                <w:rFonts w:ascii="Calibri"/>
                <w:sz w:val="20"/>
              </w:rPr>
            </w:pPr>
            <w:r>
              <w:rPr>
                <w:rFonts w:ascii="Calibri"/>
                <w:w w:val="99"/>
                <w:sz w:val="20"/>
              </w:rPr>
              <w:t>S</w:t>
            </w:r>
          </w:p>
        </w:tc>
        <w:tc>
          <w:tcPr>
            <w:tcW w:w="872" w:type="dxa"/>
            <w:tcBorders>
              <w:top w:val="single" w:sz="4" w:space="0" w:color="ADAAAA"/>
            </w:tcBorders>
            <w:vAlign w:val="center"/>
          </w:tcPr>
          <w:p w14:paraId="3861C5C0" w14:textId="5F3E7D41" w:rsidR="00036C7E" w:rsidRDefault="00036C7E" w:rsidP="007F4F87">
            <w:pPr>
              <w:pStyle w:val="TableParagraph"/>
              <w:jc w:val="center"/>
              <w:rPr>
                <w:rFonts w:ascii="Calibri"/>
                <w:sz w:val="20"/>
              </w:rPr>
            </w:pPr>
            <w:r>
              <w:rPr>
                <w:rFonts w:ascii="Calibri"/>
                <w:w w:val="99"/>
                <w:sz w:val="20"/>
              </w:rPr>
              <w:t>AI</w:t>
            </w:r>
          </w:p>
        </w:tc>
        <w:tc>
          <w:tcPr>
            <w:tcW w:w="873" w:type="dxa"/>
            <w:tcBorders>
              <w:top w:val="single" w:sz="4" w:space="0" w:color="ADAAAA"/>
            </w:tcBorders>
            <w:vAlign w:val="center"/>
          </w:tcPr>
          <w:p w14:paraId="37CA4484" w14:textId="77777777" w:rsidR="00036C7E" w:rsidRDefault="00036C7E" w:rsidP="007F4F87">
            <w:pPr>
              <w:pStyle w:val="TableParagraph"/>
              <w:ind w:right="199"/>
              <w:jc w:val="center"/>
              <w:rPr>
                <w:rFonts w:ascii="Calibri"/>
                <w:sz w:val="20"/>
              </w:rPr>
            </w:pPr>
            <w:r>
              <w:rPr>
                <w:rFonts w:ascii="Calibri"/>
                <w:w w:val="95"/>
                <w:sz w:val="20"/>
              </w:rPr>
              <w:t>IPS</w:t>
            </w:r>
          </w:p>
        </w:tc>
        <w:tc>
          <w:tcPr>
            <w:tcW w:w="872" w:type="dxa"/>
            <w:tcBorders>
              <w:top w:val="single" w:sz="4" w:space="0" w:color="ADAAAA"/>
            </w:tcBorders>
            <w:vAlign w:val="center"/>
          </w:tcPr>
          <w:p w14:paraId="01E0519B" w14:textId="77777777" w:rsidR="00036C7E" w:rsidRDefault="00036C7E" w:rsidP="007F4F87">
            <w:pPr>
              <w:pStyle w:val="TableParagraph"/>
              <w:ind w:left="151" w:right="152"/>
              <w:jc w:val="center"/>
              <w:rPr>
                <w:rFonts w:ascii="Calibri"/>
                <w:sz w:val="20"/>
              </w:rPr>
            </w:pPr>
            <w:r>
              <w:rPr>
                <w:rFonts w:ascii="Calibri"/>
                <w:sz w:val="20"/>
              </w:rPr>
              <w:t>PI</w:t>
            </w:r>
          </w:p>
        </w:tc>
        <w:tc>
          <w:tcPr>
            <w:tcW w:w="873" w:type="dxa"/>
            <w:tcBorders>
              <w:top w:val="single" w:sz="4" w:space="0" w:color="ADAAAA"/>
            </w:tcBorders>
            <w:vAlign w:val="center"/>
          </w:tcPr>
          <w:p w14:paraId="11A1AA5C" w14:textId="77777777" w:rsidR="00036C7E" w:rsidRDefault="00036C7E" w:rsidP="007F4F87">
            <w:pPr>
              <w:pStyle w:val="TableParagraph"/>
              <w:ind w:left="148" w:right="145"/>
              <w:jc w:val="center"/>
              <w:rPr>
                <w:rFonts w:ascii="Calibri"/>
                <w:sz w:val="20"/>
              </w:rPr>
            </w:pPr>
            <w:r>
              <w:rPr>
                <w:rFonts w:ascii="Calibri"/>
                <w:sz w:val="20"/>
              </w:rPr>
              <w:t>IPS</w:t>
            </w:r>
          </w:p>
        </w:tc>
        <w:tc>
          <w:tcPr>
            <w:tcW w:w="872" w:type="dxa"/>
            <w:tcBorders>
              <w:top w:val="single" w:sz="4" w:space="0" w:color="ADAAAA"/>
            </w:tcBorders>
            <w:vAlign w:val="center"/>
          </w:tcPr>
          <w:p w14:paraId="7508AC02" w14:textId="77777777" w:rsidR="00036C7E" w:rsidRDefault="00036C7E" w:rsidP="007F4F87">
            <w:pPr>
              <w:pStyle w:val="TableParagraph"/>
              <w:ind w:right="160"/>
              <w:jc w:val="center"/>
              <w:rPr>
                <w:rFonts w:ascii="Calibri"/>
                <w:sz w:val="20"/>
              </w:rPr>
            </w:pPr>
            <w:r>
              <w:rPr>
                <w:rFonts w:ascii="Calibri"/>
                <w:w w:val="95"/>
                <w:sz w:val="20"/>
              </w:rPr>
              <w:t>N/A</w:t>
            </w:r>
          </w:p>
        </w:tc>
        <w:tc>
          <w:tcPr>
            <w:tcW w:w="873" w:type="dxa"/>
            <w:tcBorders>
              <w:top w:val="single" w:sz="4" w:space="0" w:color="ADAAAA"/>
            </w:tcBorders>
            <w:vAlign w:val="center"/>
          </w:tcPr>
          <w:p w14:paraId="6C4F8593" w14:textId="77777777" w:rsidR="00036C7E" w:rsidRDefault="00036C7E" w:rsidP="007F4F87">
            <w:pPr>
              <w:pStyle w:val="TableParagraph"/>
              <w:ind w:left="160"/>
              <w:jc w:val="center"/>
              <w:rPr>
                <w:rFonts w:ascii="Calibri"/>
                <w:sz w:val="20"/>
              </w:rPr>
            </w:pPr>
            <w:r>
              <w:rPr>
                <w:rFonts w:ascii="Calibri"/>
                <w:sz w:val="20"/>
              </w:rPr>
              <w:t>N/A</w:t>
            </w:r>
          </w:p>
        </w:tc>
      </w:tr>
    </w:tbl>
    <w:p w14:paraId="22EFED5A" w14:textId="77777777" w:rsidR="00FF4A2C" w:rsidRDefault="00FF4A2C" w:rsidP="00FF4A2C">
      <w:pPr>
        <w:rPr>
          <w:rFonts w:ascii="Calibri"/>
          <w:sz w:val="20"/>
        </w:rPr>
        <w:sectPr w:rsidR="00FF4A2C">
          <w:headerReference w:type="default" r:id="rId18"/>
          <w:footerReference w:type="default" r:id="rId19"/>
          <w:pgSz w:w="16840" w:h="11910" w:orient="landscape"/>
          <w:pgMar w:top="1040" w:right="400" w:bottom="680" w:left="320" w:header="768" w:footer="497" w:gutter="0"/>
          <w:pgNumType w:start="5"/>
          <w:cols w:space="720"/>
        </w:sectPr>
      </w:pPr>
    </w:p>
    <w:tbl>
      <w:tblPr>
        <w:tblW w:w="0" w:type="auto"/>
        <w:tblInd w:w="100"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8791"/>
        <w:gridCol w:w="872"/>
        <w:gridCol w:w="873"/>
        <w:gridCol w:w="872"/>
        <w:gridCol w:w="873"/>
        <w:gridCol w:w="872"/>
        <w:gridCol w:w="873"/>
        <w:gridCol w:w="872"/>
        <w:gridCol w:w="873"/>
      </w:tblGrid>
      <w:tr w:rsidR="00036C7E" w14:paraId="5A086962" w14:textId="77777777" w:rsidTr="00310A44">
        <w:trPr>
          <w:trHeight w:hRule="exact" w:val="1008"/>
        </w:trPr>
        <w:tc>
          <w:tcPr>
            <w:tcW w:w="8791" w:type="dxa"/>
            <w:vMerge w:val="restart"/>
            <w:shd w:val="clear" w:color="auto" w:fill="005577"/>
          </w:tcPr>
          <w:p w14:paraId="3A198E45" w14:textId="77777777" w:rsidR="00036C7E" w:rsidRDefault="00036C7E" w:rsidP="00A87137">
            <w:pPr>
              <w:pStyle w:val="TableParagraph"/>
              <w:rPr>
                <w:rFonts w:ascii="Times New Roman"/>
                <w:sz w:val="24"/>
              </w:rPr>
            </w:pPr>
          </w:p>
          <w:p w14:paraId="0173BA19" w14:textId="77777777" w:rsidR="00036C7E" w:rsidRDefault="00036C7E" w:rsidP="00A87137">
            <w:pPr>
              <w:pStyle w:val="TableParagraph"/>
              <w:spacing w:before="5"/>
              <w:rPr>
                <w:rFonts w:ascii="Times New Roman"/>
                <w:sz w:val="25"/>
              </w:rPr>
            </w:pPr>
          </w:p>
          <w:p w14:paraId="4FB6FA11" w14:textId="77777777" w:rsidR="00036C7E" w:rsidRDefault="00036C7E" w:rsidP="00A87137">
            <w:pPr>
              <w:pStyle w:val="TableParagraph"/>
              <w:ind w:left="1989"/>
              <w:rPr>
                <w:b/>
              </w:rPr>
            </w:pPr>
            <w:r>
              <w:rPr>
                <w:b/>
                <w:color w:val="FFFFFF"/>
              </w:rPr>
              <w:t>Building Confidence Report Recommendation</w:t>
            </w:r>
          </w:p>
        </w:tc>
        <w:tc>
          <w:tcPr>
            <w:tcW w:w="6980" w:type="dxa"/>
            <w:gridSpan w:val="8"/>
            <w:shd w:val="clear" w:color="auto" w:fill="005577"/>
          </w:tcPr>
          <w:p w14:paraId="39A445BB" w14:textId="77777777" w:rsidR="00036C7E" w:rsidRDefault="00036C7E" w:rsidP="00A87137">
            <w:pPr>
              <w:pStyle w:val="TableParagraph"/>
              <w:spacing w:before="52"/>
              <w:ind w:left="1548"/>
              <w:rPr>
                <w:b/>
              </w:rPr>
            </w:pPr>
            <w:r>
              <w:rPr>
                <w:b/>
                <w:color w:val="FFFFFF"/>
              </w:rPr>
              <w:t>Jurisdiction position</w:t>
            </w:r>
          </w:p>
          <w:p w14:paraId="6E13D6EB" w14:textId="77777777" w:rsidR="00036C7E" w:rsidRDefault="00036C7E" w:rsidP="00A87137">
            <w:pPr>
              <w:pStyle w:val="TableParagraph"/>
              <w:tabs>
                <w:tab w:val="left" w:pos="2275"/>
              </w:tabs>
              <w:spacing w:before="4" w:line="219" w:lineRule="exact"/>
              <w:ind w:left="115"/>
              <w:rPr>
                <w:rFonts w:ascii="Calibri"/>
                <w:i/>
                <w:sz w:val="18"/>
              </w:rPr>
            </w:pPr>
            <w:r>
              <w:rPr>
                <w:rFonts w:ascii="Calibri"/>
                <w:b/>
                <w:i/>
                <w:color w:val="FFFFFF"/>
                <w:sz w:val="18"/>
              </w:rPr>
              <w:t>S</w:t>
            </w:r>
            <w:r>
              <w:rPr>
                <w:rFonts w:ascii="Calibri"/>
                <w:b/>
                <w:i/>
                <w:color w:val="FFFFFF"/>
                <w:spacing w:val="-1"/>
                <w:sz w:val="18"/>
              </w:rPr>
              <w:t xml:space="preserve"> </w:t>
            </w:r>
            <w:r>
              <w:rPr>
                <w:rFonts w:ascii="Calibri"/>
                <w:i/>
                <w:color w:val="FFFFFF"/>
                <w:sz w:val="18"/>
              </w:rPr>
              <w:t>Support</w:t>
            </w:r>
            <w:r>
              <w:rPr>
                <w:rFonts w:ascii="Calibri"/>
                <w:i/>
                <w:color w:val="FFFFFF"/>
                <w:sz w:val="18"/>
              </w:rPr>
              <w:tab/>
            </w:r>
            <w:r>
              <w:rPr>
                <w:rFonts w:ascii="Calibri"/>
                <w:b/>
                <w:i/>
                <w:color w:val="FFFFFF"/>
                <w:sz w:val="18"/>
              </w:rPr>
              <w:t xml:space="preserve">IPS </w:t>
            </w:r>
            <w:r>
              <w:rPr>
                <w:rFonts w:ascii="Calibri"/>
                <w:i/>
                <w:color w:val="FFFFFF"/>
                <w:sz w:val="18"/>
              </w:rPr>
              <w:t>In-Principle</w:t>
            </w:r>
            <w:r>
              <w:rPr>
                <w:rFonts w:ascii="Calibri"/>
                <w:i/>
                <w:color w:val="FFFFFF"/>
                <w:spacing w:val="-6"/>
                <w:sz w:val="18"/>
              </w:rPr>
              <w:t xml:space="preserve"> </w:t>
            </w:r>
            <w:r>
              <w:rPr>
                <w:rFonts w:ascii="Calibri"/>
                <w:i/>
                <w:color w:val="FFFFFF"/>
                <w:sz w:val="18"/>
              </w:rPr>
              <w:t>Support</w:t>
            </w:r>
          </w:p>
          <w:p w14:paraId="0A28FA39" w14:textId="77777777" w:rsidR="00036C7E" w:rsidRDefault="00036C7E" w:rsidP="00A87137">
            <w:pPr>
              <w:pStyle w:val="TableParagraph"/>
              <w:tabs>
                <w:tab w:val="left" w:pos="2275"/>
              </w:tabs>
              <w:spacing w:line="219" w:lineRule="exact"/>
              <w:ind w:left="115"/>
              <w:rPr>
                <w:rFonts w:ascii="Calibri"/>
                <w:i/>
                <w:sz w:val="18"/>
              </w:rPr>
            </w:pPr>
            <w:r>
              <w:rPr>
                <w:rFonts w:ascii="Calibri"/>
                <w:b/>
                <w:i/>
                <w:color w:val="FFFFFF"/>
                <w:sz w:val="18"/>
              </w:rPr>
              <w:t>NS</w:t>
            </w:r>
            <w:r>
              <w:rPr>
                <w:rFonts w:ascii="Calibri"/>
                <w:b/>
                <w:i/>
                <w:color w:val="FFFFFF"/>
                <w:spacing w:val="-1"/>
                <w:sz w:val="18"/>
              </w:rPr>
              <w:t xml:space="preserve"> </w:t>
            </w:r>
            <w:r>
              <w:rPr>
                <w:rFonts w:ascii="Calibri"/>
                <w:i/>
                <w:color w:val="FFFFFF"/>
                <w:sz w:val="18"/>
              </w:rPr>
              <w:t>Not</w:t>
            </w:r>
            <w:r>
              <w:rPr>
                <w:rFonts w:ascii="Calibri"/>
                <w:i/>
                <w:color w:val="FFFFFF"/>
                <w:spacing w:val="-2"/>
                <w:sz w:val="18"/>
              </w:rPr>
              <w:t xml:space="preserve"> </w:t>
            </w:r>
            <w:r>
              <w:rPr>
                <w:rFonts w:ascii="Calibri"/>
                <w:i/>
                <w:color w:val="FFFFFF"/>
                <w:sz w:val="18"/>
              </w:rPr>
              <w:t>Supported</w:t>
            </w:r>
            <w:r>
              <w:rPr>
                <w:rFonts w:ascii="Calibri"/>
                <w:i/>
                <w:color w:val="FFFFFF"/>
                <w:sz w:val="18"/>
              </w:rPr>
              <w:tab/>
            </w:r>
            <w:r>
              <w:rPr>
                <w:rFonts w:ascii="Calibri"/>
                <w:b/>
                <w:i/>
                <w:color w:val="FFFFFF"/>
                <w:sz w:val="18"/>
              </w:rPr>
              <w:t xml:space="preserve">UC </w:t>
            </w:r>
            <w:r>
              <w:rPr>
                <w:rFonts w:ascii="Calibri"/>
                <w:i/>
                <w:color w:val="FFFFFF"/>
                <w:sz w:val="18"/>
              </w:rPr>
              <w:t>Under</w:t>
            </w:r>
            <w:r>
              <w:rPr>
                <w:rFonts w:ascii="Calibri"/>
                <w:i/>
                <w:color w:val="FFFFFF"/>
                <w:spacing w:val="-6"/>
                <w:sz w:val="18"/>
              </w:rPr>
              <w:t xml:space="preserve"> </w:t>
            </w:r>
            <w:r>
              <w:rPr>
                <w:rFonts w:ascii="Calibri"/>
                <w:i/>
                <w:color w:val="FFFFFF"/>
                <w:sz w:val="18"/>
              </w:rPr>
              <w:t>Consideration</w:t>
            </w:r>
          </w:p>
          <w:p w14:paraId="61141221" w14:textId="77777777" w:rsidR="00036C7E" w:rsidRDefault="00036C7E" w:rsidP="00A87137">
            <w:pPr>
              <w:pStyle w:val="TableParagraph"/>
              <w:tabs>
                <w:tab w:val="left" w:pos="2275"/>
              </w:tabs>
              <w:spacing w:before="1"/>
              <w:ind w:left="115"/>
              <w:rPr>
                <w:rFonts w:ascii="Calibri"/>
                <w:i/>
                <w:sz w:val="18"/>
              </w:rPr>
            </w:pPr>
            <w:r>
              <w:rPr>
                <w:rFonts w:ascii="Calibri"/>
                <w:b/>
                <w:i/>
                <w:color w:val="FFFFFF"/>
                <w:sz w:val="18"/>
              </w:rPr>
              <w:t>AI</w:t>
            </w:r>
            <w:r>
              <w:rPr>
                <w:rFonts w:ascii="Calibri"/>
                <w:b/>
                <w:i/>
                <w:color w:val="FFFFFF"/>
                <w:spacing w:val="-2"/>
                <w:sz w:val="18"/>
              </w:rPr>
              <w:t xml:space="preserve"> </w:t>
            </w:r>
            <w:r>
              <w:rPr>
                <w:rFonts w:ascii="Calibri"/>
                <w:i/>
                <w:color w:val="FFFFFF"/>
                <w:sz w:val="18"/>
              </w:rPr>
              <w:t>Already</w:t>
            </w:r>
            <w:r>
              <w:rPr>
                <w:rFonts w:ascii="Calibri"/>
                <w:i/>
                <w:color w:val="FFFFFF"/>
                <w:spacing w:val="-1"/>
                <w:sz w:val="18"/>
              </w:rPr>
              <w:t xml:space="preserve"> </w:t>
            </w:r>
            <w:r>
              <w:rPr>
                <w:rFonts w:ascii="Calibri"/>
                <w:i/>
                <w:color w:val="FFFFFF"/>
                <w:sz w:val="18"/>
              </w:rPr>
              <w:t>Implemented</w:t>
            </w:r>
            <w:r>
              <w:rPr>
                <w:rFonts w:ascii="Calibri"/>
                <w:i/>
                <w:color w:val="FFFFFF"/>
                <w:sz w:val="18"/>
              </w:rPr>
              <w:tab/>
            </w:r>
            <w:r>
              <w:rPr>
                <w:rFonts w:ascii="Calibri"/>
                <w:b/>
                <w:i/>
                <w:color w:val="FFFFFF"/>
                <w:sz w:val="18"/>
              </w:rPr>
              <w:t xml:space="preserve">PI </w:t>
            </w:r>
            <w:r>
              <w:rPr>
                <w:rFonts w:ascii="Calibri"/>
                <w:i/>
                <w:color w:val="FFFFFF"/>
                <w:sz w:val="18"/>
              </w:rPr>
              <w:t>Partially</w:t>
            </w:r>
            <w:r>
              <w:rPr>
                <w:rFonts w:ascii="Calibri"/>
                <w:i/>
                <w:color w:val="FFFFFF"/>
                <w:spacing w:val="-7"/>
                <w:sz w:val="18"/>
              </w:rPr>
              <w:t xml:space="preserve"> </w:t>
            </w:r>
            <w:r>
              <w:rPr>
                <w:rFonts w:ascii="Calibri"/>
                <w:i/>
                <w:color w:val="FFFFFF"/>
                <w:sz w:val="18"/>
              </w:rPr>
              <w:t>Implemented</w:t>
            </w:r>
          </w:p>
        </w:tc>
      </w:tr>
      <w:tr w:rsidR="00036C7E" w14:paraId="2CC07978" w14:textId="77777777" w:rsidTr="00310A44">
        <w:trPr>
          <w:trHeight w:hRule="exact" w:val="365"/>
        </w:trPr>
        <w:tc>
          <w:tcPr>
            <w:tcW w:w="8791" w:type="dxa"/>
            <w:vMerge/>
            <w:shd w:val="clear" w:color="auto" w:fill="005577"/>
          </w:tcPr>
          <w:p w14:paraId="0FBFB5F0" w14:textId="77777777" w:rsidR="00036C7E" w:rsidRDefault="00036C7E" w:rsidP="00A87137"/>
        </w:tc>
        <w:tc>
          <w:tcPr>
            <w:tcW w:w="872" w:type="dxa"/>
            <w:shd w:val="clear" w:color="auto" w:fill="005577"/>
          </w:tcPr>
          <w:p w14:paraId="48B369CA" w14:textId="77777777" w:rsidR="00036C7E" w:rsidRDefault="00036C7E" w:rsidP="00A87137">
            <w:pPr>
              <w:pStyle w:val="TableParagraph"/>
              <w:spacing w:before="52"/>
              <w:ind w:left="101" w:right="100"/>
              <w:jc w:val="center"/>
              <w:rPr>
                <w:b/>
                <w:sz w:val="18"/>
              </w:rPr>
            </w:pPr>
            <w:r>
              <w:rPr>
                <w:b/>
                <w:color w:val="FFFFFF"/>
                <w:sz w:val="18"/>
              </w:rPr>
              <w:t>NSW</w:t>
            </w:r>
          </w:p>
        </w:tc>
        <w:tc>
          <w:tcPr>
            <w:tcW w:w="873" w:type="dxa"/>
            <w:shd w:val="clear" w:color="auto" w:fill="005577"/>
          </w:tcPr>
          <w:p w14:paraId="25EE4DAA" w14:textId="77777777" w:rsidR="00036C7E" w:rsidRDefault="00036C7E" w:rsidP="00A87137">
            <w:pPr>
              <w:pStyle w:val="TableParagraph"/>
              <w:spacing w:before="52"/>
              <w:ind w:left="187"/>
              <w:rPr>
                <w:b/>
                <w:sz w:val="18"/>
              </w:rPr>
            </w:pPr>
            <w:r>
              <w:rPr>
                <w:b/>
                <w:color w:val="FFFFFF"/>
                <w:sz w:val="18"/>
              </w:rPr>
              <w:t>Vic</w:t>
            </w:r>
          </w:p>
        </w:tc>
        <w:tc>
          <w:tcPr>
            <w:tcW w:w="872" w:type="dxa"/>
            <w:shd w:val="clear" w:color="auto" w:fill="005577"/>
          </w:tcPr>
          <w:p w14:paraId="42264016" w14:textId="77777777" w:rsidR="00036C7E" w:rsidRDefault="00036C7E" w:rsidP="00A87137">
            <w:pPr>
              <w:pStyle w:val="TableParagraph"/>
              <w:spacing w:before="52"/>
              <w:ind w:left="170"/>
              <w:rPr>
                <w:b/>
                <w:sz w:val="18"/>
              </w:rPr>
            </w:pPr>
            <w:r>
              <w:rPr>
                <w:b/>
                <w:color w:val="FFFFFF"/>
                <w:sz w:val="18"/>
              </w:rPr>
              <w:t>Qld</w:t>
            </w:r>
          </w:p>
        </w:tc>
        <w:tc>
          <w:tcPr>
            <w:tcW w:w="873" w:type="dxa"/>
            <w:shd w:val="clear" w:color="auto" w:fill="005577"/>
          </w:tcPr>
          <w:p w14:paraId="507550DA" w14:textId="77777777" w:rsidR="00036C7E" w:rsidRDefault="00036C7E" w:rsidP="00A87137">
            <w:pPr>
              <w:pStyle w:val="TableParagraph"/>
              <w:spacing w:before="52"/>
              <w:ind w:left="145" w:right="147"/>
              <w:jc w:val="center"/>
              <w:rPr>
                <w:b/>
                <w:sz w:val="18"/>
              </w:rPr>
            </w:pPr>
            <w:r>
              <w:rPr>
                <w:b/>
                <w:color w:val="FFFFFF"/>
                <w:sz w:val="18"/>
              </w:rPr>
              <w:t>WA</w:t>
            </w:r>
          </w:p>
        </w:tc>
        <w:tc>
          <w:tcPr>
            <w:tcW w:w="872" w:type="dxa"/>
            <w:shd w:val="clear" w:color="auto" w:fill="005577"/>
          </w:tcPr>
          <w:p w14:paraId="3FAB9243" w14:textId="77777777" w:rsidR="00036C7E" w:rsidRDefault="00036C7E" w:rsidP="00A87137">
            <w:pPr>
              <w:pStyle w:val="TableParagraph"/>
              <w:spacing w:before="52"/>
              <w:ind w:left="151" w:right="152"/>
              <w:jc w:val="center"/>
              <w:rPr>
                <w:b/>
                <w:sz w:val="18"/>
              </w:rPr>
            </w:pPr>
            <w:r>
              <w:rPr>
                <w:b/>
                <w:color w:val="FFFFFF"/>
                <w:sz w:val="18"/>
              </w:rPr>
              <w:t>SA</w:t>
            </w:r>
          </w:p>
        </w:tc>
        <w:tc>
          <w:tcPr>
            <w:tcW w:w="873" w:type="dxa"/>
            <w:shd w:val="clear" w:color="auto" w:fill="005577"/>
          </w:tcPr>
          <w:p w14:paraId="3416F0BA" w14:textId="77777777" w:rsidR="00036C7E" w:rsidRDefault="00036C7E" w:rsidP="00A87137">
            <w:pPr>
              <w:pStyle w:val="TableParagraph"/>
              <w:spacing w:before="52"/>
              <w:ind w:left="148" w:right="147"/>
              <w:jc w:val="center"/>
              <w:rPr>
                <w:b/>
                <w:sz w:val="18"/>
              </w:rPr>
            </w:pPr>
            <w:r>
              <w:rPr>
                <w:b/>
                <w:color w:val="FFFFFF"/>
                <w:sz w:val="18"/>
              </w:rPr>
              <w:t>Tas</w:t>
            </w:r>
          </w:p>
        </w:tc>
        <w:tc>
          <w:tcPr>
            <w:tcW w:w="872" w:type="dxa"/>
            <w:shd w:val="clear" w:color="auto" w:fill="005577"/>
          </w:tcPr>
          <w:p w14:paraId="6F1DE7FC" w14:textId="77777777" w:rsidR="00036C7E" w:rsidRDefault="00036C7E" w:rsidP="00A87137">
            <w:pPr>
              <w:pStyle w:val="TableParagraph"/>
              <w:spacing w:before="52"/>
              <w:ind w:right="140"/>
              <w:jc w:val="right"/>
              <w:rPr>
                <w:b/>
                <w:sz w:val="18"/>
              </w:rPr>
            </w:pPr>
            <w:r>
              <w:rPr>
                <w:b/>
                <w:color w:val="FFFFFF"/>
                <w:sz w:val="18"/>
              </w:rPr>
              <w:t>ACT</w:t>
            </w:r>
          </w:p>
        </w:tc>
        <w:tc>
          <w:tcPr>
            <w:tcW w:w="873" w:type="dxa"/>
            <w:shd w:val="clear" w:color="auto" w:fill="005577"/>
          </w:tcPr>
          <w:p w14:paraId="69599545" w14:textId="77777777" w:rsidR="00036C7E" w:rsidRDefault="00036C7E" w:rsidP="00A87137">
            <w:pPr>
              <w:pStyle w:val="TableParagraph"/>
              <w:spacing w:before="52"/>
              <w:ind w:left="201"/>
              <w:rPr>
                <w:b/>
                <w:sz w:val="18"/>
              </w:rPr>
            </w:pPr>
            <w:r>
              <w:rPr>
                <w:b/>
                <w:color w:val="FFFFFF"/>
                <w:sz w:val="18"/>
              </w:rPr>
              <w:t>NT</w:t>
            </w:r>
          </w:p>
        </w:tc>
      </w:tr>
      <w:tr w:rsidR="00036C7E" w14:paraId="38760C6A" w14:textId="77777777" w:rsidTr="007F4F87">
        <w:trPr>
          <w:trHeight w:hRule="exact" w:val="859"/>
        </w:trPr>
        <w:tc>
          <w:tcPr>
            <w:tcW w:w="8791" w:type="dxa"/>
            <w:shd w:val="clear" w:color="auto" w:fill="F1F1F1"/>
          </w:tcPr>
          <w:p w14:paraId="6F00BEAB" w14:textId="77777777" w:rsidR="00036C7E" w:rsidRDefault="00036C7E" w:rsidP="00A87137">
            <w:pPr>
              <w:pStyle w:val="TableParagraph"/>
              <w:spacing w:before="60"/>
              <w:ind w:left="474" w:right="228" w:hanging="360"/>
            </w:pPr>
            <w:r>
              <w:t>6. That each jurisdiction give regulators a broad suite of powers to monitor buildings and building work so that, as necessary, they can take strong compliance and enforcement action.</w:t>
            </w:r>
          </w:p>
        </w:tc>
        <w:tc>
          <w:tcPr>
            <w:tcW w:w="872" w:type="dxa"/>
            <w:vAlign w:val="center"/>
          </w:tcPr>
          <w:p w14:paraId="25898045" w14:textId="77777777" w:rsidR="00036C7E" w:rsidRDefault="00036C7E" w:rsidP="007F4F87">
            <w:pPr>
              <w:pStyle w:val="TableParagraph"/>
              <w:spacing w:before="1"/>
              <w:ind w:left="101" w:right="99"/>
              <w:jc w:val="center"/>
              <w:rPr>
                <w:rFonts w:ascii="Calibri"/>
                <w:sz w:val="20"/>
              </w:rPr>
            </w:pPr>
            <w:r>
              <w:rPr>
                <w:rFonts w:ascii="Calibri"/>
                <w:sz w:val="20"/>
              </w:rPr>
              <w:t>AI</w:t>
            </w:r>
          </w:p>
        </w:tc>
        <w:tc>
          <w:tcPr>
            <w:tcW w:w="873" w:type="dxa"/>
            <w:vAlign w:val="center"/>
          </w:tcPr>
          <w:p w14:paraId="5C6E9147" w14:textId="7B5805D8" w:rsidR="00036C7E" w:rsidRDefault="00036C7E" w:rsidP="007F4F87">
            <w:pPr>
              <w:pStyle w:val="TableParagraph"/>
              <w:spacing w:before="1"/>
              <w:ind w:left="201"/>
              <w:jc w:val="center"/>
              <w:rPr>
                <w:rFonts w:ascii="Calibri"/>
                <w:sz w:val="20"/>
              </w:rPr>
            </w:pPr>
            <w:r>
              <w:rPr>
                <w:rFonts w:ascii="Calibri"/>
                <w:sz w:val="20"/>
              </w:rPr>
              <w:t>AI</w:t>
            </w:r>
          </w:p>
        </w:tc>
        <w:tc>
          <w:tcPr>
            <w:tcW w:w="872" w:type="dxa"/>
            <w:vAlign w:val="center"/>
          </w:tcPr>
          <w:p w14:paraId="51F2FC34" w14:textId="77777777" w:rsidR="00036C7E" w:rsidRDefault="00036C7E" w:rsidP="007F4F87">
            <w:pPr>
              <w:pStyle w:val="TableParagraph"/>
              <w:spacing w:before="1"/>
              <w:ind w:left="238"/>
              <w:jc w:val="center"/>
              <w:rPr>
                <w:rFonts w:ascii="Calibri"/>
                <w:sz w:val="20"/>
              </w:rPr>
            </w:pPr>
            <w:r>
              <w:rPr>
                <w:rFonts w:ascii="Calibri"/>
                <w:sz w:val="20"/>
              </w:rPr>
              <w:t>AI</w:t>
            </w:r>
          </w:p>
        </w:tc>
        <w:tc>
          <w:tcPr>
            <w:tcW w:w="873" w:type="dxa"/>
            <w:vAlign w:val="center"/>
          </w:tcPr>
          <w:p w14:paraId="440A8E21" w14:textId="449C543B" w:rsidR="00036C7E" w:rsidRDefault="00036C7E" w:rsidP="007F4F87">
            <w:pPr>
              <w:pStyle w:val="TableParagraph"/>
              <w:spacing w:before="1"/>
              <w:ind w:left="147" w:right="147"/>
              <w:jc w:val="center"/>
              <w:rPr>
                <w:rFonts w:ascii="Calibri"/>
                <w:sz w:val="20"/>
              </w:rPr>
            </w:pPr>
            <w:r>
              <w:rPr>
                <w:rFonts w:ascii="Calibri"/>
                <w:sz w:val="20"/>
              </w:rPr>
              <w:t>PI</w:t>
            </w:r>
          </w:p>
        </w:tc>
        <w:tc>
          <w:tcPr>
            <w:tcW w:w="872" w:type="dxa"/>
            <w:vAlign w:val="center"/>
          </w:tcPr>
          <w:p w14:paraId="3CE7DF12" w14:textId="77777777" w:rsidR="00036C7E" w:rsidRDefault="00036C7E" w:rsidP="007F4F87">
            <w:pPr>
              <w:pStyle w:val="TableParagraph"/>
              <w:spacing w:before="1"/>
              <w:ind w:left="151" w:right="152"/>
              <w:jc w:val="center"/>
              <w:rPr>
                <w:rFonts w:ascii="Calibri"/>
                <w:sz w:val="20"/>
              </w:rPr>
            </w:pPr>
            <w:r>
              <w:rPr>
                <w:rFonts w:ascii="Calibri"/>
                <w:sz w:val="20"/>
              </w:rPr>
              <w:t>AI</w:t>
            </w:r>
          </w:p>
        </w:tc>
        <w:tc>
          <w:tcPr>
            <w:tcW w:w="873" w:type="dxa"/>
            <w:vAlign w:val="center"/>
          </w:tcPr>
          <w:p w14:paraId="1E0432E6" w14:textId="77777777" w:rsidR="00036C7E" w:rsidRDefault="00036C7E" w:rsidP="007F4F87">
            <w:pPr>
              <w:pStyle w:val="TableParagraph"/>
              <w:spacing w:before="1"/>
              <w:ind w:left="148" w:right="147"/>
              <w:jc w:val="center"/>
              <w:rPr>
                <w:rFonts w:ascii="Calibri"/>
                <w:sz w:val="20"/>
              </w:rPr>
            </w:pPr>
            <w:r>
              <w:rPr>
                <w:rFonts w:ascii="Calibri"/>
                <w:sz w:val="20"/>
              </w:rPr>
              <w:t>AI</w:t>
            </w:r>
          </w:p>
        </w:tc>
        <w:tc>
          <w:tcPr>
            <w:tcW w:w="872" w:type="dxa"/>
            <w:vAlign w:val="center"/>
          </w:tcPr>
          <w:p w14:paraId="77DE3680" w14:textId="77777777" w:rsidR="00036C7E" w:rsidRDefault="00036C7E" w:rsidP="007F4F87">
            <w:pPr>
              <w:pStyle w:val="TableParagraph"/>
              <w:spacing w:before="1"/>
              <w:ind w:right="244"/>
              <w:jc w:val="center"/>
              <w:rPr>
                <w:rFonts w:ascii="Calibri"/>
                <w:sz w:val="20"/>
              </w:rPr>
            </w:pPr>
            <w:r>
              <w:rPr>
                <w:rFonts w:ascii="Calibri"/>
                <w:w w:val="95"/>
                <w:sz w:val="20"/>
              </w:rPr>
              <w:t>PI</w:t>
            </w:r>
          </w:p>
        </w:tc>
        <w:tc>
          <w:tcPr>
            <w:tcW w:w="873" w:type="dxa"/>
            <w:vAlign w:val="center"/>
          </w:tcPr>
          <w:p w14:paraId="315C2EA4" w14:textId="77777777" w:rsidR="00036C7E" w:rsidRDefault="00036C7E" w:rsidP="007F4F87">
            <w:pPr>
              <w:pStyle w:val="TableParagraph"/>
              <w:spacing w:before="1"/>
              <w:ind w:left="238"/>
              <w:jc w:val="center"/>
              <w:rPr>
                <w:rFonts w:ascii="Calibri"/>
                <w:sz w:val="20"/>
              </w:rPr>
            </w:pPr>
            <w:r>
              <w:rPr>
                <w:rFonts w:ascii="Calibri"/>
                <w:sz w:val="20"/>
              </w:rPr>
              <w:t>AI</w:t>
            </w:r>
          </w:p>
        </w:tc>
      </w:tr>
      <w:tr w:rsidR="00036C7E" w14:paraId="324B2D80" w14:textId="77777777" w:rsidTr="007F4F87">
        <w:trPr>
          <w:trHeight w:hRule="exact" w:val="855"/>
        </w:trPr>
        <w:tc>
          <w:tcPr>
            <w:tcW w:w="8791" w:type="dxa"/>
            <w:shd w:val="clear" w:color="auto" w:fill="F1F1F1"/>
          </w:tcPr>
          <w:p w14:paraId="23C7193F" w14:textId="77777777" w:rsidR="00036C7E" w:rsidRDefault="00036C7E" w:rsidP="00A87137">
            <w:pPr>
              <w:pStyle w:val="TableParagraph"/>
              <w:spacing w:before="55"/>
              <w:ind w:left="474" w:hanging="360"/>
            </w:pPr>
            <w:r>
              <w:t>7. That each jurisdiction makes public its audit strategy for regulatory oversight of the construction of Commercial buildings, with annual reporting on audit findings and outcomes.</w:t>
            </w:r>
          </w:p>
        </w:tc>
        <w:tc>
          <w:tcPr>
            <w:tcW w:w="872" w:type="dxa"/>
            <w:vAlign w:val="center"/>
          </w:tcPr>
          <w:p w14:paraId="7CD45670" w14:textId="77777777" w:rsidR="00036C7E" w:rsidRDefault="00036C7E" w:rsidP="007F4F87">
            <w:pPr>
              <w:pStyle w:val="TableParagraph"/>
              <w:ind w:left="100" w:right="100"/>
              <w:jc w:val="center"/>
              <w:rPr>
                <w:rFonts w:ascii="Calibri"/>
                <w:sz w:val="20"/>
              </w:rPr>
            </w:pPr>
            <w:r>
              <w:rPr>
                <w:rFonts w:ascii="Calibri"/>
                <w:sz w:val="20"/>
              </w:rPr>
              <w:t>PI</w:t>
            </w:r>
          </w:p>
        </w:tc>
        <w:tc>
          <w:tcPr>
            <w:tcW w:w="873" w:type="dxa"/>
            <w:vAlign w:val="center"/>
          </w:tcPr>
          <w:p w14:paraId="4FD516C9" w14:textId="77777777" w:rsidR="00036C7E" w:rsidRDefault="00036C7E" w:rsidP="007F4F87">
            <w:pPr>
              <w:pStyle w:val="TableParagraph"/>
              <w:ind w:left="201"/>
              <w:jc w:val="center"/>
              <w:rPr>
                <w:rFonts w:ascii="Calibri"/>
                <w:sz w:val="20"/>
              </w:rPr>
            </w:pPr>
            <w:r>
              <w:rPr>
                <w:rFonts w:ascii="Calibri"/>
                <w:sz w:val="20"/>
              </w:rPr>
              <w:t>IPS</w:t>
            </w:r>
          </w:p>
        </w:tc>
        <w:tc>
          <w:tcPr>
            <w:tcW w:w="872" w:type="dxa"/>
            <w:vAlign w:val="center"/>
          </w:tcPr>
          <w:p w14:paraId="45459AA9" w14:textId="3C582C48" w:rsidR="00036C7E" w:rsidRDefault="00036C7E" w:rsidP="007F4F87">
            <w:pPr>
              <w:pStyle w:val="TableParagraph"/>
              <w:ind w:left="245"/>
              <w:jc w:val="center"/>
              <w:rPr>
                <w:rFonts w:ascii="Calibri"/>
                <w:sz w:val="20"/>
              </w:rPr>
            </w:pPr>
            <w:r>
              <w:rPr>
                <w:rFonts w:ascii="Calibri"/>
                <w:sz w:val="20"/>
              </w:rPr>
              <w:t>AI</w:t>
            </w:r>
          </w:p>
        </w:tc>
        <w:tc>
          <w:tcPr>
            <w:tcW w:w="873" w:type="dxa"/>
            <w:vAlign w:val="center"/>
          </w:tcPr>
          <w:p w14:paraId="5064422C" w14:textId="77777777" w:rsidR="00036C7E" w:rsidRPr="00C64BAC" w:rsidRDefault="00036C7E" w:rsidP="007F4F87">
            <w:pPr>
              <w:pStyle w:val="TableParagraph"/>
              <w:ind w:left="147" w:right="147"/>
              <w:jc w:val="center"/>
              <w:rPr>
                <w:rFonts w:ascii="Calibri"/>
                <w:sz w:val="20"/>
              </w:rPr>
            </w:pPr>
            <w:r w:rsidRPr="00C64BAC">
              <w:rPr>
                <w:rFonts w:ascii="Calibri"/>
                <w:sz w:val="20"/>
              </w:rPr>
              <w:t>UC</w:t>
            </w:r>
          </w:p>
        </w:tc>
        <w:tc>
          <w:tcPr>
            <w:tcW w:w="872" w:type="dxa"/>
            <w:vAlign w:val="center"/>
          </w:tcPr>
          <w:p w14:paraId="380F3152" w14:textId="77777777" w:rsidR="00036C7E" w:rsidRPr="00C64BAC" w:rsidRDefault="00036C7E" w:rsidP="007F4F87">
            <w:pPr>
              <w:pStyle w:val="TableParagraph"/>
              <w:ind w:left="151" w:right="151"/>
              <w:jc w:val="center"/>
              <w:rPr>
                <w:rFonts w:ascii="Calibri"/>
                <w:sz w:val="20"/>
              </w:rPr>
            </w:pPr>
            <w:r w:rsidRPr="00C64BAC">
              <w:rPr>
                <w:rFonts w:ascii="Calibri"/>
                <w:sz w:val="20"/>
              </w:rPr>
              <w:t>IPS</w:t>
            </w:r>
          </w:p>
        </w:tc>
        <w:tc>
          <w:tcPr>
            <w:tcW w:w="873" w:type="dxa"/>
            <w:vAlign w:val="center"/>
          </w:tcPr>
          <w:p w14:paraId="78F4DDC3" w14:textId="77777777" w:rsidR="00036C7E" w:rsidRPr="00C64BAC" w:rsidRDefault="00036C7E" w:rsidP="007F4F87">
            <w:pPr>
              <w:pStyle w:val="TableParagraph"/>
              <w:ind w:left="148" w:right="145"/>
              <w:jc w:val="center"/>
              <w:rPr>
                <w:rFonts w:ascii="Calibri"/>
                <w:sz w:val="20"/>
              </w:rPr>
            </w:pPr>
            <w:r w:rsidRPr="00C64BAC">
              <w:rPr>
                <w:rFonts w:ascii="Calibri"/>
                <w:sz w:val="20"/>
              </w:rPr>
              <w:t>PI</w:t>
            </w:r>
          </w:p>
        </w:tc>
        <w:tc>
          <w:tcPr>
            <w:tcW w:w="872" w:type="dxa"/>
            <w:vAlign w:val="center"/>
          </w:tcPr>
          <w:p w14:paraId="5C745DB6" w14:textId="77777777" w:rsidR="00036C7E" w:rsidRDefault="00036C7E" w:rsidP="007F4F87">
            <w:pPr>
              <w:pStyle w:val="TableParagraph"/>
              <w:ind w:right="244"/>
              <w:jc w:val="center"/>
              <w:rPr>
                <w:rFonts w:ascii="Calibri"/>
                <w:sz w:val="20"/>
              </w:rPr>
            </w:pPr>
            <w:r>
              <w:rPr>
                <w:rFonts w:ascii="Calibri"/>
                <w:w w:val="95"/>
                <w:sz w:val="20"/>
              </w:rPr>
              <w:t>PI</w:t>
            </w:r>
          </w:p>
        </w:tc>
        <w:tc>
          <w:tcPr>
            <w:tcW w:w="873" w:type="dxa"/>
            <w:vAlign w:val="center"/>
          </w:tcPr>
          <w:p w14:paraId="546142C4" w14:textId="77777777" w:rsidR="00036C7E" w:rsidRDefault="00036C7E" w:rsidP="007F4F87">
            <w:pPr>
              <w:pStyle w:val="TableParagraph"/>
              <w:ind w:left="245"/>
              <w:jc w:val="center"/>
              <w:rPr>
                <w:rFonts w:ascii="Calibri"/>
                <w:sz w:val="20"/>
              </w:rPr>
            </w:pPr>
            <w:r>
              <w:rPr>
                <w:rFonts w:ascii="Calibri"/>
                <w:sz w:val="20"/>
              </w:rPr>
              <w:t>PI</w:t>
            </w:r>
          </w:p>
        </w:tc>
      </w:tr>
      <w:tr w:rsidR="00036C7E" w14:paraId="670C681E" w14:textId="77777777" w:rsidTr="007F4F87">
        <w:trPr>
          <w:trHeight w:hRule="exact" w:val="852"/>
        </w:trPr>
        <w:tc>
          <w:tcPr>
            <w:tcW w:w="8791" w:type="dxa"/>
            <w:shd w:val="clear" w:color="auto" w:fill="F1F1F1"/>
          </w:tcPr>
          <w:p w14:paraId="091D483E" w14:textId="77777777" w:rsidR="00036C7E" w:rsidRDefault="00036C7E" w:rsidP="00A87137">
            <w:pPr>
              <w:pStyle w:val="TableParagraph"/>
              <w:spacing w:before="52"/>
              <w:ind w:left="474" w:right="228" w:hanging="360"/>
            </w:pPr>
            <w:r>
              <w:t>8. That, consistent with the International Fire Engineering Guidelines (IFEG), each jurisdiction requires developers, architects, builders, engineers and building surveyors to engage with fire authorities as part of the design process.</w:t>
            </w:r>
          </w:p>
        </w:tc>
        <w:tc>
          <w:tcPr>
            <w:tcW w:w="872" w:type="dxa"/>
            <w:vAlign w:val="center"/>
          </w:tcPr>
          <w:p w14:paraId="3387A3D0" w14:textId="77777777" w:rsidR="00036C7E" w:rsidRDefault="00036C7E" w:rsidP="007F4F87">
            <w:pPr>
              <w:pStyle w:val="TableParagraph"/>
              <w:ind w:left="100" w:right="100"/>
              <w:jc w:val="center"/>
              <w:rPr>
                <w:rFonts w:ascii="Calibri"/>
                <w:sz w:val="20"/>
              </w:rPr>
            </w:pPr>
            <w:r>
              <w:rPr>
                <w:rFonts w:ascii="Calibri"/>
                <w:sz w:val="20"/>
              </w:rPr>
              <w:t>PI</w:t>
            </w:r>
          </w:p>
        </w:tc>
        <w:tc>
          <w:tcPr>
            <w:tcW w:w="873" w:type="dxa"/>
            <w:vAlign w:val="center"/>
          </w:tcPr>
          <w:p w14:paraId="3560F31D" w14:textId="1DA79FA0" w:rsidR="00036C7E" w:rsidRDefault="00036C7E" w:rsidP="007F4F87">
            <w:pPr>
              <w:pStyle w:val="TableParagraph"/>
              <w:ind w:left="202"/>
              <w:jc w:val="center"/>
              <w:rPr>
                <w:rFonts w:ascii="Calibri"/>
                <w:sz w:val="20"/>
              </w:rPr>
            </w:pPr>
            <w:r>
              <w:rPr>
                <w:rFonts w:ascii="Calibri"/>
                <w:sz w:val="20"/>
              </w:rPr>
              <w:t>PI</w:t>
            </w:r>
          </w:p>
        </w:tc>
        <w:tc>
          <w:tcPr>
            <w:tcW w:w="872" w:type="dxa"/>
            <w:vAlign w:val="center"/>
          </w:tcPr>
          <w:p w14:paraId="44D3C600" w14:textId="42A36BF5" w:rsidR="00036C7E" w:rsidRDefault="00036C7E" w:rsidP="007F4F87">
            <w:pPr>
              <w:pStyle w:val="TableParagraph"/>
              <w:ind w:left="245"/>
              <w:jc w:val="center"/>
              <w:rPr>
                <w:rFonts w:ascii="Calibri"/>
                <w:sz w:val="20"/>
              </w:rPr>
            </w:pPr>
            <w:r>
              <w:rPr>
                <w:rFonts w:ascii="Calibri"/>
                <w:sz w:val="20"/>
              </w:rPr>
              <w:t>AI</w:t>
            </w:r>
          </w:p>
        </w:tc>
        <w:tc>
          <w:tcPr>
            <w:tcW w:w="873" w:type="dxa"/>
            <w:vAlign w:val="center"/>
          </w:tcPr>
          <w:p w14:paraId="7254ADDD" w14:textId="22220292" w:rsidR="00036C7E" w:rsidRPr="00C64BAC" w:rsidRDefault="00036C7E" w:rsidP="007F4F87">
            <w:pPr>
              <w:pStyle w:val="TableParagraph"/>
              <w:ind w:left="147" w:right="147"/>
              <w:jc w:val="center"/>
              <w:rPr>
                <w:rFonts w:ascii="Calibri"/>
                <w:sz w:val="20"/>
              </w:rPr>
            </w:pPr>
            <w:r w:rsidRPr="00C64BAC">
              <w:rPr>
                <w:rFonts w:ascii="Calibri"/>
                <w:sz w:val="20"/>
              </w:rPr>
              <w:t>PI</w:t>
            </w:r>
          </w:p>
        </w:tc>
        <w:tc>
          <w:tcPr>
            <w:tcW w:w="872" w:type="dxa"/>
            <w:vAlign w:val="center"/>
          </w:tcPr>
          <w:p w14:paraId="2D8C538A" w14:textId="77777777" w:rsidR="00036C7E" w:rsidRPr="00C64BAC" w:rsidRDefault="00036C7E" w:rsidP="007F4F87">
            <w:pPr>
              <w:pStyle w:val="TableParagraph"/>
              <w:ind w:left="151" w:right="152"/>
              <w:jc w:val="center"/>
              <w:rPr>
                <w:rFonts w:ascii="Calibri"/>
                <w:sz w:val="20"/>
              </w:rPr>
            </w:pPr>
            <w:r w:rsidRPr="00C64BAC">
              <w:rPr>
                <w:rFonts w:ascii="Calibri"/>
                <w:sz w:val="20"/>
              </w:rPr>
              <w:t>AI</w:t>
            </w:r>
          </w:p>
        </w:tc>
        <w:tc>
          <w:tcPr>
            <w:tcW w:w="873" w:type="dxa"/>
            <w:vAlign w:val="center"/>
          </w:tcPr>
          <w:p w14:paraId="37B39117" w14:textId="77777777" w:rsidR="00036C7E" w:rsidRPr="00C64BAC" w:rsidRDefault="00036C7E" w:rsidP="007F4F87">
            <w:pPr>
              <w:pStyle w:val="TableParagraph"/>
              <w:ind w:left="148" w:right="147"/>
              <w:jc w:val="center"/>
              <w:rPr>
                <w:rFonts w:ascii="Calibri"/>
                <w:sz w:val="20"/>
              </w:rPr>
            </w:pPr>
            <w:r w:rsidRPr="00C64BAC">
              <w:rPr>
                <w:rFonts w:ascii="Calibri"/>
                <w:sz w:val="20"/>
              </w:rPr>
              <w:t>AI</w:t>
            </w:r>
          </w:p>
        </w:tc>
        <w:tc>
          <w:tcPr>
            <w:tcW w:w="872" w:type="dxa"/>
            <w:vAlign w:val="center"/>
          </w:tcPr>
          <w:p w14:paraId="56B99733" w14:textId="77777777" w:rsidR="00036C7E" w:rsidRDefault="00036C7E" w:rsidP="007F4F87">
            <w:pPr>
              <w:pStyle w:val="TableParagraph"/>
              <w:ind w:right="239"/>
              <w:jc w:val="center"/>
              <w:rPr>
                <w:rFonts w:ascii="Calibri"/>
                <w:sz w:val="20"/>
              </w:rPr>
            </w:pPr>
            <w:r>
              <w:rPr>
                <w:rFonts w:ascii="Calibri"/>
                <w:sz w:val="20"/>
              </w:rPr>
              <w:t>AI</w:t>
            </w:r>
          </w:p>
        </w:tc>
        <w:tc>
          <w:tcPr>
            <w:tcW w:w="873" w:type="dxa"/>
            <w:vAlign w:val="center"/>
          </w:tcPr>
          <w:p w14:paraId="42D7ACC9" w14:textId="77777777" w:rsidR="00036C7E" w:rsidRDefault="00036C7E" w:rsidP="007F4F87">
            <w:pPr>
              <w:pStyle w:val="TableParagraph"/>
              <w:ind w:left="238"/>
              <w:jc w:val="center"/>
              <w:rPr>
                <w:rFonts w:ascii="Calibri"/>
                <w:sz w:val="20"/>
              </w:rPr>
            </w:pPr>
            <w:r>
              <w:rPr>
                <w:rFonts w:ascii="Calibri"/>
                <w:sz w:val="20"/>
              </w:rPr>
              <w:t>AI</w:t>
            </w:r>
          </w:p>
        </w:tc>
      </w:tr>
      <w:tr w:rsidR="00036C7E" w14:paraId="3EAC6B77" w14:textId="77777777" w:rsidTr="007F4F87">
        <w:trPr>
          <w:trHeight w:hRule="exact" w:val="854"/>
        </w:trPr>
        <w:tc>
          <w:tcPr>
            <w:tcW w:w="8791" w:type="dxa"/>
            <w:shd w:val="clear" w:color="auto" w:fill="F1F1F1"/>
          </w:tcPr>
          <w:p w14:paraId="62034394" w14:textId="77777777" w:rsidR="00036C7E" w:rsidRDefault="00036C7E" w:rsidP="00A87137">
            <w:pPr>
              <w:pStyle w:val="TableParagraph"/>
              <w:spacing w:before="55"/>
              <w:ind w:left="474" w:right="134" w:hanging="360"/>
              <w:jc w:val="both"/>
            </w:pPr>
            <w:r>
              <w:t>9. That each jurisdiction establishes minimum statutory controls to mitigate conflicts of interest and increase transparency of the engagement and responsibilities of private building surveyors.</w:t>
            </w:r>
          </w:p>
        </w:tc>
        <w:tc>
          <w:tcPr>
            <w:tcW w:w="872" w:type="dxa"/>
            <w:vAlign w:val="center"/>
          </w:tcPr>
          <w:p w14:paraId="055E216E" w14:textId="77777777" w:rsidR="00036C7E" w:rsidRDefault="00036C7E" w:rsidP="007F4F87">
            <w:pPr>
              <w:pStyle w:val="TableParagraph"/>
              <w:ind w:left="101" w:right="99"/>
              <w:jc w:val="center"/>
              <w:rPr>
                <w:rFonts w:ascii="Calibri"/>
                <w:sz w:val="20"/>
              </w:rPr>
            </w:pPr>
            <w:r>
              <w:rPr>
                <w:rFonts w:ascii="Calibri"/>
                <w:sz w:val="20"/>
              </w:rPr>
              <w:t>AI</w:t>
            </w:r>
          </w:p>
        </w:tc>
        <w:tc>
          <w:tcPr>
            <w:tcW w:w="873" w:type="dxa"/>
            <w:vAlign w:val="center"/>
          </w:tcPr>
          <w:p w14:paraId="1F554695" w14:textId="77777777" w:rsidR="00036C7E" w:rsidRDefault="00036C7E" w:rsidP="007F4F87">
            <w:pPr>
              <w:pStyle w:val="TableParagraph"/>
              <w:ind w:left="240"/>
              <w:jc w:val="center"/>
              <w:rPr>
                <w:rFonts w:ascii="Calibri"/>
                <w:sz w:val="20"/>
              </w:rPr>
            </w:pPr>
            <w:r>
              <w:rPr>
                <w:rFonts w:ascii="Calibri"/>
                <w:sz w:val="20"/>
              </w:rPr>
              <w:t>AI</w:t>
            </w:r>
          </w:p>
        </w:tc>
        <w:tc>
          <w:tcPr>
            <w:tcW w:w="872" w:type="dxa"/>
            <w:vAlign w:val="center"/>
          </w:tcPr>
          <w:p w14:paraId="779CD286" w14:textId="0DC9520A" w:rsidR="00036C7E" w:rsidRDefault="00036C7E" w:rsidP="007F4F87">
            <w:pPr>
              <w:pStyle w:val="TableParagraph"/>
              <w:ind w:left="245"/>
              <w:jc w:val="center"/>
              <w:rPr>
                <w:rFonts w:ascii="Calibri"/>
                <w:sz w:val="20"/>
              </w:rPr>
            </w:pPr>
            <w:r>
              <w:rPr>
                <w:rFonts w:ascii="Calibri"/>
                <w:sz w:val="20"/>
              </w:rPr>
              <w:t>AI</w:t>
            </w:r>
          </w:p>
        </w:tc>
        <w:tc>
          <w:tcPr>
            <w:tcW w:w="873" w:type="dxa"/>
            <w:vAlign w:val="center"/>
          </w:tcPr>
          <w:p w14:paraId="3B143B5A" w14:textId="7F5D098B" w:rsidR="00036C7E" w:rsidRPr="00C64BAC" w:rsidRDefault="00036C7E" w:rsidP="007F4F87">
            <w:pPr>
              <w:pStyle w:val="TableParagraph"/>
              <w:ind w:left="147" w:right="147"/>
              <w:jc w:val="center"/>
              <w:rPr>
                <w:rFonts w:ascii="Calibri"/>
                <w:sz w:val="20"/>
              </w:rPr>
            </w:pPr>
            <w:r w:rsidRPr="00C64BAC">
              <w:rPr>
                <w:rFonts w:ascii="Calibri"/>
                <w:sz w:val="20"/>
              </w:rPr>
              <w:t>PI</w:t>
            </w:r>
          </w:p>
        </w:tc>
        <w:tc>
          <w:tcPr>
            <w:tcW w:w="872" w:type="dxa"/>
            <w:vAlign w:val="center"/>
          </w:tcPr>
          <w:p w14:paraId="35C2351B" w14:textId="77777777" w:rsidR="00036C7E" w:rsidRPr="00C64BAC" w:rsidRDefault="00036C7E" w:rsidP="007F4F87">
            <w:pPr>
              <w:pStyle w:val="TableParagraph"/>
              <w:ind w:left="151" w:right="152"/>
              <w:jc w:val="center"/>
              <w:rPr>
                <w:rFonts w:ascii="Calibri"/>
                <w:sz w:val="20"/>
              </w:rPr>
            </w:pPr>
            <w:r w:rsidRPr="00C64BAC">
              <w:rPr>
                <w:rFonts w:ascii="Calibri"/>
                <w:sz w:val="20"/>
              </w:rPr>
              <w:t>AI</w:t>
            </w:r>
          </w:p>
        </w:tc>
        <w:tc>
          <w:tcPr>
            <w:tcW w:w="873" w:type="dxa"/>
            <w:vAlign w:val="center"/>
          </w:tcPr>
          <w:p w14:paraId="0FA7D0BC" w14:textId="77777777" w:rsidR="00036C7E" w:rsidRPr="00C64BAC" w:rsidRDefault="00036C7E" w:rsidP="007F4F87">
            <w:pPr>
              <w:pStyle w:val="TableParagraph"/>
              <w:ind w:left="148" w:right="147"/>
              <w:jc w:val="center"/>
              <w:rPr>
                <w:rFonts w:ascii="Calibri"/>
                <w:sz w:val="20"/>
              </w:rPr>
            </w:pPr>
            <w:r w:rsidRPr="00C64BAC">
              <w:rPr>
                <w:rFonts w:ascii="Calibri"/>
                <w:sz w:val="20"/>
              </w:rPr>
              <w:t>AI</w:t>
            </w:r>
          </w:p>
        </w:tc>
        <w:tc>
          <w:tcPr>
            <w:tcW w:w="872" w:type="dxa"/>
            <w:vAlign w:val="center"/>
          </w:tcPr>
          <w:p w14:paraId="6C3E7045" w14:textId="2F441761" w:rsidR="00036C7E" w:rsidRDefault="00036C7E" w:rsidP="007F4F87">
            <w:pPr>
              <w:pStyle w:val="TableParagraph"/>
              <w:ind w:right="244"/>
              <w:jc w:val="center"/>
              <w:rPr>
                <w:rFonts w:ascii="Calibri"/>
                <w:sz w:val="20"/>
              </w:rPr>
            </w:pPr>
            <w:r>
              <w:rPr>
                <w:rFonts w:ascii="Calibri"/>
                <w:w w:val="95"/>
                <w:sz w:val="20"/>
              </w:rPr>
              <w:t>AI</w:t>
            </w:r>
          </w:p>
        </w:tc>
        <w:tc>
          <w:tcPr>
            <w:tcW w:w="873" w:type="dxa"/>
            <w:vAlign w:val="center"/>
          </w:tcPr>
          <w:p w14:paraId="0A356D3D" w14:textId="77777777" w:rsidR="00036C7E" w:rsidRDefault="00036C7E" w:rsidP="007F4F87">
            <w:pPr>
              <w:pStyle w:val="TableParagraph"/>
              <w:ind w:left="245"/>
              <w:jc w:val="center"/>
              <w:rPr>
                <w:rFonts w:ascii="Calibri"/>
                <w:sz w:val="20"/>
              </w:rPr>
            </w:pPr>
            <w:r>
              <w:rPr>
                <w:rFonts w:ascii="Calibri"/>
                <w:sz w:val="20"/>
              </w:rPr>
              <w:t>PI</w:t>
            </w:r>
          </w:p>
        </w:tc>
      </w:tr>
      <w:tr w:rsidR="00036C7E" w14:paraId="48C1DC8E" w14:textId="77777777" w:rsidTr="007F4F87">
        <w:trPr>
          <w:trHeight w:hRule="exact" w:val="854"/>
        </w:trPr>
        <w:tc>
          <w:tcPr>
            <w:tcW w:w="8791" w:type="dxa"/>
            <w:shd w:val="clear" w:color="auto" w:fill="F1F1F1"/>
          </w:tcPr>
          <w:p w14:paraId="77A397CF" w14:textId="77777777" w:rsidR="00036C7E" w:rsidRDefault="00036C7E" w:rsidP="00A87137">
            <w:pPr>
              <w:pStyle w:val="TableParagraph"/>
              <w:spacing w:before="55"/>
              <w:ind w:left="474" w:right="228" w:hanging="360"/>
            </w:pPr>
            <w:r>
              <w:t>10. That each jurisdiction put in place a code of conduct for building surveyors which addresses the key matters which, if contravened, would be a ground for a disciplinary inquiry.</w:t>
            </w:r>
          </w:p>
        </w:tc>
        <w:tc>
          <w:tcPr>
            <w:tcW w:w="872" w:type="dxa"/>
            <w:vAlign w:val="center"/>
          </w:tcPr>
          <w:p w14:paraId="5E5228CB" w14:textId="77777777" w:rsidR="00036C7E" w:rsidRDefault="00036C7E" w:rsidP="007F4F87">
            <w:pPr>
              <w:pStyle w:val="TableParagraph"/>
              <w:ind w:left="101" w:right="99"/>
              <w:jc w:val="center"/>
              <w:rPr>
                <w:rFonts w:ascii="Calibri"/>
                <w:sz w:val="20"/>
              </w:rPr>
            </w:pPr>
            <w:r>
              <w:rPr>
                <w:rFonts w:ascii="Calibri"/>
                <w:sz w:val="20"/>
              </w:rPr>
              <w:t>AI</w:t>
            </w:r>
          </w:p>
        </w:tc>
        <w:tc>
          <w:tcPr>
            <w:tcW w:w="873" w:type="dxa"/>
            <w:vAlign w:val="center"/>
          </w:tcPr>
          <w:p w14:paraId="73F1E75C" w14:textId="62419DB5" w:rsidR="00036C7E" w:rsidRDefault="00036C7E" w:rsidP="007F4F87">
            <w:pPr>
              <w:pStyle w:val="TableParagraph"/>
              <w:ind w:left="201"/>
              <w:jc w:val="center"/>
              <w:rPr>
                <w:rFonts w:ascii="Calibri"/>
                <w:sz w:val="20"/>
              </w:rPr>
            </w:pPr>
            <w:r>
              <w:rPr>
                <w:rFonts w:ascii="Calibri"/>
                <w:sz w:val="20"/>
              </w:rPr>
              <w:t>UC</w:t>
            </w:r>
          </w:p>
        </w:tc>
        <w:tc>
          <w:tcPr>
            <w:tcW w:w="872" w:type="dxa"/>
            <w:vAlign w:val="center"/>
          </w:tcPr>
          <w:p w14:paraId="661E1C15" w14:textId="77777777" w:rsidR="00036C7E" w:rsidRDefault="00036C7E" w:rsidP="007F4F87">
            <w:pPr>
              <w:pStyle w:val="TableParagraph"/>
              <w:ind w:left="238"/>
              <w:jc w:val="center"/>
              <w:rPr>
                <w:rFonts w:ascii="Calibri"/>
                <w:sz w:val="20"/>
              </w:rPr>
            </w:pPr>
            <w:r>
              <w:rPr>
                <w:rFonts w:ascii="Calibri"/>
                <w:sz w:val="20"/>
              </w:rPr>
              <w:t>AI</w:t>
            </w:r>
          </w:p>
        </w:tc>
        <w:tc>
          <w:tcPr>
            <w:tcW w:w="873" w:type="dxa"/>
            <w:vAlign w:val="center"/>
          </w:tcPr>
          <w:p w14:paraId="1D34FF77" w14:textId="22E0DDD0" w:rsidR="00036C7E" w:rsidRPr="00C64BAC" w:rsidRDefault="00036C7E" w:rsidP="007F4F87">
            <w:pPr>
              <w:pStyle w:val="TableParagraph"/>
              <w:ind w:left="147" w:right="147"/>
              <w:jc w:val="center"/>
              <w:rPr>
                <w:rFonts w:ascii="Calibri"/>
                <w:sz w:val="20"/>
              </w:rPr>
            </w:pPr>
            <w:r w:rsidRPr="00C64BAC">
              <w:rPr>
                <w:rFonts w:ascii="Calibri"/>
                <w:sz w:val="20"/>
              </w:rPr>
              <w:t>UC</w:t>
            </w:r>
          </w:p>
        </w:tc>
        <w:tc>
          <w:tcPr>
            <w:tcW w:w="872" w:type="dxa"/>
            <w:vAlign w:val="center"/>
          </w:tcPr>
          <w:p w14:paraId="4F56D904" w14:textId="77777777" w:rsidR="00036C7E" w:rsidRPr="00C64BAC" w:rsidRDefault="00036C7E" w:rsidP="007F4F87">
            <w:pPr>
              <w:pStyle w:val="TableParagraph"/>
              <w:jc w:val="center"/>
              <w:rPr>
                <w:rFonts w:ascii="Calibri"/>
                <w:sz w:val="20"/>
              </w:rPr>
            </w:pPr>
            <w:r w:rsidRPr="00C64BAC">
              <w:rPr>
                <w:rFonts w:ascii="Calibri"/>
                <w:w w:val="99"/>
                <w:sz w:val="20"/>
              </w:rPr>
              <w:t>AI</w:t>
            </w:r>
          </w:p>
        </w:tc>
        <w:tc>
          <w:tcPr>
            <w:tcW w:w="873" w:type="dxa"/>
            <w:vAlign w:val="center"/>
          </w:tcPr>
          <w:p w14:paraId="419432D6" w14:textId="77777777" w:rsidR="00036C7E" w:rsidRPr="00C64BAC" w:rsidRDefault="00036C7E" w:rsidP="007F4F87">
            <w:pPr>
              <w:pStyle w:val="TableParagraph"/>
              <w:ind w:left="147" w:right="147"/>
              <w:jc w:val="center"/>
              <w:rPr>
                <w:rFonts w:ascii="Calibri"/>
                <w:sz w:val="20"/>
              </w:rPr>
            </w:pPr>
            <w:r w:rsidRPr="00C64BAC">
              <w:rPr>
                <w:rFonts w:ascii="Calibri"/>
                <w:sz w:val="20"/>
              </w:rPr>
              <w:t>AI</w:t>
            </w:r>
          </w:p>
        </w:tc>
        <w:tc>
          <w:tcPr>
            <w:tcW w:w="872" w:type="dxa"/>
            <w:vAlign w:val="center"/>
          </w:tcPr>
          <w:p w14:paraId="59B5A5A3" w14:textId="27AA3A66" w:rsidR="00036C7E" w:rsidRDefault="00036C7E" w:rsidP="007F4F87">
            <w:pPr>
              <w:pStyle w:val="TableParagraph"/>
              <w:ind w:right="245"/>
              <w:jc w:val="center"/>
              <w:rPr>
                <w:rFonts w:ascii="Calibri"/>
                <w:sz w:val="20"/>
              </w:rPr>
            </w:pPr>
            <w:r>
              <w:rPr>
                <w:rFonts w:ascii="Calibri"/>
                <w:w w:val="95"/>
                <w:sz w:val="20"/>
              </w:rPr>
              <w:t>AI</w:t>
            </w:r>
          </w:p>
        </w:tc>
        <w:tc>
          <w:tcPr>
            <w:tcW w:w="873" w:type="dxa"/>
            <w:vAlign w:val="center"/>
          </w:tcPr>
          <w:p w14:paraId="25B5C135" w14:textId="77777777" w:rsidR="00036C7E" w:rsidRDefault="00036C7E" w:rsidP="007F4F87">
            <w:pPr>
              <w:pStyle w:val="TableParagraph"/>
              <w:ind w:left="237"/>
              <w:jc w:val="center"/>
              <w:rPr>
                <w:rFonts w:ascii="Calibri"/>
                <w:sz w:val="20"/>
              </w:rPr>
            </w:pPr>
            <w:r>
              <w:rPr>
                <w:rFonts w:ascii="Calibri"/>
                <w:sz w:val="20"/>
              </w:rPr>
              <w:t>AI</w:t>
            </w:r>
          </w:p>
        </w:tc>
      </w:tr>
      <w:tr w:rsidR="00036C7E" w14:paraId="659E9188" w14:textId="77777777" w:rsidTr="007F4F87">
        <w:trPr>
          <w:trHeight w:hRule="exact" w:val="600"/>
        </w:trPr>
        <w:tc>
          <w:tcPr>
            <w:tcW w:w="8791" w:type="dxa"/>
            <w:shd w:val="clear" w:color="auto" w:fill="F1F1F1"/>
          </w:tcPr>
          <w:p w14:paraId="5037064E" w14:textId="77777777" w:rsidR="00036C7E" w:rsidRDefault="00036C7E" w:rsidP="00A87137">
            <w:pPr>
              <w:pStyle w:val="TableParagraph"/>
              <w:spacing w:before="55"/>
              <w:ind w:left="474" w:right="228" w:hanging="360"/>
            </w:pPr>
            <w:r>
              <w:t>11. That each jurisdiction provides private building surveyors with enhanced supervisory powers and mandatory reporting obligations.</w:t>
            </w:r>
          </w:p>
        </w:tc>
        <w:tc>
          <w:tcPr>
            <w:tcW w:w="872" w:type="dxa"/>
            <w:vAlign w:val="center"/>
          </w:tcPr>
          <w:p w14:paraId="2F2944D8" w14:textId="77777777" w:rsidR="00036C7E" w:rsidRDefault="00036C7E" w:rsidP="007F4F87">
            <w:pPr>
              <w:pStyle w:val="TableParagraph"/>
              <w:ind w:left="100" w:right="100"/>
              <w:jc w:val="center"/>
              <w:rPr>
                <w:rFonts w:ascii="Calibri"/>
                <w:sz w:val="20"/>
              </w:rPr>
            </w:pPr>
            <w:r>
              <w:rPr>
                <w:rFonts w:ascii="Calibri"/>
                <w:sz w:val="20"/>
              </w:rPr>
              <w:t>PI</w:t>
            </w:r>
          </w:p>
        </w:tc>
        <w:tc>
          <w:tcPr>
            <w:tcW w:w="873" w:type="dxa"/>
            <w:vAlign w:val="center"/>
          </w:tcPr>
          <w:p w14:paraId="6A1D33A1" w14:textId="488F199F" w:rsidR="00036C7E" w:rsidRDefault="00036C7E" w:rsidP="007F4F87">
            <w:pPr>
              <w:pStyle w:val="TableParagraph"/>
              <w:ind w:left="201"/>
              <w:jc w:val="center"/>
              <w:rPr>
                <w:rFonts w:ascii="Calibri"/>
                <w:sz w:val="20"/>
              </w:rPr>
            </w:pPr>
            <w:r>
              <w:rPr>
                <w:rFonts w:ascii="Calibri"/>
                <w:sz w:val="20"/>
              </w:rPr>
              <w:t>PI</w:t>
            </w:r>
          </w:p>
        </w:tc>
        <w:tc>
          <w:tcPr>
            <w:tcW w:w="872" w:type="dxa"/>
            <w:vAlign w:val="center"/>
          </w:tcPr>
          <w:p w14:paraId="65099937" w14:textId="34D6B5F0" w:rsidR="00036C7E" w:rsidRDefault="00036C7E" w:rsidP="007F4F87">
            <w:pPr>
              <w:pStyle w:val="TableParagraph"/>
              <w:ind w:left="245"/>
              <w:jc w:val="center"/>
              <w:rPr>
                <w:rFonts w:ascii="Calibri"/>
                <w:sz w:val="20"/>
              </w:rPr>
            </w:pPr>
            <w:r>
              <w:rPr>
                <w:rFonts w:ascii="Calibri"/>
                <w:sz w:val="20"/>
              </w:rPr>
              <w:t>AI</w:t>
            </w:r>
          </w:p>
        </w:tc>
        <w:tc>
          <w:tcPr>
            <w:tcW w:w="873" w:type="dxa"/>
            <w:vAlign w:val="center"/>
          </w:tcPr>
          <w:p w14:paraId="276FA6ED" w14:textId="77777777" w:rsidR="00036C7E" w:rsidRPr="00C64BAC" w:rsidRDefault="00036C7E" w:rsidP="007F4F87">
            <w:pPr>
              <w:pStyle w:val="TableParagraph"/>
              <w:ind w:left="147" w:right="147"/>
              <w:jc w:val="center"/>
              <w:rPr>
                <w:rFonts w:ascii="Calibri"/>
                <w:sz w:val="20"/>
              </w:rPr>
            </w:pPr>
            <w:r w:rsidRPr="00C64BAC">
              <w:rPr>
                <w:rFonts w:ascii="Calibri"/>
                <w:sz w:val="20"/>
              </w:rPr>
              <w:t>UC</w:t>
            </w:r>
          </w:p>
        </w:tc>
        <w:tc>
          <w:tcPr>
            <w:tcW w:w="872" w:type="dxa"/>
            <w:vAlign w:val="center"/>
          </w:tcPr>
          <w:p w14:paraId="6338DC5D" w14:textId="77777777" w:rsidR="00036C7E" w:rsidRPr="00C64BAC" w:rsidRDefault="00036C7E" w:rsidP="007F4F87">
            <w:pPr>
              <w:pStyle w:val="TableParagraph"/>
              <w:ind w:left="151" w:right="151"/>
              <w:jc w:val="center"/>
              <w:rPr>
                <w:rFonts w:ascii="Calibri"/>
                <w:sz w:val="20"/>
              </w:rPr>
            </w:pPr>
            <w:r w:rsidRPr="00C64BAC">
              <w:rPr>
                <w:rFonts w:ascii="Calibri"/>
                <w:sz w:val="20"/>
              </w:rPr>
              <w:t>UC</w:t>
            </w:r>
          </w:p>
        </w:tc>
        <w:tc>
          <w:tcPr>
            <w:tcW w:w="873" w:type="dxa"/>
            <w:vAlign w:val="center"/>
          </w:tcPr>
          <w:p w14:paraId="773BF06D" w14:textId="77777777" w:rsidR="00036C7E" w:rsidRPr="00C64BAC" w:rsidRDefault="00036C7E" w:rsidP="007F4F87">
            <w:pPr>
              <w:pStyle w:val="TableParagraph"/>
              <w:ind w:left="148" w:right="147"/>
              <w:jc w:val="center"/>
              <w:rPr>
                <w:rFonts w:ascii="Calibri"/>
                <w:sz w:val="20"/>
              </w:rPr>
            </w:pPr>
            <w:r w:rsidRPr="00C64BAC">
              <w:rPr>
                <w:rFonts w:ascii="Calibri"/>
                <w:sz w:val="20"/>
              </w:rPr>
              <w:t>AI</w:t>
            </w:r>
          </w:p>
        </w:tc>
        <w:tc>
          <w:tcPr>
            <w:tcW w:w="872" w:type="dxa"/>
            <w:vAlign w:val="center"/>
          </w:tcPr>
          <w:p w14:paraId="3BED8F99" w14:textId="77777777" w:rsidR="00036C7E" w:rsidRDefault="00036C7E" w:rsidP="007F4F87">
            <w:pPr>
              <w:pStyle w:val="TableParagraph"/>
              <w:ind w:right="239"/>
              <w:jc w:val="center"/>
              <w:rPr>
                <w:rFonts w:ascii="Calibri"/>
                <w:sz w:val="20"/>
              </w:rPr>
            </w:pPr>
            <w:r>
              <w:rPr>
                <w:rFonts w:ascii="Calibri"/>
                <w:sz w:val="20"/>
              </w:rPr>
              <w:t>AI</w:t>
            </w:r>
          </w:p>
        </w:tc>
        <w:tc>
          <w:tcPr>
            <w:tcW w:w="873" w:type="dxa"/>
            <w:vAlign w:val="center"/>
          </w:tcPr>
          <w:p w14:paraId="68FDA48D" w14:textId="77777777" w:rsidR="00036C7E" w:rsidRDefault="00036C7E" w:rsidP="007F4F87">
            <w:pPr>
              <w:pStyle w:val="TableParagraph"/>
              <w:ind w:left="245"/>
              <w:jc w:val="center"/>
              <w:rPr>
                <w:rFonts w:ascii="Calibri"/>
                <w:sz w:val="20"/>
              </w:rPr>
            </w:pPr>
            <w:r>
              <w:rPr>
                <w:rFonts w:ascii="Calibri"/>
                <w:sz w:val="20"/>
              </w:rPr>
              <w:t>PI</w:t>
            </w:r>
          </w:p>
        </w:tc>
      </w:tr>
      <w:tr w:rsidR="00036C7E" w14:paraId="704D7C0B" w14:textId="77777777" w:rsidTr="007F4F87">
        <w:trPr>
          <w:trHeight w:hRule="exact" w:val="603"/>
        </w:trPr>
        <w:tc>
          <w:tcPr>
            <w:tcW w:w="8791" w:type="dxa"/>
            <w:shd w:val="clear" w:color="auto" w:fill="F1F1F1"/>
          </w:tcPr>
          <w:p w14:paraId="0F420638" w14:textId="77777777" w:rsidR="00036C7E" w:rsidRDefault="00036C7E" w:rsidP="00A87137">
            <w:pPr>
              <w:pStyle w:val="TableParagraph"/>
              <w:spacing w:before="55"/>
              <w:ind w:left="474" w:hanging="360"/>
            </w:pPr>
            <w:r>
              <w:t>12. That each jurisdiction establishes a building information database that provides a centralised source of building design and construction documentation.</w:t>
            </w:r>
          </w:p>
        </w:tc>
        <w:tc>
          <w:tcPr>
            <w:tcW w:w="872" w:type="dxa"/>
            <w:vAlign w:val="center"/>
          </w:tcPr>
          <w:p w14:paraId="4910DD9B" w14:textId="77777777" w:rsidR="00036C7E" w:rsidRDefault="00036C7E" w:rsidP="007F4F87">
            <w:pPr>
              <w:pStyle w:val="TableParagraph"/>
              <w:ind w:left="100" w:right="100"/>
              <w:jc w:val="center"/>
              <w:rPr>
                <w:rFonts w:ascii="Calibri"/>
                <w:sz w:val="20"/>
              </w:rPr>
            </w:pPr>
            <w:r>
              <w:rPr>
                <w:rFonts w:ascii="Calibri"/>
                <w:sz w:val="20"/>
              </w:rPr>
              <w:t>PI</w:t>
            </w:r>
          </w:p>
        </w:tc>
        <w:tc>
          <w:tcPr>
            <w:tcW w:w="873" w:type="dxa"/>
            <w:vAlign w:val="center"/>
          </w:tcPr>
          <w:p w14:paraId="0447A69B" w14:textId="77777777" w:rsidR="00036C7E" w:rsidRDefault="00036C7E" w:rsidP="007F4F87">
            <w:pPr>
              <w:pStyle w:val="TableParagraph"/>
              <w:ind w:left="201"/>
              <w:jc w:val="center"/>
              <w:rPr>
                <w:rFonts w:ascii="Calibri"/>
                <w:sz w:val="20"/>
              </w:rPr>
            </w:pPr>
            <w:r>
              <w:rPr>
                <w:rFonts w:ascii="Calibri"/>
                <w:sz w:val="20"/>
              </w:rPr>
              <w:t>IPS</w:t>
            </w:r>
          </w:p>
        </w:tc>
        <w:tc>
          <w:tcPr>
            <w:tcW w:w="872" w:type="dxa"/>
            <w:vAlign w:val="center"/>
          </w:tcPr>
          <w:p w14:paraId="66697462" w14:textId="77777777" w:rsidR="00036C7E" w:rsidRDefault="00036C7E" w:rsidP="007F4F87">
            <w:pPr>
              <w:pStyle w:val="TableParagraph"/>
              <w:ind w:left="245"/>
              <w:jc w:val="center"/>
              <w:rPr>
                <w:rFonts w:ascii="Calibri"/>
                <w:sz w:val="20"/>
              </w:rPr>
            </w:pPr>
            <w:r>
              <w:rPr>
                <w:rFonts w:ascii="Calibri"/>
                <w:sz w:val="20"/>
              </w:rPr>
              <w:t>PI</w:t>
            </w:r>
          </w:p>
        </w:tc>
        <w:tc>
          <w:tcPr>
            <w:tcW w:w="873" w:type="dxa"/>
            <w:vAlign w:val="center"/>
          </w:tcPr>
          <w:p w14:paraId="5AE74E15" w14:textId="77777777" w:rsidR="00036C7E" w:rsidRPr="00C64BAC" w:rsidRDefault="00036C7E" w:rsidP="007F4F87">
            <w:pPr>
              <w:pStyle w:val="TableParagraph"/>
              <w:ind w:left="147" w:right="147"/>
              <w:jc w:val="center"/>
              <w:rPr>
                <w:rFonts w:ascii="Calibri"/>
                <w:sz w:val="20"/>
              </w:rPr>
            </w:pPr>
            <w:r w:rsidRPr="00C64BAC">
              <w:rPr>
                <w:rFonts w:ascii="Calibri"/>
                <w:sz w:val="20"/>
              </w:rPr>
              <w:t>UC</w:t>
            </w:r>
          </w:p>
        </w:tc>
        <w:tc>
          <w:tcPr>
            <w:tcW w:w="872" w:type="dxa"/>
            <w:vAlign w:val="center"/>
          </w:tcPr>
          <w:p w14:paraId="27D2190F" w14:textId="77777777" w:rsidR="00036C7E" w:rsidRPr="00C64BAC" w:rsidRDefault="00036C7E" w:rsidP="007F4F87">
            <w:pPr>
              <w:pStyle w:val="TableParagraph"/>
              <w:jc w:val="center"/>
              <w:rPr>
                <w:rFonts w:ascii="Calibri"/>
                <w:sz w:val="20"/>
              </w:rPr>
            </w:pPr>
            <w:r w:rsidRPr="00C64BAC">
              <w:rPr>
                <w:rFonts w:ascii="Calibri"/>
                <w:w w:val="99"/>
                <w:sz w:val="20"/>
              </w:rPr>
              <w:t>IPS</w:t>
            </w:r>
          </w:p>
        </w:tc>
        <w:tc>
          <w:tcPr>
            <w:tcW w:w="873" w:type="dxa"/>
            <w:vAlign w:val="center"/>
          </w:tcPr>
          <w:p w14:paraId="311CC7F1" w14:textId="77777777" w:rsidR="00036C7E" w:rsidRPr="00C64BAC" w:rsidRDefault="00036C7E" w:rsidP="007F4F87">
            <w:pPr>
              <w:pStyle w:val="TableParagraph"/>
              <w:ind w:left="2"/>
              <w:jc w:val="center"/>
              <w:rPr>
                <w:rFonts w:ascii="Calibri"/>
                <w:sz w:val="20"/>
              </w:rPr>
            </w:pPr>
            <w:r w:rsidRPr="00C64BAC">
              <w:rPr>
                <w:rFonts w:ascii="Calibri"/>
                <w:w w:val="99"/>
                <w:sz w:val="20"/>
              </w:rPr>
              <w:t>S</w:t>
            </w:r>
          </w:p>
        </w:tc>
        <w:tc>
          <w:tcPr>
            <w:tcW w:w="872" w:type="dxa"/>
            <w:vAlign w:val="center"/>
          </w:tcPr>
          <w:p w14:paraId="0469B22A" w14:textId="77777777" w:rsidR="00036C7E" w:rsidRDefault="00036C7E" w:rsidP="007F4F87">
            <w:pPr>
              <w:pStyle w:val="TableParagraph"/>
              <w:ind w:right="245"/>
              <w:jc w:val="center"/>
              <w:rPr>
                <w:rFonts w:ascii="Calibri"/>
                <w:sz w:val="20"/>
              </w:rPr>
            </w:pPr>
            <w:r>
              <w:rPr>
                <w:rFonts w:ascii="Calibri"/>
                <w:w w:val="95"/>
                <w:sz w:val="20"/>
              </w:rPr>
              <w:t>PI</w:t>
            </w:r>
          </w:p>
        </w:tc>
        <w:tc>
          <w:tcPr>
            <w:tcW w:w="873" w:type="dxa"/>
            <w:vAlign w:val="center"/>
          </w:tcPr>
          <w:p w14:paraId="10358574" w14:textId="77777777" w:rsidR="00036C7E" w:rsidRDefault="00036C7E" w:rsidP="007F4F87">
            <w:pPr>
              <w:pStyle w:val="TableParagraph"/>
              <w:ind w:left="237"/>
              <w:jc w:val="center"/>
              <w:rPr>
                <w:rFonts w:ascii="Calibri"/>
                <w:sz w:val="20"/>
              </w:rPr>
            </w:pPr>
            <w:r>
              <w:rPr>
                <w:rFonts w:ascii="Calibri"/>
                <w:sz w:val="20"/>
              </w:rPr>
              <w:t>AI</w:t>
            </w:r>
          </w:p>
        </w:tc>
      </w:tr>
      <w:tr w:rsidR="00036C7E" w14:paraId="1490BDEA" w14:textId="77777777" w:rsidTr="007F4F87">
        <w:trPr>
          <w:trHeight w:hRule="exact" w:val="854"/>
        </w:trPr>
        <w:tc>
          <w:tcPr>
            <w:tcW w:w="8791" w:type="dxa"/>
            <w:shd w:val="clear" w:color="auto" w:fill="F1F1F1"/>
          </w:tcPr>
          <w:p w14:paraId="679CA815" w14:textId="77777777" w:rsidR="00036C7E" w:rsidRDefault="00036C7E" w:rsidP="00A87137">
            <w:pPr>
              <w:pStyle w:val="TableParagraph"/>
              <w:spacing w:before="55"/>
              <w:ind w:left="474" w:right="264" w:hanging="360"/>
            </w:pPr>
            <w:r>
              <w:t>13. That each jurisdiction requires building approval documentation to be prepared by appropriate categories of registered practitioners, demonstrating that the proposed building complies with the National Construction Code.</w:t>
            </w:r>
          </w:p>
        </w:tc>
        <w:tc>
          <w:tcPr>
            <w:tcW w:w="872" w:type="dxa"/>
            <w:vAlign w:val="center"/>
          </w:tcPr>
          <w:p w14:paraId="2B5746AE" w14:textId="77777777" w:rsidR="00036C7E" w:rsidRDefault="00036C7E" w:rsidP="007F4F87">
            <w:pPr>
              <w:pStyle w:val="TableParagraph"/>
              <w:ind w:left="208" w:right="145" w:hanging="46"/>
              <w:jc w:val="center"/>
              <w:rPr>
                <w:rFonts w:ascii="Calibri"/>
                <w:sz w:val="20"/>
              </w:rPr>
            </w:pPr>
            <w:r>
              <w:rPr>
                <w:rFonts w:ascii="Calibri"/>
                <w:sz w:val="20"/>
              </w:rPr>
              <w:t>PI &amp; IPS</w:t>
            </w:r>
          </w:p>
        </w:tc>
        <w:tc>
          <w:tcPr>
            <w:tcW w:w="873" w:type="dxa"/>
            <w:vAlign w:val="center"/>
          </w:tcPr>
          <w:p w14:paraId="6C087C42" w14:textId="2C0E957A" w:rsidR="00036C7E" w:rsidRDefault="00036C7E" w:rsidP="007F4F87">
            <w:pPr>
              <w:pStyle w:val="TableParagraph"/>
              <w:ind w:left="201"/>
              <w:jc w:val="center"/>
              <w:rPr>
                <w:rFonts w:ascii="Calibri"/>
                <w:sz w:val="20"/>
              </w:rPr>
            </w:pPr>
            <w:r>
              <w:rPr>
                <w:rFonts w:ascii="Calibri"/>
                <w:sz w:val="20"/>
              </w:rPr>
              <w:t>UC</w:t>
            </w:r>
          </w:p>
        </w:tc>
        <w:tc>
          <w:tcPr>
            <w:tcW w:w="872" w:type="dxa"/>
            <w:vAlign w:val="center"/>
          </w:tcPr>
          <w:p w14:paraId="72102ADA" w14:textId="15F46658" w:rsidR="00036C7E" w:rsidRDefault="00036C7E" w:rsidP="007F4F87">
            <w:pPr>
              <w:pStyle w:val="TableParagraph"/>
              <w:ind w:left="199"/>
              <w:jc w:val="center"/>
              <w:rPr>
                <w:rFonts w:ascii="Calibri"/>
                <w:sz w:val="20"/>
              </w:rPr>
            </w:pPr>
            <w:r>
              <w:rPr>
                <w:rFonts w:ascii="Calibri"/>
                <w:sz w:val="20"/>
              </w:rPr>
              <w:t>PI</w:t>
            </w:r>
          </w:p>
        </w:tc>
        <w:tc>
          <w:tcPr>
            <w:tcW w:w="873" w:type="dxa"/>
            <w:vAlign w:val="center"/>
          </w:tcPr>
          <w:p w14:paraId="14C29F80" w14:textId="77777777" w:rsidR="00036C7E" w:rsidRPr="00C64BAC" w:rsidRDefault="00036C7E" w:rsidP="007F4F87">
            <w:pPr>
              <w:pStyle w:val="TableParagraph"/>
              <w:ind w:left="146" w:right="147"/>
              <w:jc w:val="center"/>
              <w:rPr>
                <w:rFonts w:ascii="Calibri"/>
                <w:sz w:val="20"/>
              </w:rPr>
            </w:pPr>
            <w:r w:rsidRPr="00C64BAC">
              <w:rPr>
                <w:rFonts w:ascii="Calibri"/>
                <w:sz w:val="20"/>
              </w:rPr>
              <w:t>UC</w:t>
            </w:r>
          </w:p>
        </w:tc>
        <w:tc>
          <w:tcPr>
            <w:tcW w:w="872" w:type="dxa"/>
            <w:vAlign w:val="center"/>
          </w:tcPr>
          <w:p w14:paraId="4D05EC03" w14:textId="77777777" w:rsidR="00036C7E" w:rsidRPr="00C64BAC" w:rsidRDefault="00036C7E" w:rsidP="007F4F87">
            <w:pPr>
              <w:pStyle w:val="TableParagraph"/>
              <w:ind w:left="199" w:right="137" w:hanging="46"/>
              <w:jc w:val="center"/>
              <w:rPr>
                <w:rFonts w:ascii="Calibri"/>
                <w:sz w:val="20"/>
              </w:rPr>
            </w:pPr>
            <w:r w:rsidRPr="00C64BAC">
              <w:rPr>
                <w:rFonts w:ascii="Calibri"/>
                <w:sz w:val="20"/>
              </w:rPr>
              <w:t>PI &amp; IPS</w:t>
            </w:r>
          </w:p>
        </w:tc>
        <w:tc>
          <w:tcPr>
            <w:tcW w:w="873" w:type="dxa"/>
            <w:vAlign w:val="center"/>
          </w:tcPr>
          <w:p w14:paraId="547D2C26" w14:textId="77777777" w:rsidR="00036C7E" w:rsidRPr="00C64BAC" w:rsidRDefault="00036C7E" w:rsidP="007F4F87">
            <w:pPr>
              <w:pStyle w:val="TableParagraph"/>
              <w:ind w:left="147" w:right="147"/>
              <w:jc w:val="center"/>
              <w:rPr>
                <w:rFonts w:ascii="Calibri"/>
                <w:sz w:val="20"/>
              </w:rPr>
            </w:pPr>
            <w:r w:rsidRPr="00C64BAC">
              <w:rPr>
                <w:rFonts w:ascii="Calibri"/>
                <w:sz w:val="20"/>
              </w:rPr>
              <w:t>AI</w:t>
            </w:r>
          </w:p>
        </w:tc>
        <w:tc>
          <w:tcPr>
            <w:tcW w:w="872" w:type="dxa"/>
            <w:vAlign w:val="center"/>
          </w:tcPr>
          <w:p w14:paraId="4901EBAD" w14:textId="77777777" w:rsidR="00036C7E" w:rsidRDefault="00036C7E" w:rsidP="007F4F87">
            <w:pPr>
              <w:pStyle w:val="TableParagraph"/>
              <w:ind w:right="206"/>
              <w:jc w:val="center"/>
              <w:rPr>
                <w:rFonts w:ascii="Calibri"/>
                <w:sz w:val="20"/>
              </w:rPr>
            </w:pPr>
            <w:r>
              <w:rPr>
                <w:rFonts w:ascii="Calibri"/>
                <w:sz w:val="20"/>
              </w:rPr>
              <w:t>UC</w:t>
            </w:r>
          </w:p>
        </w:tc>
        <w:tc>
          <w:tcPr>
            <w:tcW w:w="873" w:type="dxa"/>
            <w:vAlign w:val="center"/>
          </w:tcPr>
          <w:p w14:paraId="4D7ECD24" w14:textId="77777777" w:rsidR="00036C7E" w:rsidRDefault="00036C7E" w:rsidP="007F4F87">
            <w:pPr>
              <w:pStyle w:val="TableParagraph"/>
              <w:ind w:left="237"/>
              <w:jc w:val="center"/>
              <w:rPr>
                <w:rFonts w:ascii="Calibri"/>
                <w:sz w:val="20"/>
              </w:rPr>
            </w:pPr>
            <w:r>
              <w:rPr>
                <w:rFonts w:ascii="Calibri"/>
                <w:sz w:val="20"/>
              </w:rPr>
              <w:t>AI</w:t>
            </w:r>
          </w:p>
        </w:tc>
      </w:tr>
      <w:tr w:rsidR="00036C7E" w14:paraId="685A4E9C" w14:textId="77777777" w:rsidTr="007F4F87">
        <w:trPr>
          <w:trHeight w:hRule="exact" w:val="852"/>
        </w:trPr>
        <w:tc>
          <w:tcPr>
            <w:tcW w:w="8791" w:type="dxa"/>
            <w:shd w:val="clear" w:color="auto" w:fill="F1F1F1"/>
          </w:tcPr>
          <w:p w14:paraId="0FD279B3" w14:textId="77777777" w:rsidR="00036C7E" w:rsidRDefault="00036C7E" w:rsidP="00A87137">
            <w:pPr>
              <w:pStyle w:val="TableParagraph"/>
              <w:spacing w:before="53"/>
              <w:ind w:left="474" w:right="498" w:hanging="360"/>
            </w:pPr>
            <w:r>
              <w:t>14. That each jurisdiction sets out the information which must be included in performance solutions, specifying in occupancy certificates the circumstances in which performance solutions have been used and for what purpose.</w:t>
            </w:r>
          </w:p>
        </w:tc>
        <w:tc>
          <w:tcPr>
            <w:tcW w:w="872" w:type="dxa"/>
            <w:vAlign w:val="center"/>
          </w:tcPr>
          <w:p w14:paraId="6F3A7B69" w14:textId="77777777" w:rsidR="00036C7E" w:rsidRDefault="00036C7E" w:rsidP="007F4F87">
            <w:pPr>
              <w:pStyle w:val="TableParagraph"/>
              <w:ind w:left="208" w:right="145" w:hanging="46"/>
              <w:jc w:val="center"/>
              <w:rPr>
                <w:rFonts w:ascii="Calibri"/>
                <w:sz w:val="20"/>
              </w:rPr>
            </w:pPr>
            <w:r>
              <w:rPr>
                <w:rFonts w:ascii="Calibri"/>
                <w:sz w:val="20"/>
              </w:rPr>
              <w:t>PI &amp; IPS</w:t>
            </w:r>
          </w:p>
        </w:tc>
        <w:tc>
          <w:tcPr>
            <w:tcW w:w="873" w:type="dxa"/>
            <w:vAlign w:val="center"/>
          </w:tcPr>
          <w:p w14:paraId="7B15B626" w14:textId="77777777" w:rsidR="00036C7E" w:rsidRDefault="00036C7E" w:rsidP="007F4F87">
            <w:pPr>
              <w:pStyle w:val="TableParagraph"/>
              <w:ind w:left="239"/>
              <w:jc w:val="center"/>
              <w:rPr>
                <w:rFonts w:ascii="Calibri"/>
                <w:sz w:val="20"/>
              </w:rPr>
            </w:pPr>
            <w:r>
              <w:rPr>
                <w:rFonts w:ascii="Calibri"/>
                <w:sz w:val="20"/>
              </w:rPr>
              <w:t>AI</w:t>
            </w:r>
          </w:p>
        </w:tc>
        <w:tc>
          <w:tcPr>
            <w:tcW w:w="872" w:type="dxa"/>
            <w:vAlign w:val="center"/>
          </w:tcPr>
          <w:p w14:paraId="2E3D3C93" w14:textId="77777777" w:rsidR="00036C7E" w:rsidRDefault="00036C7E" w:rsidP="007F4F87">
            <w:pPr>
              <w:pStyle w:val="TableParagraph"/>
              <w:ind w:left="237"/>
              <w:jc w:val="center"/>
              <w:rPr>
                <w:rFonts w:ascii="Calibri"/>
                <w:sz w:val="20"/>
              </w:rPr>
            </w:pPr>
            <w:r>
              <w:rPr>
                <w:rFonts w:ascii="Calibri"/>
                <w:sz w:val="20"/>
              </w:rPr>
              <w:t>AI</w:t>
            </w:r>
          </w:p>
        </w:tc>
        <w:tc>
          <w:tcPr>
            <w:tcW w:w="873" w:type="dxa"/>
            <w:vAlign w:val="center"/>
          </w:tcPr>
          <w:p w14:paraId="68323B9A" w14:textId="12410A64" w:rsidR="00036C7E" w:rsidRPr="00C64BAC" w:rsidRDefault="00036C7E" w:rsidP="007F4F87">
            <w:pPr>
              <w:pStyle w:val="TableParagraph"/>
              <w:ind w:left="146" w:right="147"/>
              <w:jc w:val="center"/>
              <w:rPr>
                <w:rFonts w:ascii="Calibri"/>
                <w:sz w:val="20"/>
              </w:rPr>
            </w:pPr>
            <w:r w:rsidRPr="00C64BAC">
              <w:rPr>
                <w:rFonts w:ascii="Calibri"/>
                <w:sz w:val="20"/>
              </w:rPr>
              <w:t>UC</w:t>
            </w:r>
          </w:p>
        </w:tc>
        <w:tc>
          <w:tcPr>
            <w:tcW w:w="872" w:type="dxa"/>
            <w:vAlign w:val="center"/>
          </w:tcPr>
          <w:p w14:paraId="3B89E176" w14:textId="77777777" w:rsidR="00036C7E" w:rsidRPr="00C64BAC" w:rsidRDefault="00036C7E" w:rsidP="007F4F87">
            <w:pPr>
              <w:pStyle w:val="TableParagraph"/>
              <w:ind w:left="199" w:right="137" w:hanging="46"/>
              <w:jc w:val="center"/>
              <w:rPr>
                <w:rFonts w:ascii="Calibri"/>
                <w:sz w:val="20"/>
              </w:rPr>
            </w:pPr>
            <w:r w:rsidRPr="00C64BAC">
              <w:rPr>
                <w:rFonts w:ascii="Calibri"/>
                <w:sz w:val="20"/>
              </w:rPr>
              <w:t>PI &amp; IPS</w:t>
            </w:r>
          </w:p>
        </w:tc>
        <w:tc>
          <w:tcPr>
            <w:tcW w:w="873" w:type="dxa"/>
            <w:vAlign w:val="center"/>
          </w:tcPr>
          <w:p w14:paraId="65979064" w14:textId="77777777" w:rsidR="00036C7E" w:rsidRPr="00C64BAC" w:rsidRDefault="00036C7E" w:rsidP="007F4F87">
            <w:pPr>
              <w:pStyle w:val="TableParagraph"/>
              <w:ind w:left="148" w:right="147"/>
              <w:jc w:val="center"/>
              <w:rPr>
                <w:rFonts w:ascii="Calibri"/>
                <w:sz w:val="20"/>
              </w:rPr>
            </w:pPr>
            <w:r w:rsidRPr="00C64BAC">
              <w:rPr>
                <w:rFonts w:ascii="Calibri"/>
                <w:sz w:val="20"/>
              </w:rPr>
              <w:t>PI</w:t>
            </w:r>
          </w:p>
        </w:tc>
        <w:tc>
          <w:tcPr>
            <w:tcW w:w="872" w:type="dxa"/>
            <w:vAlign w:val="center"/>
          </w:tcPr>
          <w:p w14:paraId="32A82A3D" w14:textId="77777777" w:rsidR="00036C7E" w:rsidRDefault="00036C7E" w:rsidP="007F4F87">
            <w:pPr>
              <w:pStyle w:val="TableParagraph"/>
              <w:ind w:right="245"/>
              <w:jc w:val="center"/>
              <w:rPr>
                <w:rFonts w:ascii="Calibri"/>
                <w:sz w:val="20"/>
              </w:rPr>
            </w:pPr>
            <w:r>
              <w:rPr>
                <w:rFonts w:ascii="Calibri"/>
                <w:w w:val="95"/>
                <w:sz w:val="20"/>
              </w:rPr>
              <w:t>PI</w:t>
            </w:r>
          </w:p>
        </w:tc>
        <w:tc>
          <w:tcPr>
            <w:tcW w:w="873" w:type="dxa"/>
            <w:vAlign w:val="center"/>
          </w:tcPr>
          <w:p w14:paraId="762E46AD" w14:textId="77777777" w:rsidR="00036C7E" w:rsidRDefault="00036C7E" w:rsidP="007F4F87">
            <w:pPr>
              <w:pStyle w:val="TableParagraph"/>
              <w:ind w:left="237"/>
              <w:jc w:val="center"/>
              <w:rPr>
                <w:rFonts w:ascii="Calibri"/>
                <w:sz w:val="20"/>
              </w:rPr>
            </w:pPr>
            <w:r>
              <w:rPr>
                <w:rFonts w:ascii="Calibri"/>
                <w:sz w:val="20"/>
              </w:rPr>
              <w:t>AI</w:t>
            </w:r>
          </w:p>
        </w:tc>
      </w:tr>
      <w:tr w:rsidR="00036C7E" w14:paraId="7086DC71" w14:textId="77777777" w:rsidTr="007F4F87">
        <w:trPr>
          <w:trHeight w:hRule="exact" w:val="602"/>
        </w:trPr>
        <w:tc>
          <w:tcPr>
            <w:tcW w:w="8791" w:type="dxa"/>
            <w:shd w:val="clear" w:color="auto" w:fill="F1F1F1"/>
          </w:tcPr>
          <w:p w14:paraId="6B86A8EF" w14:textId="77777777" w:rsidR="00036C7E" w:rsidRDefault="00036C7E" w:rsidP="00A87137">
            <w:pPr>
              <w:pStyle w:val="TableParagraph"/>
              <w:spacing w:before="55"/>
              <w:ind w:left="474" w:hanging="360"/>
            </w:pPr>
            <w:r>
              <w:t>15. That each jurisdiction provides a transparent and robust process for the approval of performance solutions for constructed building work.</w:t>
            </w:r>
          </w:p>
        </w:tc>
        <w:tc>
          <w:tcPr>
            <w:tcW w:w="872" w:type="dxa"/>
            <w:vAlign w:val="center"/>
          </w:tcPr>
          <w:p w14:paraId="69949315" w14:textId="77777777" w:rsidR="00036C7E" w:rsidRDefault="00036C7E" w:rsidP="007F4F87">
            <w:pPr>
              <w:pStyle w:val="TableParagraph"/>
              <w:ind w:left="99" w:right="100"/>
              <w:jc w:val="center"/>
              <w:rPr>
                <w:rFonts w:ascii="Calibri"/>
                <w:sz w:val="20"/>
              </w:rPr>
            </w:pPr>
            <w:r>
              <w:rPr>
                <w:rFonts w:ascii="Calibri"/>
                <w:sz w:val="20"/>
              </w:rPr>
              <w:t>UC</w:t>
            </w:r>
          </w:p>
        </w:tc>
        <w:tc>
          <w:tcPr>
            <w:tcW w:w="873" w:type="dxa"/>
            <w:vAlign w:val="center"/>
          </w:tcPr>
          <w:p w14:paraId="180740F1" w14:textId="77777777" w:rsidR="00036C7E" w:rsidRDefault="00036C7E" w:rsidP="007F4F87">
            <w:pPr>
              <w:pStyle w:val="TableParagraph"/>
              <w:ind w:left="239"/>
              <w:jc w:val="center"/>
              <w:rPr>
                <w:rFonts w:ascii="Calibri"/>
                <w:sz w:val="20"/>
              </w:rPr>
            </w:pPr>
            <w:r>
              <w:rPr>
                <w:rFonts w:ascii="Calibri"/>
                <w:sz w:val="20"/>
              </w:rPr>
              <w:t>AI</w:t>
            </w:r>
          </w:p>
        </w:tc>
        <w:tc>
          <w:tcPr>
            <w:tcW w:w="872" w:type="dxa"/>
            <w:vAlign w:val="center"/>
          </w:tcPr>
          <w:p w14:paraId="35DD4764" w14:textId="64384F2E" w:rsidR="00036C7E" w:rsidRDefault="00036C7E" w:rsidP="007F4F87">
            <w:pPr>
              <w:pStyle w:val="TableParagraph"/>
              <w:ind w:left="245"/>
              <w:jc w:val="center"/>
              <w:rPr>
                <w:rFonts w:ascii="Calibri"/>
                <w:sz w:val="20"/>
              </w:rPr>
            </w:pPr>
            <w:r>
              <w:rPr>
                <w:rFonts w:ascii="Calibri"/>
                <w:sz w:val="20"/>
              </w:rPr>
              <w:t>AI</w:t>
            </w:r>
          </w:p>
        </w:tc>
        <w:tc>
          <w:tcPr>
            <w:tcW w:w="873" w:type="dxa"/>
            <w:vAlign w:val="center"/>
          </w:tcPr>
          <w:p w14:paraId="3871D0E7" w14:textId="77777777" w:rsidR="00036C7E" w:rsidRPr="00C64BAC" w:rsidRDefault="00036C7E" w:rsidP="007F4F87">
            <w:pPr>
              <w:pStyle w:val="TableParagraph"/>
              <w:ind w:left="146" w:right="147"/>
              <w:jc w:val="center"/>
              <w:rPr>
                <w:rFonts w:ascii="Calibri"/>
                <w:sz w:val="20"/>
              </w:rPr>
            </w:pPr>
            <w:r w:rsidRPr="00C64BAC">
              <w:rPr>
                <w:rFonts w:ascii="Calibri"/>
                <w:sz w:val="20"/>
              </w:rPr>
              <w:t>UC</w:t>
            </w:r>
          </w:p>
        </w:tc>
        <w:tc>
          <w:tcPr>
            <w:tcW w:w="872" w:type="dxa"/>
            <w:vAlign w:val="center"/>
          </w:tcPr>
          <w:p w14:paraId="102C4193" w14:textId="77777777" w:rsidR="00036C7E" w:rsidRPr="00C64BAC" w:rsidRDefault="00036C7E" w:rsidP="007F4F87">
            <w:pPr>
              <w:pStyle w:val="TableParagraph"/>
              <w:ind w:left="151" w:right="151"/>
              <w:jc w:val="center"/>
              <w:rPr>
                <w:rFonts w:ascii="Calibri"/>
                <w:sz w:val="20"/>
              </w:rPr>
            </w:pPr>
            <w:r w:rsidRPr="00C64BAC">
              <w:rPr>
                <w:rFonts w:ascii="Calibri"/>
                <w:sz w:val="20"/>
              </w:rPr>
              <w:t>IPS</w:t>
            </w:r>
          </w:p>
        </w:tc>
        <w:tc>
          <w:tcPr>
            <w:tcW w:w="873" w:type="dxa"/>
            <w:vAlign w:val="center"/>
          </w:tcPr>
          <w:p w14:paraId="7A77E32E" w14:textId="77777777" w:rsidR="00036C7E" w:rsidRPr="00C64BAC" w:rsidRDefault="00036C7E" w:rsidP="007F4F87">
            <w:pPr>
              <w:pStyle w:val="TableParagraph"/>
              <w:ind w:left="148" w:right="145"/>
              <w:jc w:val="center"/>
              <w:rPr>
                <w:rFonts w:ascii="Calibri"/>
                <w:sz w:val="20"/>
              </w:rPr>
            </w:pPr>
            <w:r w:rsidRPr="00C64BAC">
              <w:rPr>
                <w:rFonts w:ascii="Calibri"/>
                <w:sz w:val="20"/>
              </w:rPr>
              <w:t>PI</w:t>
            </w:r>
          </w:p>
        </w:tc>
        <w:tc>
          <w:tcPr>
            <w:tcW w:w="872" w:type="dxa"/>
            <w:vAlign w:val="center"/>
          </w:tcPr>
          <w:p w14:paraId="69638B09" w14:textId="77777777" w:rsidR="00036C7E" w:rsidRDefault="00036C7E" w:rsidP="007F4F87">
            <w:pPr>
              <w:pStyle w:val="TableParagraph"/>
              <w:ind w:right="205"/>
              <w:jc w:val="center"/>
              <w:rPr>
                <w:rFonts w:ascii="Calibri"/>
                <w:sz w:val="20"/>
              </w:rPr>
            </w:pPr>
            <w:r>
              <w:rPr>
                <w:rFonts w:ascii="Calibri"/>
                <w:sz w:val="20"/>
              </w:rPr>
              <w:t>UC</w:t>
            </w:r>
          </w:p>
        </w:tc>
        <w:tc>
          <w:tcPr>
            <w:tcW w:w="873" w:type="dxa"/>
            <w:vAlign w:val="center"/>
          </w:tcPr>
          <w:p w14:paraId="7EDFF354" w14:textId="77777777" w:rsidR="00036C7E" w:rsidRDefault="00036C7E" w:rsidP="007F4F87">
            <w:pPr>
              <w:pStyle w:val="TableParagraph"/>
              <w:ind w:left="238"/>
              <w:jc w:val="center"/>
              <w:rPr>
                <w:rFonts w:ascii="Calibri"/>
                <w:sz w:val="20"/>
              </w:rPr>
            </w:pPr>
            <w:r>
              <w:rPr>
                <w:rFonts w:ascii="Calibri"/>
                <w:sz w:val="20"/>
              </w:rPr>
              <w:t>AI</w:t>
            </w:r>
          </w:p>
        </w:tc>
      </w:tr>
    </w:tbl>
    <w:p w14:paraId="00C3CFDE" w14:textId="77777777" w:rsidR="00FF4A2C" w:rsidRDefault="00FF4A2C" w:rsidP="00FF4A2C">
      <w:pPr>
        <w:rPr>
          <w:rFonts w:ascii="Calibri"/>
          <w:sz w:val="20"/>
        </w:rPr>
        <w:sectPr w:rsidR="00FF4A2C">
          <w:pgSz w:w="16840" w:h="11910" w:orient="landscape"/>
          <w:pgMar w:top="1040" w:right="400" w:bottom="680" w:left="320" w:header="768" w:footer="497" w:gutter="0"/>
          <w:cols w:space="720"/>
        </w:sectPr>
      </w:pPr>
    </w:p>
    <w:tbl>
      <w:tblPr>
        <w:tblW w:w="0" w:type="auto"/>
        <w:tblInd w:w="100"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8791"/>
        <w:gridCol w:w="872"/>
        <w:gridCol w:w="873"/>
        <w:gridCol w:w="872"/>
        <w:gridCol w:w="873"/>
        <w:gridCol w:w="872"/>
        <w:gridCol w:w="873"/>
        <w:gridCol w:w="872"/>
        <w:gridCol w:w="873"/>
      </w:tblGrid>
      <w:tr w:rsidR="00036C7E" w14:paraId="05D110BD" w14:textId="77777777" w:rsidTr="00310A44">
        <w:trPr>
          <w:trHeight w:hRule="exact" w:val="1008"/>
        </w:trPr>
        <w:tc>
          <w:tcPr>
            <w:tcW w:w="8791" w:type="dxa"/>
            <w:vMerge w:val="restart"/>
            <w:shd w:val="clear" w:color="auto" w:fill="005577"/>
          </w:tcPr>
          <w:p w14:paraId="692DB066" w14:textId="77777777" w:rsidR="00036C7E" w:rsidRDefault="00036C7E" w:rsidP="00A87137">
            <w:pPr>
              <w:pStyle w:val="TableParagraph"/>
              <w:rPr>
                <w:rFonts w:ascii="Times New Roman"/>
                <w:sz w:val="24"/>
              </w:rPr>
            </w:pPr>
          </w:p>
          <w:p w14:paraId="18D5227B" w14:textId="77777777" w:rsidR="00036C7E" w:rsidRDefault="00036C7E" w:rsidP="00A87137">
            <w:pPr>
              <w:pStyle w:val="TableParagraph"/>
              <w:spacing w:before="5"/>
              <w:rPr>
                <w:rFonts w:ascii="Times New Roman"/>
                <w:sz w:val="25"/>
              </w:rPr>
            </w:pPr>
          </w:p>
          <w:p w14:paraId="439891F7" w14:textId="77777777" w:rsidR="00036C7E" w:rsidRDefault="00036C7E" w:rsidP="00A87137">
            <w:pPr>
              <w:pStyle w:val="TableParagraph"/>
              <w:ind w:left="1989"/>
              <w:rPr>
                <w:b/>
              </w:rPr>
            </w:pPr>
            <w:r>
              <w:rPr>
                <w:b/>
                <w:color w:val="FFFFFF"/>
              </w:rPr>
              <w:t>Building Confidence Report Recommendation</w:t>
            </w:r>
          </w:p>
        </w:tc>
        <w:tc>
          <w:tcPr>
            <w:tcW w:w="6980" w:type="dxa"/>
            <w:gridSpan w:val="8"/>
            <w:shd w:val="clear" w:color="auto" w:fill="005577"/>
          </w:tcPr>
          <w:p w14:paraId="4F247CEF" w14:textId="77777777" w:rsidR="00036C7E" w:rsidRDefault="00036C7E" w:rsidP="00A87137">
            <w:pPr>
              <w:pStyle w:val="TableParagraph"/>
              <w:spacing w:before="52"/>
              <w:ind w:left="1548"/>
              <w:rPr>
                <w:b/>
              </w:rPr>
            </w:pPr>
            <w:r>
              <w:rPr>
                <w:b/>
                <w:color w:val="FFFFFF"/>
              </w:rPr>
              <w:t>Jurisdiction position</w:t>
            </w:r>
          </w:p>
          <w:p w14:paraId="45D9AC40" w14:textId="77777777" w:rsidR="00036C7E" w:rsidRDefault="00036C7E" w:rsidP="00A87137">
            <w:pPr>
              <w:pStyle w:val="TableParagraph"/>
              <w:tabs>
                <w:tab w:val="left" w:pos="2275"/>
              </w:tabs>
              <w:spacing w:before="4" w:line="219" w:lineRule="exact"/>
              <w:ind w:left="115"/>
              <w:rPr>
                <w:rFonts w:ascii="Calibri"/>
                <w:i/>
                <w:sz w:val="18"/>
              </w:rPr>
            </w:pPr>
            <w:r>
              <w:rPr>
                <w:rFonts w:ascii="Calibri"/>
                <w:b/>
                <w:i/>
                <w:color w:val="FFFFFF"/>
                <w:sz w:val="18"/>
              </w:rPr>
              <w:t>S</w:t>
            </w:r>
            <w:r>
              <w:rPr>
                <w:rFonts w:ascii="Calibri"/>
                <w:b/>
                <w:i/>
                <w:color w:val="FFFFFF"/>
                <w:spacing w:val="-1"/>
                <w:sz w:val="18"/>
              </w:rPr>
              <w:t xml:space="preserve"> </w:t>
            </w:r>
            <w:r>
              <w:rPr>
                <w:rFonts w:ascii="Calibri"/>
                <w:i/>
                <w:color w:val="FFFFFF"/>
                <w:sz w:val="18"/>
              </w:rPr>
              <w:t>Support</w:t>
            </w:r>
            <w:r>
              <w:rPr>
                <w:rFonts w:ascii="Calibri"/>
                <w:i/>
                <w:color w:val="FFFFFF"/>
                <w:sz w:val="18"/>
              </w:rPr>
              <w:tab/>
            </w:r>
            <w:r>
              <w:rPr>
                <w:rFonts w:ascii="Calibri"/>
                <w:b/>
                <w:i/>
                <w:color w:val="FFFFFF"/>
                <w:sz w:val="18"/>
              </w:rPr>
              <w:t xml:space="preserve">IPS </w:t>
            </w:r>
            <w:r>
              <w:rPr>
                <w:rFonts w:ascii="Calibri"/>
                <w:i/>
                <w:color w:val="FFFFFF"/>
                <w:sz w:val="18"/>
              </w:rPr>
              <w:t>In-Principle</w:t>
            </w:r>
            <w:r>
              <w:rPr>
                <w:rFonts w:ascii="Calibri"/>
                <w:i/>
                <w:color w:val="FFFFFF"/>
                <w:spacing w:val="-6"/>
                <w:sz w:val="18"/>
              </w:rPr>
              <w:t xml:space="preserve"> </w:t>
            </w:r>
            <w:r>
              <w:rPr>
                <w:rFonts w:ascii="Calibri"/>
                <w:i/>
                <w:color w:val="FFFFFF"/>
                <w:sz w:val="18"/>
              </w:rPr>
              <w:t>Support</w:t>
            </w:r>
          </w:p>
          <w:p w14:paraId="4AB1DB68" w14:textId="77777777" w:rsidR="00036C7E" w:rsidRDefault="00036C7E" w:rsidP="00A87137">
            <w:pPr>
              <w:pStyle w:val="TableParagraph"/>
              <w:tabs>
                <w:tab w:val="left" w:pos="2275"/>
              </w:tabs>
              <w:spacing w:line="219" w:lineRule="exact"/>
              <w:ind w:left="115"/>
              <w:rPr>
                <w:rFonts w:ascii="Calibri"/>
                <w:i/>
                <w:sz w:val="18"/>
              </w:rPr>
            </w:pPr>
            <w:r>
              <w:rPr>
                <w:rFonts w:ascii="Calibri"/>
                <w:b/>
                <w:i/>
                <w:color w:val="FFFFFF"/>
                <w:sz w:val="18"/>
              </w:rPr>
              <w:t>NS</w:t>
            </w:r>
            <w:r>
              <w:rPr>
                <w:rFonts w:ascii="Calibri"/>
                <w:b/>
                <w:i/>
                <w:color w:val="FFFFFF"/>
                <w:spacing w:val="-1"/>
                <w:sz w:val="18"/>
              </w:rPr>
              <w:t xml:space="preserve"> </w:t>
            </w:r>
            <w:r>
              <w:rPr>
                <w:rFonts w:ascii="Calibri"/>
                <w:i/>
                <w:color w:val="FFFFFF"/>
                <w:sz w:val="18"/>
              </w:rPr>
              <w:t>Not</w:t>
            </w:r>
            <w:r>
              <w:rPr>
                <w:rFonts w:ascii="Calibri"/>
                <w:i/>
                <w:color w:val="FFFFFF"/>
                <w:spacing w:val="-2"/>
                <w:sz w:val="18"/>
              </w:rPr>
              <w:t xml:space="preserve"> </w:t>
            </w:r>
            <w:r>
              <w:rPr>
                <w:rFonts w:ascii="Calibri"/>
                <w:i/>
                <w:color w:val="FFFFFF"/>
                <w:sz w:val="18"/>
              </w:rPr>
              <w:t>Supported</w:t>
            </w:r>
            <w:r>
              <w:rPr>
                <w:rFonts w:ascii="Calibri"/>
                <w:i/>
                <w:color w:val="FFFFFF"/>
                <w:sz w:val="18"/>
              </w:rPr>
              <w:tab/>
            </w:r>
            <w:r>
              <w:rPr>
                <w:rFonts w:ascii="Calibri"/>
                <w:b/>
                <w:i/>
                <w:color w:val="FFFFFF"/>
                <w:sz w:val="18"/>
              </w:rPr>
              <w:t xml:space="preserve">UC </w:t>
            </w:r>
            <w:r>
              <w:rPr>
                <w:rFonts w:ascii="Calibri"/>
                <w:i/>
                <w:color w:val="FFFFFF"/>
                <w:sz w:val="18"/>
              </w:rPr>
              <w:t>Under</w:t>
            </w:r>
            <w:r>
              <w:rPr>
                <w:rFonts w:ascii="Calibri"/>
                <w:i/>
                <w:color w:val="FFFFFF"/>
                <w:spacing w:val="-6"/>
                <w:sz w:val="18"/>
              </w:rPr>
              <w:t xml:space="preserve"> </w:t>
            </w:r>
            <w:r>
              <w:rPr>
                <w:rFonts w:ascii="Calibri"/>
                <w:i/>
                <w:color w:val="FFFFFF"/>
                <w:sz w:val="18"/>
              </w:rPr>
              <w:t>Consideration</w:t>
            </w:r>
          </w:p>
          <w:p w14:paraId="243AFB8D" w14:textId="77777777" w:rsidR="00036C7E" w:rsidRDefault="00036C7E" w:rsidP="00A87137">
            <w:pPr>
              <w:pStyle w:val="TableParagraph"/>
              <w:tabs>
                <w:tab w:val="left" w:pos="2275"/>
              </w:tabs>
              <w:spacing w:before="1"/>
              <w:ind w:left="115"/>
              <w:rPr>
                <w:rFonts w:ascii="Calibri"/>
                <w:i/>
                <w:sz w:val="18"/>
              </w:rPr>
            </w:pPr>
            <w:r>
              <w:rPr>
                <w:rFonts w:ascii="Calibri"/>
                <w:b/>
                <w:i/>
                <w:color w:val="FFFFFF"/>
                <w:sz w:val="18"/>
              </w:rPr>
              <w:t>AI</w:t>
            </w:r>
            <w:r>
              <w:rPr>
                <w:rFonts w:ascii="Calibri"/>
                <w:b/>
                <w:i/>
                <w:color w:val="FFFFFF"/>
                <w:spacing w:val="-2"/>
                <w:sz w:val="18"/>
              </w:rPr>
              <w:t xml:space="preserve"> </w:t>
            </w:r>
            <w:r>
              <w:rPr>
                <w:rFonts w:ascii="Calibri"/>
                <w:i/>
                <w:color w:val="FFFFFF"/>
                <w:sz w:val="18"/>
              </w:rPr>
              <w:t>Already</w:t>
            </w:r>
            <w:r>
              <w:rPr>
                <w:rFonts w:ascii="Calibri"/>
                <w:i/>
                <w:color w:val="FFFFFF"/>
                <w:spacing w:val="-1"/>
                <w:sz w:val="18"/>
              </w:rPr>
              <w:t xml:space="preserve"> </w:t>
            </w:r>
            <w:r>
              <w:rPr>
                <w:rFonts w:ascii="Calibri"/>
                <w:i/>
                <w:color w:val="FFFFFF"/>
                <w:sz w:val="18"/>
              </w:rPr>
              <w:t>Implemented</w:t>
            </w:r>
            <w:r>
              <w:rPr>
                <w:rFonts w:ascii="Calibri"/>
                <w:i/>
                <w:color w:val="FFFFFF"/>
                <w:sz w:val="18"/>
              </w:rPr>
              <w:tab/>
            </w:r>
            <w:r>
              <w:rPr>
                <w:rFonts w:ascii="Calibri"/>
                <w:b/>
                <w:i/>
                <w:color w:val="FFFFFF"/>
                <w:sz w:val="18"/>
              </w:rPr>
              <w:t xml:space="preserve">PI </w:t>
            </w:r>
            <w:r>
              <w:rPr>
                <w:rFonts w:ascii="Calibri"/>
                <w:i/>
                <w:color w:val="FFFFFF"/>
                <w:sz w:val="18"/>
              </w:rPr>
              <w:t>Partially</w:t>
            </w:r>
            <w:r>
              <w:rPr>
                <w:rFonts w:ascii="Calibri"/>
                <w:i/>
                <w:color w:val="FFFFFF"/>
                <w:spacing w:val="-7"/>
                <w:sz w:val="18"/>
              </w:rPr>
              <w:t xml:space="preserve"> </w:t>
            </w:r>
            <w:r>
              <w:rPr>
                <w:rFonts w:ascii="Calibri"/>
                <w:i/>
                <w:color w:val="FFFFFF"/>
                <w:sz w:val="18"/>
              </w:rPr>
              <w:t>Implemented</w:t>
            </w:r>
          </w:p>
        </w:tc>
      </w:tr>
      <w:tr w:rsidR="00036C7E" w14:paraId="37379AF2" w14:textId="77777777" w:rsidTr="00310A44">
        <w:trPr>
          <w:trHeight w:hRule="exact" w:val="365"/>
        </w:trPr>
        <w:tc>
          <w:tcPr>
            <w:tcW w:w="8791" w:type="dxa"/>
            <w:vMerge/>
            <w:shd w:val="clear" w:color="auto" w:fill="005577"/>
          </w:tcPr>
          <w:p w14:paraId="407BE532" w14:textId="77777777" w:rsidR="00036C7E" w:rsidRDefault="00036C7E" w:rsidP="00A87137"/>
        </w:tc>
        <w:tc>
          <w:tcPr>
            <w:tcW w:w="872" w:type="dxa"/>
            <w:shd w:val="clear" w:color="auto" w:fill="005577"/>
          </w:tcPr>
          <w:p w14:paraId="6C149464" w14:textId="77777777" w:rsidR="00036C7E" w:rsidRDefault="00036C7E" w:rsidP="00A87137">
            <w:pPr>
              <w:pStyle w:val="TableParagraph"/>
              <w:spacing w:before="52"/>
              <w:ind w:left="101" w:right="100"/>
              <w:jc w:val="center"/>
              <w:rPr>
                <w:b/>
                <w:sz w:val="18"/>
              </w:rPr>
            </w:pPr>
            <w:r>
              <w:rPr>
                <w:b/>
                <w:color w:val="FFFFFF"/>
                <w:sz w:val="18"/>
              </w:rPr>
              <w:t>NSW</w:t>
            </w:r>
          </w:p>
        </w:tc>
        <w:tc>
          <w:tcPr>
            <w:tcW w:w="873" w:type="dxa"/>
            <w:shd w:val="clear" w:color="auto" w:fill="005577"/>
          </w:tcPr>
          <w:p w14:paraId="6C8DA960" w14:textId="77777777" w:rsidR="00036C7E" w:rsidRDefault="00036C7E" w:rsidP="00A87137">
            <w:pPr>
              <w:pStyle w:val="TableParagraph"/>
              <w:spacing w:before="52"/>
              <w:ind w:left="187"/>
              <w:rPr>
                <w:b/>
                <w:sz w:val="18"/>
              </w:rPr>
            </w:pPr>
            <w:r>
              <w:rPr>
                <w:b/>
                <w:color w:val="FFFFFF"/>
                <w:sz w:val="18"/>
              </w:rPr>
              <w:t>Vic</w:t>
            </w:r>
          </w:p>
        </w:tc>
        <w:tc>
          <w:tcPr>
            <w:tcW w:w="872" w:type="dxa"/>
            <w:shd w:val="clear" w:color="auto" w:fill="005577"/>
          </w:tcPr>
          <w:p w14:paraId="11A7BB31" w14:textId="77777777" w:rsidR="00036C7E" w:rsidRDefault="00036C7E" w:rsidP="00A87137">
            <w:pPr>
              <w:pStyle w:val="TableParagraph"/>
              <w:spacing w:before="52"/>
              <w:ind w:left="170"/>
              <w:rPr>
                <w:b/>
                <w:sz w:val="18"/>
              </w:rPr>
            </w:pPr>
            <w:r>
              <w:rPr>
                <w:b/>
                <w:color w:val="FFFFFF"/>
                <w:sz w:val="18"/>
              </w:rPr>
              <w:t>Qld</w:t>
            </w:r>
          </w:p>
        </w:tc>
        <w:tc>
          <w:tcPr>
            <w:tcW w:w="873" w:type="dxa"/>
            <w:shd w:val="clear" w:color="auto" w:fill="005577"/>
          </w:tcPr>
          <w:p w14:paraId="6AC50F41" w14:textId="77777777" w:rsidR="00036C7E" w:rsidRDefault="00036C7E" w:rsidP="00A87137">
            <w:pPr>
              <w:pStyle w:val="TableParagraph"/>
              <w:spacing w:before="52"/>
              <w:ind w:left="145" w:right="147"/>
              <w:jc w:val="center"/>
              <w:rPr>
                <w:b/>
                <w:sz w:val="18"/>
              </w:rPr>
            </w:pPr>
            <w:r>
              <w:rPr>
                <w:b/>
                <w:color w:val="FFFFFF"/>
                <w:sz w:val="18"/>
              </w:rPr>
              <w:t>WA</w:t>
            </w:r>
          </w:p>
        </w:tc>
        <w:tc>
          <w:tcPr>
            <w:tcW w:w="872" w:type="dxa"/>
            <w:shd w:val="clear" w:color="auto" w:fill="005577"/>
          </w:tcPr>
          <w:p w14:paraId="24E72341" w14:textId="77777777" w:rsidR="00036C7E" w:rsidRDefault="00036C7E" w:rsidP="00A87137">
            <w:pPr>
              <w:pStyle w:val="TableParagraph"/>
              <w:spacing w:before="52"/>
              <w:ind w:left="151" w:right="152"/>
              <w:jc w:val="center"/>
              <w:rPr>
                <w:b/>
                <w:sz w:val="18"/>
              </w:rPr>
            </w:pPr>
            <w:r>
              <w:rPr>
                <w:b/>
                <w:color w:val="FFFFFF"/>
                <w:sz w:val="18"/>
              </w:rPr>
              <w:t>SA</w:t>
            </w:r>
          </w:p>
        </w:tc>
        <w:tc>
          <w:tcPr>
            <w:tcW w:w="873" w:type="dxa"/>
            <w:shd w:val="clear" w:color="auto" w:fill="005577"/>
          </w:tcPr>
          <w:p w14:paraId="52404B28" w14:textId="77777777" w:rsidR="00036C7E" w:rsidRDefault="00036C7E" w:rsidP="00A87137">
            <w:pPr>
              <w:pStyle w:val="TableParagraph"/>
              <w:spacing w:before="52"/>
              <w:ind w:left="148" w:right="147"/>
              <w:jc w:val="center"/>
              <w:rPr>
                <w:b/>
                <w:sz w:val="18"/>
              </w:rPr>
            </w:pPr>
            <w:r>
              <w:rPr>
                <w:b/>
                <w:color w:val="FFFFFF"/>
                <w:sz w:val="18"/>
              </w:rPr>
              <w:t>Tas</w:t>
            </w:r>
          </w:p>
        </w:tc>
        <w:tc>
          <w:tcPr>
            <w:tcW w:w="872" w:type="dxa"/>
            <w:shd w:val="clear" w:color="auto" w:fill="005577"/>
          </w:tcPr>
          <w:p w14:paraId="07900F82" w14:textId="77777777" w:rsidR="00036C7E" w:rsidRDefault="00036C7E" w:rsidP="00A87137">
            <w:pPr>
              <w:pStyle w:val="TableParagraph"/>
              <w:spacing w:before="52"/>
              <w:ind w:right="140"/>
              <w:jc w:val="right"/>
              <w:rPr>
                <w:b/>
                <w:sz w:val="18"/>
              </w:rPr>
            </w:pPr>
            <w:r>
              <w:rPr>
                <w:b/>
                <w:color w:val="FFFFFF"/>
                <w:sz w:val="18"/>
              </w:rPr>
              <w:t>ACT</w:t>
            </w:r>
          </w:p>
        </w:tc>
        <w:tc>
          <w:tcPr>
            <w:tcW w:w="873" w:type="dxa"/>
            <w:shd w:val="clear" w:color="auto" w:fill="005577"/>
          </w:tcPr>
          <w:p w14:paraId="3CAF96C3" w14:textId="77777777" w:rsidR="00036C7E" w:rsidRDefault="00036C7E" w:rsidP="00A87137">
            <w:pPr>
              <w:pStyle w:val="TableParagraph"/>
              <w:spacing w:before="52"/>
              <w:ind w:left="201"/>
              <w:rPr>
                <w:b/>
                <w:sz w:val="18"/>
              </w:rPr>
            </w:pPr>
            <w:r>
              <w:rPr>
                <w:b/>
                <w:color w:val="FFFFFF"/>
                <w:sz w:val="18"/>
              </w:rPr>
              <w:t>NT</w:t>
            </w:r>
          </w:p>
        </w:tc>
      </w:tr>
      <w:tr w:rsidR="00036C7E" w14:paraId="767669FA" w14:textId="77777777" w:rsidTr="00310A44">
        <w:trPr>
          <w:trHeight w:hRule="exact" w:val="859"/>
        </w:trPr>
        <w:tc>
          <w:tcPr>
            <w:tcW w:w="8791" w:type="dxa"/>
            <w:shd w:val="clear" w:color="auto" w:fill="F1F1F1"/>
          </w:tcPr>
          <w:p w14:paraId="6B40032A" w14:textId="77777777" w:rsidR="00036C7E" w:rsidRDefault="00036C7E" w:rsidP="00A87137">
            <w:pPr>
              <w:pStyle w:val="TableParagraph"/>
              <w:spacing w:before="60"/>
              <w:ind w:left="474" w:right="264" w:hanging="360"/>
            </w:pPr>
            <w:r>
              <w:t>16. That each jurisdiction provides for a building compliance process which incorporates clear obligations for the ongoing approval of amended documentation by the appointed building surveyor throughout a project.</w:t>
            </w:r>
          </w:p>
        </w:tc>
        <w:tc>
          <w:tcPr>
            <w:tcW w:w="872" w:type="dxa"/>
          </w:tcPr>
          <w:p w14:paraId="11C64684" w14:textId="77777777" w:rsidR="00036C7E" w:rsidRPr="00C64BAC" w:rsidRDefault="00036C7E" w:rsidP="00A87137">
            <w:pPr>
              <w:pStyle w:val="TableParagraph"/>
              <w:spacing w:before="7"/>
              <w:rPr>
                <w:rFonts w:ascii="Times New Roman"/>
                <w:sz w:val="27"/>
              </w:rPr>
            </w:pPr>
          </w:p>
          <w:p w14:paraId="7E8BEAED" w14:textId="77777777" w:rsidR="00036C7E" w:rsidRPr="00C64BAC" w:rsidRDefault="00036C7E" w:rsidP="00A87137">
            <w:pPr>
              <w:pStyle w:val="TableParagraph"/>
              <w:spacing w:before="1"/>
              <w:ind w:left="100" w:right="100"/>
              <w:jc w:val="center"/>
              <w:rPr>
                <w:rFonts w:ascii="Calibri"/>
                <w:sz w:val="20"/>
              </w:rPr>
            </w:pPr>
            <w:r w:rsidRPr="00C64BAC">
              <w:rPr>
                <w:rFonts w:ascii="Calibri"/>
                <w:sz w:val="20"/>
              </w:rPr>
              <w:t>PI</w:t>
            </w:r>
          </w:p>
        </w:tc>
        <w:tc>
          <w:tcPr>
            <w:tcW w:w="873" w:type="dxa"/>
          </w:tcPr>
          <w:p w14:paraId="58C0700C" w14:textId="77777777" w:rsidR="00036C7E" w:rsidRPr="00C64BAC" w:rsidRDefault="00036C7E" w:rsidP="00A87137">
            <w:pPr>
              <w:pStyle w:val="TableParagraph"/>
              <w:spacing w:before="7"/>
              <w:rPr>
                <w:rFonts w:ascii="Times New Roman"/>
                <w:sz w:val="27"/>
              </w:rPr>
            </w:pPr>
          </w:p>
          <w:p w14:paraId="69975034" w14:textId="77777777" w:rsidR="00036C7E" w:rsidRPr="00C64BAC" w:rsidRDefault="00036C7E" w:rsidP="00A87137">
            <w:pPr>
              <w:pStyle w:val="TableParagraph"/>
              <w:spacing w:before="1"/>
              <w:ind w:left="201"/>
              <w:rPr>
                <w:rFonts w:ascii="Calibri"/>
                <w:sz w:val="20"/>
              </w:rPr>
            </w:pPr>
            <w:r w:rsidRPr="00C64BAC">
              <w:rPr>
                <w:rFonts w:ascii="Calibri"/>
                <w:sz w:val="20"/>
              </w:rPr>
              <w:t xml:space="preserve">UC </w:t>
            </w:r>
          </w:p>
        </w:tc>
        <w:tc>
          <w:tcPr>
            <w:tcW w:w="872" w:type="dxa"/>
          </w:tcPr>
          <w:p w14:paraId="6CECBE8B" w14:textId="77777777" w:rsidR="00036C7E" w:rsidRPr="00C64BAC" w:rsidRDefault="00036C7E" w:rsidP="00A87137">
            <w:pPr>
              <w:pStyle w:val="TableParagraph"/>
              <w:spacing w:before="7"/>
              <w:rPr>
                <w:rFonts w:ascii="Times New Roman"/>
                <w:sz w:val="27"/>
              </w:rPr>
            </w:pPr>
          </w:p>
          <w:p w14:paraId="5156CAAA" w14:textId="77777777" w:rsidR="00036C7E" w:rsidRPr="00C64BAC" w:rsidRDefault="00036C7E" w:rsidP="00A87137">
            <w:pPr>
              <w:pStyle w:val="TableParagraph"/>
              <w:spacing w:before="1"/>
              <w:ind w:left="245"/>
              <w:rPr>
                <w:rFonts w:ascii="Calibri"/>
                <w:sz w:val="20"/>
              </w:rPr>
            </w:pPr>
            <w:r w:rsidRPr="00C64BAC">
              <w:rPr>
                <w:rFonts w:ascii="Calibri"/>
                <w:sz w:val="20"/>
              </w:rPr>
              <w:t>PI</w:t>
            </w:r>
          </w:p>
        </w:tc>
        <w:tc>
          <w:tcPr>
            <w:tcW w:w="873" w:type="dxa"/>
          </w:tcPr>
          <w:p w14:paraId="09A9B274" w14:textId="77777777" w:rsidR="00036C7E" w:rsidRPr="00C64BAC" w:rsidRDefault="00036C7E" w:rsidP="00A87137">
            <w:pPr>
              <w:pStyle w:val="TableParagraph"/>
              <w:spacing w:before="7"/>
              <w:rPr>
                <w:rFonts w:ascii="Times New Roman"/>
                <w:sz w:val="27"/>
              </w:rPr>
            </w:pPr>
          </w:p>
          <w:p w14:paraId="4E2FC5AF" w14:textId="77777777" w:rsidR="00036C7E" w:rsidRPr="00C64BAC" w:rsidRDefault="00036C7E" w:rsidP="00A87137">
            <w:pPr>
              <w:pStyle w:val="TableParagraph"/>
              <w:spacing w:before="1"/>
              <w:ind w:left="147" w:right="147"/>
              <w:jc w:val="center"/>
              <w:rPr>
                <w:rFonts w:ascii="Calibri"/>
                <w:sz w:val="20"/>
              </w:rPr>
            </w:pPr>
            <w:r w:rsidRPr="00C64BAC">
              <w:rPr>
                <w:rFonts w:ascii="Calibri"/>
                <w:sz w:val="20"/>
              </w:rPr>
              <w:t>UC</w:t>
            </w:r>
          </w:p>
        </w:tc>
        <w:tc>
          <w:tcPr>
            <w:tcW w:w="872" w:type="dxa"/>
          </w:tcPr>
          <w:p w14:paraId="19BFB799" w14:textId="77777777" w:rsidR="00036C7E" w:rsidRPr="00C64BAC" w:rsidRDefault="00036C7E" w:rsidP="00A87137">
            <w:pPr>
              <w:pStyle w:val="TableParagraph"/>
              <w:spacing w:before="7"/>
              <w:rPr>
                <w:rFonts w:ascii="Times New Roman"/>
                <w:sz w:val="27"/>
              </w:rPr>
            </w:pPr>
          </w:p>
          <w:p w14:paraId="6AF32712" w14:textId="77777777" w:rsidR="00036C7E" w:rsidRPr="00C64BAC" w:rsidRDefault="00036C7E" w:rsidP="00A87137">
            <w:pPr>
              <w:pStyle w:val="TableParagraph"/>
              <w:spacing w:before="1"/>
              <w:ind w:left="151" w:right="151"/>
              <w:jc w:val="center"/>
              <w:rPr>
                <w:rFonts w:ascii="Calibri"/>
                <w:sz w:val="20"/>
              </w:rPr>
            </w:pPr>
            <w:r w:rsidRPr="00C64BAC">
              <w:rPr>
                <w:rFonts w:ascii="Calibri"/>
                <w:sz w:val="20"/>
              </w:rPr>
              <w:t>PI</w:t>
            </w:r>
          </w:p>
        </w:tc>
        <w:tc>
          <w:tcPr>
            <w:tcW w:w="873" w:type="dxa"/>
          </w:tcPr>
          <w:p w14:paraId="0D2ECA1D" w14:textId="77777777" w:rsidR="00036C7E" w:rsidRDefault="00036C7E" w:rsidP="00A87137">
            <w:pPr>
              <w:pStyle w:val="TableParagraph"/>
              <w:spacing w:before="7"/>
              <w:rPr>
                <w:rFonts w:ascii="Times New Roman"/>
                <w:sz w:val="27"/>
              </w:rPr>
            </w:pPr>
          </w:p>
          <w:p w14:paraId="570C75A7" w14:textId="77777777" w:rsidR="00036C7E" w:rsidRDefault="00036C7E" w:rsidP="00A87137">
            <w:pPr>
              <w:pStyle w:val="TableParagraph"/>
              <w:spacing w:before="1"/>
              <w:ind w:left="148" w:right="147"/>
              <w:jc w:val="center"/>
              <w:rPr>
                <w:rFonts w:ascii="Calibri"/>
                <w:sz w:val="20"/>
              </w:rPr>
            </w:pPr>
            <w:r>
              <w:rPr>
                <w:rFonts w:ascii="Calibri"/>
                <w:sz w:val="20"/>
              </w:rPr>
              <w:t>AI</w:t>
            </w:r>
          </w:p>
        </w:tc>
        <w:tc>
          <w:tcPr>
            <w:tcW w:w="872" w:type="dxa"/>
          </w:tcPr>
          <w:p w14:paraId="140A6D93" w14:textId="77777777" w:rsidR="00036C7E" w:rsidRDefault="00036C7E" w:rsidP="00A87137">
            <w:pPr>
              <w:pStyle w:val="TableParagraph"/>
              <w:spacing w:before="7"/>
              <w:rPr>
                <w:rFonts w:ascii="Times New Roman"/>
                <w:sz w:val="27"/>
              </w:rPr>
            </w:pPr>
          </w:p>
          <w:p w14:paraId="6F1A5513" w14:textId="77777777" w:rsidR="00036C7E" w:rsidRDefault="00036C7E" w:rsidP="00A87137">
            <w:pPr>
              <w:pStyle w:val="TableParagraph"/>
              <w:spacing w:before="1"/>
              <w:ind w:right="239"/>
              <w:jc w:val="right"/>
              <w:rPr>
                <w:rFonts w:ascii="Calibri"/>
                <w:sz w:val="20"/>
              </w:rPr>
            </w:pPr>
            <w:r>
              <w:rPr>
                <w:rFonts w:ascii="Calibri"/>
                <w:sz w:val="20"/>
              </w:rPr>
              <w:t>AI</w:t>
            </w:r>
          </w:p>
        </w:tc>
        <w:tc>
          <w:tcPr>
            <w:tcW w:w="873" w:type="dxa"/>
          </w:tcPr>
          <w:p w14:paraId="603EAE57" w14:textId="77777777" w:rsidR="00036C7E" w:rsidRDefault="00036C7E" w:rsidP="00A87137">
            <w:pPr>
              <w:pStyle w:val="TableParagraph"/>
              <w:spacing w:before="7"/>
              <w:rPr>
                <w:rFonts w:ascii="Times New Roman"/>
                <w:sz w:val="27"/>
              </w:rPr>
            </w:pPr>
          </w:p>
          <w:p w14:paraId="5FB323EF" w14:textId="77777777" w:rsidR="00036C7E" w:rsidRDefault="00036C7E" w:rsidP="00A87137">
            <w:pPr>
              <w:pStyle w:val="TableParagraph"/>
              <w:spacing w:before="1"/>
              <w:ind w:left="200"/>
              <w:rPr>
                <w:rFonts w:ascii="Calibri"/>
                <w:sz w:val="20"/>
              </w:rPr>
            </w:pPr>
            <w:r>
              <w:rPr>
                <w:rFonts w:ascii="Calibri"/>
                <w:sz w:val="20"/>
              </w:rPr>
              <w:t>IPS</w:t>
            </w:r>
          </w:p>
        </w:tc>
      </w:tr>
      <w:tr w:rsidR="00036C7E" w14:paraId="1BBD5C2E" w14:textId="77777777" w:rsidTr="00310A44">
        <w:trPr>
          <w:trHeight w:hRule="exact" w:val="605"/>
        </w:trPr>
        <w:tc>
          <w:tcPr>
            <w:tcW w:w="8791" w:type="dxa"/>
            <w:shd w:val="clear" w:color="auto" w:fill="F1F1F1"/>
          </w:tcPr>
          <w:p w14:paraId="37CC9A13" w14:textId="77777777" w:rsidR="00036C7E" w:rsidRDefault="00036C7E" w:rsidP="00A87137">
            <w:pPr>
              <w:pStyle w:val="TableParagraph"/>
              <w:spacing w:before="55"/>
              <w:ind w:left="474" w:hanging="360"/>
            </w:pPr>
            <w:r>
              <w:t>17. That each jurisdiction requires genuine independent third-party review for specified components of designs and/or certain types of buildings.</w:t>
            </w:r>
          </w:p>
        </w:tc>
        <w:tc>
          <w:tcPr>
            <w:tcW w:w="872" w:type="dxa"/>
          </w:tcPr>
          <w:p w14:paraId="3F3FA74A" w14:textId="77777777" w:rsidR="00036C7E" w:rsidRPr="00C64BAC" w:rsidRDefault="00036C7E" w:rsidP="00A87137">
            <w:pPr>
              <w:pStyle w:val="TableParagraph"/>
              <w:spacing w:before="66"/>
              <w:ind w:left="254" w:right="98" w:hanging="137"/>
              <w:rPr>
                <w:rFonts w:ascii="Calibri"/>
                <w:sz w:val="20"/>
              </w:rPr>
            </w:pPr>
            <w:r w:rsidRPr="00C64BAC">
              <w:rPr>
                <w:rFonts w:ascii="Calibri"/>
                <w:sz w:val="20"/>
              </w:rPr>
              <w:t xml:space="preserve">IP &amp; PI </w:t>
            </w:r>
          </w:p>
        </w:tc>
        <w:tc>
          <w:tcPr>
            <w:tcW w:w="873" w:type="dxa"/>
          </w:tcPr>
          <w:p w14:paraId="08019A4D" w14:textId="77777777" w:rsidR="00036C7E" w:rsidRPr="00C64BAC" w:rsidRDefault="00036C7E" w:rsidP="00A87137">
            <w:pPr>
              <w:pStyle w:val="TableParagraph"/>
              <w:spacing w:before="4"/>
              <w:rPr>
                <w:rFonts w:ascii="Times New Roman"/>
                <w:sz w:val="16"/>
              </w:rPr>
            </w:pPr>
          </w:p>
          <w:p w14:paraId="40893C56" w14:textId="77777777" w:rsidR="00036C7E" w:rsidRPr="00C64BAC" w:rsidRDefault="00036C7E" w:rsidP="00A87137">
            <w:pPr>
              <w:pStyle w:val="TableParagraph"/>
              <w:spacing w:before="1"/>
              <w:ind w:left="201"/>
              <w:rPr>
                <w:rFonts w:ascii="Calibri"/>
                <w:sz w:val="20"/>
              </w:rPr>
            </w:pPr>
            <w:r w:rsidRPr="00C64BAC">
              <w:rPr>
                <w:rFonts w:ascii="Calibri"/>
                <w:sz w:val="20"/>
              </w:rPr>
              <w:t xml:space="preserve">UC </w:t>
            </w:r>
          </w:p>
        </w:tc>
        <w:tc>
          <w:tcPr>
            <w:tcW w:w="872" w:type="dxa"/>
          </w:tcPr>
          <w:p w14:paraId="6BDC8A34" w14:textId="77777777" w:rsidR="00036C7E" w:rsidRPr="00C64BAC" w:rsidRDefault="00036C7E" w:rsidP="00A87137">
            <w:pPr>
              <w:pStyle w:val="TableParagraph"/>
              <w:spacing w:before="4"/>
              <w:rPr>
                <w:rFonts w:ascii="Times New Roman"/>
                <w:sz w:val="16"/>
              </w:rPr>
            </w:pPr>
          </w:p>
          <w:p w14:paraId="06AEDA5D" w14:textId="77777777" w:rsidR="00036C7E" w:rsidRPr="00C64BAC" w:rsidRDefault="00036C7E" w:rsidP="00A87137">
            <w:pPr>
              <w:pStyle w:val="TableParagraph"/>
              <w:spacing w:before="1"/>
              <w:ind w:left="199"/>
              <w:rPr>
                <w:rFonts w:ascii="Calibri"/>
                <w:sz w:val="20"/>
              </w:rPr>
            </w:pPr>
            <w:r w:rsidRPr="00C64BAC">
              <w:rPr>
                <w:rFonts w:ascii="Calibri"/>
                <w:sz w:val="20"/>
              </w:rPr>
              <w:t xml:space="preserve">PI </w:t>
            </w:r>
          </w:p>
        </w:tc>
        <w:tc>
          <w:tcPr>
            <w:tcW w:w="873" w:type="dxa"/>
          </w:tcPr>
          <w:p w14:paraId="7CFBE3CB" w14:textId="77777777" w:rsidR="00036C7E" w:rsidRPr="00C64BAC" w:rsidRDefault="00036C7E" w:rsidP="00A87137">
            <w:pPr>
              <w:pStyle w:val="TableParagraph"/>
              <w:spacing w:before="4"/>
              <w:rPr>
                <w:rFonts w:ascii="Times New Roman"/>
                <w:sz w:val="16"/>
              </w:rPr>
            </w:pPr>
          </w:p>
          <w:p w14:paraId="665EE3EC" w14:textId="77777777" w:rsidR="00036C7E" w:rsidRPr="00C64BAC" w:rsidRDefault="00036C7E" w:rsidP="00A87137">
            <w:pPr>
              <w:pStyle w:val="TableParagraph"/>
              <w:spacing w:before="1"/>
              <w:ind w:left="146" w:right="147"/>
              <w:jc w:val="center"/>
              <w:rPr>
                <w:rFonts w:ascii="Calibri"/>
                <w:sz w:val="20"/>
              </w:rPr>
            </w:pPr>
            <w:r w:rsidRPr="00C64BAC">
              <w:rPr>
                <w:rFonts w:ascii="Calibri"/>
                <w:sz w:val="20"/>
              </w:rPr>
              <w:t>UC</w:t>
            </w:r>
          </w:p>
        </w:tc>
        <w:tc>
          <w:tcPr>
            <w:tcW w:w="872" w:type="dxa"/>
          </w:tcPr>
          <w:p w14:paraId="615AB444" w14:textId="77777777" w:rsidR="00036C7E" w:rsidRPr="00C64BAC" w:rsidRDefault="00036C7E" w:rsidP="00A87137">
            <w:pPr>
              <w:pStyle w:val="TableParagraph"/>
              <w:spacing w:before="4"/>
              <w:rPr>
                <w:rFonts w:ascii="Times New Roman"/>
                <w:sz w:val="16"/>
              </w:rPr>
            </w:pPr>
          </w:p>
          <w:p w14:paraId="6FC2853E" w14:textId="77777777" w:rsidR="00036C7E" w:rsidRPr="00C64BAC" w:rsidRDefault="00036C7E" w:rsidP="00A87137">
            <w:pPr>
              <w:pStyle w:val="TableParagraph"/>
              <w:spacing w:before="1"/>
              <w:ind w:left="151" w:right="152"/>
              <w:jc w:val="center"/>
              <w:rPr>
                <w:rFonts w:ascii="Calibri"/>
                <w:sz w:val="20"/>
              </w:rPr>
            </w:pPr>
            <w:r w:rsidRPr="00C64BAC">
              <w:rPr>
                <w:rFonts w:ascii="Calibri"/>
                <w:sz w:val="20"/>
              </w:rPr>
              <w:t>UC</w:t>
            </w:r>
          </w:p>
        </w:tc>
        <w:tc>
          <w:tcPr>
            <w:tcW w:w="873" w:type="dxa"/>
          </w:tcPr>
          <w:p w14:paraId="147E94FC" w14:textId="77777777" w:rsidR="00036C7E" w:rsidRDefault="00036C7E" w:rsidP="00A87137">
            <w:pPr>
              <w:pStyle w:val="TableParagraph"/>
              <w:spacing w:before="4"/>
              <w:rPr>
                <w:rFonts w:ascii="Times New Roman"/>
                <w:sz w:val="16"/>
              </w:rPr>
            </w:pPr>
          </w:p>
          <w:p w14:paraId="57264BF5" w14:textId="77777777" w:rsidR="00036C7E" w:rsidRDefault="00036C7E" w:rsidP="00A87137">
            <w:pPr>
              <w:pStyle w:val="TableParagraph"/>
              <w:spacing w:before="1"/>
              <w:ind w:left="147" w:right="147"/>
              <w:jc w:val="center"/>
              <w:rPr>
                <w:rFonts w:ascii="Calibri"/>
                <w:sz w:val="20"/>
              </w:rPr>
            </w:pPr>
            <w:r>
              <w:rPr>
                <w:rFonts w:ascii="Calibri"/>
                <w:sz w:val="20"/>
              </w:rPr>
              <w:t>AI</w:t>
            </w:r>
          </w:p>
        </w:tc>
        <w:tc>
          <w:tcPr>
            <w:tcW w:w="872" w:type="dxa"/>
          </w:tcPr>
          <w:p w14:paraId="733CC99F" w14:textId="77777777" w:rsidR="00036C7E" w:rsidRDefault="00036C7E" w:rsidP="00A87137">
            <w:pPr>
              <w:pStyle w:val="TableParagraph"/>
              <w:spacing w:before="4"/>
              <w:rPr>
                <w:rFonts w:ascii="Times New Roman"/>
                <w:sz w:val="16"/>
              </w:rPr>
            </w:pPr>
          </w:p>
          <w:p w14:paraId="7E0FCDDF" w14:textId="77777777" w:rsidR="00036C7E" w:rsidRDefault="00036C7E" w:rsidP="00A87137">
            <w:pPr>
              <w:pStyle w:val="TableParagraph"/>
              <w:spacing w:before="1"/>
              <w:ind w:right="205"/>
              <w:jc w:val="right"/>
              <w:rPr>
                <w:rFonts w:ascii="Calibri"/>
                <w:sz w:val="20"/>
              </w:rPr>
            </w:pPr>
            <w:r>
              <w:rPr>
                <w:rFonts w:ascii="Calibri"/>
                <w:sz w:val="20"/>
              </w:rPr>
              <w:t>UC</w:t>
            </w:r>
          </w:p>
        </w:tc>
        <w:tc>
          <w:tcPr>
            <w:tcW w:w="873" w:type="dxa"/>
          </w:tcPr>
          <w:p w14:paraId="3F59E09E" w14:textId="77777777" w:rsidR="00036C7E" w:rsidRDefault="00036C7E" w:rsidP="00A87137">
            <w:pPr>
              <w:pStyle w:val="TableParagraph"/>
              <w:spacing w:before="4"/>
              <w:rPr>
                <w:rFonts w:ascii="Times New Roman"/>
                <w:sz w:val="16"/>
              </w:rPr>
            </w:pPr>
          </w:p>
          <w:p w14:paraId="760AE9EF" w14:textId="77777777" w:rsidR="00036C7E" w:rsidRDefault="00036C7E" w:rsidP="00A87137">
            <w:pPr>
              <w:pStyle w:val="TableParagraph"/>
              <w:spacing w:before="1"/>
              <w:ind w:left="199"/>
              <w:rPr>
                <w:rFonts w:ascii="Calibri"/>
                <w:sz w:val="20"/>
              </w:rPr>
            </w:pPr>
            <w:r>
              <w:rPr>
                <w:rFonts w:ascii="Calibri"/>
                <w:sz w:val="20"/>
              </w:rPr>
              <w:t>IPS</w:t>
            </w:r>
          </w:p>
        </w:tc>
      </w:tr>
      <w:tr w:rsidR="00036C7E" w14:paraId="6C5ED389" w14:textId="77777777" w:rsidTr="00310A44">
        <w:trPr>
          <w:trHeight w:hRule="exact" w:val="600"/>
        </w:trPr>
        <w:tc>
          <w:tcPr>
            <w:tcW w:w="8791" w:type="dxa"/>
            <w:shd w:val="clear" w:color="auto" w:fill="F1F1F1"/>
          </w:tcPr>
          <w:p w14:paraId="4A8608FB" w14:textId="77777777" w:rsidR="00036C7E" w:rsidRDefault="00036C7E" w:rsidP="00A87137">
            <w:pPr>
              <w:pStyle w:val="TableParagraph"/>
              <w:spacing w:before="55"/>
              <w:ind w:left="474" w:hanging="360"/>
            </w:pPr>
            <w:r>
              <w:t>18. That each jurisdiction requires on-site inspections of building work at identified notification stages.</w:t>
            </w:r>
          </w:p>
        </w:tc>
        <w:tc>
          <w:tcPr>
            <w:tcW w:w="872" w:type="dxa"/>
          </w:tcPr>
          <w:p w14:paraId="13136ED6" w14:textId="77777777" w:rsidR="00036C7E" w:rsidRPr="00C64BAC" w:rsidRDefault="00036C7E" w:rsidP="00A87137">
            <w:pPr>
              <w:pStyle w:val="TableParagraph"/>
              <w:spacing w:before="64"/>
              <w:ind w:left="213" w:right="137" w:hanging="56"/>
              <w:rPr>
                <w:rFonts w:ascii="Calibri"/>
                <w:sz w:val="20"/>
              </w:rPr>
            </w:pPr>
            <w:r w:rsidRPr="00C64BAC">
              <w:rPr>
                <w:rFonts w:ascii="Calibri"/>
                <w:sz w:val="20"/>
              </w:rPr>
              <w:t>AI &amp; UC</w:t>
            </w:r>
          </w:p>
        </w:tc>
        <w:tc>
          <w:tcPr>
            <w:tcW w:w="873" w:type="dxa"/>
          </w:tcPr>
          <w:p w14:paraId="6B8FBF90" w14:textId="77777777" w:rsidR="00036C7E" w:rsidRPr="00C64BAC" w:rsidRDefault="00036C7E" w:rsidP="00A87137">
            <w:pPr>
              <w:pStyle w:val="TableParagraph"/>
              <w:spacing w:before="2"/>
              <w:rPr>
                <w:rFonts w:ascii="Times New Roman"/>
                <w:sz w:val="16"/>
              </w:rPr>
            </w:pPr>
          </w:p>
          <w:p w14:paraId="04B4DD85" w14:textId="77777777" w:rsidR="00036C7E" w:rsidRPr="00C64BAC" w:rsidRDefault="00036C7E" w:rsidP="00A87137">
            <w:pPr>
              <w:pStyle w:val="TableParagraph"/>
              <w:ind w:left="239"/>
              <w:rPr>
                <w:rFonts w:ascii="Calibri"/>
                <w:sz w:val="20"/>
              </w:rPr>
            </w:pPr>
            <w:r w:rsidRPr="00C64BAC">
              <w:rPr>
                <w:rFonts w:ascii="Calibri"/>
                <w:sz w:val="20"/>
              </w:rPr>
              <w:t>AI</w:t>
            </w:r>
          </w:p>
        </w:tc>
        <w:tc>
          <w:tcPr>
            <w:tcW w:w="872" w:type="dxa"/>
          </w:tcPr>
          <w:p w14:paraId="29A2E181" w14:textId="77777777" w:rsidR="00036C7E" w:rsidRPr="00C64BAC" w:rsidRDefault="00036C7E" w:rsidP="00A87137">
            <w:pPr>
              <w:pStyle w:val="TableParagraph"/>
              <w:spacing w:before="2"/>
              <w:rPr>
                <w:rFonts w:ascii="Times New Roman"/>
                <w:sz w:val="16"/>
              </w:rPr>
            </w:pPr>
          </w:p>
          <w:p w14:paraId="68B1CF74" w14:textId="77777777" w:rsidR="00036C7E" w:rsidRPr="00C64BAC" w:rsidRDefault="00036C7E" w:rsidP="00A87137">
            <w:pPr>
              <w:pStyle w:val="TableParagraph"/>
              <w:ind w:left="237"/>
              <w:rPr>
                <w:rFonts w:ascii="Calibri"/>
                <w:sz w:val="20"/>
              </w:rPr>
            </w:pPr>
            <w:r w:rsidRPr="00C64BAC">
              <w:rPr>
                <w:rFonts w:ascii="Calibri"/>
                <w:sz w:val="20"/>
              </w:rPr>
              <w:t>AI</w:t>
            </w:r>
          </w:p>
        </w:tc>
        <w:tc>
          <w:tcPr>
            <w:tcW w:w="873" w:type="dxa"/>
          </w:tcPr>
          <w:p w14:paraId="08707AD2" w14:textId="77777777" w:rsidR="00036C7E" w:rsidRPr="00C64BAC" w:rsidRDefault="00036C7E" w:rsidP="00A87137">
            <w:pPr>
              <w:pStyle w:val="TableParagraph"/>
              <w:spacing w:before="2"/>
              <w:rPr>
                <w:rFonts w:ascii="Times New Roman"/>
                <w:sz w:val="16"/>
              </w:rPr>
            </w:pPr>
          </w:p>
          <w:p w14:paraId="5E24906C" w14:textId="77777777" w:rsidR="00036C7E" w:rsidRPr="00C64BAC" w:rsidRDefault="00036C7E" w:rsidP="00A87137">
            <w:pPr>
              <w:pStyle w:val="TableParagraph"/>
              <w:ind w:left="146" w:right="147"/>
              <w:jc w:val="center"/>
              <w:rPr>
                <w:rFonts w:ascii="Calibri"/>
                <w:sz w:val="20"/>
              </w:rPr>
            </w:pPr>
            <w:r w:rsidRPr="00C64BAC">
              <w:rPr>
                <w:rFonts w:ascii="Calibri"/>
                <w:sz w:val="20"/>
              </w:rPr>
              <w:t xml:space="preserve"> UC </w:t>
            </w:r>
          </w:p>
        </w:tc>
        <w:tc>
          <w:tcPr>
            <w:tcW w:w="872" w:type="dxa"/>
          </w:tcPr>
          <w:p w14:paraId="3BC559AC" w14:textId="77777777" w:rsidR="00036C7E" w:rsidRPr="00C64BAC" w:rsidRDefault="00036C7E" w:rsidP="00A87137">
            <w:pPr>
              <w:pStyle w:val="TableParagraph"/>
              <w:spacing w:before="2"/>
              <w:rPr>
                <w:rFonts w:ascii="Times New Roman"/>
                <w:sz w:val="16"/>
              </w:rPr>
            </w:pPr>
          </w:p>
          <w:p w14:paraId="1D0DFE8B" w14:textId="77777777" w:rsidR="00036C7E" w:rsidRPr="00C64BAC" w:rsidRDefault="00036C7E" w:rsidP="00A87137">
            <w:pPr>
              <w:pStyle w:val="TableParagraph"/>
              <w:ind w:left="151" w:right="152"/>
              <w:jc w:val="center"/>
              <w:rPr>
                <w:rFonts w:ascii="Calibri"/>
                <w:sz w:val="20"/>
              </w:rPr>
            </w:pPr>
            <w:r w:rsidRPr="00C64BAC">
              <w:rPr>
                <w:rFonts w:ascii="Calibri"/>
                <w:sz w:val="20"/>
              </w:rPr>
              <w:t>IPS</w:t>
            </w:r>
          </w:p>
        </w:tc>
        <w:tc>
          <w:tcPr>
            <w:tcW w:w="873" w:type="dxa"/>
          </w:tcPr>
          <w:p w14:paraId="3CEAD2EB" w14:textId="77777777" w:rsidR="00036C7E" w:rsidRDefault="00036C7E" w:rsidP="00A87137">
            <w:pPr>
              <w:pStyle w:val="TableParagraph"/>
              <w:spacing w:before="2"/>
              <w:rPr>
                <w:rFonts w:ascii="Times New Roman"/>
                <w:sz w:val="16"/>
              </w:rPr>
            </w:pPr>
          </w:p>
          <w:p w14:paraId="17AA5299" w14:textId="77777777" w:rsidR="00036C7E" w:rsidRDefault="00036C7E" w:rsidP="00A87137">
            <w:pPr>
              <w:pStyle w:val="TableParagraph"/>
              <w:ind w:left="148" w:right="147"/>
              <w:jc w:val="center"/>
              <w:rPr>
                <w:rFonts w:ascii="Calibri"/>
                <w:sz w:val="20"/>
              </w:rPr>
            </w:pPr>
            <w:r>
              <w:rPr>
                <w:rFonts w:ascii="Calibri"/>
                <w:sz w:val="20"/>
              </w:rPr>
              <w:t>AI</w:t>
            </w:r>
          </w:p>
        </w:tc>
        <w:tc>
          <w:tcPr>
            <w:tcW w:w="872" w:type="dxa"/>
          </w:tcPr>
          <w:p w14:paraId="7C2F6728" w14:textId="77777777" w:rsidR="00036C7E" w:rsidRDefault="00036C7E" w:rsidP="00A87137">
            <w:pPr>
              <w:pStyle w:val="TableParagraph"/>
              <w:spacing w:before="2"/>
              <w:rPr>
                <w:rFonts w:ascii="Times New Roman"/>
                <w:sz w:val="16"/>
              </w:rPr>
            </w:pPr>
          </w:p>
          <w:p w14:paraId="419576D9" w14:textId="77777777" w:rsidR="00036C7E" w:rsidRDefault="00036C7E" w:rsidP="00A87137">
            <w:pPr>
              <w:pStyle w:val="TableParagraph"/>
              <w:ind w:right="240"/>
              <w:jc w:val="right"/>
              <w:rPr>
                <w:rFonts w:ascii="Calibri"/>
                <w:sz w:val="20"/>
              </w:rPr>
            </w:pPr>
            <w:r>
              <w:rPr>
                <w:rFonts w:ascii="Calibri"/>
                <w:sz w:val="20"/>
              </w:rPr>
              <w:t>AI</w:t>
            </w:r>
          </w:p>
        </w:tc>
        <w:tc>
          <w:tcPr>
            <w:tcW w:w="873" w:type="dxa"/>
          </w:tcPr>
          <w:p w14:paraId="1DFD2C7D" w14:textId="77777777" w:rsidR="00036C7E" w:rsidRDefault="00036C7E" w:rsidP="00A87137">
            <w:pPr>
              <w:pStyle w:val="TableParagraph"/>
              <w:spacing w:before="2"/>
              <w:rPr>
                <w:rFonts w:ascii="Times New Roman"/>
                <w:sz w:val="16"/>
              </w:rPr>
            </w:pPr>
          </w:p>
          <w:p w14:paraId="14A08018" w14:textId="77777777" w:rsidR="00036C7E" w:rsidRDefault="00036C7E" w:rsidP="00A87137">
            <w:pPr>
              <w:pStyle w:val="TableParagraph"/>
              <w:ind w:left="245"/>
              <w:rPr>
                <w:rFonts w:ascii="Calibri"/>
                <w:sz w:val="20"/>
              </w:rPr>
            </w:pPr>
            <w:r>
              <w:rPr>
                <w:rFonts w:ascii="Calibri"/>
                <w:sz w:val="20"/>
              </w:rPr>
              <w:t>PI</w:t>
            </w:r>
          </w:p>
        </w:tc>
      </w:tr>
      <w:tr w:rsidR="00036C7E" w14:paraId="578375EA" w14:textId="77777777" w:rsidTr="00310A44">
        <w:trPr>
          <w:trHeight w:hRule="exact" w:val="602"/>
        </w:trPr>
        <w:tc>
          <w:tcPr>
            <w:tcW w:w="8791" w:type="dxa"/>
            <w:shd w:val="clear" w:color="auto" w:fill="F1F1F1"/>
          </w:tcPr>
          <w:p w14:paraId="0CE61F2A" w14:textId="77777777" w:rsidR="00036C7E" w:rsidRDefault="00036C7E" w:rsidP="00A87137">
            <w:pPr>
              <w:pStyle w:val="TableParagraph"/>
              <w:spacing w:before="55"/>
              <w:ind w:left="474" w:right="228" w:hanging="360"/>
            </w:pPr>
            <w:r>
              <w:t>19. That each jurisdiction requires registered fire safety practitioners to design, install and certify the fire safety systems necessary in Commercial buildings.</w:t>
            </w:r>
          </w:p>
        </w:tc>
        <w:tc>
          <w:tcPr>
            <w:tcW w:w="872" w:type="dxa"/>
          </w:tcPr>
          <w:p w14:paraId="7346536A" w14:textId="77777777" w:rsidR="00036C7E" w:rsidRPr="00C64BAC" w:rsidRDefault="00036C7E" w:rsidP="00A87137">
            <w:pPr>
              <w:pStyle w:val="TableParagraph"/>
              <w:spacing w:before="66"/>
              <w:ind w:left="213" w:right="145" w:hanging="51"/>
              <w:rPr>
                <w:rFonts w:ascii="Calibri"/>
                <w:sz w:val="20"/>
              </w:rPr>
            </w:pPr>
            <w:r w:rsidRPr="00C64BAC">
              <w:rPr>
                <w:rFonts w:ascii="Calibri"/>
                <w:sz w:val="20"/>
              </w:rPr>
              <w:t>PI &amp; UC</w:t>
            </w:r>
          </w:p>
        </w:tc>
        <w:tc>
          <w:tcPr>
            <w:tcW w:w="873" w:type="dxa"/>
          </w:tcPr>
          <w:p w14:paraId="6BFAFC72" w14:textId="77777777" w:rsidR="00036C7E" w:rsidRPr="00C64BAC" w:rsidRDefault="00036C7E" w:rsidP="00A87137">
            <w:pPr>
              <w:pStyle w:val="TableParagraph"/>
              <w:spacing w:before="4"/>
              <w:rPr>
                <w:rFonts w:ascii="Times New Roman"/>
                <w:sz w:val="16"/>
              </w:rPr>
            </w:pPr>
          </w:p>
          <w:p w14:paraId="16B393D5" w14:textId="77777777" w:rsidR="00036C7E" w:rsidRPr="00C64BAC" w:rsidRDefault="00036C7E" w:rsidP="00A87137">
            <w:pPr>
              <w:pStyle w:val="TableParagraph"/>
              <w:ind w:left="201"/>
              <w:rPr>
                <w:rFonts w:ascii="Calibri"/>
                <w:sz w:val="20"/>
              </w:rPr>
            </w:pPr>
            <w:r w:rsidRPr="00C64BAC">
              <w:rPr>
                <w:rFonts w:ascii="Calibri"/>
                <w:sz w:val="20"/>
              </w:rPr>
              <w:t xml:space="preserve">UC </w:t>
            </w:r>
          </w:p>
        </w:tc>
        <w:tc>
          <w:tcPr>
            <w:tcW w:w="872" w:type="dxa"/>
          </w:tcPr>
          <w:p w14:paraId="023B13F2" w14:textId="77777777" w:rsidR="00036C7E" w:rsidRPr="00C64BAC" w:rsidRDefault="00036C7E" w:rsidP="00A87137">
            <w:pPr>
              <w:pStyle w:val="TableParagraph"/>
              <w:spacing w:before="4"/>
              <w:rPr>
                <w:rFonts w:ascii="Times New Roman"/>
                <w:sz w:val="16"/>
              </w:rPr>
            </w:pPr>
          </w:p>
          <w:p w14:paraId="2F78DBEB" w14:textId="77777777" w:rsidR="00036C7E" w:rsidRPr="00C64BAC" w:rsidRDefault="00036C7E" w:rsidP="00A87137">
            <w:pPr>
              <w:pStyle w:val="TableParagraph"/>
              <w:ind w:left="244"/>
              <w:rPr>
                <w:rFonts w:ascii="Calibri"/>
                <w:sz w:val="20"/>
              </w:rPr>
            </w:pPr>
            <w:r w:rsidRPr="00C64BAC">
              <w:rPr>
                <w:rFonts w:ascii="Calibri"/>
                <w:sz w:val="20"/>
              </w:rPr>
              <w:t>PI</w:t>
            </w:r>
          </w:p>
        </w:tc>
        <w:tc>
          <w:tcPr>
            <w:tcW w:w="873" w:type="dxa"/>
          </w:tcPr>
          <w:p w14:paraId="4A999845" w14:textId="77777777" w:rsidR="00036C7E" w:rsidRPr="00C64BAC" w:rsidRDefault="00036C7E" w:rsidP="00A87137">
            <w:pPr>
              <w:pStyle w:val="TableParagraph"/>
              <w:spacing w:before="4"/>
              <w:rPr>
                <w:rFonts w:ascii="Times New Roman"/>
                <w:sz w:val="16"/>
              </w:rPr>
            </w:pPr>
          </w:p>
          <w:p w14:paraId="01736E01" w14:textId="77777777" w:rsidR="00036C7E" w:rsidRPr="00C64BAC" w:rsidRDefault="00036C7E" w:rsidP="00A87137">
            <w:pPr>
              <w:pStyle w:val="TableParagraph"/>
              <w:ind w:left="146" w:right="147"/>
              <w:jc w:val="center"/>
              <w:rPr>
                <w:rFonts w:ascii="Calibri"/>
                <w:sz w:val="20"/>
              </w:rPr>
            </w:pPr>
            <w:r w:rsidRPr="00C64BAC">
              <w:rPr>
                <w:rFonts w:ascii="Calibri"/>
                <w:sz w:val="20"/>
              </w:rPr>
              <w:t>UC</w:t>
            </w:r>
          </w:p>
        </w:tc>
        <w:tc>
          <w:tcPr>
            <w:tcW w:w="872" w:type="dxa"/>
          </w:tcPr>
          <w:p w14:paraId="444FD529" w14:textId="77777777" w:rsidR="00036C7E" w:rsidRPr="00C64BAC" w:rsidRDefault="00036C7E" w:rsidP="00A87137">
            <w:pPr>
              <w:pStyle w:val="TableParagraph"/>
              <w:spacing w:before="4"/>
              <w:rPr>
                <w:rFonts w:ascii="Times New Roman"/>
                <w:sz w:val="16"/>
              </w:rPr>
            </w:pPr>
          </w:p>
          <w:p w14:paraId="45B15399" w14:textId="77777777" w:rsidR="00036C7E" w:rsidRPr="00C64BAC" w:rsidRDefault="00036C7E" w:rsidP="00A87137">
            <w:pPr>
              <w:pStyle w:val="TableParagraph"/>
              <w:ind w:left="151" w:right="153"/>
              <w:jc w:val="center"/>
              <w:rPr>
                <w:rFonts w:ascii="Calibri"/>
                <w:sz w:val="20"/>
              </w:rPr>
            </w:pPr>
            <w:r w:rsidRPr="00C64BAC">
              <w:rPr>
                <w:rFonts w:ascii="Calibri"/>
                <w:sz w:val="20"/>
              </w:rPr>
              <w:t>PI</w:t>
            </w:r>
          </w:p>
        </w:tc>
        <w:tc>
          <w:tcPr>
            <w:tcW w:w="873" w:type="dxa"/>
          </w:tcPr>
          <w:p w14:paraId="3EE0E162" w14:textId="77777777" w:rsidR="00036C7E" w:rsidRDefault="00036C7E" w:rsidP="00A87137">
            <w:pPr>
              <w:pStyle w:val="TableParagraph"/>
              <w:spacing w:before="4"/>
              <w:rPr>
                <w:rFonts w:ascii="Times New Roman"/>
                <w:sz w:val="16"/>
              </w:rPr>
            </w:pPr>
          </w:p>
          <w:p w14:paraId="54334D68" w14:textId="77777777" w:rsidR="00036C7E" w:rsidRDefault="00036C7E" w:rsidP="00A87137">
            <w:pPr>
              <w:pStyle w:val="TableParagraph"/>
              <w:ind w:left="148" w:right="145"/>
              <w:jc w:val="center"/>
              <w:rPr>
                <w:rFonts w:ascii="Calibri"/>
                <w:sz w:val="20"/>
              </w:rPr>
            </w:pPr>
            <w:r>
              <w:rPr>
                <w:rFonts w:ascii="Calibri"/>
                <w:sz w:val="20"/>
              </w:rPr>
              <w:t>PI</w:t>
            </w:r>
          </w:p>
        </w:tc>
        <w:tc>
          <w:tcPr>
            <w:tcW w:w="872" w:type="dxa"/>
          </w:tcPr>
          <w:p w14:paraId="4F2D82B2" w14:textId="77777777" w:rsidR="00036C7E" w:rsidRDefault="00036C7E" w:rsidP="00A87137">
            <w:pPr>
              <w:pStyle w:val="TableParagraph"/>
              <w:spacing w:before="4"/>
              <w:rPr>
                <w:rFonts w:ascii="Times New Roman"/>
                <w:sz w:val="16"/>
              </w:rPr>
            </w:pPr>
          </w:p>
          <w:p w14:paraId="1FFBC06E" w14:textId="77777777" w:rsidR="00036C7E" w:rsidRDefault="00036C7E" w:rsidP="00A87137">
            <w:pPr>
              <w:pStyle w:val="TableParagraph"/>
              <w:ind w:right="205"/>
              <w:jc w:val="right"/>
              <w:rPr>
                <w:rFonts w:ascii="Calibri"/>
                <w:sz w:val="20"/>
              </w:rPr>
            </w:pPr>
            <w:r>
              <w:rPr>
                <w:rFonts w:ascii="Calibri"/>
                <w:sz w:val="20"/>
              </w:rPr>
              <w:t>UC</w:t>
            </w:r>
          </w:p>
        </w:tc>
        <w:tc>
          <w:tcPr>
            <w:tcW w:w="873" w:type="dxa"/>
          </w:tcPr>
          <w:p w14:paraId="181206AB" w14:textId="77777777" w:rsidR="00036C7E" w:rsidRDefault="00036C7E" w:rsidP="00A87137">
            <w:pPr>
              <w:pStyle w:val="TableParagraph"/>
              <w:spacing w:before="4"/>
              <w:rPr>
                <w:rFonts w:ascii="Times New Roman"/>
                <w:sz w:val="16"/>
              </w:rPr>
            </w:pPr>
          </w:p>
          <w:p w14:paraId="06968546" w14:textId="77777777" w:rsidR="00036C7E" w:rsidRDefault="00036C7E" w:rsidP="00A87137">
            <w:pPr>
              <w:pStyle w:val="TableParagraph"/>
              <w:ind w:left="199"/>
              <w:rPr>
                <w:rFonts w:ascii="Calibri"/>
                <w:sz w:val="20"/>
              </w:rPr>
            </w:pPr>
            <w:r>
              <w:rPr>
                <w:rFonts w:ascii="Calibri"/>
                <w:sz w:val="20"/>
              </w:rPr>
              <w:t>IPS</w:t>
            </w:r>
          </w:p>
        </w:tc>
      </w:tr>
      <w:tr w:rsidR="00036C7E" w14:paraId="48C204E8" w14:textId="77777777" w:rsidTr="00310A44">
        <w:trPr>
          <w:trHeight w:hRule="exact" w:val="852"/>
        </w:trPr>
        <w:tc>
          <w:tcPr>
            <w:tcW w:w="8791" w:type="dxa"/>
            <w:shd w:val="clear" w:color="auto" w:fill="F1F1F1"/>
          </w:tcPr>
          <w:p w14:paraId="694F87A5" w14:textId="77777777" w:rsidR="00036C7E" w:rsidRDefault="00036C7E" w:rsidP="00A87137">
            <w:pPr>
              <w:pStyle w:val="TableParagraph"/>
              <w:spacing w:before="55"/>
              <w:ind w:left="474" w:hanging="360"/>
            </w:pPr>
            <w:r>
              <w:t>20. That each jurisdiction requires that there be a comprehensive building manual for Commercial buildings that should be lodged with the building owners and made available to successive purchasers of the building.</w:t>
            </w:r>
          </w:p>
        </w:tc>
        <w:tc>
          <w:tcPr>
            <w:tcW w:w="872" w:type="dxa"/>
          </w:tcPr>
          <w:p w14:paraId="2B13A587" w14:textId="77777777" w:rsidR="00036C7E" w:rsidRPr="00C64BAC" w:rsidRDefault="00036C7E" w:rsidP="00A87137">
            <w:pPr>
              <w:pStyle w:val="TableParagraph"/>
              <w:spacing w:before="3"/>
              <w:rPr>
                <w:rFonts w:ascii="Times New Roman"/>
                <w:sz w:val="27"/>
              </w:rPr>
            </w:pPr>
          </w:p>
          <w:p w14:paraId="2BC1E4B1" w14:textId="77777777" w:rsidR="00036C7E" w:rsidRPr="00C64BAC" w:rsidRDefault="00036C7E" w:rsidP="00A87137">
            <w:pPr>
              <w:pStyle w:val="TableParagraph"/>
              <w:jc w:val="center"/>
              <w:rPr>
                <w:rFonts w:ascii="Calibri"/>
                <w:sz w:val="20"/>
              </w:rPr>
            </w:pPr>
            <w:r w:rsidRPr="00C64BAC">
              <w:rPr>
                <w:rFonts w:ascii="Calibri"/>
                <w:w w:val="99"/>
                <w:sz w:val="20"/>
              </w:rPr>
              <w:t>S</w:t>
            </w:r>
          </w:p>
        </w:tc>
        <w:tc>
          <w:tcPr>
            <w:tcW w:w="873" w:type="dxa"/>
          </w:tcPr>
          <w:p w14:paraId="486F1A11" w14:textId="77777777" w:rsidR="00036C7E" w:rsidRPr="00C64BAC" w:rsidRDefault="00036C7E" w:rsidP="00A87137">
            <w:pPr>
              <w:pStyle w:val="TableParagraph"/>
              <w:spacing w:before="3"/>
              <w:rPr>
                <w:rFonts w:ascii="Times New Roman"/>
                <w:sz w:val="27"/>
              </w:rPr>
            </w:pPr>
          </w:p>
          <w:p w14:paraId="6947C7C1" w14:textId="77777777" w:rsidR="00036C7E" w:rsidRPr="00C64BAC" w:rsidRDefault="00036C7E" w:rsidP="00A87137">
            <w:pPr>
              <w:pStyle w:val="TableParagraph"/>
              <w:ind w:left="201"/>
              <w:rPr>
                <w:rFonts w:ascii="Calibri"/>
                <w:sz w:val="20"/>
              </w:rPr>
            </w:pPr>
            <w:r w:rsidRPr="00C64BAC">
              <w:rPr>
                <w:rFonts w:ascii="Calibri"/>
                <w:sz w:val="20"/>
              </w:rPr>
              <w:t>IPS</w:t>
            </w:r>
          </w:p>
        </w:tc>
        <w:tc>
          <w:tcPr>
            <w:tcW w:w="872" w:type="dxa"/>
          </w:tcPr>
          <w:p w14:paraId="01C71F31" w14:textId="77777777" w:rsidR="00036C7E" w:rsidRPr="00C64BAC" w:rsidRDefault="00036C7E" w:rsidP="00A87137">
            <w:pPr>
              <w:pStyle w:val="TableParagraph"/>
              <w:spacing w:before="3"/>
              <w:rPr>
                <w:rFonts w:ascii="Times New Roman"/>
                <w:sz w:val="27"/>
              </w:rPr>
            </w:pPr>
          </w:p>
          <w:p w14:paraId="4F0459BD" w14:textId="77777777" w:rsidR="00036C7E" w:rsidRPr="00C64BAC" w:rsidRDefault="00036C7E" w:rsidP="00A87137">
            <w:pPr>
              <w:pStyle w:val="TableParagraph"/>
              <w:ind w:left="244"/>
              <w:rPr>
                <w:rFonts w:ascii="Calibri"/>
                <w:sz w:val="20"/>
              </w:rPr>
            </w:pPr>
            <w:r w:rsidRPr="00C64BAC">
              <w:rPr>
                <w:rFonts w:ascii="Calibri"/>
                <w:sz w:val="20"/>
              </w:rPr>
              <w:t>PI</w:t>
            </w:r>
          </w:p>
        </w:tc>
        <w:tc>
          <w:tcPr>
            <w:tcW w:w="873" w:type="dxa"/>
          </w:tcPr>
          <w:p w14:paraId="74F397AD" w14:textId="77777777" w:rsidR="00036C7E" w:rsidRPr="00C64BAC" w:rsidRDefault="00036C7E" w:rsidP="00A87137">
            <w:pPr>
              <w:pStyle w:val="TableParagraph"/>
              <w:spacing w:before="3"/>
              <w:rPr>
                <w:rFonts w:ascii="Times New Roman"/>
                <w:sz w:val="27"/>
              </w:rPr>
            </w:pPr>
          </w:p>
          <w:p w14:paraId="400ECDE5" w14:textId="77777777" w:rsidR="00036C7E" w:rsidRPr="00C64BAC" w:rsidRDefault="00036C7E" w:rsidP="00A87137">
            <w:pPr>
              <w:pStyle w:val="TableParagraph"/>
              <w:ind w:left="146" w:right="147"/>
              <w:jc w:val="center"/>
              <w:rPr>
                <w:rFonts w:ascii="Calibri"/>
                <w:sz w:val="20"/>
              </w:rPr>
            </w:pPr>
            <w:r w:rsidRPr="00C64BAC">
              <w:rPr>
                <w:rFonts w:ascii="Calibri"/>
                <w:sz w:val="20"/>
              </w:rPr>
              <w:t>UC</w:t>
            </w:r>
          </w:p>
        </w:tc>
        <w:tc>
          <w:tcPr>
            <w:tcW w:w="872" w:type="dxa"/>
          </w:tcPr>
          <w:p w14:paraId="12FDA263" w14:textId="77777777" w:rsidR="00036C7E" w:rsidRPr="00C64BAC" w:rsidRDefault="00036C7E" w:rsidP="00A87137">
            <w:pPr>
              <w:pStyle w:val="TableParagraph"/>
              <w:spacing w:before="3"/>
              <w:rPr>
                <w:rFonts w:ascii="Times New Roman"/>
                <w:sz w:val="27"/>
              </w:rPr>
            </w:pPr>
          </w:p>
          <w:p w14:paraId="274B5B6D" w14:textId="77777777" w:rsidR="00036C7E" w:rsidRPr="00C64BAC" w:rsidRDefault="00036C7E" w:rsidP="00A87137">
            <w:pPr>
              <w:pStyle w:val="TableParagraph"/>
              <w:ind w:left="151" w:right="152"/>
              <w:jc w:val="center"/>
              <w:rPr>
                <w:rFonts w:ascii="Calibri"/>
                <w:sz w:val="20"/>
              </w:rPr>
            </w:pPr>
            <w:r w:rsidRPr="00C64BAC">
              <w:rPr>
                <w:rFonts w:ascii="Calibri"/>
                <w:sz w:val="20"/>
              </w:rPr>
              <w:t>IPS</w:t>
            </w:r>
          </w:p>
        </w:tc>
        <w:tc>
          <w:tcPr>
            <w:tcW w:w="873" w:type="dxa"/>
          </w:tcPr>
          <w:p w14:paraId="10FF2590" w14:textId="77777777" w:rsidR="00036C7E" w:rsidRDefault="00036C7E" w:rsidP="00A87137">
            <w:pPr>
              <w:pStyle w:val="TableParagraph"/>
              <w:spacing w:before="3"/>
              <w:rPr>
                <w:rFonts w:ascii="Times New Roman"/>
                <w:sz w:val="27"/>
              </w:rPr>
            </w:pPr>
          </w:p>
          <w:p w14:paraId="2750CB4C" w14:textId="77777777" w:rsidR="00036C7E" w:rsidRDefault="00036C7E" w:rsidP="00A87137">
            <w:pPr>
              <w:pStyle w:val="TableParagraph"/>
              <w:ind w:left="4"/>
              <w:jc w:val="center"/>
              <w:rPr>
                <w:rFonts w:ascii="Calibri"/>
                <w:sz w:val="20"/>
              </w:rPr>
            </w:pPr>
            <w:r>
              <w:rPr>
                <w:rFonts w:ascii="Calibri"/>
                <w:w w:val="99"/>
                <w:sz w:val="20"/>
              </w:rPr>
              <w:t>S</w:t>
            </w:r>
          </w:p>
        </w:tc>
        <w:tc>
          <w:tcPr>
            <w:tcW w:w="872" w:type="dxa"/>
          </w:tcPr>
          <w:p w14:paraId="6193EF1C" w14:textId="77777777" w:rsidR="00036C7E" w:rsidRDefault="00036C7E" w:rsidP="00A87137">
            <w:pPr>
              <w:pStyle w:val="TableParagraph"/>
              <w:spacing w:before="3"/>
              <w:rPr>
                <w:rFonts w:ascii="Times New Roman"/>
                <w:sz w:val="27"/>
              </w:rPr>
            </w:pPr>
          </w:p>
          <w:p w14:paraId="0348F079" w14:textId="77777777" w:rsidR="00036C7E" w:rsidRDefault="00036C7E" w:rsidP="00A87137">
            <w:pPr>
              <w:pStyle w:val="TableParagraph"/>
              <w:ind w:right="245"/>
              <w:jc w:val="right"/>
              <w:rPr>
                <w:rFonts w:ascii="Calibri"/>
                <w:sz w:val="20"/>
              </w:rPr>
            </w:pPr>
            <w:r>
              <w:rPr>
                <w:rFonts w:ascii="Calibri"/>
                <w:w w:val="95"/>
                <w:sz w:val="20"/>
              </w:rPr>
              <w:t>PI</w:t>
            </w:r>
          </w:p>
        </w:tc>
        <w:tc>
          <w:tcPr>
            <w:tcW w:w="873" w:type="dxa"/>
          </w:tcPr>
          <w:p w14:paraId="203E09A2" w14:textId="77777777" w:rsidR="00036C7E" w:rsidRDefault="00036C7E" w:rsidP="00A87137">
            <w:pPr>
              <w:pStyle w:val="TableParagraph"/>
              <w:spacing w:before="3"/>
              <w:rPr>
                <w:rFonts w:ascii="Times New Roman"/>
                <w:sz w:val="27"/>
              </w:rPr>
            </w:pPr>
          </w:p>
          <w:p w14:paraId="07043DC3" w14:textId="77777777" w:rsidR="00036C7E" w:rsidRDefault="00036C7E" w:rsidP="00A87137">
            <w:pPr>
              <w:pStyle w:val="TableParagraph"/>
              <w:ind w:left="199"/>
              <w:rPr>
                <w:rFonts w:ascii="Calibri"/>
                <w:sz w:val="20"/>
              </w:rPr>
            </w:pPr>
            <w:r>
              <w:rPr>
                <w:rFonts w:ascii="Calibri"/>
                <w:sz w:val="20"/>
              </w:rPr>
              <w:t>IPS</w:t>
            </w:r>
          </w:p>
        </w:tc>
      </w:tr>
      <w:tr w:rsidR="00036C7E" w14:paraId="6E1951C6" w14:textId="77777777" w:rsidTr="00310A44">
        <w:trPr>
          <w:trHeight w:hRule="exact" w:val="603"/>
        </w:trPr>
        <w:tc>
          <w:tcPr>
            <w:tcW w:w="8791" w:type="dxa"/>
            <w:shd w:val="clear" w:color="auto" w:fill="F1F1F1"/>
          </w:tcPr>
          <w:p w14:paraId="5643126B" w14:textId="77777777" w:rsidR="00036C7E" w:rsidRDefault="00036C7E" w:rsidP="00A87137">
            <w:pPr>
              <w:pStyle w:val="TableParagraph"/>
              <w:spacing w:before="55"/>
              <w:ind w:left="474" w:hanging="360"/>
            </w:pPr>
            <w:r>
              <w:t>21. That the BMF agree its position on the establishment of a compulsory product certification system for high-risk building products.</w:t>
            </w:r>
          </w:p>
        </w:tc>
        <w:tc>
          <w:tcPr>
            <w:tcW w:w="6980" w:type="dxa"/>
            <w:gridSpan w:val="8"/>
          </w:tcPr>
          <w:p w14:paraId="6626806A" w14:textId="77777777" w:rsidR="00036C7E" w:rsidRDefault="00036C7E" w:rsidP="00A87137">
            <w:pPr>
              <w:pStyle w:val="TableParagraph"/>
              <w:spacing w:before="60" w:line="246" w:lineRule="exact"/>
              <w:ind w:left="352" w:right="249" w:hanging="87"/>
              <w:rPr>
                <w:rFonts w:ascii="Calibri"/>
                <w:sz w:val="13"/>
              </w:rPr>
            </w:pPr>
            <w:r>
              <w:rPr>
                <w:rFonts w:ascii="Calibri"/>
                <w:sz w:val="20"/>
              </w:rPr>
              <w:t>The BMF supports this recommendation and has directed the SOG to continue its strategic response to this issue.</w:t>
            </w:r>
            <w:r>
              <w:rPr>
                <w:rFonts w:ascii="Calibri"/>
                <w:position w:val="7"/>
                <w:sz w:val="13"/>
              </w:rPr>
              <w:t>1</w:t>
            </w:r>
          </w:p>
        </w:tc>
      </w:tr>
      <w:tr w:rsidR="00036C7E" w14:paraId="2186FDE5" w14:textId="77777777" w:rsidTr="00310A44">
        <w:trPr>
          <w:trHeight w:hRule="exact" w:val="854"/>
        </w:trPr>
        <w:tc>
          <w:tcPr>
            <w:tcW w:w="8791" w:type="dxa"/>
            <w:shd w:val="clear" w:color="auto" w:fill="F1F1F1"/>
          </w:tcPr>
          <w:p w14:paraId="5C630F04" w14:textId="77777777" w:rsidR="00036C7E" w:rsidRDefault="00036C7E" w:rsidP="00A87137">
            <w:pPr>
              <w:pStyle w:val="TableParagraph"/>
              <w:spacing w:before="55"/>
              <w:ind w:left="474" w:right="436" w:hanging="360"/>
            </w:pPr>
            <w:r>
              <w:t>22. That the BMF develop a national dictionary of terminology to assist jurisdictions, industry and consumers to understand the range of terminology used to describe the same or similar terms and processes in different jurisdictions.</w:t>
            </w:r>
          </w:p>
        </w:tc>
        <w:tc>
          <w:tcPr>
            <w:tcW w:w="6980" w:type="dxa"/>
            <w:gridSpan w:val="8"/>
          </w:tcPr>
          <w:p w14:paraId="5F43F07B" w14:textId="77777777" w:rsidR="00036C7E" w:rsidRDefault="00036C7E" w:rsidP="00A87137">
            <w:pPr>
              <w:pStyle w:val="TableParagraph"/>
              <w:spacing w:before="7"/>
              <w:rPr>
                <w:rFonts w:ascii="Times New Roman"/>
                <w:sz w:val="16"/>
              </w:rPr>
            </w:pPr>
          </w:p>
          <w:p w14:paraId="4C6D8B54" w14:textId="77777777" w:rsidR="00036C7E" w:rsidRDefault="00036C7E" w:rsidP="00A87137">
            <w:pPr>
              <w:pStyle w:val="TableParagraph"/>
              <w:ind w:left="1003" w:right="113" w:hanging="869"/>
              <w:rPr>
                <w:rFonts w:ascii="Calibri"/>
                <w:sz w:val="20"/>
              </w:rPr>
            </w:pPr>
            <w:r>
              <w:rPr>
                <w:rFonts w:ascii="Calibri"/>
                <w:sz w:val="20"/>
              </w:rPr>
              <w:t>The BMF supports this recommendation and has directed the ABCB to progress this recommendation.</w:t>
            </w:r>
          </w:p>
        </w:tc>
      </w:tr>
      <w:tr w:rsidR="00036C7E" w14:paraId="2767142D" w14:textId="77777777" w:rsidTr="00310A44">
        <w:trPr>
          <w:trHeight w:hRule="exact" w:val="852"/>
        </w:trPr>
        <w:tc>
          <w:tcPr>
            <w:tcW w:w="8791" w:type="dxa"/>
            <w:shd w:val="clear" w:color="auto" w:fill="F1F1F1"/>
          </w:tcPr>
          <w:p w14:paraId="52C6EEA4" w14:textId="77777777" w:rsidR="00036C7E" w:rsidRDefault="00036C7E" w:rsidP="00A87137">
            <w:pPr>
              <w:pStyle w:val="TableParagraph"/>
              <w:spacing w:before="55"/>
              <w:ind w:left="474" w:right="65" w:hanging="360"/>
            </w:pPr>
            <w:r>
              <w:t>23. That the BMF acknowledges that the above recommendations are designed to form a coherent package and that they be implemented by all jurisdictions progressively over the next three years.</w:t>
            </w:r>
          </w:p>
        </w:tc>
        <w:tc>
          <w:tcPr>
            <w:tcW w:w="6980" w:type="dxa"/>
            <w:gridSpan w:val="8"/>
            <w:vMerge w:val="restart"/>
          </w:tcPr>
          <w:p w14:paraId="34BDE91D" w14:textId="77777777" w:rsidR="00036C7E" w:rsidRDefault="00036C7E" w:rsidP="00A87137">
            <w:pPr>
              <w:pStyle w:val="TableParagraph"/>
              <w:rPr>
                <w:rFonts w:ascii="Times New Roman"/>
                <w:sz w:val="20"/>
              </w:rPr>
            </w:pPr>
          </w:p>
          <w:p w14:paraId="74A4C7B6" w14:textId="77777777" w:rsidR="00036C7E" w:rsidRDefault="00036C7E" w:rsidP="00A87137">
            <w:pPr>
              <w:pStyle w:val="TableParagraph"/>
              <w:spacing w:before="8"/>
              <w:rPr>
                <w:rFonts w:ascii="Times New Roman"/>
              </w:rPr>
            </w:pPr>
          </w:p>
          <w:p w14:paraId="708E8A93" w14:textId="77777777" w:rsidR="00036C7E" w:rsidRDefault="00036C7E" w:rsidP="00A87137">
            <w:pPr>
              <w:pStyle w:val="TableParagraph"/>
              <w:ind w:left="1749" w:right="145" w:hanging="1584"/>
              <w:rPr>
                <w:rFonts w:ascii="Calibri"/>
                <w:sz w:val="20"/>
              </w:rPr>
            </w:pPr>
            <w:r>
              <w:rPr>
                <w:rFonts w:ascii="Calibri"/>
                <w:sz w:val="20"/>
              </w:rPr>
              <w:t>The BMF supports these recommendations, as set out in this implementation plan.</w:t>
            </w:r>
          </w:p>
        </w:tc>
      </w:tr>
      <w:tr w:rsidR="00036C7E" w14:paraId="0177F388" w14:textId="77777777" w:rsidTr="00310A44">
        <w:trPr>
          <w:trHeight w:hRule="exact" w:val="602"/>
        </w:trPr>
        <w:tc>
          <w:tcPr>
            <w:tcW w:w="8791" w:type="dxa"/>
            <w:shd w:val="clear" w:color="auto" w:fill="F1F1F1"/>
          </w:tcPr>
          <w:p w14:paraId="387DD60B" w14:textId="77777777" w:rsidR="00036C7E" w:rsidRDefault="00036C7E" w:rsidP="00A87137">
            <w:pPr>
              <w:pStyle w:val="TableParagraph"/>
              <w:spacing w:before="55"/>
              <w:ind w:left="474" w:hanging="360"/>
            </w:pPr>
            <w:r>
              <w:t>24. That the BMF prioritise the preparation of a plan for the implementation of the recommendations against which each jurisdiction will report annually.</w:t>
            </w:r>
          </w:p>
        </w:tc>
        <w:tc>
          <w:tcPr>
            <w:tcW w:w="6980" w:type="dxa"/>
            <w:gridSpan w:val="8"/>
            <w:vMerge/>
            <w:tcBorders>
              <w:bottom w:val="single" w:sz="12" w:space="0" w:color="F1F1F1"/>
            </w:tcBorders>
          </w:tcPr>
          <w:p w14:paraId="4E8939B7" w14:textId="77777777" w:rsidR="00036C7E" w:rsidRDefault="00036C7E" w:rsidP="00A87137"/>
        </w:tc>
      </w:tr>
    </w:tbl>
    <w:p w14:paraId="4F5A3F53" w14:textId="2556D42A" w:rsidR="00FF4A2C" w:rsidRDefault="0032060F" w:rsidP="0032060F">
      <w:pPr>
        <w:pStyle w:val="BodyText"/>
        <w:rPr>
          <w:rFonts w:ascii="Times New Roman"/>
          <w:sz w:val="27"/>
        </w:rPr>
      </w:pPr>
      <w:r>
        <w:rPr>
          <w:noProof/>
          <w:lang w:val="en-AU" w:eastAsia="en-AU"/>
        </w:rPr>
        <mc:AlternateContent>
          <mc:Choice Requires="wps">
            <w:drawing>
              <wp:anchor distT="0" distB="0" distL="0" distR="0" simplePos="0" relativeHeight="251658240" behindDoc="0" locked="0" layoutInCell="1" allowOverlap="1" wp14:anchorId="7C6CBE7B" wp14:editId="721144E6">
                <wp:simplePos x="0" y="0"/>
                <wp:positionH relativeFrom="page">
                  <wp:posOffset>810895</wp:posOffset>
                </wp:positionH>
                <wp:positionV relativeFrom="paragraph">
                  <wp:posOffset>431984</wp:posOffset>
                </wp:positionV>
                <wp:extent cx="1828800" cy="0"/>
                <wp:effectExtent l="10795" t="7620" r="8255" b="11430"/>
                <wp:wrapTopAndBottom/>
                <wp:docPr id="20" name="Line 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19CC7" id="Line 3" o:spid="_x0000_s1026" alt="Line"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5pt,34pt" to="207.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" strokeweight=".72pt">
                <w10:wrap type="topAndBottom" anchorx="page"/>
              </v:line>
            </w:pict>
          </mc:Fallback>
        </mc:AlternateContent>
      </w:r>
    </w:p>
    <w:p w14:paraId="543C2A85" w14:textId="5E52B0D5" w:rsidR="00FF4A2C" w:rsidRDefault="00FF4A2C" w:rsidP="00FF4A2C">
      <w:pPr>
        <w:spacing w:before="69"/>
        <w:ind w:left="956"/>
        <w:rPr>
          <w:rFonts w:ascii="Calibri"/>
          <w:sz w:val="20"/>
        </w:rPr>
      </w:pPr>
      <w:r>
        <w:rPr>
          <w:rFonts w:ascii="Calibri"/>
          <w:position w:val="7"/>
          <w:sz w:val="13"/>
        </w:rPr>
        <w:t xml:space="preserve">1 </w:t>
      </w:r>
      <w:r>
        <w:rPr>
          <w:rFonts w:ascii="Calibri"/>
          <w:sz w:val="20"/>
        </w:rPr>
        <w:t xml:space="preserve">SOG </w:t>
      </w:r>
      <w:hyperlink r:id="rId20">
        <w:r>
          <w:rPr>
            <w:rFonts w:ascii="Calibri"/>
            <w:i/>
            <w:color w:val="0562C1"/>
            <w:sz w:val="20"/>
            <w:u w:val="single" w:color="0562C1"/>
          </w:rPr>
          <w:t>Strategies to address risks related to non-conforming building products: implementation plan</w:t>
        </w:r>
        <w:r>
          <w:rPr>
            <w:rFonts w:ascii="Calibri"/>
            <w:sz w:val="20"/>
          </w:rPr>
          <w:t>.</w:t>
        </w:r>
      </w:hyperlink>
    </w:p>
    <w:p w14:paraId="23380237" w14:textId="77777777" w:rsidR="00FF4A2C" w:rsidRDefault="00FF4A2C" w:rsidP="00FF4A2C">
      <w:pPr>
        <w:rPr>
          <w:rFonts w:ascii="Calibri"/>
          <w:sz w:val="20"/>
        </w:rPr>
        <w:sectPr w:rsidR="00FF4A2C">
          <w:pgSz w:w="16840" w:h="11910" w:orient="landscape"/>
          <w:pgMar w:top="1040" w:right="400" w:bottom="680" w:left="320" w:header="768" w:footer="497" w:gutter="0"/>
          <w:cols w:space="720"/>
        </w:sectPr>
      </w:pPr>
    </w:p>
    <w:p w14:paraId="36B9BFEA" w14:textId="664AF043" w:rsidR="00FF4A2C" w:rsidRDefault="00FF4A2C" w:rsidP="00BD3769">
      <w:pPr>
        <w:pStyle w:val="Heading1"/>
      </w:pPr>
      <w:bookmarkStart w:id="5" w:name="_Toc27738652"/>
      <w:r>
        <w:rPr>
          <w:color w:val="00283D"/>
        </w:rPr>
        <w:lastRenderedPageBreak/>
        <w:t>New South Wales</w:t>
      </w:r>
      <w:bookmarkEnd w:id="5"/>
    </w:p>
    <w:p w14:paraId="0F0435E0" w14:textId="143BDA5E" w:rsidR="00FF4A2C" w:rsidRDefault="00FF4A2C" w:rsidP="00B92AAC">
      <w:pPr>
        <w:pStyle w:val="Heading2"/>
        <w:spacing w:before="205"/>
      </w:pPr>
      <w:r>
        <w:rPr>
          <w:color w:val="00283D"/>
        </w:rPr>
        <w:t xml:space="preserve">Update </w:t>
      </w:r>
      <w:r w:rsidR="00604DE8">
        <w:rPr>
          <w:color w:val="00283D"/>
        </w:rPr>
        <w:t>o</w:t>
      </w:r>
      <w:r>
        <w:rPr>
          <w:color w:val="00283D"/>
        </w:rPr>
        <w:t>verview</w:t>
      </w:r>
    </w:p>
    <w:p w14:paraId="2F9378E4" w14:textId="0069A6F5" w:rsidR="00FF4A2C" w:rsidRPr="00310A44" w:rsidRDefault="00FF4A2C" w:rsidP="00604DE8">
      <w:pPr>
        <w:pStyle w:val="BodyText"/>
        <w:rPr>
          <w:rFonts w:asciiTheme="minorHAnsi" w:eastAsiaTheme="minorEastAsia" w:hAnsiTheme="minorHAnsi" w:cstheme="minorBidi"/>
        </w:rPr>
      </w:pPr>
      <w:r w:rsidRPr="00310A44">
        <w:t xml:space="preserve">The NSW Government is progressing its response to the Shergold Weir </w:t>
      </w:r>
      <w:r w:rsidRPr="00310A44">
        <w:rPr>
          <w:i/>
        </w:rPr>
        <w:t>Building Confidence Report</w:t>
      </w:r>
      <w:r w:rsidR="00355BA9" w:rsidRPr="00310A44">
        <w:rPr>
          <w:i/>
        </w:rPr>
        <w:t xml:space="preserve"> </w:t>
      </w:r>
      <w:r w:rsidR="00355BA9" w:rsidRPr="00310A44">
        <w:t>(BCR)</w:t>
      </w:r>
      <w:r w:rsidRPr="00310A44">
        <w:t xml:space="preserve">, which complements other reforms underway in the building and construction sector. </w:t>
      </w:r>
    </w:p>
    <w:p w14:paraId="4791843E" w14:textId="7036C118" w:rsidR="00FF4A2C" w:rsidRPr="00310A44" w:rsidRDefault="00FF4A2C" w:rsidP="00604DE8">
      <w:pPr>
        <w:pStyle w:val="BodyText"/>
      </w:pPr>
      <w:r w:rsidRPr="00310A44">
        <w:t xml:space="preserve">The NSW Government is progressing or has already introduced the majority of the reforms outlined in the </w:t>
      </w:r>
      <w:r w:rsidR="00F52849" w:rsidRPr="00310A44">
        <w:t>BCR</w:t>
      </w:r>
      <w:r w:rsidRPr="00310A44">
        <w:t xml:space="preserve">, particularly in relation to certification, and has committed to further reform. </w:t>
      </w:r>
    </w:p>
    <w:p w14:paraId="348B07F4" w14:textId="77777777" w:rsidR="00FF4A2C" w:rsidRPr="00310A44" w:rsidRDefault="00FF4A2C" w:rsidP="00604DE8">
      <w:pPr>
        <w:pStyle w:val="BodyText"/>
      </w:pPr>
      <w:r w:rsidRPr="00310A44">
        <w:t xml:space="preserve">The NSW Government will continue to work closely with other jurisdictions to promote best practice across all Australian states and territories. </w:t>
      </w:r>
    </w:p>
    <w:p w14:paraId="54BCF5C7" w14:textId="77777777" w:rsidR="00FF4A2C" w:rsidRPr="00B92AAC" w:rsidRDefault="00FF4A2C" w:rsidP="00B92AAC">
      <w:pPr>
        <w:pStyle w:val="Heading2"/>
        <w:spacing w:before="205"/>
        <w:rPr>
          <w:color w:val="00283D"/>
        </w:rPr>
      </w:pPr>
      <w:r w:rsidRPr="00B92AAC">
        <w:rPr>
          <w:color w:val="00283D"/>
        </w:rPr>
        <w:t>Update on reforms</w:t>
      </w:r>
    </w:p>
    <w:p w14:paraId="702DC0D6" w14:textId="23554646" w:rsidR="007C2752" w:rsidRPr="00604DE8" w:rsidRDefault="007C2752" w:rsidP="00604DE8">
      <w:pPr>
        <w:pStyle w:val="Heading3"/>
      </w:pPr>
      <w:bookmarkStart w:id="6" w:name="_Hlk536101235"/>
      <w:bookmarkStart w:id="7" w:name="_Hlk1379182"/>
      <w:r w:rsidRPr="00604DE8">
        <w:t xml:space="preserve">Implementing a four-point plan to improve the certification </w:t>
      </w:r>
      <w:r w:rsidR="00604DE8" w:rsidRPr="00604DE8">
        <w:t>industry</w:t>
      </w:r>
    </w:p>
    <w:p w14:paraId="264BC103" w14:textId="77777777" w:rsidR="007C2752" w:rsidRPr="00310A44" w:rsidRDefault="007C2752" w:rsidP="00604DE8">
      <w:pPr>
        <w:pStyle w:val="BodyText"/>
      </w:pPr>
      <w:r w:rsidRPr="00310A44">
        <w:t>The NSW Government is progressing with a four-point plan focused on compliance and enforcement reforms to improve certification. The four-point plan includes:</w:t>
      </w:r>
    </w:p>
    <w:p w14:paraId="43385FE3" w14:textId="77777777" w:rsidR="007C2752" w:rsidRPr="00310A44" w:rsidRDefault="007C2752" w:rsidP="007C2752">
      <w:pPr>
        <w:widowControl/>
        <w:numPr>
          <w:ilvl w:val="0"/>
          <w:numId w:val="5"/>
        </w:numPr>
        <w:autoSpaceDE/>
        <w:autoSpaceDN/>
        <w:spacing w:before="120" w:after="120" w:line="256" w:lineRule="auto"/>
        <w:ind w:left="426" w:hanging="284"/>
      </w:pPr>
      <w:r w:rsidRPr="00310A44">
        <w:t>a compliance blitz with 25-30% of the industry to be audited every year;</w:t>
      </w:r>
    </w:p>
    <w:p w14:paraId="64C37276" w14:textId="77777777" w:rsidR="007C2752" w:rsidRPr="00310A44" w:rsidRDefault="007C2752" w:rsidP="007C2752">
      <w:pPr>
        <w:widowControl/>
        <w:numPr>
          <w:ilvl w:val="0"/>
          <w:numId w:val="5"/>
        </w:numPr>
        <w:autoSpaceDE/>
        <w:autoSpaceDN/>
        <w:spacing w:before="120" w:after="120" w:line="256" w:lineRule="auto"/>
        <w:ind w:left="426" w:hanging="284"/>
      </w:pPr>
      <w:r w:rsidRPr="00310A44">
        <w:t>a new disciplinary policy that will see certifiers penalised for not complying with relevant legislation or negligently signing off on a building which is unsafe or structurally unsound;</w:t>
      </w:r>
    </w:p>
    <w:p w14:paraId="390B0165" w14:textId="77777777" w:rsidR="007C2752" w:rsidRPr="00310A44" w:rsidRDefault="007C2752" w:rsidP="007C2752">
      <w:pPr>
        <w:widowControl/>
        <w:numPr>
          <w:ilvl w:val="0"/>
          <w:numId w:val="5"/>
        </w:numPr>
        <w:autoSpaceDE/>
        <w:autoSpaceDN/>
        <w:spacing w:before="120" w:after="120" w:line="256" w:lineRule="auto"/>
        <w:ind w:left="426" w:hanging="284"/>
      </w:pPr>
      <w:r w:rsidRPr="00310A44">
        <w:t xml:space="preserve">better protection for strata buildings, with certifiers unable to work on new strata developments if they have breached the code of conduct in the previous 12 months, regarding building quality; and </w:t>
      </w:r>
    </w:p>
    <w:p w14:paraId="76414213" w14:textId="77777777" w:rsidR="007C2752" w:rsidRPr="00310A44" w:rsidRDefault="007C2752" w:rsidP="007C2752">
      <w:pPr>
        <w:widowControl/>
        <w:numPr>
          <w:ilvl w:val="0"/>
          <w:numId w:val="5"/>
        </w:numPr>
        <w:autoSpaceDE/>
        <w:autoSpaceDN/>
        <w:spacing w:before="120" w:after="120" w:line="256" w:lineRule="auto"/>
        <w:ind w:left="426" w:hanging="284"/>
      </w:pPr>
      <w:r w:rsidRPr="00310A44">
        <w:t>increased transparency, which will include more information for homeowners about a certifier’s disciplinary record on an enhanced public register, and the provision of information to prospective buyers of off-the-plan developments about a certifier’s disciplinary history.</w:t>
      </w:r>
      <w:bookmarkEnd w:id="6"/>
    </w:p>
    <w:p w14:paraId="4090D08F" w14:textId="7F9AA97B" w:rsidR="007C2752" w:rsidRPr="00310A44" w:rsidRDefault="007C2752" w:rsidP="00604DE8">
      <w:pPr>
        <w:pStyle w:val="BodyText"/>
      </w:pPr>
      <w:r w:rsidRPr="00310A44">
        <w:t xml:space="preserve">The certifier audit program commenced in April 2019, with 55 audits completed </w:t>
      </w:r>
      <w:r w:rsidR="00F93C05" w:rsidRPr="00310A44">
        <w:t>as of December</w:t>
      </w:r>
      <w:r w:rsidRPr="00310A44">
        <w:t xml:space="preserve">. Fair Trading is currently auditing 13 certifiers a month. This meets the commitment to audit 25-30% of private building surveyors each year. </w:t>
      </w:r>
    </w:p>
    <w:p w14:paraId="0E9DC8F5" w14:textId="77777777" w:rsidR="007C2752" w:rsidRPr="00310A44" w:rsidRDefault="007C2752" w:rsidP="00604DE8">
      <w:pPr>
        <w:pStyle w:val="Heading3"/>
      </w:pPr>
      <w:r w:rsidRPr="00310A44">
        <w:t>Compliance action against certifiers during 2018-19</w:t>
      </w:r>
    </w:p>
    <w:p w14:paraId="56330BA9" w14:textId="77777777" w:rsidR="007C2752" w:rsidRPr="00310A44" w:rsidRDefault="007C2752" w:rsidP="00604DE8">
      <w:pPr>
        <w:pStyle w:val="BodyText"/>
      </w:pPr>
      <w:r w:rsidRPr="00310A44">
        <w:rPr>
          <w:rStyle w:val="normaltextrun"/>
          <w:rFonts w:eastAsiaTheme="minorEastAsia"/>
          <w:color w:val="212121"/>
        </w:rPr>
        <w:t>During the 2018-19 financial year</w:t>
      </w:r>
      <w:r w:rsidRPr="00310A44">
        <w:t>, Fair Trading:</w:t>
      </w:r>
    </w:p>
    <w:p w14:paraId="7F53361F" w14:textId="77777777" w:rsidR="007C2752" w:rsidRPr="00310A44" w:rsidRDefault="007C2752" w:rsidP="00310A44">
      <w:pPr>
        <w:widowControl/>
        <w:numPr>
          <w:ilvl w:val="0"/>
          <w:numId w:val="5"/>
        </w:numPr>
        <w:autoSpaceDE/>
        <w:autoSpaceDN/>
        <w:spacing w:before="120" w:after="120" w:line="256" w:lineRule="auto"/>
        <w:ind w:left="426" w:hanging="284"/>
      </w:pPr>
      <w:r w:rsidRPr="00310A44">
        <w:t>determined a record 271 complaints against certifiers</w:t>
      </w:r>
    </w:p>
    <w:p w14:paraId="36503A66" w14:textId="77777777" w:rsidR="007C2752" w:rsidRPr="00310A44" w:rsidRDefault="007C2752" w:rsidP="00310A44">
      <w:pPr>
        <w:widowControl/>
        <w:numPr>
          <w:ilvl w:val="0"/>
          <w:numId w:val="5"/>
        </w:numPr>
        <w:autoSpaceDE/>
        <w:autoSpaceDN/>
        <w:spacing w:before="120" w:after="120" w:line="256" w:lineRule="auto"/>
        <w:ind w:left="426" w:hanging="284"/>
      </w:pPr>
      <w:r w:rsidRPr="00310A44">
        <w:t>cancelled the accreditation of 3 certifiers</w:t>
      </w:r>
    </w:p>
    <w:p w14:paraId="3EDD2DB3" w14:textId="77777777" w:rsidR="007C2752" w:rsidRPr="00310A44" w:rsidRDefault="007C2752" w:rsidP="00310A44">
      <w:pPr>
        <w:widowControl/>
        <w:numPr>
          <w:ilvl w:val="0"/>
          <w:numId w:val="5"/>
        </w:numPr>
        <w:autoSpaceDE/>
        <w:autoSpaceDN/>
        <w:spacing w:before="120" w:after="120" w:line="256" w:lineRule="auto"/>
        <w:ind w:left="426" w:hanging="284"/>
      </w:pPr>
      <w:r w:rsidRPr="00310A44">
        <w:t>imposed a record $443,000 in fines</w:t>
      </w:r>
    </w:p>
    <w:p w14:paraId="462F1347" w14:textId="77777777" w:rsidR="007C2752" w:rsidRPr="00310A44" w:rsidRDefault="007C2752" w:rsidP="00310A44">
      <w:pPr>
        <w:widowControl/>
        <w:numPr>
          <w:ilvl w:val="0"/>
          <w:numId w:val="5"/>
        </w:numPr>
        <w:autoSpaceDE/>
        <w:autoSpaceDN/>
        <w:spacing w:before="120" w:after="120" w:line="256" w:lineRule="auto"/>
        <w:ind w:left="426" w:hanging="284"/>
      </w:pPr>
      <w:r w:rsidRPr="00310A44">
        <w:t>issued 34 reprimands</w:t>
      </w:r>
    </w:p>
    <w:p w14:paraId="1703702C" w14:textId="77777777" w:rsidR="007C2752" w:rsidRPr="00310A44" w:rsidRDefault="007C2752" w:rsidP="00310A44">
      <w:pPr>
        <w:widowControl/>
        <w:numPr>
          <w:ilvl w:val="0"/>
          <w:numId w:val="5"/>
        </w:numPr>
        <w:autoSpaceDE/>
        <w:autoSpaceDN/>
        <w:spacing w:before="120" w:after="120" w:line="256" w:lineRule="auto"/>
        <w:ind w:left="426" w:hanging="284"/>
      </w:pPr>
      <w:r w:rsidRPr="00310A44">
        <w:t>ordered 10 certifiers to complete an education course</w:t>
      </w:r>
    </w:p>
    <w:p w14:paraId="79F3189B" w14:textId="77777777" w:rsidR="007C2752" w:rsidRPr="00310A44" w:rsidRDefault="007C2752" w:rsidP="00310A44">
      <w:pPr>
        <w:widowControl/>
        <w:numPr>
          <w:ilvl w:val="0"/>
          <w:numId w:val="5"/>
        </w:numPr>
        <w:autoSpaceDE/>
        <w:autoSpaceDN/>
        <w:spacing w:before="120" w:after="120" w:line="256" w:lineRule="auto"/>
        <w:ind w:left="426" w:hanging="284"/>
      </w:pPr>
      <w:r w:rsidRPr="00310A44">
        <w:t>imposed conditions of accreditation on six certifiers</w:t>
      </w:r>
    </w:p>
    <w:p w14:paraId="7E03DD3A" w14:textId="77777777" w:rsidR="007C2752" w:rsidRPr="00310A44" w:rsidRDefault="007C2752" w:rsidP="00310A44">
      <w:pPr>
        <w:widowControl/>
        <w:numPr>
          <w:ilvl w:val="0"/>
          <w:numId w:val="5"/>
        </w:numPr>
        <w:autoSpaceDE/>
        <w:autoSpaceDN/>
        <w:spacing w:before="120" w:after="120" w:line="256" w:lineRule="auto"/>
        <w:ind w:left="426" w:hanging="284"/>
      </w:pPr>
      <w:r w:rsidRPr="00310A44">
        <w:t>issued 47 penalty infringement notices</w:t>
      </w:r>
    </w:p>
    <w:p w14:paraId="754B0210" w14:textId="77777777" w:rsidR="007C2752" w:rsidRPr="00310A44" w:rsidRDefault="007C2752" w:rsidP="00310A44">
      <w:pPr>
        <w:widowControl/>
        <w:numPr>
          <w:ilvl w:val="0"/>
          <w:numId w:val="5"/>
        </w:numPr>
        <w:autoSpaceDE/>
        <w:autoSpaceDN/>
        <w:spacing w:before="120" w:after="120" w:line="256" w:lineRule="auto"/>
        <w:ind w:left="426" w:hanging="284"/>
      </w:pPr>
      <w:r w:rsidRPr="00310A44">
        <w:t>commenced proactive investigations into 15 certifiers.</w:t>
      </w:r>
    </w:p>
    <w:p w14:paraId="599B13BA" w14:textId="77777777" w:rsidR="00FF4A2C" w:rsidRPr="00310A44" w:rsidRDefault="00FF4A2C" w:rsidP="00604DE8">
      <w:pPr>
        <w:pStyle w:val="Heading3"/>
      </w:pPr>
      <w:r w:rsidRPr="00310A44">
        <w:t xml:space="preserve">Creating a new legislative framework for certifiers in the Building and Development Certifiers Act 2018 (the BDC Act) </w:t>
      </w:r>
    </w:p>
    <w:bookmarkEnd w:id="7"/>
    <w:p w14:paraId="2D50A069" w14:textId="77777777" w:rsidR="00811EDF" w:rsidRPr="00310A44" w:rsidRDefault="00811EDF" w:rsidP="00604DE8">
      <w:pPr>
        <w:pStyle w:val="BodyText"/>
      </w:pPr>
      <w:r w:rsidRPr="00310A44">
        <w:t xml:space="preserve">The BDC Act passed the NSW Parliament in October 2019. The legislation delivers on the NSW </w:t>
      </w:r>
      <w:r w:rsidRPr="00310A44">
        <w:lastRenderedPageBreak/>
        <w:t xml:space="preserve">Government’s commitment to overhaul certifier regulation in its response to the statutory review of the </w:t>
      </w:r>
      <w:r w:rsidRPr="00310A44">
        <w:rPr>
          <w:i/>
        </w:rPr>
        <w:t>Building Professionals Act 2005</w:t>
      </w:r>
      <w:r w:rsidRPr="00310A44">
        <w:t xml:space="preserve"> (the ‘Lambert Review’). The BDC Act, which will be supported by new regulations, strengthens compliance in the sector by:</w:t>
      </w:r>
    </w:p>
    <w:p w14:paraId="0926ADD2" w14:textId="77777777" w:rsidR="00811EDF" w:rsidRPr="00310A44" w:rsidRDefault="00811EDF" w:rsidP="00310A44">
      <w:pPr>
        <w:widowControl/>
        <w:numPr>
          <w:ilvl w:val="0"/>
          <w:numId w:val="5"/>
        </w:numPr>
        <w:autoSpaceDE/>
        <w:autoSpaceDN/>
        <w:spacing w:before="120" w:after="120" w:line="256" w:lineRule="auto"/>
        <w:ind w:left="426" w:hanging="284"/>
      </w:pPr>
      <w:r w:rsidRPr="00310A44">
        <w:t>clarifying certifiers’ roles and responsibilities through the introduction of a certifier practice guide;</w:t>
      </w:r>
    </w:p>
    <w:p w14:paraId="2BE70451" w14:textId="77777777" w:rsidR="00811EDF" w:rsidRPr="00310A44" w:rsidRDefault="00811EDF" w:rsidP="00310A44">
      <w:pPr>
        <w:widowControl/>
        <w:numPr>
          <w:ilvl w:val="0"/>
          <w:numId w:val="5"/>
        </w:numPr>
        <w:autoSpaceDE/>
        <w:autoSpaceDN/>
        <w:spacing w:before="120" w:after="120" w:line="256" w:lineRule="auto"/>
        <w:ind w:left="426" w:hanging="284"/>
      </w:pPr>
      <w:r w:rsidRPr="00310A44">
        <w:t>improving the independence of certifiers through revised conflict of interest provisions and attaching penalties to breaches of the code of conduct;</w:t>
      </w:r>
    </w:p>
    <w:p w14:paraId="589D65A6" w14:textId="77777777" w:rsidR="00811EDF" w:rsidRPr="00310A44" w:rsidRDefault="00811EDF" w:rsidP="00310A44">
      <w:pPr>
        <w:widowControl/>
        <w:numPr>
          <w:ilvl w:val="0"/>
          <w:numId w:val="5"/>
        </w:numPr>
        <w:autoSpaceDE/>
        <w:autoSpaceDN/>
        <w:spacing w:before="120" w:after="120" w:line="256" w:lineRule="auto"/>
        <w:ind w:left="426" w:hanging="284"/>
      </w:pPr>
      <w:r w:rsidRPr="00310A44">
        <w:t>introducing powers for the Secretary to accept undertakings, issue warning notices about non-compliant certifiers, apply for injunctions to the Land and Environment Court, and issue conditions on the suspension or cancellation of a certifier’s registration, in addition to conditions on a registration which is in force; and</w:t>
      </w:r>
    </w:p>
    <w:p w14:paraId="2951836C" w14:textId="77777777" w:rsidR="00811EDF" w:rsidRPr="00310A44" w:rsidRDefault="00811EDF" w:rsidP="00310A44">
      <w:pPr>
        <w:widowControl/>
        <w:numPr>
          <w:ilvl w:val="0"/>
          <w:numId w:val="5"/>
        </w:numPr>
        <w:autoSpaceDE/>
        <w:autoSpaceDN/>
        <w:spacing w:before="120" w:after="120" w:line="256" w:lineRule="auto"/>
        <w:ind w:left="426" w:hanging="284"/>
      </w:pPr>
      <w:r w:rsidRPr="00310A44">
        <w:t xml:space="preserve">increasing the maximum penalty for the issue of false certificates from $30,000 to $1.1 million and/or two years imprisonment. </w:t>
      </w:r>
    </w:p>
    <w:p w14:paraId="372B9236" w14:textId="77777777" w:rsidR="00811EDF" w:rsidRPr="003F2587" w:rsidRDefault="00811EDF" w:rsidP="00604DE8">
      <w:pPr>
        <w:pStyle w:val="BodyText"/>
      </w:pPr>
      <w:r w:rsidRPr="003F2587">
        <w:t xml:space="preserve">In September 2019 the NSW Government released the draft Building and Development Certifiers Regulation 2019 for consultation. </w:t>
      </w:r>
    </w:p>
    <w:p w14:paraId="1D950280" w14:textId="77777777" w:rsidR="00811EDF" w:rsidRPr="003F2587" w:rsidRDefault="00811EDF" w:rsidP="00604DE8">
      <w:pPr>
        <w:pStyle w:val="BodyText"/>
      </w:pPr>
      <w:r w:rsidRPr="003F2587">
        <w:t>The draft Regulation proposes to streamline the different classes of registration and prescribe the qualifications, skills and experience required. It also seeks to provide greater protections for consumers by strengthening contract requirements for certification work and establishing a new accreditation authority framework for regulated work.</w:t>
      </w:r>
    </w:p>
    <w:p w14:paraId="788DBD04" w14:textId="3F49A47D" w:rsidR="00811EDF" w:rsidRDefault="00F93C05" w:rsidP="00604DE8">
      <w:pPr>
        <w:pStyle w:val="BodyText"/>
      </w:pPr>
      <w:r>
        <w:t>Once</w:t>
      </w:r>
      <w:r w:rsidR="00811EDF" w:rsidRPr="003F2587">
        <w:t xml:space="preserve"> finalised, </w:t>
      </w:r>
      <w:r>
        <w:t xml:space="preserve">this would </w:t>
      </w:r>
      <w:r w:rsidR="00811EDF" w:rsidRPr="003F2587">
        <w:t>allow the BDC Act to commence by the middle of 2020.</w:t>
      </w:r>
      <w:r w:rsidR="00811EDF">
        <w:t xml:space="preserve"> </w:t>
      </w:r>
    </w:p>
    <w:p w14:paraId="70993E75" w14:textId="77777777" w:rsidR="00FF4A2C" w:rsidRPr="00310A44" w:rsidRDefault="00FF4A2C" w:rsidP="00604DE8">
      <w:pPr>
        <w:pStyle w:val="Heading3"/>
      </w:pPr>
      <w:r w:rsidRPr="00310A44">
        <w:t xml:space="preserve">Strengthening building safety and quality through amendments to the Environmental Planning and Assessment Act 1979 (the EP&amp;A Act) </w:t>
      </w:r>
    </w:p>
    <w:p w14:paraId="41FE0005" w14:textId="77777777" w:rsidR="00FF4A2C" w:rsidRDefault="00FF4A2C" w:rsidP="00604DE8">
      <w:pPr>
        <w:pStyle w:val="BodyText"/>
      </w:pPr>
      <w:r>
        <w:t xml:space="preserve">On 1 October 2017, the NSW Government introduced reforms to the </w:t>
      </w:r>
      <w:r>
        <w:rPr>
          <w:i/>
        </w:rPr>
        <w:t>Environmental Planning and Assessment Regulation 2000</w:t>
      </w:r>
      <w:r>
        <w:t xml:space="preserve"> (EP&amp;A Regulation) to strengthen fire safety regulation and the NSW certification system. Under the EP&amp;A Regulation, an accredited ‘competent fire safety practitioner’ must be used to: </w:t>
      </w:r>
    </w:p>
    <w:p w14:paraId="4853A0D9" w14:textId="77777777" w:rsidR="00FF4A2C" w:rsidRPr="00310A44" w:rsidRDefault="00FF4A2C" w:rsidP="00FF4A2C">
      <w:pPr>
        <w:widowControl/>
        <w:numPr>
          <w:ilvl w:val="0"/>
          <w:numId w:val="7"/>
        </w:numPr>
        <w:tabs>
          <w:tab w:val="clear" w:pos="720"/>
          <w:tab w:val="num" w:pos="851"/>
        </w:tabs>
        <w:autoSpaceDE/>
        <w:autoSpaceDN/>
        <w:spacing w:before="120" w:after="120" w:line="256" w:lineRule="auto"/>
        <w:ind w:left="426"/>
      </w:pPr>
      <w:r w:rsidRPr="00310A44">
        <w:t>endorse plans and specifications for relevant fire safety systems;</w:t>
      </w:r>
    </w:p>
    <w:p w14:paraId="4B4E874A" w14:textId="77777777" w:rsidR="00FF4A2C" w:rsidRPr="00310A44" w:rsidRDefault="00FF4A2C" w:rsidP="00FF4A2C">
      <w:pPr>
        <w:widowControl/>
        <w:numPr>
          <w:ilvl w:val="0"/>
          <w:numId w:val="7"/>
        </w:numPr>
        <w:tabs>
          <w:tab w:val="clear" w:pos="720"/>
          <w:tab w:val="num" w:pos="851"/>
        </w:tabs>
        <w:autoSpaceDE/>
        <w:autoSpaceDN/>
        <w:spacing w:before="120" w:after="120" w:line="256" w:lineRule="auto"/>
        <w:ind w:left="426"/>
      </w:pPr>
      <w:r w:rsidRPr="00310A44">
        <w:t>endorse fire safety performance solution reports;</w:t>
      </w:r>
    </w:p>
    <w:p w14:paraId="1EA8EF49" w14:textId="77777777" w:rsidR="00FF4A2C" w:rsidRPr="00310A44" w:rsidRDefault="00FF4A2C" w:rsidP="00FF4A2C">
      <w:pPr>
        <w:widowControl/>
        <w:numPr>
          <w:ilvl w:val="0"/>
          <w:numId w:val="7"/>
        </w:numPr>
        <w:tabs>
          <w:tab w:val="clear" w:pos="720"/>
          <w:tab w:val="num" w:pos="851"/>
        </w:tabs>
        <w:autoSpaceDE/>
        <w:autoSpaceDN/>
        <w:spacing w:before="120" w:after="120" w:line="256" w:lineRule="auto"/>
        <w:ind w:left="426"/>
      </w:pPr>
      <w:r w:rsidRPr="00310A44">
        <w:t>endorse exemptions to the Building Code of Australia for minor works to existing relevant fire safety systems; and</w:t>
      </w:r>
    </w:p>
    <w:p w14:paraId="51F08F59" w14:textId="77777777" w:rsidR="00FF4A2C" w:rsidRPr="00310A44" w:rsidRDefault="00FF4A2C" w:rsidP="00FF4A2C">
      <w:pPr>
        <w:widowControl/>
        <w:numPr>
          <w:ilvl w:val="0"/>
          <w:numId w:val="7"/>
        </w:numPr>
        <w:tabs>
          <w:tab w:val="clear" w:pos="720"/>
          <w:tab w:val="num" w:pos="851"/>
        </w:tabs>
        <w:autoSpaceDE/>
        <w:autoSpaceDN/>
        <w:spacing w:before="120" w:after="120" w:line="256" w:lineRule="auto"/>
        <w:ind w:left="426"/>
      </w:pPr>
      <w:r w:rsidRPr="00310A44">
        <w:t>undertake the annual fire safety statement assessment of buildings.</w:t>
      </w:r>
    </w:p>
    <w:p w14:paraId="14B81C48" w14:textId="77777777" w:rsidR="00FF4A2C" w:rsidRDefault="00FF4A2C" w:rsidP="00604DE8">
      <w:pPr>
        <w:pStyle w:val="BodyText"/>
      </w:pPr>
      <w:r>
        <w:t xml:space="preserve">A number of reforms will be operationalised through following amendments to the EP&amp;A Regulation. Reforms include revised procedures for occupation certificates to reduce compliance risks associated with the occupation of incomplete structures while still enabling staged development, including the issuing of compliance certificates in lieu of occupation certifications in some circumstances. Reforms are also proposed to improve principal certifier obligations to proactively manage non-compliances, by providing clarity around the role of certifiers and supporting the enforcement role of councils. </w:t>
      </w:r>
    </w:p>
    <w:p w14:paraId="7621AC8D" w14:textId="0DC4AE42" w:rsidR="00FF4A2C" w:rsidRPr="00A76E6E" w:rsidRDefault="00FF4A2C" w:rsidP="00604DE8">
      <w:pPr>
        <w:pStyle w:val="BodyText"/>
      </w:pPr>
      <w:r w:rsidRPr="00F93C05">
        <w:t>The NSW Government is drafting the regulations and expects to release a consultation draft.</w:t>
      </w:r>
      <w:r>
        <w:t xml:space="preserve"> </w:t>
      </w:r>
    </w:p>
    <w:p w14:paraId="04E5987C" w14:textId="21B9B729" w:rsidR="00FF4A2C" w:rsidRPr="00310A44" w:rsidRDefault="00FF4A2C" w:rsidP="00604DE8">
      <w:pPr>
        <w:pStyle w:val="Heading3"/>
      </w:pPr>
      <w:r w:rsidRPr="00310A44">
        <w:t xml:space="preserve">The </w:t>
      </w:r>
      <w:hyperlink r:id="rId21" w:history="1">
        <w:r w:rsidRPr="00310A44">
          <w:t>NSW Government response</w:t>
        </w:r>
      </w:hyperlink>
      <w:r w:rsidRPr="00310A44">
        <w:t xml:space="preserve"> to the Building Confidence Repor</w:t>
      </w:r>
      <w:r w:rsidR="00971146" w:rsidRPr="00310A44">
        <w:t>t</w:t>
      </w:r>
    </w:p>
    <w:p w14:paraId="771778E0" w14:textId="6CB469B2" w:rsidR="00B92AAC" w:rsidRPr="00604DE8" w:rsidRDefault="00B92AAC" w:rsidP="00604DE8">
      <w:pPr>
        <w:pStyle w:val="BodyText"/>
      </w:pPr>
      <w:r w:rsidRPr="00604DE8">
        <w:t xml:space="preserve">The NSW Government has been progressing the major reforms committed to in its Response to the </w:t>
      </w:r>
      <w:r w:rsidR="003D1B73" w:rsidRPr="00604DE8">
        <w:t>BCR</w:t>
      </w:r>
      <w:r w:rsidRPr="00604DE8">
        <w:t xml:space="preserve">. </w:t>
      </w:r>
    </w:p>
    <w:p w14:paraId="63DA0901" w14:textId="77777777" w:rsidR="00604DE8" w:rsidRDefault="00B92AAC" w:rsidP="00604DE8">
      <w:pPr>
        <w:pStyle w:val="BodyText"/>
      </w:pPr>
      <w:r w:rsidRPr="00604DE8">
        <w:t xml:space="preserve">In August 2019 the NSW Government appointed the State’s first Building Commissioner, Mr David Chandler OAM. </w:t>
      </w:r>
    </w:p>
    <w:p w14:paraId="5A85338B" w14:textId="3E9857B6" w:rsidR="00B92AAC" w:rsidRPr="00604DE8" w:rsidRDefault="00B92AAC" w:rsidP="00604DE8">
      <w:pPr>
        <w:pStyle w:val="BodyText"/>
      </w:pPr>
      <w:r w:rsidRPr="00604DE8">
        <w:lastRenderedPageBreak/>
        <w:t>The Building Commissioner will be responsible for:</w:t>
      </w:r>
    </w:p>
    <w:p w14:paraId="4317333D"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the investigation and disciplinary action for misconduct in the building industry</w:t>
      </w:r>
    </w:p>
    <w:p w14:paraId="6C157988"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overseeing the end-to-end licensing and auditing across the building industry and</w:t>
      </w:r>
    </w:p>
    <w:p w14:paraId="0EE45676"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driving legislative reforms of the building industry, including consultation with industry.</w:t>
      </w:r>
    </w:p>
    <w:p w14:paraId="68D5B0AD" w14:textId="77777777" w:rsidR="00B92AAC" w:rsidRPr="003F2587" w:rsidRDefault="00B92AAC" w:rsidP="00604DE8">
      <w:pPr>
        <w:pStyle w:val="BodyText"/>
      </w:pPr>
      <w:r w:rsidRPr="003F2587">
        <w:t>In October 2019 the NSW Government tabled the Design and Building Practitioners Bill 2019 into Parliament. The Bill introduces reforms intended to improve the quality and compliance of design documentation and to strengthen accountability across the design, building and construction sector, such as:</w:t>
      </w:r>
    </w:p>
    <w:p w14:paraId="68E7C572"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Introducing the concept of ‘regulated designs’, which include designs for a building element and performance solutions for prescribed classes of building work or a building element;</w:t>
      </w:r>
    </w:p>
    <w:p w14:paraId="1E8E9622"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Requiring that design practitioners who prepare regulated designs issue a compliance declaration to declare that the designs comply with the Building Code of Australia;</w:t>
      </w:r>
    </w:p>
    <w:p w14:paraId="5F226985"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Requiring that building practitioners obtain, rely upon and build in accordance with declared designs, and issue a compliance declaration to declare they have complied with the Building Code of Australia;</w:t>
      </w:r>
    </w:p>
    <w:p w14:paraId="463704FC"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Requiring that any variations to declared designs are prepared and declared by a design practitioner if they are in a building element or performance solution, or in any other case, documented by the building practitioner;</w:t>
      </w:r>
    </w:p>
    <w:p w14:paraId="47C70014"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Introducing the optional role of a ‘principal design practitioner’;</w:t>
      </w:r>
    </w:p>
    <w:p w14:paraId="385AD283"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Requiring any design, principal design or building practitioner who intends on making a compliance declaration to be registered under a new registration scheme set out under the draft Bill; and</w:t>
      </w:r>
    </w:p>
    <w:p w14:paraId="0F4ABDDD" w14:textId="77777777" w:rsidR="00B92AAC" w:rsidRPr="00310A44" w:rsidRDefault="00B92AAC" w:rsidP="00310A44">
      <w:pPr>
        <w:widowControl/>
        <w:numPr>
          <w:ilvl w:val="0"/>
          <w:numId w:val="7"/>
        </w:numPr>
        <w:tabs>
          <w:tab w:val="clear" w:pos="720"/>
          <w:tab w:val="num" w:pos="851"/>
        </w:tabs>
        <w:autoSpaceDE/>
        <w:autoSpaceDN/>
        <w:spacing w:before="120" w:after="120" w:line="256" w:lineRule="auto"/>
        <w:ind w:left="426"/>
      </w:pPr>
      <w:r w:rsidRPr="00310A44">
        <w:t>Clarifying the common law to ensure that a duty of care is owed for construction work to certain categories of ‘owner’.</w:t>
      </w:r>
    </w:p>
    <w:p w14:paraId="41628BB2" w14:textId="0657A4B1" w:rsidR="00B92AAC" w:rsidRPr="00310A44" w:rsidRDefault="00B92AAC" w:rsidP="00604DE8">
      <w:pPr>
        <w:pStyle w:val="BodyText"/>
      </w:pPr>
      <w:r w:rsidRPr="00310A44">
        <w:t xml:space="preserve">Ms Bronwyn Weir, co-author of the </w:t>
      </w:r>
      <w:r w:rsidR="003D1B73" w:rsidRPr="00310A44">
        <w:t>BCR</w:t>
      </w:r>
      <w:r w:rsidRPr="00310A44">
        <w:t>, was engaged by the NSW Government to provide her specialist expertise to support t</w:t>
      </w:r>
      <w:r w:rsidR="00281450">
        <w:t>he drafting of the legislation.</w:t>
      </w:r>
    </w:p>
    <w:p w14:paraId="7C95FF48" w14:textId="77777777" w:rsidR="00B92AAC" w:rsidRPr="00310A44" w:rsidRDefault="00B92AAC" w:rsidP="00604DE8">
      <w:pPr>
        <w:pStyle w:val="BodyText"/>
      </w:pPr>
      <w:r w:rsidRPr="00310A44">
        <w:t>It is intended that the reforms will initially apply to certain categories of regulated designs and to multi-unit and multi-storey residential apartment buildings, and other classes of buildings included over time.</w:t>
      </w:r>
    </w:p>
    <w:p w14:paraId="216F6245" w14:textId="77777777" w:rsidR="00D407C7" w:rsidRPr="00D407C7" w:rsidRDefault="00FF4A2C" w:rsidP="00604DE8">
      <w:pPr>
        <w:pStyle w:val="Heading2"/>
      </w:pPr>
      <w:r w:rsidRPr="00D407C7">
        <w:t>Timeframes</w:t>
      </w:r>
    </w:p>
    <w:tbl>
      <w:tblPr>
        <w:tblW w:w="101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4962"/>
        <w:gridCol w:w="2928"/>
        <w:gridCol w:w="2275"/>
      </w:tblGrid>
      <w:tr w:rsidR="0061048B" w14:paraId="4865E4C6" w14:textId="77777777" w:rsidTr="0061048B">
        <w:trPr>
          <w:trHeight w:hRule="exact" w:val="561"/>
        </w:trPr>
        <w:tc>
          <w:tcPr>
            <w:tcW w:w="4962" w:type="dxa"/>
            <w:shd w:val="clear" w:color="auto" w:fill="005577"/>
          </w:tcPr>
          <w:p w14:paraId="1633788D" w14:textId="4562C8BB" w:rsidR="0061048B" w:rsidRDefault="00EC08CF" w:rsidP="00EC08CF">
            <w:pPr>
              <w:pStyle w:val="TableParagraph"/>
              <w:spacing w:before="158"/>
              <w:jc w:val="center"/>
              <w:rPr>
                <w:b/>
                <w:sz w:val="20"/>
              </w:rPr>
            </w:pPr>
            <w:r>
              <w:rPr>
                <w:b/>
                <w:color w:val="FFFFFF"/>
                <w:sz w:val="20"/>
              </w:rPr>
              <w:t>Refor</w:t>
            </w:r>
            <w:r w:rsidR="0061048B">
              <w:rPr>
                <w:b/>
                <w:color w:val="FFFFFF"/>
                <w:sz w:val="20"/>
              </w:rPr>
              <w:t>m</w:t>
            </w:r>
          </w:p>
        </w:tc>
        <w:tc>
          <w:tcPr>
            <w:tcW w:w="2928" w:type="dxa"/>
            <w:shd w:val="clear" w:color="auto" w:fill="005577"/>
          </w:tcPr>
          <w:p w14:paraId="4FA48520" w14:textId="77777777" w:rsidR="0061048B" w:rsidRDefault="0061048B" w:rsidP="00604DE8">
            <w:pPr>
              <w:pStyle w:val="TableParagraph"/>
              <w:spacing w:before="43"/>
              <w:ind w:left="535" w:firstLine="273"/>
              <w:rPr>
                <w:b/>
                <w:sz w:val="20"/>
              </w:rPr>
            </w:pPr>
            <w:r>
              <w:rPr>
                <w:b/>
                <w:color w:val="FFFFFF"/>
                <w:sz w:val="20"/>
              </w:rPr>
              <w:t xml:space="preserve">Associated </w:t>
            </w:r>
            <w:r>
              <w:rPr>
                <w:b/>
                <w:color w:val="FFFFFF"/>
                <w:w w:val="95"/>
                <w:sz w:val="20"/>
              </w:rPr>
              <w:t>recommendation</w:t>
            </w:r>
          </w:p>
        </w:tc>
        <w:tc>
          <w:tcPr>
            <w:tcW w:w="2275" w:type="dxa"/>
            <w:shd w:val="clear" w:color="auto" w:fill="005577"/>
          </w:tcPr>
          <w:p w14:paraId="7593F689" w14:textId="77777777" w:rsidR="0061048B" w:rsidRDefault="0061048B" w:rsidP="00604DE8">
            <w:pPr>
              <w:pStyle w:val="TableParagraph"/>
              <w:spacing w:before="158"/>
              <w:ind w:left="146" w:right="144"/>
              <w:jc w:val="center"/>
              <w:rPr>
                <w:b/>
                <w:sz w:val="20"/>
              </w:rPr>
            </w:pPr>
            <w:r>
              <w:rPr>
                <w:b/>
                <w:color w:val="FFFFFF"/>
                <w:sz w:val="20"/>
              </w:rPr>
              <w:t>Timeframe</w:t>
            </w:r>
          </w:p>
        </w:tc>
      </w:tr>
      <w:tr w:rsidR="0061048B" w14:paraId="67EB185B" w14:textId="77777777" w:rsidTr="0061048B">
        <w:trPr>
          <w:trHeight w:hRule="exact" w:val="808"/>
        </w:trPr>
        <w:tc>
          <w:tcPr>
            <w:tcW w:w="4962" w:type="dxa"/>
            <w:shd w:val="clear" w:color="auto" w:fill="E7E6E6" w:themeFill="background2"/>
          </w:tcPr>
          <w:p w14:paraId="08065547" w14:textId="474D4019" w:rsidR="0061048B" w:rsidRPr="0061048B" w:rsidRDefault="0061048B" w:rsidP="0061048B">
            <w:pPr>
              <w:pStyle w:val="TableParagraph"/>
              <w:spacing w:before="120" w:after="120"/>
              <w:ind w:left="104"/>
              <w:rPr>
                <w:sz w:val="20"/>
                <w:szCs w:val="20"/>
              </w:rPr>
            </w:pPr>
            <w:r w:rsidRPr="0061048B">
              <w:rPr>
                <w:sz w:val="20"/>
                <w:szCs w:val="20"/>
              </w:rPr>
              <w:t xml:space="preserve">The NSW Government response to the BCR </w:t>
            </w:r>
          </w:p>
        </w:tc>
        <w:tc>
          <w:tcPr>
            <w:tcW w:w="2928" w:type="dxa"/>
          </w:tcPr>
          <w:p w14:paraId="760233FF" w14:textId="28F11B74" w:rsidR="0061048B" w:rsidRPr="0061048B" w:rsidRDefault="0061048B" w:rsidP="0061048B">
            <w:pPr>
              <w:pStyle w:val="TableParagraph"/>
              <w:spacing w:before="120" w:after="120"/>
              <w:ind w:left="153" w:right="155"/>
              <w:jc w:val="center"/>
              <w:rPr>
                <w:sz w:val="20"/>
                <w:szCs w:val="20"/>
              </w:rPr>
            </w:pPr>
            <w:r w:rsidRPr="0061048B">
              <w:rPr>
                <w:sz w:val="20"/>
                <w:szCs w:val="20"/>
              </w:rPr>
              <w:t>1, 2, 6, 7, 12, 13, 14, 15, 16</w:t>
            </w:r>
          </w:p>
        </w:tc>
        <w:tc>
          <w:tcPr>
            <w:tcW w:w="2275" w:type="dxa"/>
          </w:tcPr>
          <w:p w14:paraId="4D91A81C" w14:textId="3B1C28A7" w:rsidR="0061048B" w:rsidRPr="0061048B" w:rsidRDefault="0061048B" w:rsidP="0061048B">
            <w:pPr>
              <w:pStyle w:val="TableParagraph"/>
              <w:spacing w:before="120" w:after="120"/>
              <w:ind w:left="146" w:right="144"/>
              <w:jc w:val="center"/>
              <w:rPr>
                <w:sz w:val="20"/>
                <w:szCs w:val="20"/>
              </w:rPr>
            </w:pPr>
            <w:r w:rsidRPr="0061048B">
              <w:rPr>
                <w:sz w:val="20"/>
                <w:szCs w:val="20"/>
              </w:rPr>
              <w:t>Short/Medium-term</w:t>
            </w:r>
          </w:p>
        </w:tc>
      </w:tr>
      <w:tr w:rsidR="0061048B" w14:paraId="700B8CAB" w14:textId="77777777" w:rsidTr="0061048B">
        <w:trPr>
          <w:trHeight w:hRule="exact" w:val="433"/>
        </w:trPr>
        <w:tc>
          <w:tcPr>
            <w:tcW w:w="4962" w:type="dxa"/>
            <w:shd w:val="clear" w:color="auto" w:fill="E7E6E6" w:themeFill="background2"/>
          </w:tcPr>
          <w:p w14:paraId="745E77E3" w14:textId="205BE532" w:rsidR="0061048B" w:rsidRPr="0061048B" w:rsidRDefault="0061048B" w:rsidP="0061048B">
            <w:pPr>
              <w:pStyle w:val="TableParagraph"/>
              <w:spacing w:before="120" w:after="120"/>
              <w:ind w:left="104"/>
              <w:rPr>
                <w:sz w:val="20"/>
                <w:szCs w:val="20"/>
              </w:rPr>
            </w:pPr>
            <w:r w:rsidRPr="0061048B">
              <w:rPr>
                <w:sz w:val="20"/>
                <w:szCs w:val="20"/>
              </w:rPr>
              <w:t xml:space="preserve">Four-point plan to improve the certification industry </w:t>
            </w:r>
          </w:p>
        </w:tc>
        <w:tc>
          <w:tcPr>
            <w:tcW w:w="2928" w:type="dxa"/>
          </w:tcPr>
          <w:p w14:paraId="569DA5B3" w14:textId="0EFB5C98" w:rsidR="0061048B" w:rsidRPr="0061048B" w:rsidRDefault="0061048B" w:rsidP="0061048B">
            <w:pPr>
              <w:pStyle w:val="TableParagraph"/>
              <w:spacing w:before="120" w:after="120"/>
              <w:ind w:left="153" w:right="155"/>
              <w:jc w:val="center"/>
              <w:rPr>
                <w:sz w:val="20"/>
                <w:szCs w:val="20"/>
              </w:rPr>
            </w:pPr>
            <w:r w:rsidRPr="0061048B">
              <w:rPr>
                <w:sz w:val="20"/>
                <w:szCs w:val="20"/>
              </w:rPr>
              <w:t>6, 7, 9, 10, 11</w:t>
            </w:r>
          </w:p>
        </w:tc>
        <w:tc>
          <w:tcPr>
            <w:tcW w:w="2275" w:type="dxa"/>
          </w:tcPr>
          <w:p w14:paraId="5AD9C947" w14:textId="36934AA6" w:rsidR="0061048B" w:rsidRPr="0061048B" w:rsidRDefault="0061048B" w:rsidP="0061048B">
            <w:pPr>
              <w:pStyle w:val="TableParagraph"/>
              <w:spacing w:before="120" w:after="120"/>
              <w:ind w:left="146" w:right="144"/>
              <w:jc w:val="center"/>
              <w:rPr>
                <w:sz w:val="20"/>
                <w:szCs w:val="20"/>
              </w:rPr>
            </w:pPr>
            <w:r w:rsidRPr="0061048B">
              <w:rPr>
                <w:sz w:val="20"/>
                <w:szCs w:val="20"/>
              </w:rPr>
              <w:t>Medium</w:t>
            </w:r>
          </w:p>
        </w:tc>
      </w:tr>
      <w:tr w:rsidR="0061048B" w14:paraId="08B9DE68" w14:textId="77777777" w:rsidTr="0061048B">
        <w:trPr>
          <w:trHeight w:hRule="exact" w:val="897"/>
        </w:trPr>
        <w:tc>
          <w:tcPr>
            <w:tcW w:w="4962" w:type="dxa"/>
            <w:shd w:val="clear" w:color="auto" w:fill="E7E6E6" w:themeFill="background2"/>
          </w:tcPr>
          <w:p w14:paraId="06208133" w14:textId="5B48D00A" w:rsidR="0061048B" w:rsidRPr="0061048B" w:rsidRDefault="0061048B" w:rsidP="0061048B">
            <w:pPr>
              <w:pStyle w:val="TableParagraph"/>
              <w:spacing w:before="120" w:after="120"/>
              <w:ind w:left="104"/>
              <w:rPr>
                <w:sz w:val="20"/>
                <w:szCs w:val="20"/>
              </w:rPr>
            </w:pPr>
            <w:r w:rsidRPr="0061048B">
              <w:rPr>
                <w:sz w:val="20"/>
                <w:szCs w:val="20"/>
              </w:rPr>
              <w:t>Development of a new legislative framework for certifiers through the BDC Act and supporting regulations</w:t>
            </w:r>
          </w:p>
        </w:tc>
        <w:tc>
          <w:tcPr>
            <w:tcW w:w="2928" w:type="dxa"/>
          </w:tcPr>
          <w:p w14:paraId="2809256B" w14:textId="3020E34B" w:rsidR="0061048B" w:rsidRPr="0061048B" w:rsidRDefault="0061048B" w:rsidP="0061048B">
            <w:pPr>
              <w:pStyle w:val="TableParagraph"/>
              <w:spacing w:before="120" w:after="120"/>
              <w:ind w:left="153" w:right="155"/>
              <w:jc w:val="center"/>
              <w:rPr>
                <w:sz w:val="20"/>
                <w:szCs w:val="20"/>
              </w:rPr>
            </w:pPr>
            <w:r w:rsidRPr="0061048B">
              <w:rPr>
                <w:sz w:val="20"/>
                <w:szCs w:val="20"/>
              </w:rPr>
              <w:t>1, 2, 6, 9, 10, 11</w:t>
            </w:r>
          </w:p>
        </w:tc>
        <w:tc>
          <w:tcPr>
            <w:tcW w:w="2275" w:type="dxa"/>
          </w:tcPr>
          <w:p w14:paraId="01ED53F0" w14:textId="7068046B" w:rsidR="0061048B" w:rsidRPr="0061048B" w:rsidRDefault="0061048B" w:rsidP="0061048B">
            <w:pPr>
              <w:pStyle w:val="TableParagraph"/>
              <w:spacing w:before="120" w:after="120"/>
              <w:ind w:left="144" w:right="144"/>
              <w:jc w:val="center"/>
              <w:rPr>
                <w:sz w:val="20"/>
                <w:szCs w:val="20"/>
              </w:rPr>
            </w:pPr>
            <w:r w:rsidRPr="0061048B">
              <w:rPr>
                <w:sz w:val="20"/>
                <w:szCs w:val="20"/>
              </w:rPr>
              <w:t>Medium</w:t>
            </w:r>
          </w:p>
        </w:tc>
      </w:tr>
      <w:tr w:rsidR="0061048B" w14:paraId="423DC964" w14:textId="77777777" w:rsidTr="0061048B">
        <w:trPr>
          <w:trHeight w:hRule="exact" w:val="1338"/>
        </w:trPr>
        <w:tc>
          <w:tcPr>
            <w:tcW w:w="4962" w:type="dxa"/>
            <w:shd w:val="clear" w:color="auto" w:fill="E7E6E6" w:themeFill="background2"/>
          </w:tcPr>
          <w:p w14:paraId="5D95E272" w14:textId="499FF588" w:rsidR="0061048B" w:rsidRPr="0061048B" w:rsidRDefault="0061048B" w:rsidP="0061048B">
            <w:pPr>
              <w:pStyle w:val="TableParagraph"/>
              <w:spacing w:before="120" w:after="120" w:line="228" w:lineRule="exact"/>
              <w:ind w:left="104" w:right="647"/>
              <w:rPr>
                <w:sz w:val="20"/>
                <w:szCs w:val="20"/>
              </w:rPr>
            </w:pPr>
            <w:r w:rsidRPr="0061048B">
              <w:rPr>
                <w:sz w:val="20"/>
                <w:szCs w:val="20"/>
              </w:rPr>
              <w:t>Amendments to the EP&amp;A Act</w:t>
            </w:r>
          </w:p>
        </w:tc>
        <w:tc>
          <w:tcPr>
            <w:tcW w:w="2928" w:type="dxa"/>
          </w:tcPr>
          <w:p w14:paraId="28D882AD" w14:textId="1831D9BD" w:rsidR="0061048B" w:rsidRPr="0061048B" w:rsidRDefault="0061048B" w:rsidP="0061048B">
            <w:pPr>
              <w:pStyle w:val="TableParagraph"/>
              <w:spacing w:before="120" w:after="120"/>
              <w:ind w:left="153" w:right="153"/>
              <w:jc w:val="center"/>
              <w:rPr>
                <w:sz w:val="20"/>
                <w:szCs w:val="20"/>
              </w:rPr>
            </w:pPr>
            <w:r w:rsidRPr="0061048B">
              <w:rPr>
                <w:sz w:val="20"/>
                <w:szCs w:val="20"/>
              </w:rPr>
              <w:t>1, 5, 8, 11, 19, 20</w:t>
            </w:r>
          </w:p>
        </w:tc>
        <w:tc>
          <w:tcPr>
            <w:tcW w:w="2275" w:type="dxa"/>
          </w:tcPr>
          <w:p w14:paraId="4732117A" w14:textId="35A69491" w:rsidR="0061048B" w:rsidRPr="0061048B" w:rsidRDefault="0061048B" w:rsidP="0061048B">
            <w:pPr>
              <w:spacing w:before="120" w:after="120"/>
              <w:jc w:val="center"/>
              <w:rPr>
                <w:sz w:val="20"/>
                <w:szCs w:val="20"/>
              </w:rPr>
            </w:pPr>
            <w:r w:rsidRPr="0061048B">
              <w:rPr>
                <w:sz w:val="20"/>
                <w:szCs w:val="20"/>
              </w:rPr>
              <w:t>Competent fire safety practitioner reforms: nil – implemented</w:t>
            </w:r>
          </w:p>
          <w:p w14:paraId="21909200" w14:textId="66D5498A" w:rsidR="0061048B" w:rsidRPr="0061048B" w:rsidRDefault="0061048B" w:rsidP="0061048B">
            <w:pPr>
              <w:pStyle w:val="TableParagraph"/>
              <w:spacing w:before="120" w:after="120"/>
              <w:ind w:left="146" w:right="144"/>
              <w:jc w:val="center"/>
              <w:rPr>
                <w:sz w:val="20"/>
                <w:szCs w:val="20"/>
              </w:rPr>
            </w:pPr>
            <w:r w:rsidRPr="0061048B">
              <w:rPr>
                <w:sz w:val="20"/>
                <w:szCs w:val="20"/>
              </w:rPr>
              <w:t>Remainder: medium</w:t>
            </w:r>
          </w:p>
        </w:tc>
      </w:tr>
      <w:tr w:rsidR="0061048B" w14:paraId="4421D8EA" w14:textId="77777777" w:rsidTr="0061048B">
        <w:trPr>
          <w:trHeight w:hRule="exact" w:val="504"/>
        </w:trPr>
        <w:tc>
          <w:tcPr>
            <w:tcW w:w="4962" w:type="dxa"/>
            <w:shd w:val="clear" w:color="auto" w:fill="E7E6E6" w:themeFill="background2"/>
          </w:tcPr>
          <w:p w14:paraId="70388BFD" w14:textId="1F731345" w:rsidR="0061048B" w:rsidRPr="0061048B" w:rsidRDefault="0061048B" w:rsidP="0061048B">
            <w:pPr>
              <w:pStyle w:val="TableParagraph"/>
              <w:spacing w:before="120" w:after="120" w:line="228" w:lineRule="exact"/>
              <w:ind w:left="104" w:right="647"/>
              <w:rPr>
                <w:sz w:val="20"/>
                <w:szCs w:val="20"/>
              </w:rPr>
            </w:pPr>
            <w:r w:rsidRPr="0061048B">
              <w:rPr>
                <w:sz w:val="20"/>
                <w:szCs w:val="20"/>
              </w:rPr>
              <w:t>Introduction of the BPS Act</w:t>
            </w:r>
          </w:p>
        </w:tc>
        <w:tc>
          <w:tcPr>
            <w:tcW w:w="2928" w:type="dxa"/>
          </w:tcPr>
          <w:p w14:paraId="445F5914" w14:textId="1CB6F345" w:rsidR="0061048B" w:rsidRPr="0061048B" w:rsidRDefault="0061048B" w:rsidP="0061048B">
            <w:pPr>
              <w:pStyle w:val="TableParagraph"/>
              <w:spacing w:before="120" w:after="120"/>
              <w:jc w:val="center"/>
              <w:rPr>
                <w:sz w:val="20"/>
                <w:szCs w:val="20"/>
              </w:rPr>
            </w:pPr>
            <w:r w:rsidRPr="0061048B">
              <w:rPr>
                <w:sz w:val="20"/>
                <w:szCs w:val="20"/>
              </w:rPr>
              <w:t>5, 6</w:t>
            </w:r>
          </w:p>
        </w:tc>
        <w:tc>
          <w:tcPr>
            <w:tcW w:w="2275" w:type="dxa"/>
          </w:tcPr>
          <w:p w14:paraId="18E92AF6" w14:textId="319F5032" w:rsidR="0061048B" w:rsidRPr="0061048B" w:rsidRDefault="0061048B" w:rsidP="0061048B">
            <w:pPr>
              <w:pStyle w:val="TableParagraph"/>
              <w:spacing w:before="120" w:after="120"/>
              <w:jc w:val="center"/>
              <w:rPr>
                <w:sz w:val="20"/>
                <w:szCs w:val="20"/>
              </w:rPr>
            </w:pPr>
            <w:r w:rsidRPr="0061048B">
              <w:rPr>
                <w:sz w:val="20"/>
                <w:szCs w:val="20"/>
              </w:rPr>
              <w:t>Nil – implemented</w:t>
            </w:r>
          </w:p>
        </w:tc>
      </w:tr>
    </w:tbl>
    <w:p w14:paraId="55381C5B" w14:textId="77777777" w:rsidR="0061048B" w:rsidRDefault="0061048B" w:rsidP="00FF4A2C">
      <w:pPr>
        <w:spacing w:before="120" w:after="120"/>
        <w:rPr>
          <w:rFonts w:asciiTheme="minorHAnsi" w:hAnsiTheme="minorHAnsi" w:cstheme="minorBidi"/>
          <w:sz w:val="21"/>
          <w:szCs w:val="21"/>
        </w:rPr>
      </w:pPr>
    </w:p>
    <w:p w14:paraId="7B8F8BF1" w14:textId="77777777" w:rsidR="00FF4A2C" w:rsidRDefault="00FF4A2C" w:rsidP="00FF4A2C">
      <w:pPr>
        <w:spacing w:line="300" w:lineRule="auto"/>
        <w:sectPr w:rsidR="00FF4A2C" w:rsidSect="005C4E20">
          <w:footerReference w:type="default" r:id="rId22"/>
          <w:pgSz w:w="11910" w:h="16840"/>
          <w:pgMar w:top="1040" w:right="520" w:bottom="700" w:left="980" w:header="764" w:footer="505" w:gutter="0"/>
          <w:cols w:space="720"/>
        </w:sectPr>
      </w:pPr>
    </w:p>
    <w:p w14:paraId="4CF8920A" w14:textId="1756B9D0" w:rsidR="00FF4A2C" w:rsidRDefault="00FF4A2C" w:rsidP="00355BA9">
      <w:pPr>
        <w:pStyle w:val="Heading1"/>
      </w:pPr>
      <w:bookmarkStart w:id="8" w:name="_Toc27738653"/>
      <w:r>
        <w:lastRenderedPageBreak/>
        <w:t>Victoria</w:t>
      </w:r>
      <w:bookmarkEnd w:id="8"/>
    </w:p>
    <w:p w14:paraId="77075C47" w14:textId="1AF5B061" w:rsidR="00FF4A2C" w:rsidRPr="00EB1730" w:rsidRDefault="00FF4A2C" w:rsidP="00EB1730">
      <w:pPr>
        <w:pStyle w:val="Heading2"/>
      </w:pPr>
      <w:r w:rsidRPr="00EB1730">
        <w:t xml:space="preserve">Update </w:t>
      </w:r>
      <w:r w:rsidR="00EB1730" w:rsidRPr="00EB1730">
        <w:t>o</w:t>
      </w:r>
      <w:r w:rsidRPr="00EB1730">
        <w:t>verview</w:t>
      </w:r>
    </w:p>
    <w:p w14:paraId="78F14685" w14:textId="57350EE1" w:rsidR="00FF4A2C" w:rsidRPr="00604DE8" w:rsidRDefault="00FF4A2C" w:rsidP="00604DE8">
      <w:pPr>
        <w:pStyle w:val="BodyText"/>
        <w:rPr>
          <w:rFonts w:asciiTheme="minorHAnsi" w:eastAsiaTheme="minorEastAsia" w:hAnsiTheme="minorHAnsi" w:cstheme="minorBidi"/>
        </w:rPr>
      </w:pPr>
      <w:r>
        <w:t xml:space="preserve">The Victorian Government is committed to ensuring Victorians can live in houses, townhouses and apartments that are </w:t>
      </w:r>
      <w:r w:rsidR="00462297">
        <w:t>liv</w:t>
      </w:r>
      <w:r w:rsidR="000C747C">
        <w:t>e</w:t>
      </w:r>
      <w:r w:rsidR="00462297">
        <w:t>able</w:t>
      </w:r>
      <w:r>
        <w:t xml:space="preserve">, safe and compliant. The safety of building occupants is the top priority, which is why Victoria has put considerable focus on a </w:t>
      </w:r>
      <w:r w:rsidR="00FA5B98">
        <w:t>s</w:t>
      </w:r>
      <w:r>
        <w:t xml:space="preserve">tatewide cladding audit and establishing a robust regime of proactive inspections of building projects. </w:t>
      </w:r>
    </w:p>
    <w:p w14:paraId="2A4123CA" w14:textId="7D438B65" w:rsidR="00FF4A2C" w:rsidRDefault="00923053" w:rsidP="00604DE8">
      <w:pPr>
        <w:pStyle w:val="BodyText"/>
      </w:pPr>
      <w:r w:rsidRPr="003F2587">
        <w:t>In July 2019, t</w:t>
      </w:r>
      <w:r w:rsidR="00FF4A2C" w:rsidRPr="003F2587">
        <w:t>he Victorian Government announced a world-first $600 million package to rectify buildings with combustible</w:t>
      </w:r>
      <w:r w:rsidR="00FF4A2C">
        <w:t xml:space="preserve"> cladding. This package will fund rectification works on hundreds of buildings, found to have high-risk cladding, overseen by a new agency, Cladding Safety Victoria, which will manage funding and work with owners</w:t>
      </w:r>
      <w:r>
        <w:t>’</w:t>
      </w:r>
      <w:r w:rsidR="00FF4A2C">
        <w:t xml:space="preserve"> corporations. Rectification of buildings with high-risk cladding and the establishment of a dedicated cladding agency were key recommendations from the final report from th</w:t>
      </w:r>
      <w:r w:rsidR="00604DE8">
        <w:t>e Victorian Cladding Taskforce.</w:t>
      </w:r>
    </w:p>
    <w:p w14:paraId="3D476911" w14:textId="0F4B523C" w:rsidR="00FF4A2C" w:rsidRPr="00604DE8" w:rsidRDefault="00FF4A2C" w:rsidP="00604DE8">
      <w:pPr>
        <w:pStyle w:val="BodyText"/>
        <w:rPr>
          <w:rFonts w:ascii="Times New Roman" w:hAnsi="Times New Roman" w:cs="Times New Roman"/>
          <w:sz w:val="24"/>
          <w:szCs w:val="24"/>
          <w:lang w:eastAsia="en-AU"/>
        </w:rPr>
      </w:pPr>
      <w:r w:rsidRPr="00F93C05">
        <w:t xml:space="preserve">The Victorian Government also announced it will </w:t>
      </w:r>
      <w:r w:rsidR="00876227" w:rsidRPr="00F93C05">
        <w:t xml:space="preserve">commence a comprehensive </w:t>
      </w:r>
      <w:r w:rsidRPr="00F93C05">
        <w:t>review</w:t>
      </w:r>
      <w:r w:rsidRPr="007A1327">
        <w:t xml:space="preserve"> </w:t>
      </w:r>
      <w:r w:rsidR="00876227" w:rsidRPr="007A1327">
        <w:t xml:space="preserve">of </w:t>
      </w:r>
      <w:r w:rsidRPr="007A1327">
        <w:t xml:space="preserve">the state’s building regulatory scheme to identify what legislative changes are needed to strengthen the system and better protect consumers. This reform agenda will propel Victoria to deliver the recommendations sought by the </w:t>
      </w:r>
      <w:r w:rsidR="00971146" w:rsidRPr="00310A44">
        <w:t>BCR</w:t>
      </w:r>
      <w:r w:rsidRPr="007A1327">
        <w:t>.</w:t>
      </w:r>
      <w:r w:rsidR="00604DE8">
        <w:rPr>
          <w:rFonts w:ascii="Times New Roman" w:hAnsi="Times New Roman" w:cs="Times New Roman"/>
          <w:sz w:val="24"/>
          <w:szCs w:val="24"/>
          <w:lang w:eastAsia="en-AU"/>
        </w:rPr>
        <w:t xml:space="preserve"> </w:t>
      </w:r>
    </w:p>
    <w:p w14:paraId="6409D983" w14:textId="579E72F4" w:rsidR="00FF4A2C" w:rsidRPr="00604DE8" w:rsidRDefault="00FF4A2C" w:rsidP="00604DE8">
      <w:pPr>
        <w:pStyle w:val="BodyText"/>
        <w:rPr>
          <w:rFonts w:cstheme="minorBidi"/>
        </w:rPr>
      </w:pPr>
      <w:r>
        <w:t xml:space="preserve">The Victorian Government will not limit the scope of the review to the recommendations of the report. In some cases, bolder reform may be required which goes beyond what was contemplated under </w:t>
      </w:r>
      <w:r w:rsidR="00F52849">
        <w:t>the BCR</w:t>
      </w:r>
      <w:r>
        <w:t xml:space="preserve"> terms of reference. As an example, the Victoria Government has been implementing the findings of the Victorian Cladding Taskforce Interim Report and is preparing to respond to the Taskforce’s Final Report which touch on areas not contemplated in the</w:t>
      </w:r>
      <w:r>
        <w:rPr>
          <w:i/>
        </w:rPr>
        <w:t xml:space="preserve"> </w:t>
      </w:r>
      <w:r w:rsidR="00971146">
        <w:t>BCR</w:t>
      </w:r>
      <w:r>
        <w:t xml:space="preserve">. </w:t>
      </w:r>
    </w:p>
    <w:p w14:paraId="68EA6E19" w14:textId="77777777" w:rsidR="00FF4A2C" w:rsidRDefault="0036323B" w:rsidP="00604DE8">
      <w:pPr>
        <w:pStyle w:val="BodyText"/>
      </w:pPr>
      <w:r w:rsidRPr="003F2587">
        <w:t>F</w:t>
      </w:r>
      <w:r w:rsidR="00FF4A2C" w:rsidRPr="003F2587">
        <w:t>i</w:t>
      </w:r>
      <w:r w:rsidR="00FF4A2C">
        <w:t xml:space="preserve">ndings across all three reports are consistent, including that there are broad cultural and regulatory issues in the building sector, with systemic failures across: </w:t>
      </w:r>
    </w:p>
    <w:p w14:paraId="048EAA6C"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the product supply chain from manufacturing, marketing, import, supply, sale and purchase</w:t>
      </w:r>
    </w:p>
    <w:p w14:paraId="702CB5F1"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the building and construction process from design, specification, procurement, installation, building and construction and maintenance</w:t>
      </w:r>
    </w:p>
    <w:p w14:paraId="7E4CCE0A"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sidRPr="00310A44">
        <w:rPr>
          <w:rFonts w:eastAsiaTheme="minorHAnsi"/>
          <w:lang w:val="en-GB"/>
        </w:rPr>
        <w:t>regulation itself, particularly in the level and adequacy of compliance and enforcement.</w:t>
      </w:r>
    </w:p>
    <w:p w14:paraId="6389609F" w14:textId="77777777" w:rsidR="00FF4A2C" w:rsidRPr="00604DE8" w:rsidRDefault="00FF4A2C" w:rsidP="00604DE8">
      <w:pPr>
        <w:pStyle w:val="Heading2"/>
      </w:pPr>
      <w:r w:rsidRPr="00604DE8">
        <w:t>Reforms underway</w:t>
      </w:r>
    </w:p>
    <w:p w14:paraId="284CB1DE" w14:textId="150E83F8" w:rsidR="00FF4A2C" w:rsidRPr="00604DE8" w:rsidRDefault="00FF4A2C" w:rsidP="00604DE8">
      <w:pPr>
        <w:pStyle w:val="BodyText"/>
      </w:pPr>
      <w:r w:rsidRPr="00604DE8">
        <w:t xml:space="preserve">Victoria is well-placed to advance the recommendations of the </w:t>
      </w:r>
      <w:r w:rsidR="00971146" w:rsidRPr="00604DE8">
        <w:t>BCR</w:t>
      </w:r>
      <w:r w:rsidRPr="00604DE8">
        <w:t xml:space="preserve">. The Victorian Government has been implementing a comprehensive program of reform since 2016 to improve industry performance and consumer satisfaction. This means many of the recommendations have already been implemented in full or partially or are under consideration as part of the recently announced review. </w:t>
      </w:r>
    </w:p>
    <w:p w14:paraId="23809FDF" w14:textId="77777777" w:rsidR="00FF4A2C" w:rsidRPr="00310A44" w:rsidRDefault="00FF4A2C" w:rsidP="00604DE8">
      <w:pPr>
        <w:pStyle w:val="Heading3"/>
      </w:pPr>
      <w:r w:rsidRPr="00310A44">
        <w:t>Actions to address the non-compliant use of cladding in Victoria</w:t>
      </w:r>
    </w:p>
    <w:p w14:paraId="1E3AA34B" w14:textId="512F8D9C" w:rsidR="00A87137" w:rsidRDefault="00FF4A2C" w:rsidP="00604DE8">
      <w:pPr>
        <w:pStyle w:val="BodyText"/>
      </w:pPr>
      <w:r>
        <w:t>The Victorian Cladding Taskforce was established by the Victorian Government to assess the extent of non-compliant cladding use on Victorian buildings, advise on the rectification of buildings which are identified to have non-compliant cladding and recommend changes to the regulatory system.</w:t>
      </w:r>
    </w:p>
    <w:p w14:paraId="4A97470B" w14:textId="77777777" w:rsidR="00A87137" w:rsidRDefault="00A87137" w:rsidP="00604DE8">
      <w:pPr>
        <w:pStyle w:val="BodyText"/>
      </w:pPr>
      <w:r w:rsidRPr="003F2587">
        <w:t>The Victorian Bui</w:t>
      </w:r>
      <w:r w:rsidR="00B22D5D" w:rsidRPr="003F2587">
        <w:t>ld</w:t>
      </w:r>
      <w:r w:rsidRPr="003F2587">
        <w:t>ing Authority (VBA)</w:t>
      </w:r>
      <w:r w:rsidR="00B22D5D" w:rsidRPr="003F2587">
        <w:t>, with support from local government</w:t>
      </w:r>
      <w:r w:rsidR="0057694B" w:rsidRPr="003F2587">
        <w:t>;</w:t>
      </w:r>
      <w:r w:rsidR="00B22D5D" w:rsidRPr="003F2587">
        <w:t xml:space="preserve"> the Metropolitan Fire Authority</w:t>
      </w:r>
      <w:r w:rsidR="0057694B" w:rsidRPr="003F2587">
        <w:t>;</w:t>
      </w:r>
      <w:r w:rsidR="00B22D5D" w:rsidRPr="003F2587">
        <w:t xml:space="preserve"> the Count</w:t>
      </w:r>
      <w:r w:rsidR="007D6556" w:rsidRPr="003F2587">
        <w:t>r</w:t>
      </w:r>
      <w:r w:rsidR="00B22D5D" w:rsidRPr="003F2587">
        <w:t>y Fire Authority and building owners or owners’ corporations, prioritized an urgent audit of 1,369 planning permits in response to recommendations made by the co-chairs of the Victorian Cladding Taskforce</w:t>
      </w:r>
      <w:r w:rsidR="005370D8" w:rsidRPr="003F2587">
        <w:t>,</w:t>
      </w:r>
      <w:r w:rsidR="00B22D5D" w:rsidRPr="003F2587">
        <w:t xml:space="preserve"> in their November 2017 Interim Report.</w:t>
      </w:r>
      <w:r w:rsidR="00B22D5D">
        <w:t xml:space="preserve"> </w:t>
      </w:r>
    </w:p>
    <w:p w14:paraId="2E3F7EF9" w14:textId="65654DF9" w:rsidR="00FF4A2C" w:rsidRDefault="00FF4A2C" w:rsidP="00604DE8">
      <w:pPr>
        <w:pStyle w:val="BodyText"/>
      </w:pPr>
      <w:r>
        <w:lastRenderedPageBreak/>
        <w:t xml:space="preserve">On the advice from the Victorian Cladding Taskforce, the Minister for Planning introduced </w:t>
      </w:r>
      <w:r>
        <w:rPr>
          <w:i/>
        </w:rPr>
        <w:t>Minister’s Guideline MG-14: Issue of building permits where building work involves the use of certain cladding products</w:t>
      </w:r>
      <w:r>
        <w:t xml:space="preserve"> (MG-14). This provides that a building surveyor should not issue a building permit for proposed building work which includes the installation of certain high-risk products unless the Building Appeals Board has determined that the proposed application complies. The </w:t>
      </w:r>
      <w:r>
        <w:rPr>
          <w:i/>
        </w:rPr>
        <w:t>Building Amendment (Registration of Building Trades and Other Matters) Act 2018</w:t>
      </w:r>
      <w:r>
        <w:t xml:space="preserve"> provided the Minister the power to ban high-risk cladding products. However, it is considered that a national approach to this issue will be more effective and easi</w:t>
      </w:r>
      <w:r w:rsidR="00604DE8">
        <w:t>er for industry to comply with.</w:t>
      </w:r>
    </w:p>
    <w:p w14:paraId="1C2ED62B" w14:textId="4C70986C" w:rsidR="00FF4A2C" w:rsidRDefault="00FF4A2C" w:rsidP="00604DE8">
      <w:pPr>
        <w:pStyle w:val="BodyText"/>
      </w:pPr>
      <w:r>
        <w:t>The Victorian Government has also been advocating at a national level for more action on issues related to cladding. Victoria is leading efforts to deliver a national ban on the misuse of combustible cladding products to provide greater certainty. In the interim, Victoria is considering whether MG-14 needs strengthening to respond to emerging product an</w:t>
      </w:r>
      <w:r w:rsidR="00604DE8">
        <w:t>d product certification issues.</w:t>
      </w:r>
    </w:p>
    <w:p w14:paraId="2AB0E071" w14:textId="7C597899" w:rsidR="00FF4A2C" w:rsidRDefault="00FF4A2C" w:rsidP="00604DE8">
      <w:pPr>
        <w:pStyle w:val="Heading3"/>
      </w:pPr>
      <w:r w:rsidRPr="00310A44">
        <w:t xml:space="preserve">Enhanced enforcement and compliance activities </w:t>
      </w:r>
    </w:p>
    <w:p w14:paraId="171970BB" w14:textId="05C70FFA" w:rsidR="00FF4A2C" w:rsidRDefault="00FF4A2C" w:rsidP="00604DE8">
      <w:pPr>
        <w:pStyle w:val="BodyText"/>
      </w:pPr>
      <w:r>
        <w:t>The state’s principal building regulator, the VBA, has directed significant resources into increasing its proactive inspection regime so that it will inspect at least 10 per cent of building work each and every year going forward. In the 2019-20 Budget, the VBA has been allocated funding of $33.9 million over four years to enable it to continue regulatory activity associated with combustible cladding rectification of privately-owned buildings. In addition, a further $4.5 million has been provided to the VBA to increase and maintain inspection of 10 per cent of building permits to improv</w:t>
      </w:r>
      <w:r w:rsidR="00604DE8">
        <w:t xml:space="preserve">e safety and quality outcomes. </w:t>
      </w:r>
    </w:p>
    <w:p w14:paraId="033402B6" w14:textId="6F9E9CFC" w:rsidR="00FF4A2C" w:rsidRDefault="00FF4A2C" w:rsidP="00604DE8">
      <w:pPr>
        <w:pStyle w:val="BodyText"/>
      </w:pPr>
      <w:r>
        <w:t>As the principal building and plumbing industry regulator the VBA conducts investigations into the compliance and conduct of Victoria’s registered building and plumbing practitioners. The VBA is willing to undertake strong disciplinary action where building and plumbing practitioners are found to be flouting the rules. New powers introduced by Parliament in 2018 allow the VBA to immediately suspend building practitioners on public safety grounds. The VBA exercised this new power for the first time on 26 February 2019. The VBA continues to invest in its capacity to take disciplinary action to address those practitioners identified through inspections or reported by consumers and others.</w:t>
      </w:r>
      <w:r w:rsidR="00820603">
        <w:t xml:space="preserve"> </w:t>
      </w:r>
      <w:r>
        <w:t>The Architects Registration Board of Victoria is also seeking to take action against architects associated with breaches of requirements including s</w:t>
      </w:r>
      <w:r w:rsidR="00EB1730">
        <w:t>pecifying combustible cladding.</w:t>
      </w:r>
    </w:p>
    <w:p w14:paraId="7D58B4A3" w14:textId="74D33A44" w:rsidR="00820603" w:rsidRPr="00820603" w:rsidRDefault="00820603" w:rsidP="00310A44">
      <w:pPr>
        <w:pStyle w:val="Heading2"/>
      </w:pPr>
      <w:r w:rsidRPr="00820603">
        <w:t xml:space="preserve">Planned </w:t>
      </w:r>
      <w:r w:rsidR="00604DE8">
        <w:t>r</w:t>
      </w:r>
      <w:r w:rsidRPr="00820603">
        <w:t xml:space="preserve">eforms and </w:t>
      </w:r>
      <w:r w:rsidR="00604DE8">
        <w:t>t</w:t>
      </w:r>
      <w:r w:rsidRPr="00820603">
        <w:t>imeframes</w:t>
      </w:r>
    </w:p>
    <w:p w14:paraId="3B52A8C4" w14:textId="77777777" w:rsidR="00FF4A2C" w:rsidRDefault="00FF4A2C" w:rsidP="00604DE8">
      <w:pPr>
        <w:pStyle w:val="BodyText"/>
        <w:rPr>
          <w:rFonts w:cstheme="minorBidi"/>
        </w:rPr>
      </w:pPr>
      <w:r>
        <w:t xml:space="preserve">The </w:t>
      </w:r>
      <w:r>
        <w:rPr>
          <w:i/>
        </w:rPr>
        <w:t>Building Amendment (Registration of Building Trades and Other Matters) Act 2018</w:t>
      </w:r>
      <w:r>
        <w:t xml:space="preserve"> (the 2018 2018 Act) amended the </w:t>
      </w:r>
      <w:r>
        <w:rPr>
          <w:i/>
        </w:rPr>
        <w:t>Building Act 1993</w:t>
      </w:r>
      <w:r>
        <w:t xml:space="preserve"> to establish a framework for the registration of trades and sub-contractors to prescribe types of building work that can only be carried out by people who hold the requisite skills and experience. The objective of this scheme is to facilitate greater accountability for the work being carried out and ensure that appropriate disciplinary actions can be taken for non-compliance. Regulations necessary to support the operation of this change are being developed with consultation completed in early August 2019 on what trades should be registered and licensed first. In 2018 when the legislation was introduced into Parliament, certain trades were identified as being likely to be priority areas for consideration and these were named as: </w:t>
      </w:r>
    </w:p>
    <w:p w14:paraId="6D213893"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carpenters (and framers);</w:t>
      </w:r>
    </w:p>
    <w:p w14:paraId="2E844348"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plasterers;</w:t>
      </w:r>
    </w:p>
    <w:p w14:paraId="2315FFF1"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footing and foundation workers;</w:t>
      </w:r>
    </w:p>
    <w:p w14:paraId="1E0891C7"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 xml:space="preserve">bricklayers; and </w:t>
      </w:r>
    </w:p>
    <w:p w14:paraId="49CD2EDF"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water proofers.</w:t>
      </w:r>
    </w:p>
    <w:p w14:paraId="5F8C07F6" w14:textId="77777777" w:rsidR="00FF4A2C" w:rsidRPr="00195217" w:rsidRDefault="00FF4A2C" w:rsidP="00604DE8">
      <w:pPr>
        <w:pStyle w:val="BodyText"/>
      </w:pPr>
      <w:r>
        <w:t>Regulations to implement the new registration scheme will be made in September 2020.</w:t>
      </w:r>
    </w:p>
    <w:p w14:paraId="1A1A583D" w14:textId="5E524069" w:rsidR="00FF4A2C" w:rsidRDefault="00FF4A2C" w:rsidP="00604DE8">
      <w:pPr>
        <w:pStyle w:val="BodyText"/>
        <w:rPr>
          <w:rFonts w:cstheme="minorBidi"/>
        </w:rPr>
      </w:pPr>
      <w:r>
        <w:lastRenderedPageBreak/>
        <w:t xml:space="preserve">Victoria has been drawing on the recommendations of </w:t>
      </w:r>
      <w:r w:rsidR="00971146">
        <w:t>the BCR</w:t>
      </w:r>
      <w:r>
        <w:t xml:space="preserve"> to develop terms of reference for review of the building legislative framework. The details of this review are being settled. However, there is a clear expectation that comprehensive reform is required. The Victorian Government is also progressing a number of projects to be delivered in the short-term including options to:</w:t>
      </w:r>
    </w:p>
    <w:p w14:paraId="7FB7D6E6"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address changed market conditions for professional indemnity insurance to provide greater confidence to the market, regulators, practitioners and consumers</w:t>
      </w:r>
    </w:p>
    <w:p w14:paraId="4ABC4557" w14:textId="77777777" w:rsidR="00FF4A2C" w:rsidRDefault="00FF4A2C" w:rsidP="00FF4A2C">
      <w:pPr>
        <w:widowControl/>
        <w:numPr>
          <w:ilvl w:val="0"/>
          <w:numId w:val="5"/>
        </w:numPr>
        <w:autoSpaceDE/>
        <w:autoSpaceDN/>
        <w:spacing w:before="120" w:after="120" w:line="256" w:lineRule="auto"/>
        <w:ind w:left="426" w:hanging="426"/>
        <w:rPr>
          <w:rFonts w:eastAsiaTheme="minorHAnsi"/>
        </w:rPr>
      </w:pPr>
      <w:r>
        <w:rPr>
          <w:rFonts w:eastAsiaTheme="minorHAnsi"/>
        </w:rPr>
        <w:t xml:space="preserve">strengthen the oversight of private building surveyors, including but not limited to: </w:t>
      </w:r>
    </w:p>
    <w:p w14:paraId="33BD0A53" w14:textId="77777777" w:rsidR="00FF4A2C" w:rsidRDefault="00FF4A2C" w:rsidP="00310A44">
      <w:pPr>
        <w:widowControl/>
        <w:numPr>
          <w:ilvl w:val="1"/>
          <w:numId w:val="28"/>
        </w:numPr>
        <w:autoSpaceDE/>
        <w:autoSpaceDN/>
        <w:spacing w:before="120" w:after="120" w:line="256" w:lineRule="auto"/>
        <w:rPr>
          <w:rFonts w:eastAsiaTheme="minorHAnsi"/>
        </w:rPr>
      </w:pPr>
      <w:r>
        <w:rPr>
          <w:rFonts w:eastAsiaTheme="minorHAnsi"/>
        </w:rPr>
        <w:t xml:space="preserve">introducing a code of conduct for building surveyors and </w:t>
      </w:r>
    </w:p>
    <w:p w14:paraId="7641E552" w14:textId="77777777" w:rsidR="00FF4A2C" w:rsidRDefault="00FF4A2C" w:rsidP="00310A44">
      <w:pPr>
        <w:widowControl/>
        <w:numPr>
          <w:ilvl w:val="1"/>
          <w:numId w:val="28"/>
        </w:numPr>
        <w:autoSpaceDE/>
        <w:autoSpaceDN/>
        <w:spacing w:before="120" w:after="120" w:line="256" w:lineRule="auto"/>
        <w:rPr>
          <w:rFonts w:eastAsiaTheme="minorHAnsi"/>
        </w:rPr>
      </w:pPr>
      <w:r>
        <w:rPr>
          <w:rFonts w:eastAsiaTheme="minorHAnsi"/>
        </w:rPr>
        <w:t>the use of peer review to ensure a higher quality outcome for the industry and consumers</w:t>
      </w:r>
    </w:p>
    <w:p w14:paraId="59076C74" w14:textId="77777777" w:rsidR="00FF4A2C" w:rsidRDefault="00FF4A2C" w:rsidP="00310A44">
      <w:pPr>
        <w:widowControl/>
        <w:numPr>
          <w:ilvl w:val="0"/>
          <w:numId w:val="5"/>
        </w:numPr>
        <w:autoSpaceDE/>
        <w:autoSpaceDN/>
        <w:spacing w:before="120" w:after="120" w:line="256" w:lineRule="auto"/>
        <w:ind w:left="426" w:hanging="426"/>
        <w:rPr>
          <w:rFonts w:eastAsiaTheme="minorHAnsi"/>
        </w:rPr>
      </w:pPr>
      <w:r>
        <w:rPr>
          <w:rFonts w:eastAsiaTheme="minorHAnsi"/>
        </w:rPr>
        <w:t>provide greater protection for consumers who purchase properties which have defects</w:t>
      </w:r>
    </w:p>
    <w:p w14:paraId="0CD88D1D" w14:textId="77777777" w:rsidR="00FF4A2C" w:rsidRDefault="00FF4A2C" w:rsidP="00310A44">
      <w:pPr>
        <w:widowControl/>
        <w:numPr>
          <w:ilvl w:val="0"/>
          <w:numId w:val="5"/>
        </w:numPr>
        <w:autoSpaceDE/>
        <w:autoSpaceDN/>
        <w:spacing w:before="120" w:after="120" w:line="256" w:lineRule="auto"/>
        <w:ind w:left="426" w:hanging="426"/>
        <w:rPr>
          <w:rFonts w:eastAsiaTheme="minorHAnsi"/>
        </w:rPr>
      </w:pPr>
      <w:r>
        <w:rPr>
          <w:rFonts w:eastAsiaTheme="minorHAnsi"/>
        </w:rPr>
        <w:t>tackle illegal phoenix activity</w:t>
      </w:r>
      <w:r w:rsidR="004A0A35">
        <w:rPr>
          <w:rFonts w:eastAsiaTheme="minorHAnsi"/>
        </w:rPr>
        <w:t xml:space="preserve">. </w:t>
      </w:r>
    </w:p>
    <w:p w14:paraId="6AAA4562" w14:textId="54ABB882" w:rsidR="00FF4A2C" w:rsidRPr="00BB58CF" w:rsidRDefault="00FF4A2C" w:rsidP="00310A44">
      <w:pPr>
        <w:pStyle w:val="Heading2"/>
      </w:pPr>
      <w:r w:rsidRPr="00BB58CF">
        <w:t xml:space="preserve">Next </w:t>
      </w:r>
      <w:r w:rsidR="00604DE8">
        <w:t>s</w:t>
      </w:r>
      <w:r w:rsidRPr="00BB58CF">
        <w:t>teps</w:t>
      </w:r>
    </w:p>
    <w:p w14:paraId="07617DAD" w14:textId="5AD239E1" w:rsidR="00FF4A2C" w:rsidRPr="00604DE8" w:rsidRDefault="00FF4A2C" w:rsidP="00604DE8">
      <w:pPr>
        <w:pStyle w:val="BodyText"/>
        <w:rPr>
          <w:rFonts w:cstheme="minorBidi"/>
        </w:rPr>
      </w:pPr>
      <w:r>
        <w:t xml:space="preserve">Within this bold agenda, the Victorian Government will continue to work closely with other jurisdictions to promote best practice across all Australian states and territories. Where Victoria’s reforms can be developed nationally, or be developed to be nationally consistent, Victoria supports this approach. </w:t>
      </w:r>
    </w:p>
    <w:p w14:paraId="421F1011" w14:textId="77777777" w:rsidR="00FF4A2C" w:rsidRDefault="00FF4A2C" w:rsidP="00604DE8">
      <w:pPr>
        <w:pStyle w:val="BodyText"/>
      </w:pPr>
      <w:r>
        <w:t>The Victorian Government will further develop its reform agenda in conjunction with appropriate stakeholder consultation to ensure that these reforms are developed and implemented effectively.</w:t>
      </w:r>
    </w:p>
    <w:p w14:paraId="3CB83B2F" w14:textId="77777777" w:rsidR="00FF4A2C" w:rsidRDefault="00FF4A2C" w:rsidP="00604DE8">
      <w:pPr>
        <w:pStyle w:val="BodyText"/>
        <w:sectPr w:rsidR="00FF4A2C" w:rsidSect="0036323B">
          <w:pgSz w:w="11910" w:h="16840"/>
          <w:pgMar w:top="1040" w:right="853" w:bottom="700" w:left="980" w:header="764" w:footer="505" w:gutter="0"/>
          <w:cols w:space="720"/>
        </w:sectPr>
      </w:pPr>
    </w:p>
    <w:p w14:paraId="02C36035" w14:textId="539F80A9" w:rsidR="00FF4A2C" w:rsidRDefault="00FF4A2C" w:rsidP="00462297">
      <w:pPr>
        <w:pStyle w:val="Heading1"/>
      </w:pPr>
      <w:bookmarkStart w:id="9" w:name="_Toc27738654"/>
      <w:r>
        <w:lastRenderedPageBreak/>
        <w:t>Queensland</w:t>
      </w:r>
      <w:bookmarkEnd w:id="9"/>
    </w:p>
    <w:p w14:paraId="1C4E7479" w14:textId="6DD73786" w:rsidR="00FF4A2C" w:rsidRDefault="00FF4A2C" w:rsidP="00310A44">
      <w:pPr>
        <w:pStyle w:val="Heading2"/>
        <w:spacing w:after="240"/>
      </w:pPr>
      <w:r>
        <w:t xml:space="preserve">Update </w:t>
      </w:r>
      <w:r w:rsidR="00604DE8">
        <w:t>o</w:t>
      </w:r>
      <w:r>
        <w:t>verview</w:t>
      </w:r>
    </w:p>
    <w:p w14:paraId="08D707AD" w14:textId="5F428208" w:rsidR="00FF4A2C" w:rsidRPr="00F93C05" w:rsidRDefault="00FF4A2C" w:rsidP="00604DE8">
      <w:pPr>
        <w:pStyle w:val="BodyText"/>
      </w:pPr>
      <w:r>
        <w:t xml:space="preserve">Queensland has, in full or partially, implemented 20 of the </w:t>
      </w:r>
      <w:r w:rsidR="0018089C">
        <w:rPr>
          <w:i/>
        </w:rPr>
        <w:t>Building Confidence</w:t>
      </w:r>
      <w:r w:rsidR="00971146">
        <w:t xml:space="preserve"> </w:t>
      </w:r>
      <w:r w:rsidR="00971146">
        <w:rPr>
          <w:i/>
        </w:rPr>
        <w:t>Report’s</w:t>
      </w:r>
      <w:r w:rsidR="0018089C">
        <w:t>’s (</w:t>
      </w:r>
      <w:r>
        <w:t>BCR</w:t>
      </w:r>
      <w:r w:rsidR="0018089C">
        <w:t>)</w:t>
      </w:r>
      <w:r>
        <w:t xml:space="preserve"> 24 recommendations. The remaining four recommendations (21, 22, 23 and 24) are being progressed directly through the Senior Officers’ Group (SOG), the Australian </w:t>
      </w:r>
      <w:r w:rsidRPr="00F93C05">
        <w:t xml:space="preserve">Building Codes Board (ABCB) or the BMF and Queensland remains an active contributor to the reform program through all of these bodies. The implementation of the Queensland Building Plan 2017 (QBP) and the state’s pending legislative reform program (to improve the certification process) will address the partially implemented recommendations. The </w:t>
      </w:r>
      <w:r w:rsidR="00E72DCE" w:rsidRPr="00F93C05">
        <w:t xml:space="preserve">legislative </w:t>
      </w:r>
      <w:r w:rsidRPr="00F93C05">
        <w:t>reform program will enhance the certification framework by increasing a certifier’s independence, improving professional standards and compliance, and enhancing regulatory oversight. Queensland anticipates the reforms, including the QBP commitments will be progressed in the next 12 months.</w:t>
      </w:r>
    </w:p>
    <w:p w14:paraId="3C4E276D" w14:textId="77777777" w:rsidR="00FF4A2C" w:rsidRDefault="00FF4A2C" w:rsidP="00604DE8">
      <w:pPr>
        <w:pStyle w:val="BodyText"/>
      </w:pPr>
      <w:r w:rsidRPr="00F93C05">
        <w:t>Queensland has an existing, robust regulatory framework and supports the findings</w:t>
      </w:r>
      <w:r>
        <w:t xml:space="preserve"> and recommendations in the </w:t>
      </w:r>
      <w:r w:rsidR="0018089C" w:rsidRPr="0018089C">
        <w:t>BCR</w:t>
      </w:r>
      <w:r w:rsidRPr="0018089C">
        <w:t>.</w:t>
      </w:r>
      <w:r>
        <w:t xml:space="preserve"> The QBP, released after extensive consultation in October 2017, deliver</w:t>
      </w:r>
      <w:r w:rsidR="0061352F">
        <w:t>s</w:t>
      </w:r>
      <w:r>
        <w:t xml:space="preserve"> a plan to change culture and practice in the building and construction industry, strengthen the existing system and improve consumer confidence in the industry.</w:t>
      </w:r>
    </w:p>
    <w:p w14:paraId="70D055BA" w14:textId="7479F79A" w:rsidR="00C03560" w:rsidRPr="00444E94" w:rsidRDefault="00FF4A2C" w:rsidP="0032060F">
      <w:pPr>
        <w:pStyle w:val="BodyText"/>
      </w:pPr>
      <w:r>
        <w:t>Certification plays a critical role by ensuring buildings are constructed to required standards and are safe to occupy. Queensland has already proposed a reform agenda that will advance confidence in the certification industry.</w:t>
      </w:r>
      <w:r w:rsidR="00725A56">
        <w:t xml:space="preserve"> </w:t>
      </w:r>
      <w:r w:rsidR="00064DD2" w:rsidRPr="00444E94">
        <w:t>Together</w:t>
      </w:r>
      <w:r w:rsidR="0018089C">
        <w:t>,</w:t>
      </w:r>
      <w:r w:rsidR="00064DD2" w:rsidRPr="00444E94">
        <w:t xml:space="preserve"> these </w:t>
      </w:r>
      <w:r w:rsidR="00725A56" w:rsidRPr="00444E94">
        <w:t xml:space="preserve">reforms </w:t>
      </w:r>
      <w:r w:rsidR="00064DD2" w:rsidRPr="00444E94">
        <w:t xml:space="preserve">work to </w:t>
      </w:r>
      <w:r w:rsidR="00725A56" w:rsidRPr="00444E94">
        <w:t xml:space="preserve">improve confidence in </w:t>
      </w:r>
      <w:r w:rsidR="00E72DCE" w:rsidRPr="00444E94">
        <w:t xml:space="preserve">Queensland’s </w:t>
      </w:r>
      <w:r w:rsidR="00725A56" w:rsidRPr="00444E94">
        <w:t xml:space="preserve">built environment. </w:t>
      </w:r>
    </w:p>
    <w:p w14:paraId="0375A1AE" w14:textId="77777777" w:rsidR="00CA3A09" w:rsidRPr="00310A44" w:rsidRDefault="00CA3A09" w:rsidP="00604DE8">
      <w:pPr>
        <w:pStyle w:val="Heading3"/>
      </w:pPr>
      <w:r w:rsidRPr="00310A44">
        <w:t>Safer Building</w:t>
      </w:r>
      <w:r w:rsidR="00066D41" w:rsidRPr="00310A44">
        <w:t>s</w:t>
      </w:r>
      <w:r w:rsidRPr="00310A44">
        <w:t xml:space="preserve"> Taskforce</w:t>
      </w:r>
    </w:p>
    <w:p w14:paraId="6A2F6DB5" w14:textId="061CCCC1" w:rsidR="002F2908" w:rsidRPr="00604DE8" w:rsidRDefault="002F2908" w:rsidP="00604DE8">
      <w:pPr>
        <w:pStyle w:val="BodyText"/>
        <w:rPr>
          <w:rFonts w:ascii="Calibri" w:eastAsiaTheme="minorHAnsi" w:hAnsi="Calibri" w:cs="Calibri"/>
          <w:lang w:val="en-AU"/>
        </w:rPr>
      </w:pPr>
      <w:r w:rsidRPr="00444E94">
        <w:t>In October 2019, the Safer Buildings Taskforce</w:t>
      </w:r>
      <w:r w:rsidR="00CF3854" w:rsidRPr="00444E94">
        <w:t>,</w:t>
      </w:r>
      <w:r w:rsidRPr="00444E94">
        <w:t xml:space="preserve"> </w:t>
      </w:r>
      <w:r w:rsidR="00CF3854" w:rsidRPr="00444E94">
        <w:t xml:space="preserve">led by Independent Chair Mr Peter Koutsoukis, </w:t>
      </w:r>
      <w:r w:rsidRPr="00444E94">
        <w:t>was established to continue the important work of the</w:t>
      </w:r>
      <w:r w:rsidR="00E72DCE" w:rsidRPr="00444E94">
        <w:t xml:space="preserve"> previous</w:t>
      </w:r>
      <w:r w:rsidRPr="00444E94">
        <w:t xml:space="preserve"> Non-Conforming Building Products Audit Taskforce</w:t>
      </w:r>
      <w:r w:rsidR="00CF3854" w:rsidRPr="00444E94">
        <w:t>.</w:t>
      </w:r>
      <w:r w:rsidRPr="00444E94">
        <w:t xml:space="preserve"> The </w:t>
      </w:r>
      <w:r w:rsidR="00E72DCE" w:rsidRPr="00444E94">
        <w:t xml:space="preserve">Safer Buildings </w:t>
      </w:r>
      <w:r w:rsidRPr="00444E94">
        <w:t>Taskforce is a dedicated taskforce with a focus on delivering the necessary polic</w:t>
      </w:r>
      <w:r w:rsidR="00064DD2" w:rsidRPr="00444E94">
        <w:t>ies</w:t>
      </w:r>
      <w:r w:rsidRPr="00444E94">
        <w:t xml:space="preserve"> and practice</w:t>
      </w:r>
      <w:r w:rsidR="00064DD2" w:rsidRPr="00444E94">
        <w:t>s</w:t>
      </w:r>
      <w:r w:rsidRPr="00444E94">
        <w:t xml:space="preserve"> to ensure the safety of Queensland’s building infrastructure is maintained. </w:t>
      </w:r>
    </w:p>
    <w:p w14:paraId="21093837" w14:textId="19E7BAB1" w:rsidR="002F2908" w:rsidRPr="00444E94" w:rsidRDefault="002F2908" w:rsidP="00604DE8">
      <w:pPr>
        <w:pStyle w:val="BodyText"/>
      </w:pPr>
      <w:r w:rsidRPr="00444E94">
        <w:t xml:space="preserve">The </w:t>
      </w:r>
      <w:r w:rsidR="00066D41" w:rsidRPr="00444E94">
        <w:t xml:space="preserve">previous </w:t>
      </w:r>
      <w:r w:rsidR="00E72DCE" w:rsidRPr="00444E94">
        <w:t>Non-Conforming Building Products Audit Taskforce</w:t>
      </w:r>
      <w:r w:rsidRPr="00444E94">
        <w:t xml:space="preserve"> undertook an extensive audit of Queensland Government buildings</w:t>
      </w:r>
      <w:r w:rsidR="000E14BA" w:rsidRPr="00444E94">
        <w:t xml:space="preserve"> and made six recommendations to address this issue. One of these was </w:t>
      </w:r>
      <w:r w:rsidR="00064DD2" w:rsidRPr="00444E94">
        <w:t xml:space="preserve">an </w:t>
      </w:r>
      <w:r w:rsidRPr="00444E94">
        <w:t xml:space="preserve">audit </w:t>
      </w:r>
      <w:r w:rsidR="00064DD2" w:rsidRPr="00444E94">
        <w:t xml:space="preserve">of </w:t>
      </w:r>
      <w:r w:rsidRPr="00444E94">
        <w:t>privately</w:t>
      </w:r>
      <w:r w:rsidR="00444E94">
        <w:t>-</w:t>
      </w:r>
      <w:r w:rsidRPr="00444E94">
        <w:t>owned buildings</w:t>
      </w:r>
      <w:r w:rsidR="000E14BA" w:rsidRPr="00444E94">
        <w:t>.</w:t>
      </w:r>
      <w:r w:rsidRPr="00444E94">
        <w:t xml:space="preserve"> </w:t>
      </w:r>
      <w:r w:rsidR="000E14BA" w:rsidRPr="00444E94">
        <w:t xml:space="preserve">Through the online </w:t>
      </w:r>
      <w:r w:rsidRPr="00444E94">
        <w:t xml:space="preserve">Combustible Cladding checklist, </w:t>
      </w:r>
      <w:r w:rsidR="000E14BA" w:rsidRPr="00444E94">
        <w:t>owners of certain types of buildings work through a three-part checklist to determine whether the building is an affected building</w:t>
      </w:r>
      <w:r w:rsidRPr="00444E94">
        <w:t xml:space="preserve">. In November 2019, the checklist moved into </w:t>
      </w:r>
      <w:r w:rsidR="00064DD2" w:rsidRPr="00444E94">
        <w:t xml:space="preserve">its final part </w:t>
      </w:r>
      <w:r w:rsidRPr="00444E94">
        <w:t xml:space="preserve">which requires a </w:t>
      </w:r>
      <w:r w:rsidR="004A529C" w:rsidRPr="00444E94">
        <w:t xml:space="preserve">Building </w:t>
      </w:r>
      <w:r w:rsidRPr="00444E94">
        <w:t xml:space="preserve">Fire Safety Risk Assessment by a </w:t>
      </w:r>
      <w:r w:rsidR="004A529C" w:rsidRPr="00444E94">
        <w:t>registered</w:t>
      </w:r>
      <w:r w:rsidRPr="00444E94">
        <w:t xml:space="preserve"> Fire Engineer.</w:t>
      </w:r>
      <w:r w:rsidR="0018089C">
        <w:t xml:space="preserve"> </w:t>
      </w:r>
      <w:r w:rsidR="000E14BA" w:rsidRPr="00444E94">
        <w:t>The end of this process will ensure building owners and the building regulator understand the extent of combustible cladding use in Queensland.</w:t>
      </w:r>
    </w:p>
    <w:p w14:paraId="172E3B7C" w14:textId="69F1E314" w:rsidR="002F2908" w:rsidRPr="00444E94" w:rsidRDefault="004E4685" w:rsidP="0032060F">
      <w:pPr>
        <w:pStyle w:val="BodyText"/>
      </w:pPr>
      <w:r w:rsidRPr="00444E94">
        <w:t xml:space="preserve">Key tasks are </w:t>
      </w:r>
      <w:r w:rsidR="002F2908" w:rsidRPr="00444E94">
        <w:t>provid</w:t>
      </w:r>
      <w:r w:rsidRPr="00444E94">
        <w:t>ing</w:t>
      </w:r>
      <w:r w:rsidR="002F2908" w:rsidRPr="00444E94">
        <w:t xml:space="preserve"> oversight, advice and guidance about remediation of private affected buildings and to ensure Queensland remains </w:t>
      </w:r>
      <w:r w:rsidR="00E72DCE" w:rsidRPr="00444E94">
        <w:t xml:space="preserve">well positioned </w:t>
      </w:r>
      <w:r w:rsidR="002F2908" w:rsidRPr="00444E94">
        <w:t>with the implementation of the BCR recommendations.</w:t>
      </w:r>
    </w:p>
    <w:p w14:paraId="63ACC4B5" w14:textId="77777777" w:rsidR="00064DD2" w:rsidRPr="00310A44" w:rsidRDefault="00064DD2" w:rsidP="00604DE8">
      <w:pPr>
        <w:pStyle w:val="Heading3"/>
      </w:pPr>
      <w:r w:rsidRPr="00310A44">
        <w:t xml:space="preserve">Licensing Frameworks </w:t>
      </w:r>
    </w:p>
    <w:p w14:paraId="77515FD7" w14:textId="7FA15ABE" w:rsidR="00064DD2" w:rsidRPr="00604DE8" w:rsidRDefault="000E14BA" w:rsidP="00604DE8">
      <w:pPr>
        <w:pStyle w:val="BodyText"/>
      </w:pPr>
      <w:r w:rsidRPr="00604DE8">
        <w:t xml:space="preserve">A </w:t>
      </w:r>
      <w:r w:rsidR="00E72DCE" w:rsidRPr="00604DE8">
        <w:t xml:space="preserve">new </w:t>
      </w:r>
      <w:r w:rsidR="00064DD2" w:rsidRPr="00604DE8">
        <w:t>Mechanical Services licensing framework commenc</w:t>
      </w:r>
      <w:r w:rsidR="00F93C05" w:rsidRPr="00604DE8">
        <w:t>ed</w:t>
      </w:r>
      <w:r w:rsidR="00064DD2" w:rsidRPr="00604DE8">
        <w:t xml:space="preserve"> on 1 January 2020</w:t>
      </w:r>
      <w:r w:rsidR="004E4685" w:rsidRPr="00604DE8">
        <w:t>. This work involves the construction, installation, replacement, repair, alteration, maintenance, testing or commissioning of a mechanical heating or cooling system in commercial and residential buildings. It also includes work on medical gas systems found in hospitals and other health services such as dental facilities.</w:t>
      </w:r>
    </w:p>
    <w:p w14:paraId="5083FDFC" w14:textId="6C231B1D" w:rsidR="00064DD2" w:rsidRPr="00444E94" w:rsidRDefault="00064DD2" w:rsidP="0032060F">
      <w:pPr>
        <w:pStyle w:val="BodyText"/>
      </w:pPr>
      <w:r w:rsidRPr="00604DE8">
        <w:t xml:space="preserve">The fire protection licensing framework </w:t>
      </w:r>
      <w:r w:rsidR="00E72DCE" w:rsidRPr="00604DE8">
        <w:t>has been</w:t>
      </w:r>
      <w:r w:rsidRPr="00604DE8">
        <w:t xml:space="preserve"> comprehensively reviewed. </w:t>
      </w:r>
      <w:r w:rsidR="00E72DCE" w:rsidRPr="00604DE8">
        <w:t>Once implemented</w:t>
      </w:r>
      <w:r w:rsidR="00CF2855" w:rsidRPr="00604DE8">
        <w:t>,</w:t>
      </w:r>
      <w:r w:rsidR="00E72DCE" w:rsidRPr="00604DE8">
        <w:t xml:space="preserve"> t</w:t>
      </w:r>
      <w:r w:rsidRPr="00604DE8">
        <w:t xml:space="preserve">his will </w:t>
      </w:r>
      <w:r w:rsidR="00E72DCE" w:rsidRPr="00604DE8">
        <w:t xml:space="preserve">significantly rationalize </w:t>
      </w:r>
      <w:r w:rsidRPr="00604DE8">
        <w:t xml:space="preserve">the existing framework, and </w:t>
      </w:r>
      <w:r w:rsidR="00E72DCE" w:rsidRPr="00604DE8">
        <w:t>deliver a</w:t>
      </w:r>
      <w:r w:rsidRPr="00604DE8">
        <w:t xml:space="preserve"> </w:t>
      </w:r>
      <w:r w:rsidR="004E4685" w:rsidRPr="00604DE8">
        <w:t>moderni</w:t>
      </w:r>
      <w:r w:rsidR="00DC4E26" w:rsidRPr="00604DE8">
        <w:t>s</w:t>
      </w:r>
      <w:r w:rsidR="004E4685" w:rsidRPr="00604DE8">
        <w:t xml:space="preserve">ed and </w:t>
      </w:r>
      <w:r w:rsidRPr="00604DE8">
        <w:t>fit</w:t>
      </w:r>
      <w:r w:rsidR="00CE6980" w:rsidRPr="00604DE8">
        <w:t>-</w:t>
      </w:r>
      <w:r w:rsidRPr="00604DE8">
        <w:t>for</w:t>
      </w:r>
      <w:r w:rsidR="00CE6980" w:rsidRPr="00604DE8">
        <w:t>-</w:t>
      </w:r>
      <w:r w:rsidRPr="00604DE8">
        <w:t>purpose</w:t>
      </w:r>
      <w:r w:rsidR="00E72DCE" w:rsidRPr="00604DE8">
        <w:t xml:space="preserve"> fire protection licensing framework</w:t>
      </w:r>
      <w:r w:rsidR="004E4685" w:rsidRPr="00604DE8">
        <w:t>.</w:t>
      </w:r>
    </w:p>
    <w:p w14:paraId="72B38D5A" w14:textId="77777777" w:rsidR="00CA3A09" w:rsidRPr="00310A44" w:rsidRDefault="00E40DB1" w:rsidP="00604DE8">
      <w:pPr>
        <w:pStyle w:val="Heading3"/>
      </w:pPr>
      <w:r w:rsidRPr="00310A44">
        <w:lastRenderedPageBreak/>
        <w:t xml:space="preserve">Continuing Professional Development (CPD) </w:t>
      </w:r>
    </w:p>
    <w:p w14:paraId="6D42A99B" w14:textId="77777777" w:rsidR="00B30962" w:rsidRPr="00604DE8" w:rsidRDefault="00F47212" w:rsidP="00604DE8">
      <w:pPr>
        <w:pStyle w:val="BodyText"/>
      </w:pPr>
      <w:r w:rsidRPr="00604DE8">
        <w:t xml:space="preserve">BCR recommendation 2 </w:t>
      </w:r>
      <w:r w:rsidR="004828F0" w:rsidRPr="00604DE8">
        <w:t xml:space="preserve">supports </w:t>
      </w:r>
      <w:r w:rsidR="00A4409F" w:rsidRPr="00604DE8">
        <w:t xml:space="preserve">consistent </w:t>
      </w:r>
      <w:r w:rsidR="00725A56" w:rsidRPr="00604DE8">
        <w:t xml:space="preserve">requirements for the registration of building practitioners </w:t>
      </w:r>
      <w:r w:rsidR="005D7C6A" w:rsidRPr="00604DE8">
        <w:t>(</w:t>
      </w:r>
      <w:r w:rsidR="00725A56" w:rsidRPr="00604DE8">
        <w:t>including certificated training which includes compulsory training on the operation and use of the NCC</w:t>
      </w:r>
      <w:r w:rsidR="005D7C6A" w:rsidRPr="00604DE8">
        <w:t>)</w:t>
      </w:r>
      <w:r w:rsidR="00725A56" w:rsidRPr="00604DE8">
        <w:t xml:space="preserve"> as it applies to each category of registration</w:t>
      </w:r>
      <w:r w:rsidR="005D7C6A" w:rsidRPr="00604DE8">
        <w:t xml:space="preserve">. </w:t>
      </w:r>
      <w:r w:rsidR="0098298C" w:rsidRPr="00604DE8">
        <w:t>The BCR recogni</w:t>
      </w:r>
      <w:r w:rsidR="00ED2B7A" w:rsidRPr="00604DE8">
        <w:t>s</w:t>
      </w:r>
      <w:r w:rsidR="0098298C" w:rsidRPr="00604DE8">
        <w:t>ed the importance of a</w:t>
      </w:r>
      <w:r w:rsidR="00A03D67" w:rsidRPr="00604DE8">
        <w:t xml:space="preserve"> nationally consistent approach to regulating building practitioners (these expanded requirements could be implemented progressively based on categories of practitioners) and, given the significance of their role, </w:t>
      </w:r>
      <w:r w:rsidR="00F93963" w:rsidRPr="00604DE8">
        <w:t xml:space="preserve">the BCR recommends </w:t>
      </w:r>
      <w:r w:rsidR="00A03D67" w:rsidRPr="00604DE8">
        <w:t xml:space="preserve">priority </w:t>
      </w:r>
      <w:r w:rsidR="0098298C" w:rsidRPr="00604DE8">
        <w:t>to</w:t>
      </w:r>
      <w:r w:rsidR="00A03D67" w:rsidRPr="00604DE8">
        <w:t xml:space="preserve"> be given to building surveyors</w:t>
      </w:r>
      <w:r w:rsidR="00764ED9" w:rsidRPr="00604DE8">
        <w:t xml:space="preserve">. </w:t>
      </w:r>
    </w:p>
    <w:p w14:paraId="6F013656" w14:textId="19D41D8D" w:rsidR="00770C13" w:rsidRPr="00444E94" w:rsidRDefault="00C34AC5" w:rsidP="0032060F">
      <w:pPr>
        <w:pStyle w:val="BodyText"/>
      </w:pPr>
      <w:r w:rsidRPr="00604DE8">
        <w:t>Queensland</w:t>
      </w:r>
      <w:r w:rsidR="007408F3" w:rsidRPr="00604DE8">
        <w:t>,</w:t>
      </w:r>
      <w:r w:rsidRPr="00604DE8">
        <w:t xml:space="preserve"> through its</w:t>
      </w:r>
      <w:r w:rsidR="00890ED3" w:rsidRPr="00604DE8">
        <w:t xml:space="preserve"> primary industry consultation forum – the Ministerial Construction Council </w:t>
      </w:r>
      <w:r w:rsidR="006F07D4" w:rsidRPr="00604DE8">
        <w:t xml:space="preserve">recently established </w:t>
      </w:r>
      <w:r w:rsidR="00BF3656" w:rsidRPr="00604DE8">
        <w:t xml:space="preserve">the </w:t>
      </w:r>
      <w:r w:rsidR="00BA15CF" w:rsidRPr="00604DE8">
        <w:t>‘</w:t>
      </w:r>
      <w:r w:rsidR="00BF3656" w:rsidRPr="00604DE8">
        <w:t>Bui</w:t>
      </w:r>
      <w:r w:rsidR="007273B5" w:rsidRPr="00604DE8">
        <w:t>ld</w:t>
      </w:r>
      <w:r w:rsidR="00BF3656" w:rsidRPr="00604DE8">
        <w:t xml:space="preserve">ing Confidence </w:t>
      </w:r>
      <w:r w:rsidR="00BA15CF" w:rsidRPr="00604DE8">
        <w:t>-</w:t>
      </w:r>
      <w:r w:rsidR="00BD3C03" w:rsidRPr="00604DE8">
        <w:t xml:space="preserve"> Compulsory Continuing Professional Development</w:t>
      </w:r>
      <w:r w:rsidR="00BC6880" w:rsidRPr="00604DE8">
        <w:t>’</w:t>
      </w:r>
      <w:r w:rsidR="00BD3C03" w:rsidRPr="00604DE8">
        <w:t xml:space="preserve"> (CCPD)</w:t>
      </w:r>
      <w:r w:rsidR="00C743A0" w:rsidRPr="00604DE8">
        <w:t xml:space="preserve"> sub-committee</w:t>
      </w:r>
      <w:r w:rsidR="00BD3C03" w:rsidRPr="00604DE8">
        <w:t xml:space="preserve"> </w:t>
      </w:r>
      <w:r w:rsidR="002D1D8C" w:rsidRPr="00604DE8">
        <w:t>to develop a CCPD framework which will support the state’s building industry</w:t>
      </w:r>
      <w:r w:rsidR="00C743A0" w:rsidRPr="00604DE8">
        <w:t xml:space="preserve">. It has already </w:t>
      </w:r>
      <w:r w:rsidR="002D1D8C" w:rsidRPr="00604DE8">
        <w:t>recommend</w:t>
      </w:r>
      <w:r w:rsidR="00444E94" w:rsidRPr="00604DE8">
        <w:t>ed</w:t>
      </w:r>
      <w:r w:rsidR="002D1D8C" w:rsidRPr="00604DE8">
        <w:t xml:space="preserve"> a </w:t>
      </w:r>
      <w:r w:rsidR="00064DD2" w:rsidRPr="00604DE8">
        <w:t xml:space="preserve">comprehensive </w:t>
      </w:r>
      <w:r w:rsidR="00C743A0" w:rsidRPr="00604DE8">
        <w:t>C</w:t>
      </w:r>
      <w:r w:rsidR="002D1D8C" w:rsidRPr="00604DE8">
        <w:t xml:space="preserve">CPD </w:t>
      </w:r>
      <w:r w:rsidR="00C743A0" w:rsidRPr="00604DE8">
        <w:t xml:space="preserve">framework </w:t>
      </w:r>
      <w:r w:rsidR="002D1D8C" w:rsidRPr="00604DE8">
        <w:t xml:space="preserve">be developed. </w:t>
      </w:r>
      <w:r w:rsidR="00064DD2" w:rsidRPr="00604DE8">
        <w:t xml:space="preserve">This </w:t>
      </w:r>
      <w:r w:rsidR="00F93C05" w:rsidRPr="00604DE8">
        <w:t>was</w:t>
      </w:r>
      <w:r w:rsidR="00064DD2" w:rsidRPr="00604DE8">
        <w:t xml:space="preserve"> provided to the </w:t>
      </w:r>
      <w:r w:rsidR="0018089C" w:rsidRPr="00604DE8">
        <w:br/>
      </w:r>
      <w:r w:rsidRPr="00604DE8">
        <w:t>BCR Implementation</w:t>
      </w:r>
      <w:r w:rsidR="00064DD2" w:rsidRPr="00604DE8">
        <w:t xml:space="preserve"> Team as a template for nationally consistent work.</w:t>
      </w:r>
      <w:r w:rsidR="00BD3C03" w:rsidRPr="00604DE8">
        <w:t xml:space="preserve"> </w:t>
      </w:r>
    </w:p>
    <w:p w14:paraId="1C8E619A" w14:textId="77777777" w:rsidR="00DD15C1" w:rsidRPr="00310A44" w:rsidRDefault="00DD15C1" w:rsidP="00604DE8">
      <w:pPr>
        <w:pStyle w:val="Heading3"/>
      </w:pPr>
      <w:r w:rsidRPr="00310A44">
        <w:t xml:space="preserve">Professional Standards Schemes (PSS) </w:t>
      </w:r>
    </w:p>
    <w:p w14:paraId="32774D98" w14:textId="797E60FE" w:rsidR="00DD15C1" w:rsidRPr="00444E94" w:rsidRDefault="004E4685" w:rsidP="00604DE8">
      <w:pPr>
        <w:pStyle w:val="BodyText"/>
      </w:pPr>
      <w:r w:rsidRPr="00444E94">
        <w:t xml:space="preserve">Work has continued on </w:t>
      </w:r>
      <w:r w:rsidR="00DD15C1" w:rsidRPr="00444E94">
        <w:t xml:space="preserve">investigating medium to long-term options to remedy the current professional indemnity </w:t>
      </w:r>
      <w:r w:rsidR="0018089C">
        <w:t xml:space="preserve">(PI) </w:t>
      </w:r>
      <w:r w:rsidR="00DD15C1" w:rsidRPr="00444E94">
        <w:t xml:space="preserve">insurance issues facing building certifiers. One of the preferred options to emerge from this process was the establishment of PSS for various building practitioners to raise the occupational standards and to, thereby, reduce insurance premiums for these individual practitioners. </w:t>
      </w:r>
      <w:r w:rsidR="00A3216F" w:rsidRPr="00444E94">
        <w:t xml:space="preserve">Queensland </w:t>
      </w:r>
      <w:r w:rsidR="00D40487" w:rsidRPr="00444E94">
        <w:t xml:space="preserve">is taking the lead in scoping and assessing the feasibility and practical implementation factors associated with linking PSS </w:t>
      </w:r>
      <w:r w:rsidR="00E369D7" w:rsidRPr="00444E94">
        <w:t>to</w:t>
      </w:r>
      <w:r w:rsidR="00D40487" w:rsidRPr="00444E94">
        <w:t xml:space="preserve"> licensing </w:t>
      </w:r>
      <w:r w:rsidR="009B6E9F" w:rsidRPr="00444E94">
        <w:t>r</w:t>
      </w:r>
      <w:r w:rsidR="00E369D7" w:rsidRPr="00444E94">
        <w:t>equirements</w:t>
      </w:r>
      <w:r w:rsidR="007F4F87">
        <w:t>.</w:t>
      </w:r>
    </w:p>
    <w:p w14:paraId="25E8806F" w14:textId="77777777" w:rsidR="00FF4A2C" w:rsidRPr="00310A44" w:rsidRDefault="00FF4A2C" w:rsidP="00604DE8">
      <w:pPr>
        <w:pStyle w:val="Heading3"/>
      </w:pPr>
      <w:r w:rsidRPr="00310A44">
        <w:t>Building certification reforms</w:t>
      </w:r>
    </w:p>
    <w:p w14:paraId="3D521F0B" w14:textId="1E8570C3" w:rsidR="00B0403F" w:rsidRPr="00444E94" w:rsidRDefault="00FF4A2C" w:rsidP="00604DE8">
      <w:pPr>
        <w:pStyle w:val="BodyText"/>
      </w:pPr>
      <w:r w:rsidRPr="00444E94">
        <w:t xml:space="preserve">Queensland </w:t>
      </w:r>
      <w:r w:rsidR="00CA3A09" w:rsidRPr="00444E94">
        <w:t xml:space="preserve">is making </w:t>
      </w:r>
      <w:r w:rsidRPr="00444E94">
        <w:t>enhance</w:t>
      </w:r>
      <w:r w:rsidR="00CA3A09" w:rsidRPr="00444E94">
        <w:t>ments to its</w:t>
      </w:r>
      <w:r w:rsidRPr="00444E94">
        <w:t xml:space="preserve"> certification framework by strengthening the independence of certifier</w:t>
      </w:r>
      <w:r w:rsidR="004E4685" w:rsidRPr="00444E94">
        <w:t>s</w:t>
      </w:r>
      <w:r w:rsidRPr="00444E94">
        <w:t xml:space="preserve">, improving professional standards and compliance and enhancing regulatory oversight. The Government </w:t>
      </w:r>
      <w:r w:rsidR="00E42DEB" w:rsidRPr="00444E94">
        <w:t>will introduce a phased legislative amendment program</w:t>
      </w:r>
      <w:r w:rsidR="00F37A62" w:rsidRPr="00444E94">
        <w:t xml:space="preserve"> a</w:t>
      </w:r>
      <w:r w:rsidR="007940FB" w:rsidRPr="00444E94">
        <w:t>d</w:t>
      </w:r>
      <w:r w:rsidRPr="00444E94">
        <w:t xml:space="preserve">dressing </w:t>
      </w:r>
      <w:r w:rsidR="004E4685" w:rsidRPr="00444E94">
        <w:t xml:space="preserve">these </w:t>
      </w:r>
      <w:r w:rsidRPr="00444E94">
        <w:t>issues.</w:t>
      </w:r>
    </w:p>
    <w:p w14:paraId="127DD08D" w14:textId="77777777" w:rsidR="00B0403F" w:rsidRPr="00444E94" w:rsidRDefault="00FF4A2C" w:rsidP="00604DE8">
      <w:pPr>
        <w:pStyle w:val="BodyText"/>
      </w:pPr>
      <w:r w:rsidRPr="00444E94">
        <w:t xml:space="preserve">Reforms proposed </w:t>
      </w:r>
      <w:r w:rsidR="00B0403F" w:rsidRPr="00444E94">
        <w:t>include: Phase 1 is targeted towards improving the conduct of certifiers, transparency and oversight and control of building owners during the building development approval process</w:t>
      </w:r>
      <w:r w:rsidRPr="00444E94">
        <w:t>.</w:t>
      </w:r>
      <w:r w:rsidR="00B0403F" w:rsidRPr="00444E94">
        <w:t xml:space="preserve"> Phase 2 is the concurrent sunset review of the Building Regulation 2006 </w:t>
      </w:r>
      <w:r w:rsidR="00064DD2" w:rsidRPr="00444E94">
        <w:t>and will enable regulatory and other administrative reforms</w:t>
      </w:r>
      <w:r w:rsidR="00C34AC5" w:rsidRPr="00444E94">
        <w:t>.</w:t>
      </w:r>
      <w:r w:rsidR="00064DD2" w:rsidRPr="00444E94">
        <w:t xml:space="preserve"> </w:t>
      </w:r>
      <w:r w:rsidR="00EB03CF" w:rsidRPr="00444E94">
        <w:t xml:space="preserve">Finally, </w:t>
      </w:r>
      <w:r w:rsidR="00495EC4" w:rsidRPr="00444E94">
        <w:t>Phase 3 will capture issues requiring further policy development, including more detailed regulatory impact analysis</w:t>
      </w:r>
      <w:r w:rsidR="001D08D1" w:rsidRPr="00444E94">
        <w:t xml:space="preserve">. </w:t>
      </w:r>
    </w:p>
    <w:p w14:paraId="136A36E4" w14:textId="77777777" w:rsidR="00FF4A2C" w:rsidRPr="00310A44" w:rsidRDefault="00FF4A2C" w:rsidP="00604DE8">
      <w:pPr>
        <w:pStyle w:val="Heading3"/>
      </w:pPr>
      <w:r w:rsidRPr="00310A44">
        <w:t>Non-conforming building products</w:t>
      </w:r>
    </w:p>
    <w:p w14:paraId="651E6DEF" w14:textId="0043B93E" w:rsidR="00770C13" w:rsidRDefault="00B81B7A" w:rsidP="00604DE8">
      <w:pPr>
        <w:pStyle w:val="BodyText"/>
      </w:pPr>
      <w:r>
        <w:t xml:space="preserve">A key focus for the BMF has also been non-conforming building products. In 2017, the Queensland Parliament passed the </w:t>
      </w:r>
      <w:r w:rsidRPr="002F015B">
        <w:rPr>
          <w:i/>
        </w:rPr>
        <w:t>Building and Construction (Non-conforming Building Products – Chain of Responsibility and Other Matters) Amendment Act 2017</w:t>
      </w:r>
      <w:r w:rsidRPr="002F015B">
        <w:t xml:space="preserve"> </w:t>
      </w:r>
      <w:r>
        <w:t>(NCBP Act), which commenced on 1 November 2017</w:t>
      </w:r>
      <w:r w:rsidR="006109F1">
        <w:t>. T</w:t>
      </w:r>
      <w:r>
        <w:t xml:space="preserve">he NCBP Act was the first of its kind in Australia and created a chain of responsibility, placing obligations on participants in the building product supply chain. The final report of the Senate inquiry into non-conforming building products released on 4 December 2018 recommends that other states and territories pass legislation similar to this law (recommendation 6). </w:t>
      </w:r>
    </w:p>
    <w:p w14:paraId="5B6C5126" w14:textId="77777777" w:rsidR="00FF4A2C" w:rsidRPr="00310A44" w:rsidRDefault="00FF4A2C" w:rsidP="00604DE8">
      <w:pPr>
        <w:pStyle w:val="Heading3"/>
      </w:pPr>
      <w:r w:rsidRPr="00310A44">
        <w:t>Increased powers for the state regulator</w:t>
      </w:r>
    </w:p>
    <w:p w14:paraId="65720B26" w14:textId="77777777" w:rsidR="00FF4A2C" w:rsidRPr="00604DE8" w:rsidRDefault="00FF4A2C" w:rsidP="00604DE8">
      <w:pPr>
        <w:pStyle w:val="BodyText"/>
      </w:pPr>
      <w:r w:rsidRPr="00604DE8">
        <w:t>Laws passed by the Queensland Government give the independent building industry regulator, the Q</w:t>
      </w:r>
      <w:r w:rsidR="00AB34A3" w:rsidRPr="00604DE8">
        <w:t>ueensland Building and Construction Commission (Q</w:t>
      </w:r>
      <w:r w:rsidRPr="00604DE8">
        <w:t>BCC</w:t>
      </w:r>
      <w:r w:rsidR="00AB34A3" w:rsidRPr="00604DE8">
        <w:t>)</w:t>
      </w:r>
      <w:r w:rsidRPr="00604DE8">
        <w:t>, expanded powers to uphold compliance and protect consumers and licensees who do the right thing. The QBCC is committed to enhancing confidence in the State’s building and construction industry.</w:t>
      </w:r>
    </w:p>
    <w:p w14:paraId="42EDC26B" w14:textId="70ECBF44" w:rsidR="00770C13" w:rsidRDefault="00B81B7A" w:rsidP="00604DE8">
      <w:pPr>
        <w:pStyle w:val="BodyText"/>
      </w:pPr>
      <w:r w:rsidRPr="00604DE8">
        <w:t xml:space="preserve">The QBCC has increased powers to investigate the use of non-conforming building products and take action against non-compliance. If required, the Queensland Minister </w:t>
      </w:r>
      <w:r w:rsidR="004E4685" w:rsidRPr="00604DE8">
        <w:t xml:space="preserve">can </w:t>
      </w:r>
      <w:r w:rsidRPr="00604DE8">
        <w:t xml:space="preserve">issue warnings about products </w:t>
      </w:r>
      <w:r w:rsidRPr="00604DE8">
        <w:lastRenderedPageBreak/>
        <w:t xml:space="preserve">and recall products. Queensland’s strong stance on non-conforming building products has set an innovative precedent. These powers </w:t>
      </w:r>
      <w:r w:rsidR="004E4685" w:rsidRPr="00604DE8">
        <w:t>are being used and, for example</w:t>
      </w:r>
      <w:r w:rsidR="00D26153" w:rsidRPr="00604DE8">
        <w:t>,</w:t>
      </w:r>
      <w:r w:rsidR="004E4685" w:rsidRPr="00604DE8">
        <w:t xml:space="preserve"> </w:t>
      </w:r>
      <w:r w:rsidRPr="00604DE8">
        <w:t>were exercised in May 2018 to issue a state-wide product recall of Clark Rubber's unsafe pool fence, following an investigation by the QBCC, leading to a subsequent national recall of this par</w:t>
      </w:r>
      <w:r w:rsidR="00604DE8">
        <w:t>ticular non-conforming product.</w:t>
      </w:r>
    </w:p>
    <w:p w14:paraId="364860E8" w14:textId="77777777" w:rsidR="00FF4A2C" w:rsidRPr="00310A44" w:rsidRDefault="00B81B7A" w:rsidP="00604DE8">
      <w:pPr>
        <w:pStyle w:val="Heading3"/>
      </w:pPr>
      <w:r w:rsidRPr="00310A44">
        <w:t xml:space="preserve">BCR </w:t>
      </w:r>
      <w:r w:rsidR="00FF4A2C" w:rsidRPr="00310A44">
        <w:t>Recommendation 12</w:t>
      </w:r>
      <w:r w:rsidRPr="00310A44">
        <w:t xml:space="preserve"> </w:t>
      </w:r>
      <w:r w:rsidR="00492DC9" w:rsidRPr="00310A44">
        <w:t>–</w:t>
      </w:r>
      <w:r w:rsidRPr="00310A44">
        <w:t xml:space="preserve"> </w:t>
      </w:r>
      <w:r w:rsidR="00492DC9" w:rsidRPr="00310A44">
        <w:t>Building Information Database</w:t>
      </w:r>
    </w:p>
    <w:p w14:paraId="11BA7C8D" w14:textId="77777777" w:rsidR="00596487" w:rsidRDefault="00FF4A2C" w:rsidP="0032060F">
      <w:pPr>
        <w:pStyle w:val="BodyText"/>
      </w:pPr>
      <w:r>
        <w:t>Queensland supports the development of a Building Information Documentation system as it aligns strategically with both the regulatory role of the state’s regulator (the QBCC) and the effective implementation of the Queensland Building Plan. Potential benefits of such a system may include responding to concerns over documented plan variations or changes; ensuring certification inspections are carried out at key stages of design and construction; highlighting architectural or engineering plans in conflict with the NCC and reducing problematic product substitution, during construction. This is also a recommendation where a nationally consistent approach presents real potentia</w:t>
      </w:r>
      <w:r w:rsidR="009A360D">
        <w:t xml:space="preserve">l. </w:t>
      </w:r>
    </w:p>
    <w:p w14:paraId="3A48DFA6" w14:textId="77777777" w:rsidR="00FF4A2C" w:rsidRDefault="00FF4A2C" w:rsidP="00310A44">
      <w:pPr>
        <w:pStyle w:val="Heading2"/>
      </w:pPr>
      <w:r w:rsidRPr="00596487">
        <w:t>Timeframes</w:t>
      </w:r>
    </w:p>
    <w:p w14:paraId="18B8C683" w14:textId="77777777" w:rsidR="00FF4A2C" w:rsidRDefault="00FF4A2C" w:rsidP="00604DE8">
      <w:pPr>
        <w:pStyle w:val="BodyText"/>
      </w:pPr>
      <w:r>
        <w:t>Reforms outlined in the QBP and in response to this report see a multi-year delivery program requiring a combination of consultation, administrative, regulatory and legislative amendments to support a change of practice and culture in the building and construction industry.</w:t>
      </w:r>
    </w:p>
    <w:p w14:paraId="03A455F4" w14:textId="77777777" w:rsidR="00FF4A2C" w:rsidRDefault="00FF4A2C" w:rsidP="00604DE8">
      <w:pPr>
        <w:pStyle w:val="BodyText"/>
        <w:sectPr w:rsidR="00FF4A2C">
          <w:pgSz w:w="11910" w:h="16840"/>
          <w:pgMar w:top="1040" w:right="520" w:bottom="700" w:left="980" w:header="764" w:footer="505" w:gutter="0"/>
          <w:cols w:space="720"/>
        </w:sectPr>
      </w:pPr>
    </w:p>
    <w:p w14:paraId="52821442" w14:textId="6356CE18" w:rsidR="00FF4A2C" w:rsidRDefault="00FF4A2C" w:rsidP="004E7946">
      <w:pPr>
        <w:pStyle w:val="Heading1"/>
      </w:pPr>
      <w:bookmarkStart w:id="10" w:name="_Toc27738655"/>
      <w:r>
        <w:lastRenderedPageBreak/>
        <w:t>Western Australia</w:t>
      </w:r>
      <w:bookmarkEnd w:id="10"/>
    </w:p>
    <w:p w14:paraId="634FFEAB" w14:textId="56B82794" w:rsidR="00FF4A2C" w:rsidRDefault="00FF4A2C" w:rsidP="004E7946">
      <w:pPr>
        <w:pStyle w:val="Heading2"/>
      </w:pPr>
      <w:r>
        <w:t xml:space="preserve">Update </w:t>
      </w:r>
      <w:r w:rsidR="00604DE8">
        <w:t>o</w:t>
      </w:r>
      <w:r>
        <w:t>verview</w:t>
      </w:r>
    </w:p>
    <w:p w14:paraId="0EE9C608" w14:textId="77777777" w:rsidR="004C35D8" w:rsidRDefault="004C35D8" w:rsidP="00604DE8">
      <w:pPr>
        <w:pStyle w:val="BodyText"/>
      </w:pPr>
      <w:r>
        <w:t>In Western Australia building permits are always issued by permit authorities which are generally local government authorities. Building permit applications for class 1b and class 2-9 buildings must be certified by a private building surveyor whereas for single residential dwellings and associated non-habitable buildings, either a certified or an uncertified application may be made.</w:t>
      </w:r>
    </w:p>
    <w:p w14:paraId="395EE790" w14:textId="71D334A0" w:rsidR="004C35D8" w:rsidRDefault="004C35D8" w:rsidP="00604DE8">
      <w:pPr>
        <w:pStyle w:val="BodyText"/>
      </w:pPr>
      <w:r>
        <w:t xml:space="preserve">While the </w:t>
      </w:r>
      <w:r w:rsidR="00F52849">
        <w:t>BCR</w:t>
      </w:r>
      <w:r>
        <w:t xml:space="preserve"> acknowledges that the extent of reform will differ between jurisdictions, the Western Australian Government has committed to reviewing the current legislative framework to address the shortcomings identified by the report. </w:t>
      </w:r>
      <w:r w:rsidRPr="003F2587">
        <w:t>As a result, Western Australia has initiated three distinct projects to consider options for reform</w:t>
      </w:r>
      <w:r w:rsidR="00604DE8">
        <w:t>.</w:t>
      </w:r>
    </w:p>
    <w:p w14:paraId="08E6642B" w14:textId="77777777" w:rsidR="007A45CD" w:rsidRPr="003F2587" w:rsidRDefault="007A45CD" w:rsidP="00604DE8">
      <w:pPr>
        <w:pStyle w:val="BodyText"/>
      </w:pPr>
      <w:r w:rsidRPr="003F2587">
        <w:t>As a result, Western Australia has initiated three distinct projects to consider options for reform:</w:t>
      </w:r>
    </w:p>
    <w:p w14:paraId="099D8BD5" w14:textId="77777777" w:rsidR="007A45CD" w:rsidRPr="003F2587" w:rsidRDefault="007A45CD" w:rsidP="007A45CD">
      <w:pPr>
        <w:widowControl/>
        <w:numPr>
          <w:ilvl w:val="0"/>
          <w:numId w:val="1"/>
        </w:numPr>
        <w:tabs>
          <w:tab w:val="left" w:pos="579"/>
          <w:tab w:val="left" w:pos="580"/>
        </w:tabs>
        <w:autoSpaceDE/>
        <w:autoSpaceDN/>
        <w:spacing w:before="120" w:after="120"/>
        <w:ind w:left="578" w:right="13" w:hanging="425"/>
        <w:jc w:val="both"/>
      </w:pPr>
      <w:r w:rsidRPr="003F2587">
        <w:t>Review of the residential building approval process (BCA Class 1a and</w:t>
      </w:r>
      <w:r w:rsidRPr="003F2587">
        <w:rPr>
          <w:spacing w:val="-34"/>
        </w:rPr>
        <w:t xml:space="preserve"> </w:t>
      </w:r>
      <w:r w:rsidRPr="003F2587">
        <w:t>10).</w:t>
      </w:r>
    </w:p>
    <w:p w14:paraId="7C0A256B" w14:textId="77777777" w:rsidR="007A45CD" w:rsidRPr="003F2587" w:rsidRDefault="007A45CD" w:rsidP="007A45CD">
      <w:pPr>
        <w:widowControl/>
        <w:numPr>
          <w:ilvl w:val="0"/>
          <w:numId w:val="1"/>
        </w:numPr>
        <w:tabs>
          <w:tab w:val="left" w:pos="579"/>
          <w:tab w:val="left" w:pos="580"/>
        </w:tabs>
        <w:autoSpaceDE/>
        <w:autoSpaceDN/>
        <w:spacing w:before="120" w:after="120"/>
        <w:ind w:left="578" w:right="13" w:hanging="425"/>
        <w:jc w:val="both"/>
      </w:pPr>
      <w:r w:rsidRPr="003F2587">
        <w:t>Review of the commercial building approval process (BCA Class 2 to</w:t>
      </w:r>
      <w:r w:rsidRPr="003F2587">
        <w:rPr>
          <w:spacing w:val="-29"/>
        </w:rPr>
        <w:t xml:space="preserve"> </w:t>
      </w:r>
      <w:r w:rsidRPr="003F2587">
        <w:t>9).</w:t>
      </w:r>
    </w:p>
    <w:p w14:paraId="2C4A7F2C" w14:textId="77777777" w:rsidR="007A45CD" w:rsidRPr="003F2587" w:rsidRDefault="007A45CD" w:rsidP="007A45CD">
      <w:pPr>
        <w:widowControl/>
        <w:numPr>
          <w:ilvl w:val="0"/>
          <w:numId w:val="1"/>
        </w:numPr>
        <w:tabs>
          <w:tab w:val="left" w:pos="579"/>
          <w:tab w:val="left" w:pos="580"/>
        </w:tabs>
        <w:autoSpaceDE/>
        <w:autoSpaceDN/>
        <w:spacing w:before="120" w:after="120"/>
        <w:ind w:left="578" w:right="13" w:hanging="425"/>
        <w:jc w:val="both"/>
      </w:pPr>
      <w:r w:rsidRPr="003F2587">
        <w:t>Review of registration requirements for the building industry</w:t>
      </w:r>
      <w:r w:rsidR="00246267" w:rsidRPr="003F2587">
        <w:t>.</w:t>
      </w:r>
    </w:p>
    <w:p w14:paraId="40FD73DB" w14:textId="77777777" w:rsidR="00EE24C0" w:rsidRPr="003F2587" w:rsidRDefault="00EE24C0" w:rsidP="00310A44">
      <w:pPr>
        <w:pStyle w:val="Heading2"/>
      </w:pPr>
      <w:r w:rsidRPr="003F2587">
        <w:t>Reforms underway</w:t>
      </w:r>
    </w:p>
    <w:p w14:paraId="56526D3A" w14:textId="77777777" w:rsidR="00EE24C0" w:rsidRPr="0059152C" w:rsidRDefault="00EE24C0" w:rsidP="00604DE8">
      <w:pPr>
        <w:pStyle w:val="BodyText"/>
      </w:pPr>
      <w:r w:rsidRPr="003F2587">
        <w:t>Since most of the BCR recommendations will require amendments to Western Australian statutes and regulations, regulatory impact assessments on all proposals for change is necessary. As a first step, state-based consultation will be undertaken.</w:t>
      </w:r>
    </w:p>
    <w:p w14:paraId="33352DA7" w14:textId="77777777" w:rsidR="00EE24C0" w:rsidRPr="00FE0453" w:rsidRDefault="00EE24C0" w:rsidP="00604DE8">
      <w:pPr>
        <w:pStyle w:val="Heading3"/>
      </w:pPr>
      <w:r w:rsidRPr="00FE0453">
        <w:t>Review of the residential building approval process</w:t>
      </w:r>
    </w:p>
    <w:p w14:paraId="1A252282" w14:textId="77777777" w:rsidR="00EE24C0" w:rsidRPr="003F2587" w:rsidRDefault="00EE24C0" w:rsidP="00604DE8">
      <w:pPr>
        <w:pStyle w:val="BodyText"/>
      </w:pPr>
      <w:r w:rsidRPr="00F93C05">
        <w:t>A consultation regulatory impact statement (CRIS) on improving the building approvals process for single residential dwellings (BCA Class 1a and 10) was released in mid-September 2019 for a three month period of public and industry consultation.</w:t>
      </w:r>
      <w:r w:rsidRPr="003F2587">
        <w:t xml:space="preserve"> </w:t>
      </w:r>
    </w:p>
    <w:p w14:paraId="1DA9899B" w14:textId="77777777" w:rsidR="00EE24C0" w:rsidRPr="003F2587" w:rsidRDefault="00EE24C0" w:rsidP="00604DE8">
      <w:pPr>
        <w:pStyle w:val="BodyText"/>
      </w:pPr>
      <w:r w:rsidRPr="003F2587">
        <w:t>The CRIS considers three options: the status quo; full private certification with all the safeguards recommended by the BCR; and options to improve the current system by adopting relevant recommendations from the BCR to improve effective compliance with the NCC.</w:t>
      </w:r>
    </w:p>
    <w:p w14:paraId="0C10B184" w14:textId="77777777" w:rsidR="00EE24C0" w:rsidRPr="0059152C" w:rsidRDefault="00EE24C0" w:rsidP="00604DE8">
      <w:pPr>
        <w:pStyle w:val="BodyText"/>
      </w:pPr>
      <w:r w:rsidRPr="003F2587">
        <w:t>The purpose of the CRIS is to seek feedback on proposals for reform and all the feedback and information gathered through this consultation process and will be analysed to inform a Decision Regulatory Impact Statement (DRIS) recommending a final policy position.</w:t>
      </w:r>
    </w:p>
    <w:p w14:paraId="7776BCE3" w14:textId="77777777" w:rsidR="00EE24C0" w:rsidRPr="00FE0453" w:rsidRDefault="00EE24C0" w:rsidP="00604DE8">
      <w:pPr>
        <w:pStyle w:val="Heading3"/>
      </w:pPr>
      <w:r w:rsidRPr="00FE0453">
        <w:t>Review of the commercial building approval process</w:t>
      </w:r>
    </w:p>
    <w:p w14:paraId="2139498D" w14:textId="6D7D1FEF" w:rsidR="00EE24C0" w:rsidRPr="003F2587" w:rsidRDefault="00EE24C0" w:rsidP="00604DE8">
      <w:pPr>
        <w:pStyle w:val="BodyText"/>
      </w:pPr>
      <w:r w:rsidRPr="00FE0453">
        <w:t>A consultation regulatory impact statement (CRIS)</w:t>
      </w:r>
      <w:r w:rsidRPr="003F2587">
        <w:t xml:space="preserve"> canvassing views on proposals to improve the building approvals process and regulatory framework for commercial buildings (BCA Class 2 to 9) will be </w:t>
      </w:r>
      <w:r w:rsidRPr="00F93C05">
        <w:t>released for a three</w:t>
      </w:r>
      <w:r w:rsidR="00A60E2B" w:rsidRPr="00F93C05">
        <w:t>-</w:t>
      </w:r>
      <w:r w:rsidRPr="00F93C05">
        <w:t>month period of public and industry consultation.</w:t>
      </w:r>
      <w:r w:rsidRPr="003F2587">
        <w:t xml:space="preserve"> </w:t>
      </w:r>
    </w:p>
    <w:p w14:paraId="2DC76E15" w14:textId="77777777" w:rsidR="00EE24C0" w:rsidRDefault="00EE24C0" w:rsidP="00604DE8">
      <w:pPr>
        <w:pStyle w:val="BodyText"/>
      </w:pPr>
      <w:r w:rsidRPr="003F2587">
        <w:t>The CRIS will consider options for addressing many of the issues identified in the BCR report. Most specifically the CRIS proposes to options to implement recommendations 6, 8 to 11, 13 to 18 and 20. Some of the proposed reforms are summarised in the table below:</w:t>
      </w:r>
    </w:p>
    <w:p w14:paraId="56D6D685" w14:textId="77777777" w:rsidR="00887EFD" w:rsidRPr="0059152C" w:rsidRDefault="00887EFD" w:rsidP="00FE0453">
      <w:pPr>
        <w:spacing w:before="140"/>
        <w:ind w:left="-207" w:right="386"/>
      </w:pPr>
    </w:p>
    <w:tbl>
      <w:tblPr>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3"/>
        <w:gridCol w:w="1984"/>
        <w:gridCol w:w="8006"/>
      </w:tblGrid>
      <w:tr w:rsidR="00887EFD" w:rsidRPr="00AA7B25" w14:paraId="17F06334" w14:textId="77777777" w:rsidTr="00363025">
        <w:trPr>
          <w:cantSplit/>
          <w:trHeight w:val="370"/>
          <w:tblHeader/>
        </w:trPr>
        <w:tc>
          <w:tcPr>
            <w:tcW w:w="2337" w:type="dxa"/>
            <w:gridSpan w:val="2"/>
            <w:tcBorders>
              <w:right w:val="single" w:sz="4" w:space="0" w:color="808080" w:themeColor="background1" w:themeShade="80"/>
            </w:tcBorders>
            <w:shd w:val="clear" w:color="auto" w:fill="005575"/>
            <w:noWrap/>
            <w:vAlign w:val="center"/>
            <w:hideMark/>
          </w:tcPr>
          <w:p w14:paraId="0AF0A3AE" w14:textId="77777777" w:rsidR="00887EFD" w:rsidRPr="00363025" w:rsidRDefault="00887EFD" w:rsidP="00066395">
            <w:pPr>
              <w:spacing w:before="40" w:after="40"/>
              <w:jc w:val="center"/>
              <w:rPr>
                <w:b/>
                <w:color w:val="FFFFFF" w:themeColor="background1"/>
                <w:lang w:eastAsia="en-AU"/>
              </w:rPr>
            </w:pPr>
            <w:r w:rsidRPr="00363025">
              <w:rPr>
                <w:b/>
                <w:color w:val="FFFFFF" w:themeColor="background1"/>
                <w:lang w:eastAsia="en-AU"/>
              </w:rPr>
              <w:lastRenderedPageBreak/>
              <w:t>BCR Recommendation</w:t>
            </w:r>
          </w:p>
        </w:tc>
        <w:tc>
          <w:tcPr>
            <w:tcW w:w="8006" w:type="dxa"/>
            <w:tcBorders>
              <w:left w:val="single" w:sz="4" w:space="0" w:color="808080" w:themeColor="background1" w:themeShade="80"/>
            </w:tcBorders>
            <w:shd w:val="clear" w:color="auto" w:fill="005575"/>
            <w:vAlign w:val="center"/>
            <w:hideMark/>
          </w:tcPr>
          <w:p w14:paraId="4CC40B40" w14:textId="77777777" w:rsidR="00887EFD" w:rsidRPr="00363025" w:rsidRDefault="00887EFD" w:rsidP="00066395">
            <w:pPr>
              <w:spacing w:before="40" w:after="40"/>
              <w:jc w:val="center"/>
              <w:rPr>
                <w:b/>
                <w:color w:val="FFFFFF" w:themeColor="background1"/>
                <w:lang w:eastAsia="en-AU"/>
              </w:rPr>
            </w:pPr>
            <w:r w:rsidRPr="00363025">
              <w:rPr>
                <w:b/>
                <w:color w:val="FFFFFF" w:themeColor="background1"/>
                <w:lang w:eastAsia="en-AU"/>
              </w:rPr>
              <w:t>Proposals for reform</w:t>
            </w:r>
          </w:p>
        </w:tc>
      </w:tr>
      <w:tr w:rsidR="00887EFD" w:rsidRPr="00AA7B25" w14:paraId="55D920E3" w14:textId="77777777" w:rsidTr="006E73C7">
        <w:trPr>
          <w:cantSplit/>
          <w:trHeight w:val="1179"/>
        </w:trPr>
        <w:tc>
          <w:tcPr>
            <w:tcW w:w="353" w:type="dxa"/>
            <w:shd w:val="clear" w:color="auto" w:fill="E7E6E6" w:themeFill="background2"/>
            <w:noWrap/>
          </w:tcPr>
          <w:p w14:paraId="7C1A8A45" w14:textId="77777777" w:rsidR="00887EFD" w:rsidRPr="00AA7B25" w:rsidRDefault="00887EFD" w:rsidP="00066395">
            <w:pPr>
              <w:spacing w:before="40" w:after="40"/>
              <w:ind w:left="-108" w:right="-40"/>
              <w:jc w:val="center"/>
              <w:rPr>
                <w:lang w:eastAsia="en-AU"/>
              </w:rPr>
            </w:pPr>
            <w:r w:rsidRPr="00AA7B25">
              <w:rPr>
                <w:lang w:eastAsia="en-AU"/>
              </w:rPr>
              <w:t>6</w:t>
            </w:r>
          </w:p>
        </w:tc>
        <w:tc>
          <w:tcPr>
            <w:tcW w:w="1984" w:type="dxa"/>
            <w:shd w:val="clear" w:color="auto" w:fill="E7E6E6" w:themeFill="background2"/>
            <w:noWrap/>
            <w:tcMar>
              <w:left w:w="28" w:type="dxa"/>
              <w:right w:w="28" w:type="dxa"/>
            </w:tcMar>
          </w:tcPr>
          <w:p w14:paraId="213764BE" w14:textId="77777777" w:rsidR="00887EFD" w:rsidRPr="00AA7B25" w:rsidRDefault="00887EFD" w:rsidP="00066395">
            <w:pPr>
              <w:spacing w:before="40" w:after="40"/>
              <w:rPr>
                <w:lang w:eastAsia="en-AU"/>
              </w:rPr>
            </w:pPr>
            <w:r w:rsidRPr="00AA7B25">
              <w:rPr>
                <w:lang w:eastAsia="en-AU"/>
              </w:rPr>
              <w:t>Regulators’ powers</w:t>
            </w:r>
          </w:p>
        </w:tc>
        <w:tc>
          <w:tcPr>
            <w:tcW w:w="8006" w:type="dxa"/>
            <w:shd w:val="clear" w:color="auto" w:fill="auto"/>
          </w:tcPr>
          <w:p w14:paraId="6520813F"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Code of Practice: Safe design of buildings and structures to address non-conforming and non-compliant building products.</w:t>
            </w:r>
          </w:p>
          <w:p w14:paraId="2B0B3EE1"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mandate the Code of Practice: Safe Design of Buildings and Structures as an applicable standard for all classes of building.</w:t>
            </w:r>
          </w:p>
          <w:p w14:paraId="69781447"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Services (Complaint Resolution and Administration) Act 2011 to empower the Building Commissioner to prescribe requirements on technical matters.</w:t>
            </w:r>
          </w:p>
          <w:p w14:paraId="3EAEE021"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Act and the BSCRA Act to empower the Building Commissioner’s inspectors to enter and inspect any building site.</w:t>
            </w:r>
          </w:p>
        </w:tc>
      </w:tr>
      <w:tr w:rsidR="00887EFD" w:rsidRPr="00AA7B25" w14:paraId="78569305" w14:textId="77777777" w:rsidTr="006E73C7">
        <w:trPr>
          <w:cantSplit/>
          <w:trHeight w:val="3399"/>
        </w:trPr>
        <w:tc>
          <w:tcPr>
            <w:tcW w:w="353" w:type="dxa"/>
            <w:shd w:val="clear" w:color="auto" w:fill="E7E6E6" w:themeFill="background2"/>
            <w:noWrap/>
            <w:hideMark/>
          </w:tcPr>
          <w:p w14:paraId="05CF8893" w14:textId="77777777" w:rsidR="00887EFD" w:rsidRPr="00AA7B25" w:rsidRDefault="00887EFD" w:rsidP="00066395">
            <w:pPr>
              <w:spacing w:before="40" w:after="40"/>
              <w:ind w:left="-108" w:right="-40"/>
              <w:jc w:val="center"/>
              <w:rPr>
                <w:lang w:eastAsia="en-AU"/>
              </w:rPr>
            </w:pPr>
            <w:r w:rsidRPr="00AA7B25">
              <w:rPr>
                <w:lang w:eastAsia="en-AU"/>
              </w:rPr>
              <w:t>8</w:t>
            </w:r>
          </w:p>
        </w:tc>
        <w:tc>
          <w:tcPr>
            <w:tcW w:w="1984" w:type="dxa"/>
            <w:shd w:val="clear" w:color="auto" w:fill="E7E6E6" w:themeFill="background2"/>
            <w:noWrap/>
            <w:tcMar>
              <w:left w:w="28" w:type="dxa"/>
              <w:right w:w="28" w:type="dxa"/>
            </w:tcMar>
            <w:hideMark/>
          </w:tcPr>
          <w:p w14:paraId="05B7164B" w14:textId="77777777" w:rsidR="00887EFD" w:rsidRPr="00AA7B25" w:rsidRDefault="00887EFD" w:rsidP="00066395">
            <w:pPr>
              <w:spacing w:before="40" w:after="40"/>
              <w:rPr>
                <w:lang w:eastAsia="en-AU"/>
              </w:rPr>
            </w:pPr>
            <w:r w:rsidRPr="00AA7B25">
              <w:rPr>
                <w:lang w:eastAsia="en-AU"/>
              </w:rPr>
              <w:t>Fire Authority consultation</w:t>
            </w:r>
          </w:p>
        </w:tc>
        <w:tc>
          <w:tcPr>
            <w:tcW w:w="8006" w:type="dxa"/>
            <w:shd w:val="clear" w:color="auto" w:fill="auto"/>
            <w:hideMark/>
          </w:tcPr>
          <w:p w14:paraId="5BDEF923"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require that documentation of fire safety performance solutions must include a fire engineering brief and fire engineering report, in accordance with the International Fire Engineering Guidelines’ process.</w:t>
            </w:r>
          </w:p>
          <w:p w14:paraId="14088EE8"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provide that the FES Commissioner may issue a certificate at any time confirming that a building design meets operational requirements.</w:t>
            </w:r>
          </w:p>
          <w:p w14:paraId="275F0FEF"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clarify that the FES Commissioner’s written advice must be considered and responded to no matter when it is provided.</w:t>
            </w:r>
          </w:p>
          <w:p w14:paraId="04F2F967"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clarify the information that must be included when responding to the FES Commissioner’s advice</w:t>
            </w:r>
            <w:r w:rsidR="00B46379" w:rsidRPr="003F2587">
              <w:rPr>
                <w:rFonts w:eastAsia="Calibri"/>
                <w:lang w:val="en-AU"/>
              </w:rPr>
              <w:t>.</w:t>
            </w:r>
          </w:p>
        </w:tc>
      </w:tr>
      <w:tr w:rsidR="00887EFD" w:rsidRPr="00AA7B25" w14:paraId="5CB32E8F" w14:textId="77777777" w:rsidTr="006E73C7">
        <w:trPr>
          <w:cantSplit/>
          <w:trHeight w:val="317"/>
        </w:trPr>
        <w:tc>
          <w:tcPr>
            <w:tcW w:w="353" w:type="dxa"/>
            <w:shd w:val="clear" w:color="auto" w:fill="E7E6E6" w:themeFill="background2"/>
            <w:noWrap/>
          </w:tcPr>
          <w:p w14:paraId="2C532645" w14:textId="77777777" w:rsidR="00887EFD" w:rsidRPr="00AA7B25" w:rsidRDefault="00887EFD" w:rsidP="00066395">
            <w:pPr>
              <w:spacing w:before="40" w:after="40"/>
              <w:ind w:left="-108" w:right="-40"/>
              <w:jc w:val="center"/>
              <w:rPr>
                <w:lang w:eastAsia="en-AU"/>
              </w:rPr>
            </w:pPr>
            <w:r w:rsidRPr="00AA7B25">
              <w:rPr>
                <w:lang w:eastAsia="en-AU"/>
              </w:rPr>
              <w:t>9</w:t>
            </w:r>
          </w:p>
        </w:tc>
        <w:tc>
          <w:tcPr>
            <w:tcW w:w="1984" w:type="dxa"/>
            <w:shd w:val="clear" w:color="auto" w:fill="E7E6E6" w:themeFill="background2"/>
            <w:noWrap/>
            <w:tcMar>
              <w:left w:w="28" w:type="dxa"/>
              <w:right w:w="28" w:type="dxa"/>
            </w:tcMar>
          </w:tcPr>
          <w:p w14:paraId="0CEFFDDC" w14:textId="77777777" w:rsidR="00887EFD" w:rsidRPr="00AA7B25" w:rsidRDefault="00887EFD" w:rsidP="00066395">
            <w:pPr>
              <w:spacing w:before="40" w:after="40"/>
              <w:rPr>
                <w:lang w:eastAsia="en-AU"/>
              </w:rPr>
            </w:pPr>
            <w:r w:rsidRPr="00AA7B25">
              <w:rPr>
                <w:lang w:eastAsia="en-AU"/>
              </w:rPr>
              <w:t>Conflicts of interest</w:t>
            </w:r>
          </w:p>
        </w:tc>
        <w:tc>
          <w:tcPr>
            <w:tcW w:w="8006" w:type="dxa"/>
            <w:shd w:val="clear" w:color="auto" w:fill="auto"/>
          </w:tcPr>
          <w:p w14:paraId="6DEA9DC3"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 xml:space="preserve">Amend the definition of ‘independent building surveyor’ in the Building Act to require that a building surveyor must be independent of anyone whose work they certify.  </w:t>
            </w:r>
          </w:p>
        </w:tc>
      </w:tr>
      <w:tr w:rsidR="00887EFD" w:rsidRPr="00AA7B25" w14:paraId="05113B05" w14:textId="77777777" w:rsidTr="006E73C7">
        <w:trPr>
          <w:cantSplit/>
          <w:trHeight w:val="73"/>
        </w:trPr>
        <w:tc>
          <w:tcPr>
            <w:tcW w:w="353" w:type="dxa"/>
            <w:shd w:val="clear" w:color="auto" w:fill="E7E6E6" w:themeFill="background2"/>
            <w:noWrap/>
          </w:tcPr>
          <w:p w14:paraId="610E135E" w14:textId="77777777" w:rsidR="00887EFD" w:rsidRPr="00AA7B25" w:rsidRDefault="00887EFD" w:rsidP="00066395">
            <w:pPr>
              <w:spacing w:before="40" w:after="40"/>
              <w:ind w:left="-108" w:right="-40"/>
              <w:jc w:val="center"/>
              <w:rPr>
                <w:lang w:eastAsia="en-AU"/>
              </w:rPr>
            </w:pPr>
            <w:r w:rsidRPr="00AA7B25">
              <w:rPr>
                <w:lang w:eastAsia="en-AU"/>
              </w:rPr>
              <w:t>10</w:t>
            </w:r>
          </w:p>
        </w:tc>
        <w:tc>
          <w:tcPr>
            <w:tcW w:w="1984" w:type="dxa"/>
            <w:shd w:val="clear" w:color="auto" w:fill="E7E6E6" w:themeFill="background2"/>
            <w:noWrap/>
            <w:tcMar>
              <w:left w:w="28" w:type="dxa"/>
              <w:right w:w="28" w:type="dxa"/>
            </w:tcMar>
          </w:tcPr>
          <w:p w14:paraId="7409DACE" w14:textId="77777777" w:rsidR="00887EFD" w:rsidRPr="00AA7B25" w:rsidRDefault="00887EFD" w:rsidP="00066395">
            <w:pPr>
              <w:spacing w:before="40" w:after="40"/>
              <w:rPr>
                <w:lang w:eastAsia="en-AU"/>
              </w:rPr>
            </w:pPr>
            <w:r w:rsidRPr="00AA7B25">
              <w:rPr>
                <w:lang w:eastAsia="en-AU"/>
              </w:rPr>
              <w:t>Code of Conduct</w:t>
            </w:r>
          </w:p>
        </w:tc>
        <w:tc>
          <w:tcPr>
            <w:tcW w:w="8006" w:type="dxa"/>
            <w:shd w:val="clear" w:color="auto" w:fill="auto"/>
          </w:tcPr>
          <w:p w14:paraId="391C12FD"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Introduce a mandatory Code of Practice for registered building surveyors in WA.</w:t>
            </w:r>
          </w:p>
        </w:tc>
      </w:tr>
      <w:tr w:rsidR="00887EFD" w:rsidRPr="00AA7B25" w14:paraId="29D5D555" w14:textId="77777777" w:rsidTr="006E73C7">
        <w:trPr>
          <w:cantSplit/>
          <w:trHeight w:val="570"/>
        </w:trPr>
        <w:tc>
          <w:tcPr>
            <w:tcW w:w="353" w:type="dxa"/>
            <w:shd w:val="clear" w:color="auto" w:fill="E7E6E6" w:themeFill="background2"/>
            <w:noWrap/>
            <w:hideMark/>
          </w:tcPr>
          <w:p w14:paraId="0111F0C2" w14:textId="77777777" w:rsidR="00887EFD" w:rsidRPr="00AA7B25" w:rsidRDefault="00887EFD" w:rsidP="00066395">
            <w:pPr>
              <w:spacing w:before="40" w:after="40"/>
              <w:ind w:left="-108" w:right="-40"/>
              <w:jc w:val="center"/>
              <w:rPr>
                <w:lang w:eastAsia="en-AU"/>
              </w:rPr>
            </w:pPr>
            <w:r w:rsidRPr="00AA7B25">
              <w:rPr>
                <w:lang w:eastAsia="en-AU"/>
              </w:rPr>
              <w:t>11</w:t>
            </w:r>
          </w:p>
        </w:tc>
        <w:tc>
          <w:tcPr>
            <w:tcW w:w="1984" w:type="dxa"/>
            <w:shd w:val="clear" w:color="auto" w:fill="E7E6E6" w:themeFill="background2"/>
            <w:noWrap/>
            <w:tcMar>
              <w:left w:w="28" w:type="dxa"/>
              <w:right w:w="28" w:type="dxa"/>
            </w:tcMar>
            <w:hideMark/>
          </w:tcPr>
          <w:p w14:paraId="284DEFF6" w14:textId="77777777" w:rsidR="00887EFD" w:rsidRPr="00AA7B25" w:rsidRDefault="00887EFD" w:rsidP="00066395">
            <w:pPr>
              <w:spacing w:before="40" w:after="40"/>
              <w:rPr>
                <w:lang w:eastAsia="en-AU"/>
              </w:rPr>
            </w:pPr>
            <w:r w:rsidRPr="00AA7B25">
              <w:rPr>
                <w:lang w:eastAsia="en-AU"/>
              </w:rPr>
              <w:t>Supervisory power for building surveyors</w:t>
            </w:r>
          </w:p>
        </w:tc>
        <w:tc>
          <w:tcPr>
            <w:tcW w:w="8006" w:type="dxa"/>
            <w:shd w:val="clear" w:color="auto" w:fill="auto"/>
            <w:hideMark/>
          </w:tcPr>
          <w:p w14:paraId="50FB6DA9"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Act to require that a building surveying contractor’s contract must extend for the duration of a construction project, must incorporate a prescribed scope of services, and may not be terminated early except in certain prescribed circumstances.</w:t>
            </w:r>
          </w:p>
          <w:p w14:paraId="58AAC1B3"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Act to require that a building surveyor must be paid for work undertaken, even if they are unable to issue a certificate of compliance because the building design or construction does not comply with the applicable standards.</w:t>
            </w:r>
          </w:p>
        </w:tc>
      </w:tr>
      <w:tr w:rsidR="00887EFD" w:rsidRPr="00AA7B25" w14:paraId="7609A33C" w14:textId="77777777" w:rsidTr="006E73C7">
        <w:trPr>
          <w:cantSplit/>
          <w:trHeight w:val="570"/>
        </w:trPr>
        <w:tc>
          <w:tcPr>
            <w:tcW w:w="353" w:type="dxa"/>
            <w:shd w:val="clear" w:color="auto" w:fill="E7E6E6" w:themeFill="background2"/>
            <w:noWrap/>
            <w:hideMark/>
          </w:tcPr>
          <w:p w14:paraId="0B65E789" w14:textId="77777777" w:rsidR="00887EFD" w:rsidRPr="00AA7B25" w:rsidRDefault="00887EFD" w:rsidP="00066395">
            <w:pPr>
              <w:spacing w:before="40" w:after="40"/>
              <w:ind w:left="-108" w:right="-40"/>
              <w:jc w:val="center"/>
              <w:rPr>
                <w:lang w:eastAsia="en-AU"/>
              </w:rPr>
            </w:pPr>
            <w:r w:rsidRPr="00AA7B25">
              <w:rPr>
                <w:lang w:eastAsia="en-AU"/>
              </w:rPr>
              <w:lastRenderedPageBreak/>
              <w:t>13</w:t>
            </w:r>
          </w:p>
        </w:tc>
        <w:tc>
          <w:tcPr>
            <w:tcW w:w="1984" w:type="dxa"/>
            <w:shd w:val="clear" w:color="auto" w:fill="E7E6E6" w:themeFill="background2"/>
            <w:noWrap/>
            <w:tcMar>
              <w:left w:w="28" w:type="dxa"/>
              <w:right w:w="28" w:type="dxa"/>
            </w:tcMar>
            <w:hideMark/>
          </w:tcPr>
          <w:p w14:paraId="5F703B73" w14:textId="77777777" w:rsidR="00887EFD" w:rsidRPr="00AA7B25" w:rsidRDefault="00887EFD" w:rsidP="00066395">
            <w:pPr>
              <w:spacing w:before="40" w:after="40"/>
              <w:rPr>
                <w:lang w:eastAsia="en-AU"/>
              </w:rPr>
            </w:pPr>
            <w:r w:rsidRPr="00AA7B25">
              <w:rPr>
                <w:lang w:eastAsia="en-AU"/>
              </w:rPr>
              <w:t>Building documentation</w:t>
            </w:r>
          </w:p>
        </w:tc>
        <w:tc>
          <w:tcPr>
            <w:tcW w:w="8006" w:type="dxa"/>
            <w:shd w:val="clear" w:color="auto" w:fill="auto"/>
            <w:hideMark/>
          </w:tcPr>
          <w:p w14:paraId="6FA58BF5"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require that supporting documents specified in a certificate of compliance must demonstrate how the building work will comply with each applicable building standard.</w:t>
            </w:r>
          </w:p>
          <w:p w14:paraId="3CF72666"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require that all supporting documents referenced in a certificate of compliance must state the author’s name, and registration number if applicable.</w:t>
            </w:r>
          </w:p>
          <w:p w14:paraId="7088DC36"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prescribe the information that must be included in documents supporting a permit application.</w:t>
            </w:r>
          </w:p>
          <w:p w14:paraId="4D74F68F"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 xml:space="preserve">Amend the Building Regulations to prescribe that when completing </w:t>
            </w:r>
          </w:p>
          <w:p w14:paraId="1B239801"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the certificate of design compliance (CDC), building surveyors must include the revision number or date of each supporting document.</w:t>
            </w:r>
          </w:p>
          <w:p w14:paraId="3F8B1FDA"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Regulations to prescribe that any occupancy or maintenance conditions that must be met, to ensure compliance over the life of a building, are stated on the certificates of design and construction compliance, and the occupancy permit.</w:t>
            </w:r>
          </w:p>
          <w:p w14:paraId="5751BE98"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eastAsia="en-AU"/>
              </w:rPr>
            </w:pPr>
            <w:r w:rsidRPr="003F2587">
              <w:rPr>
                <w:rFonts w:eastAsia="Calibri"/>
                <w:lang w:val="en-AU"/>
              </w:rPr>
              <w:t>Amend the Building Act to require that a builder’s notice of completion is not required for building work that requires an occupancy permit.</w:t>
            </w:r>
          </w:p>
        </w:tc>
      </w:tr>
      <w:tr w:rsidR="00887EFD" w:rsidRPr="00AA7B25" w14:paraId="008164ED" w14:textId="77777777" w:rsidTr="006E73C7">
        <w:trPr>
          <w:cantSplit/>
          <w:trHeight w:val="570"/>
        </w:trPr>
        <w:tc>
          <w:tcPr>
            <w:tcW w:w="353" w:type="dxa"/>
            <w:shd w:val="clear" w:color="auto" w:fill="E7E6E6" w:themeFill="background2"/>
            <w:noWrap/>
            <w:hideMark/>
          </w:tcPr>
          <w:p w14:paraId="6AC822B7" w14:textId="77777777" w:rsidR="00887EFD" w:rsidRPr="00AA7B25" w:rsidRDefault="00887EFD" w:rsidP="00066395">
            <w:pPr>
              <w:spacing w:before="40" w:after="40"/>
              <w:ind w:left="-108" w:right="-40"/>
              <w:jc w:val="center"/>
              <w:rPr>
                <w:lang w:eastAsia="en-AU"/>
              </w:rPr>
            </w:pPr>
            <w:r w:rsidRPr="00AA7B25">
              <w:rPr>
                <w:lang w:eastAsia="en-AU"/>
              </w:rPr>
              <w:t>14</w:t>
            </w:r>
          </w:p>
        </w:tc>
        <w:tc>
          <w:tcPr>
            <w:tcW w:w="1984" w:type="dxa"/>
            <w:shd w:val="clear" w:color="auto" w:fill="E7E6E6" w:themeFill="background2"/>
            <w:noWrap/>
            <w:tcMar>
              <w:left w:w="28" w:type="dxa"/>
              <w:right w:w="28" w:type="dxa"/>
            </w:tcMar>
            <w:hideMark/>
          </w:tcPr>
          <w:p w14:paraId="1AE8B24E" w14:textId="77777777" w:rsidR="00887EFD" w:rsidRPr="00AA7B25" w:rsidRDefault="00887EFD" w:rsidP="00066395">
            <w:pPr>
              <w:spacing w:before="40" w:after="40"/>
              <w:rPr>
                <w:lang w:eastAsia="en-AU"/>
              </w:rPr>
            </w:pPr>
            <w:r w:rsidRPr="00AA7B25">
              <w:rPr>
                <w:lang w:eastAsia="en-AU"/>
              </w:rPr>
              <w:t>Performance solutions - documentation</w:t>
            </w:r>
          </w:p>
        </w:tc>
        <w:tc>
          <w:tcPr>
            <w:tcW w:w="8006" w:type="dxa"/>
            <w:shd w:val="clear" w:color="auto" w:fill="auto"/>
            <w:hideMark/>
          </w:tcPr>
          <w:p w14:paraId="6C0D1C7F"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building legislation to prescribe documentation requirements for performance solutions. Mandatory documentation requirements includes:</w:t>
            </w:r>
          </w:p>
          <w:p w14:paraId="4E0B1CE3" w14:textId="77777777" w:rsidR="00887EFD" w:rsidRPr="003F2587" w:rsidRDefault="00887EFD" w:rsidP="00066395">
            <w:pPr>
              <w:widowControl/>
              <w:numPr>
                <w:ilvl w:val="0"/>
                <w:numId w:val="16"/>
              </w:numPr>
              <w:autoSpaceDE/>
              <w:autoSpaceDN/>
              <w:ind w:left="657" w:hanging="249"/>
              <w:rPr>
                <w:rFonts w:eastAsia="Calibri"/>
                <w:lang w:val="en-AU" w:eastAsia="en-AU"/>
              </w:rPr>
            </w:pPr>
            <w:r w:rsidRPr="003F2587">
              <w:rPr>
                <w:rFonts w:eastAsia="Calibri"/>
                <w:lang w:val="en-AU" w:eastAsia="en-AU"/>
              </w:rPr>
              <w:t>What performance requirements apply;</w:t>
            </w:r>
          </w:p>
          <w:p w14:paraId="1B6007E9" w14:textId="77777777" w:rsidR="00887EFD" w:rsidRPr="003F2587" w:rsidRDefault="00887EFD" w:rsidP="00066395">
            <w:pPr>
              <w:widowControl/>
              <w:numPr>
                <w:ilvl w:val="0"/>
                <w:numId w:val="16"/>
              </w:numPr>
              <w:autoSpaceDE/>
              <w:autoSpaceDN/>
              <w:ind w:left="657" w:hanging="249"/>
              <w:rPr>
                <w:rFonts w:eastAsia="Calibri"/>
                <w:lang w:val="en-AU" w:eastAsia="en-AU"/>
              </w:rPr>
            </w:pPr>
            <w:r w:rsidRPr="003F2587">
              <w:rPr>
                <w:rFonts w:eastAsia="Calibri"/>
                <w:lang w:val="en-AU" w:eastAsia="en-AU"/>
              </w:rPr>
              <w:t>Copy of fire engineering report, if applicable;</w:t>
            </w:r>
          </w:p>
          <w:p w14:paraId="4E1C2825" w14:textId="77777777" w:rsidR="00887EFD" w:rsidRPr="003F2587" w:rsidRDefault="00887EFD" w:rsidP="00066395">
            <w:pPr>
              <w:widowControl/>
              <w:numPr>
                <w:ilvl w:val="0"/>
                <w:numId w:val="16"/>
              </w:numPr>
              <w:autoSpaceDE/>
              <w:autoSpaceDN/>
              <w:ind w:left="657" w:hanging="249"/>
              <w:rPr>
                <w:rFonts w:eastAsia="Calibri"/>
                <w:lang w:val="en-AU" w:eastAsia="en-AU"/>
              </w:rPr>
            </w:pPr>
            <w:r w:rsidRPr="003F2587">
              <w:rPr>
                <w:rFonts w:eastAsia="Calibri"/>
                <w:lang w:val="en-AU" w:eastAsia="en-AU"/>
              </w:rPr>
              <w:t>How design meets performance requirements;</w:t>
            </w:r>
          </w:p>
          <w:p w14:paraId="293CFD9E" w14:textId="77777777" w:rsidR="00887EFD" w:rsidRPr="003F2587" w:rsidRDefault="00887EFD" w:rsidP="00066395">
            <w:pPr>
              <w:widowControl/>
              <w:numPr>
                <w:ilvl w:val="0"/>
                <w:numId w:val="16"/>
              </w:numPr>
              <w:autoSpaceDE/>
              <w:autoSpaceDN/>
              <w:ind w:left="657" w:hanging="249"/>
              <w:rPr>
                <w:rFonts w:eastAsia="Calibri"/>
                <w:lang w:val="en-AU" w:eastAsia="en-AU"/>
              </w:rPr>
            </w:pPr>
            <w:r w:rsidRPr="003F2587">
              <w:rPr>
                <w:rFonts w:eastAsia="Calibri"/>
                <w:lang w:val="en-AU" w:eastAsia="en-AU"/>
              </w:rPr>
              <w:t xml:space="preserve">How design differs from deemed-to-satisfy provisions; </w:t>
            </w:r>
          </w:p>
          <w:p w14:paraId="23DA58A3" w14:textId="77777777" w:rsidR="00887EFD" w:rsidRPr="003F2587" w:rsidRDefault="00887EFD" w:rsidP="00066395">
            <w:pPr>
              <w:widowControl/>
              <w:numPr>
                <w:ilvl w:val="0"/>
                <w:numId w:val="16"/>
              </w:numPr>
              <w:autoSpaceDE/>
              <w:autoSpaceDN/>
              <w:ind w:left="657" w:hanging="249"/>
              <w:rPr>
                <w:rFonts w:eastAsia="Calibri"/>
                <w:lang w:val="en-AU" w:eastAsia="en-AU"/>
              </w:rPr>
            </w:pPr>
            <w:r w:rsidRPr="003F2587">
              <w:rPr>
                <w:rFonts w:eastAsia="Calibri"/>
                <w:lang w:val="en-AU" w:eastAsia="en-AU"/>
              </w:rPr>
              <w:t>Evidence relied on, e.g. inspection or test results;</w:t>
            </w:r>
          </w:p>
          <w:p w14:paraId="0A872E93" w14:textId="77777777" w:rsidR="00887EFD" w:rsidRPr="003F2587" w:rsidRDefault="00887EFD" w:rsidP="00066395">
            <w:pPr>
              <w:widowControl/>
              <w:numPr>
                <w:ilvl w:val="0"/>
                <w:numId w:val="16"/>
              </w:numPr>
              <w:autoSpaceDE/>
              <w:autoSpaceDN/>
              <w:ind w:left="657" w:hanging="249"/>
              <w:rPr>
                <w:rFonts w:eastAsia="Calibri"/>
                <w:lang w:val="en-AU" w:eastAsia="en-AU"/>
              </w:rPr>
            </w:pPr>
            <w:r w:rsidRPr="003F2587">
              <w:rPr>
                <w:rFonts w:eastAsia="Calibri"/>
                <w:lang w:val="en-AU" w:eastAsia="en-AU"/>
              </w:rPr>
              <w:t>Building surveyor’s reasons for accepting design; and</w:t>
            </w:r>
          </w:p>
          <w:p w14:paraId="7F126A35" w14:textId="77777777" w:rsidR="00887EFD" w:rsidRPr="003F2587" w:rsidRDefault="00887EFD" w:rsidP="00066395">
            <w:pPr>
              <w:widowControl/>
              <w:numPr>
                <w:ilvl w:val="0"/>
                <w:numId w:val="16"/>
              </w:numPr>
              <w:autoSpaceDE/>
              <w:autoSpaceDN/>
              <w:ind w:left="657" w:hanging="249"/>
              <w:rPr>
                <w:rFonts w:eastAsia="Calibri"/>
                <w:lang w:val="en-AU" w:eastAsia="en-AU"/>
              </w:rPr>
            </w:pPr>
            <w:r w:rsidRPr="003F2587">
              <w:rPr>
                <w:rFonts w:eastAsia="Calibri"/>
                <w:lang w:val="en-AU" w:eastAsia="en-AU"/>
              </w:rPr>
              <w:t>Owner’s consent.</w:t>
            </w:r>
          </w:p>
        </w:tc>
      </w:tr>
      <w:tr w:rsidR="00887EFD" w:rsidRPr="00AA7B25" w14:paraId="3FBB6AEB" w14:textId="77777777" w:rsidTr="006E73C7">
        <w:trPr>
          <w:cantSplit/>
          <w:trHeight w:val="570"/>
        </w:trPr>
        <w:tc>
          <w:tcPr>
            <w:tcW w:w="353" w:type="dxa"/>
            <w:shd w:val="clear" w:color="auto" w:fill="E7E6E6" w:themeFill="background2"/>
            <w:noWrap/>
            <w:hideMark/>
          </w:tcPr>
          <w:p w14:paraId="7F097A56" w14:textId="77777777" w:rsidR="00887EFD" w:rsidRPr="00AA7B25" w:rsidRDefault="00887EFD" w:rsidP="00066395">
            <w:pPr>
              <w:spacing w:before="40" w:after="40"/>
              <w:ind w:left="-108" w:right="-40"/>
              <w:jc w:val="center"/>
              <w:rPr>
                <w:lang w:eastAsia="en-AU"/>
              </w:rPr>
            </w:pPr>
            <w:r w:rsidRPr="00AA7B25">
              <w:rPr>
                <w:lang w:eastAsia="en-AU"/>
              </w:rPr>
              <w:t>15</w:t>
            </w:r>
          </w:p>
        </w:tc>
        <w:tc>
          <w:tcPr>
            <w:tcW w:w="1984" w:type="dxa"/>
            <w:shd w:val="clear" w:color="auto" w:fill="E7E6E6" w:themeFill="background2"/>
            <w:tcMar>
              <w:left w:w="28" w:type="dxa"/>
              <w:right w:w="28" w:type="dxa"/>
            </w:tcMar>
            <w:hideMark/>
          </w:tcPr>
          <w:p w14:paraId="29A735D2" w14:textId="77777777" w:rsidR="00887EFD" w:rsidRPr="00AA7B25" w:rsidRDefault="00887EFD" w:rsidP="00066395">
            <w:pPr>
              <w:spacing w:before="40" w:after="40"/>
              <w:rPr>
                <w:lang w:eastAsia="en-AU"/>
              </w:rPr>
            </w:pPr>
            <w:r w:rsidRPr="00AA7B25">
              <w:rPr>
                <w:lang w:eastAsia="en-AU"/>
              </w:rPr>
              <w:t>Performance solutions - retrospective approval</w:t>
            </w:r>
          </w:p>
        </w:tc>
        <w:tc>
          <w:tcPr>
            <w:tcW w:w="8006" w:type="dxa"/>
            <w:shd w:val="clear" w:color="auto" w:fill="auto"/>
            <w:hideMark/>
          </w:tcPr>
          <w:p w14:paraId="0EC892FB"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Act to prescribe a process for retrospective approval of performance solutions. Certain types of unauthorised work to be reported to regulator. CCC to state that building work complies with applicable standards.</w:t>
            </w:r>
          </w:p>
        </w:tc>
      </w:tr>
      <w:tr w:rsidR="00887EFD" w:rsidRPr="00AA7B25" w14:paraId="29B9E0BF" w14:textId="77777777" w:rsidTr="006E73C7">
        <w:trPr>
          <w:cantSplit/>
          <w:trHeight w:val="285"/>
        </w:trPr>
        <w:tc>
          <w:tcPr>
            <w:tcW w:w="353" w:type="dxa"/>
            <w:shd w:val="clear" w:color="auto" w:fill="E7E6E6" w:themeFill="background2"/>
            <w:noWrap/>
            <w:hideMark/>
          </w:tcPr>
          <w:p w14:paraId="14019B01" w14:textId="77777777" w:rsidR="00887EFD" w:rsidRPr="00AA7B25" w:rsidRDefault="00887EFD" w:rsidP="00066395">
            <w:pPr>
              <w:spacing w:before="40" w:after="40"/>
              <w:ind w:left="-108" w:right="-40"/>
              <w:jc w:val="center"/>
              <w:rPr>
                <w:lang w:eastAsia="en-AU"/>
              </w:rPr>
            </w:pPr>
            <w:r w:rsidRPr="00AA7B25">
              <w:rPr>
                <w:lang w:eastAsia="en-AU"/>
              </w:rPr>
              <w:t>16</w:t>
            </w:r>
          </w:p>
        </w:tc>
        <w:tc>
          <w:tcPr>
            <w:tcW w:w="1984" w:type="dxa"/>
            <w:shd w:val="clear" w:color="auto" w:fill="E7E6E6" w:themeFill="background2"/>
            <w:noWrap/>
            <w:tcMar>
              <w:left w:w="28" w:type="dxa"/>
              <w:right w:w="28" w:type="dxa"/>
            </w:tcMar>
            <w:hideMark/>
          </w:tcPr>
          <w:p w14:paraId="1CA442D7" w14:textId="77777777" w:rsidR="00887EFD" w:rsidRPr="00AA7B25" w:rsidRDefault="00887EFD" w:rsidP="00066395">
            <w:pPr>
              <w:spacing w:before="40" w:after="40"/>
              <w:rPr>
                <w:lang w:eastAsia="en-AU"/>
              </w:rPr>
            </w:pPr>
            <w:r w:rsidRPr="00AA7B25">
              <w:rPr>
                <w:lang w:eastAsia="en-AU"/>
              </w:rPr>
              <w:t>Variations during construction</w:t>
            </w:r>
          </w:p>
        </w:tc>
        <w:tc>
          <w:tcPr>
            <w:tcW w:w="8006" w:type="dxa"/>
            <w:shd w:val="clear" w:color="auto" w:fill="auto"/>
            <w:hideMark/>
          </w:tcPr>
          <w:p w14:paraId="64A504E6"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Act to provide a process to manage variations to the approved design during construction.</w:t>
            </w:r>
          </w:p>
        </w:tc>
      </w:tr>
      <w:tr w:rsidR="00887EFD" w:rsidRPr="00AA7B25" w14:paraId="39DD2AD7" w14:textId="77777777" w:rsidTr="006E73C7">
        <w:trPr>
          <w:cantSplit/>
          <w:trHeight w:val="191"/>
        </w:trPr>
        <w:tc>
          <w:tcPr>
            <w:tcW w:w="353" w:type="dxa"/>
            <w:shd w:val="clear" w:color="auto" w:fill="E7E6E6" w:themeFill="background2"/>
            <w:noWrap/>
            <w:hideMark/>
          </w:tcPr>
          <w:p w14:paraId="5AEFB628" w14:textId="77777777" w:rsidR="00887EFD" w:rsidRPr="00AA7B25" w:rsidRDefault="00887EFD" w:rsidP="00066395">
            <w:pPr>
              <w:spacing w:before="40" w:after="40"/>
              <w:ind w:left="-108" w:right="-40"/>
              <w:jc w:val="center"/>
              <w:rPr>
                <w:lang w:eastAsia="en-AU"/>
              </w:rPr>
            </w:pPr>
            <w:r w:rsidRPr="00AA7B25">
              <w:rPr>
                <w:lang w:eastAsia="en-AU"/>
              </w:rPr>
              <w:t>17</w:t>
            </w:r>
          </w:p>
        </w:tc>
        <w:tc>
          <w:tcPr>
            <w:tcW w:w="1984" w:type="dxa"/>
            <w:shd w:val="clear" w:color="auto" w:fill="E7E6E6" w:themeFill="background2"/>
            <w:noWrap/>
            <w:tcMar>
              <w:left w:w="28" w:type="dxa"/>
              <w:right w:w="28" w:type="dxa"/>
            </w:tcMar>
            <w:hideMark/>
          </w:tcPr>
          <w:p w14:paraId="392C1444" w14:textId="77777777" w:rsidR="00887EFD" w:rsidRPr="00AA7B25" w:rsidRDefault="00887EFD" w:rsidP="00066395">
            <w:pPr>
              <w:spacing w:before="40" w:after="40"/>
              <w:rPr>
                <w:lang w:eastAsia="en-AU"/>
              </w:rPr>
            </w:pPr>
            <w:r w:rsidRPr="00AA7B25">
              <w:rPr>
                <w:lang w:eastAsia="en-AU"/>
              </w:rPr>
              <w:t>Third party review</w:t>
            </w:r>
          </w:p>
        </w:tc>
        <w:tc>
          <w:tcPr>
            <w:tcW w:w="8006" w:type="dxa"/>
            <w:shd w:val="clear" w:color="auto" w:fill="auto"/>
            <w:hideMark/>
          </w:tcPr>
          <w:p w14:paraId="6B125895"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Act to require independent, third-party reviews for high-risk design elements.</w:t>
            </w:r>
          </w:p>
        </w:tc>
      </w:tr>
      <w:tr w:rsidR="00887EFD" w:rsidRPr="00AA7B25" w14:paraId="5C0E0C72" w14:textId="77777777" w:rsidTr="006E73C7">
        <w:trPr>
          <w:cantSplit/>
          <w:trHeight w:val="285"/>
        </w:trPr>
        <w:tc>
          <w:tcPr>
            <w:tcW w:w="353" w:type="dxa"/>
            <w:shd w:val="clear" w:color="auto" w:fill="E7E6E6" w:themeFill="background2"/>
            <w:noWrap/>
            <w:hideMark/>
          </w:tcPr>
          <w:p w14:paraId="74C1445B" w14:textId="77777777" w:rsidR="00887EFD" w:rsidRPr="00AA7B25" w:rsidRDefault="00887EFD" w:rsidP="00066395">
            <w:pPr>
              <w:spacing w:before="40" w:after="40"/>
              <w:ind w:left="-108" w:right="-40"/>
              <w:jc w:val="center"/>
              <w:rPr>
                <w:lang w:eastAsia="en-AU"/>
              </w:rPr>
            </w:pPr>
            <w:r w:rsidRPr="00AA7B25">
              <w:rPr>
                <w:lang w:eastAsia="en-AU"/>
              </w:rPr>
              <w:t>18</w:t>
            </w:r>
          </w:p>
        </w:tc>
        <w:tc>
          <w:tcPr>
            <w:tcW w:w="1984" w:type="dxa"/>
            <w:shd w:val="clear" w:color="auto" w:fill="E7E6E6" w:themeFill="background2"/>
            <w:noWrap/>
            <w:tcMar>
              <w:left w:w="28" w:type="dxa"/>
              <w:right w:w="28" w:type="dxa"/>
            </w:tcMar>
            <w:hideMark/>
          </w:tcPr>
          <w:p w14:paraId="3568577D" w14:textId="77777777" w:rsidR="00887EFD" w:rsidRPr="00AA7B25" w:rsidRDefault="00887EFD" w:rsidP="00066395">
            <w:pPr>
              <w:spacing w:before="40" w:after="40"/>
              <w:rPr>
                <w:lang w:eastAsia="en-AU"/>
              </w:rPr>
            </w:pPr>
            <w:r w:rsidRPr="00AA7B25">
              <w:rPr>
                <w:lang w:eastAsia="en-AU"/>
              </w:rPr>
              <w:t>Inspections</w:t>
            </w:r>
          </w:p>
        </w:tc>
        <w:tc>
          <w:tcPr>
            <w:tcW w:w="8006" w:type="dxa"/>
            <w:shd w:val="clear" w:color="auto" w:fill="auto"/>
            <w:hideMark/>
          </w:tcPr>
          <w:p w14:paraId="7EF116C5"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Act and Regulations to mandate inspections for all class 2-9 buildings. Options include whether the inspections will be undertaken by permit authorities; or private sector inspectors.</w:t>
            </w:r>
          </w:p>
          <w:p w14:paraId="020384E6"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Inspection points to be notifiable stages for building compliance;</w:t>
            </w:r>
          </w:p>
        </w:tc>
      </w:tr>
      <w:tr w:rsidR="00887EFD" w:rsidRPr="00AA7B25" w14:paraId="6DF83526" w14:textId="77777777" w:rsidTr="006E73C7">
        <w:trPr>
          <w:cantSplit/>
          <w:trHeight w:val="285"/>
        </w:trPr>
        <w:tc>
          <w:tcPr>
            <w:tcW w:w="353" w:type="dxa"/>
            <w:shd w:val="clear" w:color="auto" w:fill="E7E6E6" w:themeFill="background2"/>
            <w:noWrap/>
          </w:tcPr>
          <w:p w14:paraId="220067A8" w14:textId="77777777" w:rsidR="00887EFD" w:rsidRPr="00AA7B25" w:rsidRDefault="00887EFD" w:rsidP="00066395">
            <w:pPr>
              <w:spacing w:before="40" w:after="40"/>
              <w:ind w:left="-108" w:right="-40"/>
              <w:jc w:val="center"/>
              <w:rPr>
                <w:lang w:eastAsia="en-AU"/>
              </w:rPr>
            </w:pPr>
            <w:r w:rsidRPr="00AA7B25">
              <w:rPr>
                <w:lang w:eastAsia="en-AU"/>
              </w:rPr>
              <w:t>20</w:t>
            </w:r>
          </w:p>
        </w:tc>
        <w:tc>
          <w:tcPr>
            <w:tcW w:w="1984" w:type="dxa"/>
            <w:shd w:val="clear" w:color="auto" w:fill="E7E6E6" w:themeFill="background2"/>
            <w:noWrap/>
            <w:tcMar>
              <w:left w:w="28" w:type="dxa"/>
              <w:right w:w="28" w:type="dxa"/>
            </w:tcMar>
          </w:tcPr>
          <w:p w14:paraId="04955447" w14:textId="77777777" w:rsidR="00887EFD" w:rsidRPr="00AA7B25" w:rsidRDefault="00887EFD" w:rsidP="00066395">
            <w:pPr>
              <w:spacing w:before="40" w:after="40"/>
              <w:rPr>
                <w:lang w:eastAsia="en-AU"/>
              </w:rPr>
            </w:pPr>
            <w:r w:rsidRPr="00AA7B25">
              <w:rPr>
                <w:lang w:eastAsia="en-AU"/>
              </w:rPr>
              <w:t>Building manual</w:t>
            </w:r>
          </w:p>
        </w:tc>
        <w:tc>
          <w:tcPr>
            <w:tcW w:w="8006" w:type="dxa"/>
            <w:shd w:val="clear" w:color="auto" w:fill="auto"/>
          </w:tcPr>
          <w:p w14:paraId="6FCEDCC4" w14:textId="77777777" w:rsidR="00887EFD" w:rsidRPr="003F2587" w:rsidRDefault="00887EFD" w:rsidP="00066395">
            <w:pPr>
              <w:widowControl/>
              <w:numPr>
                <w:ilvl w:val="0"/>
                <w:numId w:val="17"/>
              </w:numPr>
              <w:autoSpaceDE/>
              <w:autoSpaceDN/>
              <w:spacing w:before="40" w:after="40" w:line="259" w:lineRule="auto"/>
              <w:contextualSpacing/>
              <w:rPr>
                <w:rFonts w:eastAsia="Calibri"/>
                <w:lang w:val="en-AU"/>
              </w:rPr>
            </w:pPr>
            <w:r w:rsidRPr="003F2587">
              <w:rPr>
                <w:rFonts w:eastAsia="Calibri"/>
                <w:lang w:val="en-AU"/>
              </w:rPr>
              <w:t>Amend the Building Act to provide for digital building manuals for all buildings</w:t>
            </w:r>
          </w:p>
        </w:tc>
      </w:tr>
    </w:tbl>
    <w:p w14:paraId="661BED03" w14:textId="77777777" w:rsidR="004E7946" w:rsidRDefault="00887EFD" w:rsidP="00604DE8">
      <w:pPr>
        <w:pStyle w:val="BodyText"/>
      </w:pPr>
      <w:r w:rsidRPr="003F2587">
        <w:t>It should be noted that the above proposed reforms do not represent the government’s policy position at this time. The purpose of the CRIS is to seek feedback on proposals for reform and all the feedback and information gathered through this consultation process and will be analysed to inform a DRIS recommending a final policy position. The Government will then decide which reforms to adopt, based on the feedback from industry and the community.</w:t>
      </w:r>
    </w:p>
    <w:p w14:paraId="191B7661" w14:textId="77777777" w:rsidR="00604DE8" w:rsidRDefault="00604DE8">
      <w:pPr>
        <w:widowControl/>
        <w:autoSpaceDE/>
        <w:autoSpaceDN/>
        <w:spacing w:after="160" w:line="259" w:lineRule="auto"/>
        <w:rPr>
          <w:b/>
          <w:sz w:val="24"/>
          <w:szCs w:val="24"/>
        </w:rPr>
      </w:pPr>
      <w:r>
        <w:br w:type="page"/>
      </w:r>
    </w:p>
    <w:p w14:paraId="58606FD1" w14:textId="5F71501E" w:rsidR="00887EFD" w:rsidRPr="00FE0453" w:rsidRDefault="00887EFD" w:rsidP="00604DE8">
      <w:pPr>
        <w:pStyle w:val="Heading3"/>
      </w:pPr>
      <w:r w:rsidRPr="00FE0453">
        <w:lastRenderedPageBreak/>
        <w:t>Review of registration requirements for the building industry</w:t>
      </w:r>
    </w:p>
    <w:p w14:paraId="06AE9C11" w14:textId="77777777" w:rsidR="00887EFD" w:rsidRPr="003F2587" w:rsidRDefault="00887EFD" w:rsidP="00604DE8">
      <w:pPr>
        <w:pStyle w:val="BodyText"/>
      </w:pPr>
      <w:r w:rsidRPr="003F2587">
        <w:t>The</w:t>
      </w:r>
      <w:r w:rsidRPr="003F2587">
        <w:rPr>
          <w:spacing w:val="-10"/>
        </w:rPr>
        <w:t xml:space="preserve"> </w:t>
      </w:r>
      <w:r w:rsidRPr="003F2587">
        <w:t>BCR</w:t>
      </w:r>
      <w:r w:rsidRPr="003F2587">
        <w:rPr>
          <w:spacing w:val="-10"/>
        </w:rPr>
        <w:t xml:space="preserve"> </w:t>
      </w:r>
      <w:r w:rsidRPr="003F2587">
        <w:t>has</w:t>
      </w:r>
      <w:r w:rsidRPr="003F2587">
        <w:rPr>
          <w:spacing w:val="-9"/>
        </w:rPr>
        <w:t xml:space="preserve"> </w:t>
      </w:r>
      <w:r w:rsidRPr="003F2587">
        <w:t>proposed</w:t>
      </w:r>
      <w:r w:rsidRPr="003F2587">
        <w:rPr>
          <w:spacing w:val="-10"/>
        </w:rPr>
        <w:t xml:space="preserve"> </w:t>
      </w:r>
      <w:r w:rsidRPr="003F2587">
        <w:t>extensive</w:t>
      </w:r>
      <w:r w:rsidRPr="003F2587">
        <w:rPr>
          <w:spacing w:val="-10"/>
        </w:rPr>
        <w:t xml:space="preserve"> </w:t>
      </w:r>
      <w:r w:rsidRPr="003F2587">
        <w:t>changes</w:t>
      </w:r>
      <w:r w:rsidRPr="003F2587">
        <w:rPr>
          <w:spacing w:val="-12"/>
        </w:rPr>
        <w:t xml:space="preserve"> </w:t>
      </w:r>
      <w:r w:rsidRPr="003F2587">
        <w:t>to</w:t>
      </w:r>
      <w:r w:rsidRPr="003F2587">
        <w:rPr>
          <w:spacing w:val="-10"/>
        </w:rPr>
        <w:t xml:space="preserve"> </w:t>
      </w:r>
      <w:r w:rsidRPr="003F2587">
        <w:t>registration</w:t>
      </w:r>
      <w:r w:rsidRPr="003F2587">
        <w:rPr>
          <w:spacing w:val="-10"/>
        </w:rPr>
        <w:t xml:space="preserve"> </w:t>
      </w:r>
      <w:r w:rsidRPr="003F2587">
        <w:t>requirements</w:t>
      </w:r>
      <w:r w:rsidRPr="003F2587">
        <w:rPr>
          <w:spacing w:val="-12"/>
        </w:rPr>
        <w:t xml:space="preserve"> </w:t>
      </w:r>
      <w:r w:rsidRPr="003F2587">
        <w:t>for</w:t>
      </w:r>
      <w:r w:rsidRPr="003F2587">
        <w:rPr>
          <w:spacing w:val="-14"/>
        </w:rPr>
        <w:t xml:space="preserve"> </w:t>
      </w:r>
      <w:r w:rsidRPr="003F2587">
        <w:t>a</w:t>
      </w:r>
      <w:r w:rsidRPr="003F2587">
        <w:rPr>
          <w:spacing w:val="-10"/>
        </w:rPr>
        <w:t xml:space="preserve"> </w:t>
      </w:r>
      <w:r w:rsidRPr="003F2587">
        <w:t>range</w:t>
      </w:r>
      <w:r w:rsidRPr="003F2587">
        <w:rPr>
          <w:spacing w:val="-10"/>
        </w:rPr>
        <w:t xml:space="preserve"> </w:t>
      </w:r>
      <w:r w:rsidRPr="003F2587">
        <w:t>of</w:t>
      </w:r>
      <w:r w:rsidRPr="003F2587">
        <w:rPr>
          <w:spacing w:val="-8"/>
        </w:rPr>
        <w:t xml:space="preserve"> </w:t>
      </w:r>
      <w:r w:rsidRPr="003F2587">
        <w:t>occupations. Western Australia has commenced a two-stage review which will consider the BCR recommendations and also examine the current registration requirements for registered building practitioners.</w:t>
      </w:r>
    </w:p>
    <w:p w14:paraId="73A5E44E" w14:textId="77777777" w:rsidR="00887EFD" w:rsidRPr="003F2587" w:rsidRDefault="00887EFD" w:rsidP="00604DE8">
      <w:pPr>
        <w:pStyle w:val="BodyText"/>
        <w:numPr>
          <w:ilvl w:val="0"/>
          <w:numId w:val="17"/>
        </w:numPr>
      </w:pPr>
      <w:r w:rsidRPr="003F2587">
        <w:t xml:space="preserve">Stage 1 will review registration requirements for builders, building-related engineers and fire safety practitioners.  </w:t>
      </w:r>
    </w:p>
    <w:p w14:paraId="3E348404" w14:textId="77777777" w:rsidR="00887EFD" w:rsidRPr="003F2587" w:rsidRDefault="00887EFD" w:rsidP="00604DE8">
      <w:pPr>
        <w:pStyle w:val="BodyText"/>
        <w:numPr>
          <w:ilvl w:val="0"/>
          <w:numId w:val="17"/>
        </w:numPr>
      </w:pPr>
      <w:r w:rsidRPr="003F2587">
        <w:t>Stage 2 will consider the introduction of registration of building designers and changes for architects, as well as examining the registration requirements for building surveyors.</w:t>
      </w:r>
    </w:p>
    <w:p w14:paraId="7FB954B5" w14:textId="743EF993" w:rsidR="00887EFD" w:rsidRPr="003F2587" w:rsidRDefault="00887EFD" w:rsidP="00604DE8">
      <w:pPr>
        <w:pStyle w:val="BodyText"/>
      </w:pPr>
      <w:r w:rsidRPr="00F93C05">
        <w:t xml:space="preserve">It is anticipated consultation on the Stage 1 reform to registration requirements will begin during the first </w:t>
      </w:r>
      <w:r w:rsidR="00F93C05">
        <w:t>q</w:t>
      </w:r>
      <w:r w:rsidRPr="00F93C05">
        <w:t>uarter of 2020.</w:t>
      </w:r>
    </w:p>
    <w:p w14:paraId="03F399FF" w14:textId="77777777" w:rsidR="00887EFD" w:rsidRDefault="00887EFD" w:rsidP="00604DE8">
      <w:pPr>
        <w:pStyle w:val="BodyText"/>
      </w:pPr>
      <w:r w:rsidRPr="003F2587">
        <w:t>The purpose of the CRIS is to seek feedback on proposals for reform and all the feedback and information gathered through this consultation process and will be analysed to inform a DRIS recommending a final policy position.</w:t>
      </w:r>
    </w:p>
    <w:p w14:paraId="33677107" w14:textId="77777777" w:rsidR="00887EFD" w:rsidRDefault="00887EFD" w:rsidP="00604DE8">
      <w:pPr>
        <w:pStyle w:val="BodyText"/>
        <w:sectPr w:rsidR="00887EFD" w:rsidSect="006F62C1">
          <w:pgSz w:w="11910" w:h="16840"/>
          <w:pgMar w:top="1040" w:right="711" w:bottom="700" w:left="980" w:header="764" w:footer="505" w:gutter="0"/>
          <w:cols w:space="720"/>
        </w:sectPr>
      </w:pPr>
    </w:p>
    <w:p w14:paraId="2267E586" w14:textId="525F15AA" w:rsidR="00FF4A2C" w:rsidRPr="00604DE8" w:rsidRDefault="00FF4A2C" w:rsidP="00604DE8">
      <w:pPr>
        <w:pStyle w:val="Heading1"/>
      </w:pPr>
      <w:bookmarkStart w:id="11" w:name="_Toc27738656"/>
      <w:r w:rsidRPr="00604DE8">
        <w:lastRenderedPageBreak/>
        <w:t>South Australia</w:t>
      </w:r>
      <w:bookmarkEnd w:id="11"/>
    </w:p>
    <w:p w14:paraId="06DD0034" w14:textId="6558599D" w:rsidR="00FF4A2C" w:rsidRPr="00604DE8" w:rsidRDefault="00FF4A2C" w:rsidP="00604DE8">
      <w:pPr>
        <w:pStyle w:val="Heading2"/>
      </w:pPr>
      <w:r w:rsidRPr="00604DE8">
        <w:t xml:space="preserve">Update </w:t>
      </w:r>
      <w:r w:rsidR="006E73C7" w:rsidRPr="00604DE8">
        <w:t>o</w:t>
      </w:r>
      <w:r w:rsidRPr="00604DE8">
        <w:t>verview</w:t>
      </w:r>
    </w:p>
    <w:p w14:paraId="675D790B" w14:textId="77777777" w:rsidR="00FF4A2C" w:rsidRDefault="00FF4A2C" w:rsidP="0032060F">
      <w:pPr>
        <w:pStyle w:val="BodyText"/>
      </w:pPr>
      <w:r>
        <w:t>The South Australian Government is committed to ensuring that the built environment is safe, healthy and liveable for all South Australians now and into the future. The safety of building occupants is the top priority, which is why South Australia is continuing to audit buildings that may be clad with aluminium composite panels, has adopted legislation aimed at improving practitioner accountability and is developing a risk-based proactive inspection regime.</w:t>
      </w:r>
    </w:p>
    <w:p w14:paraId="07F99702" w14:textId="092833D1" w:rsidR="00FF4A2C" w:rsidRPr="003F2587" w:rsidRDefault="00FF4A2C" w:rsidP="0032060F">
      <w:pPr>
        <w:pStyle w:val="BodyText"/>
      </w:pPr>
      <w:r>
        <w:t xml:space="preserve">These measures, along with a number of other complementary measures outlined below, form the basis of South Australia’s ongoing response to </w:t>
      </w:r>
      <w:r w:rsidR="00971146">
        <w:t>the BCR</w:t>
      </w:r>
      <w:r>
        <w:t xml:space="preserve"> and build upon recent reforms such as the </w:t>
      </w:r>
      <w:r>
        <w:rPr>
          <w:i/>
        </w:rPr>
        <w:t>Development (Building Cladding) Variation Regulations 2018</w:t>
      </w:r>
      <w:r>
        <w:t>, which address shortfalls with building documentation, notifications prior to building work commencing and the substitution of building products</w:t>
      </w:r>
      <w:r w:rsidR="004C6293" w:rsidRPr="003F2587">
        <w:t>, in relation to cladding products</w:t>
      </w:r>
      <w:r w:rsidRPr="003F2587">
        <w:t>.</w:t>
      </w:r>
    </w:p>
    <w:p w14:paraId="0D22CC72" w14:textId="77777777" w:rsidR="00FF4A2C" w:rsidRDefault="00FF4A2C" w:rsidP="0032060F">
      <w:pPr>
        <w:pStyle w:val="BodyText"/>
      </w:pPr>
      <w:r w:rsidRPr="003F2587">
        <w:t>The South Australian Government will continue</w:t>
      </w:r>
      <w:r>
        <w:t xml:space="preserve"> to work closely with other jurisdictions to promote best practice across all Australian states and territories.</w:t>
      </w:r>
    </w:p>
    <w:p w14:paraId="0B09E50B" w14:textId="77777777" w:rsidR="00FF4A2C" w:rsidRPr="006E73C7" w:rsidRDefault="00FF4A2C" w:rsidP="006E73C7">
      <w:pPr>
        <w:pStyle w:val="Heading2"/>
      </w:pPr>
      <w:r w:rsidRPr="006E73C7">
        <w:t>Reforms underway</w:t>
      </w:r>
    </w:p>
    <w:p w14:paraId="15A4903F" w14:textId="77777777" w:rsidR="00FF4A2C" w:rsidRPr="00310A44" w:rsidRDefault="00FF4A2C" w:rsidP="00604DE8">
      <w:pPr>
        <w:pStyle w:val="Heading3"/>
      </w:pPr>
      <w:r w:rsidRPr="00310A44">
        <w:t>Improved building controls to deliver a safe, high-quality built environment</w:t>
      </w:r>
    </w:p>
    <w:p w14:paraId="653E6BAB" w14:textId="77777777" w:rsidR="00FF4A2C" w:rsidRDefault="00FF4A2C" w:rsidP="0032060F">
      <w:pPr>
        <w:pStyle w:val="BodyText"/>
      </w:pPr>
      <w:r>
        <w:t xml:space="preserve">The new </w:t>
      </w:r>
      <w:r>
        <w:rPr>
          <w:i/>
        </w:rPr>
        <w:t xml:space="preserve">Planning, Development and Infrastructure Act 2016 </w:t>
      </w:r>
      <w:r>
        <w:t>(PDI Act) introduces changes to the way that building and construction is undertaken in South Australia and aims to ensure that the standards of assessment and compliance activity undertaken by practitioners in the building sector are improved.</w:t>
      </w:r>
    </w:p>
    <w:p w14:paraId="26B57476" w14:textId="77777777" w:rsidR="00FF4A2C" w:rsidRPr="00310A44" w:rsidRDefault="00FF4A2C" w:rsidP="00604DE8">
      <w:pPr>
        <w:pStyle w:val="Heading3"/>
      </w:pPr>
      <w:r>
        <w:t>A new accredited professionals scheme</w:t>
      </w:r>
    </w:p>
    <w:p w14:paraId="1A419794" w14:textId="77777777" w:rsidR="000B238D" w:rsidRPr="003F2587" w:rsidRDefault="000B238D" w:rsidP="0032060F">
      <w:pPr>
        <w:pStyle w:val="BodyText"/>
      </w:pPr>
      <w:r w:rsidRPr="003F2587">
        <w:t>On 1 April 2019, a new accredited professionals scheme commenced in South Australia. The new Scheme aims to improve the accountability of decision-makers in the development system and will ensure that decision-makers are appropriately qualified to make key decisions and that a high standard of ethical conduct and professionalism is met. An improved code of conduct—which builds on the existing ICAC provisions—will provide an additional integrity threshold.</w:t>
      </w:r>
    </w:p>
    <w:p w14:paraId="6160D1E5" w14:textId="77777777" w:rsidR="000B238D" w:rsidRPr="003F2587" w:rsidRDefault="000B238D" w:rsidP="0032060F">
      <w:pPr>
        <w:pStyle w:val="BodyText"/>
      </w:pPr>
      <w:r w:rsidRPr="003F2587">
        <w:t>Under the new Scheme, building professionals who are involved in assessing development applications are expected to maintain minimum standards of professional practice, hold all necessary insurance, comply with an improved code of conduct, be subject to regular audit, and undertake specified units of continuing professional</w:t>
      </w:r>
      <w:r w:rsidRPr="003F2587">
        <w:rPr>
          <w:spacing w:val="-36"/>
        </w:rPr>
        <w:t xml:space="preserve"> </w:t>
      </w:r>
      <w:r w:rsidRPr="003F2587">
        <w:t>development. The new Scheme also includes revised procedures for complaints and investigations.</w:t>
      </w:r>
    </w:p>
    <w:p w14:paraId="5A6122D2" w14:textId="77777777" w:rsidR="000B238D" w:rsidRPr="003F2587" w:rsidRDefault="000B238D" w:rsidP="0032060F">
      <w:pPr>
        <w:pStyle w:val="BodyText"/>
      </w:pPr>
      <w:r w:rsidRPr="003F2587">
        <w:t>Approximately half of South Australia’s building certifiers have transitioned to the new Scheme, and continue to be transitioned prior the full commencement of the PDI Act.</w:t>
      </w:r>
    </w:p>
    <w:p w14:paraId="5B81A9F4" w14:textId="77777777" w:rsidR="00FF4A2C" w:rsidRPr="00310A44" w:rsidRDefault="00FF4A2C" w:rsidP="00604DE8">
      <w:pPr>
        <w:pStyle w:val="Heading3"/>
      </w:pPr>
      <w:r w:rsidRPr="00310A44">
        <w:t>Revision of building regulations</w:t>
      </w:r>
    </w:p>
    <w:p w14:paraId="1861E36A" w14:textId="77777777" w:rsidR="001F4BAB" w:rsidRPr="00AA523D" w:rsidRDefault="001F4BAB" w:rsidP="00604DE8">
      <w:pPr>
        <w:pStyle w:val="BodyText"/>
      </w:pPr>
      <w:r w:rsidRPr="003F2587">
        <w:t xml:space="preserve">In June 2019 the draft </w:t>
      </w:r>
      <w:r w:rsidRPr="003F2587">
        <w:rPr>
          <w:i/>
        </w:rPr>
        <w:t xml:space="preserve">Planning, Development and Infrastructure (General) (Development Assessment) Variation Regulations 2019 </w:t>
      </w:r>
      <w:r w:rsidRPr="003F2587">
        <w:t xml:space="preserve">were approved. These Regulations broadly set out the operational requirements for the development assessment system in South </w:t>
      </w:r>
      <w:r w:rsidRPr="000D2015">
        <w:t>Australia.</w:t>
      </w:r>
    </w:p>
    <w:p w14:paraId="7A73E825" w14:textId="77777777" w:rsidR="006E73C7" w:rsidRDefault="00FF4A2C" w:rsidP="00604DE8">
      <w:pPr>
        <w:pStyle w:val="BodyText"/>
      </w:pPr>
      <w:r>
        <w:lastRenderedPageBreak/>
        <w:t xml:space="preserve">The Regulations will be amended by way of a staged process, with the initial draft changes aimed at addressing regulatory gaps and clarifying the roles and responsibilities of parties to an application. </w:t>
      </w:r>
    </w:p>
    <w:p w14:paraId="7E5E10F4" w14:textId="0E46B2D6" w:rsidR="00FF4A2C" w:rsidRDefault="00FF4A2C" w:rsidP="00604DE8">
      <w:pPr>
        <w:pStyle w:val="BodyText"/>
      </w:pPr>
      <w:r>
        <w:t>Proposed changes include:</w:t>
      </w:r>
    </w:p>
    <w:p w14:paraId="79BD4A5C" w14:textId="77777777" w:rsidR="00FF4A2C" w:rsidRDefault="00FF4A2C" w:rsidP="00677EB0">
      <w:pPr>
        <w:pStyle w:val="ListParagraph"/>
        <w:numPr>
          <w:ilvl w:val="0"/>
          <w:numId w:val="4"/>
        </w:numPr>
        <w:tabs>
          <w:tab w:val="left" w:pos="152"/>
        </w:tabs>
        <w:spacing w:before="161" w:line="256" w:lineRule="auto"/>
        <w:ind w:left="512" w:right="625" w:hanging="360"/>
      </w:pPr>
      <w:r>
        <w:t>additional expiation fines and increased penalties for failure to provide mandatory notifications, essential safety provisions and Statements of</w:t>
      </w:r>
      <w:r>
        <w:rPr>
          <w:spacing w:val="-22"/>
        </w:rPr>
        <w:t xml:space="preserve"> </w:t>
      </w:r>
      <w:r>
        <w:t>Compliance</w:t>
      </w:r>
    </w:p>
    <w:p w14:paraId="6DDAB703" w14:textId="77777777" w:rsidR="00FF4A2C" w:rsidRDefault="00FF4A2C" w:rsidP="00677EB0">
      <w:pPr>
        <w:pStyle w:val="ListParagraph"/>
        <w:numPr>
          <w:ilvl w:val="0"/>
          <w:numId w:val="4"/>
        </w:numPr>
        <w:tabs>
          <w:tab w:val="left" w:pos="152"/>
        </w:tabs>
        <w:spacing w:before="0"/>
        <w:ind w:left="512" w:hanging="360"/>
      </w:pPr>
      <w:r>
        <w:t>a Certificate of Occupancy for new</w:t>
      </w:r>
      <w:r>
        <w:rPr>
          <w:spacing w:val="-15"/>
        </w:rPr>
        <w:t xml:space="preserve"> </w:t>
      </w:r>
      <w:r>
        <w:t>houses</w:t>
      </w:r>
    </w:p>
    <w:p w14:paraId="7AABD736" w14:textId="77777777" w:rsidR="00FF4A2C" w:rsidRDefault="00FF4A2C" w:rsidP="00677EB0">
      <w:pPr>
        <w:pStyle w:val="ListParagraph"/>
        <w:numPr>
          <w:ilvl w:val="0"/>
          <w:numId w:val="4"/>
        </w:numPr>
        <w:tabs>
          <w:tab w:val="left" w:pos="152"/>
        </w:tabs>
        <w:spacing w:before="17" w:line="256" w:lineRule="auto"/>
        <w:ind w:left="512" w:right="231" w:hanging="360"/>
      </w:pPr>
      <w:r>
        <w:t>requirements for applications to provide comprehensive detail about the owner, the builder and the private certifier prior to the application</w:t>
      </w:r>
      <w:r>
        <w:rPr>
          <w:spacing w:val="-24"/>
        </w:rPr>
        <w:t xml:space="preserve"> </w:t>
      </w:r>
      <w:r>
        <w:t>progressing.</w:t>
      </w:r>
    </w:p>
    <w:p w14:paraId="2D6C2CD4" w14:textId="77777777" w:rsidR="00FF4A2C" w:rsidRPr="006E73C7" w:rsidRDefault="00FF4A2C" w:rsidP="006E73C7">
      <w:pPr>
        <w:pStyle w:val="Heading2"/>
      </w:pPr>
      <w:r w:rsidRPr="006E73C7">
        <w:t>Planned reforms</w:t>
      </w:r>
    </w:p>
    <w:p w14:paraId="2A007E62" w14:textId="77777777" w:rsidR="00FF4A2C" w:rsidRPr="00310A44" w:rsidRDefault="00FF4A2C" w:rsidP="00604DE8">
      <w:pPr>
        <w:pStyle w:val="Heading3"/>
      </w:pPr>
      <w:r w:rsidRPr="00310A44">
        <w:t>Creation of new Council inspection policies</w:t>
      </w:r>
    </w:p>
    <w:p w14:paraId="6FFD465F" w14:textId="21B51397" w:rsidR="00FF4A2C" w:rsidRDefault="00D03B79" w:rsidP="0032060F">
      <w:pPr>
        <w:pStyle w:val="BodyText"/>
      </w:pPr>
      <w:r w:rsidRPr="003F2587">
        <w:t xml:space="preserve">A state-wide Council inspection policy has been developed by the State Planning Commission to ensure a more consistent and increased level of compliance across the State. This will build on existing requirements to inspect swimming pool safety barriers and roof trusses. </w:t>
      </w:r>
      <w:r w:rsidR="00F93C05" w:rsidRPr="00F93C05">
        <w:t xml:space="preserve">Following </w:t>
      </w:r>
      <w:r w:rsidRPr="00F93C05">
        <w:t>public consultation,</w:t>
      </w:r>
      <w:r w:rsidRPr="003F2587">
        <w:t xml:space="preserve"> the approved policy </w:t>
      </w:r>
      <w:r w:rsidR="00F93C05">
        <w:t xml:space="preserve">will be </w:t>
      </w:r>
      <w:r w:rsidRPr="003F2587">
        <w:t>in place by July 2020.</w:t>
      </w:r>
    </w:p>
    <w:p w14:paraId="6281A35F" w14:textId="77777777" w:rsidR="00FF4A2C" w:rsidRPr="00310A44" w:rsidRDefault="00FF4A2C" w:rsidP="00604DE8">
      <w:pPr>
        <w:pStyle w:val="Heading3"/>
      </w:pPr>
      <w:r w:rsidRPr="00310A44">
        <w:t>Accreditation of additional building professionals</w:t>
      </w:r>
    </w:p>
    <w:p w14:paraId="22654CE7" w14:textId="77777777" w:rsidR="00FF4A2C" w:rsidRDefault="00FF4A2C" w:rsidP="0032060F">
      <w:pPr>
        <w:pStyle w:val="BodyText"/>
      </w:pPr>
      <w:r>
        <w:t>Further consideration will be given to the role that engineers and fire safety practitioners should play in the design, assessment, inspection and sign-off of buildings, particularly buildings with a high-risk occupancy profile. This will build on existing requirements for sprinkler installers to be licensed with Consumer and Business Services.</w:t>
      </w:r>
    </w:p>
    <w:p w14:paraId="23440825" w14:textId="77777777" w:rsidR="00FF4A2C" w:rsidRDefault="00FF4A2C" w:rsidP="00604DE8">
      <w:pPr>
        <w:pStyle w:val="Heading3"/>
      </w:pPr>
      <w:r>
        <w:t>Revision of building regulations</w:t>
      </w:r>
    </w:p>
    <w:p w14:paraId="03F93F33" w14:textId="77777777" w:rsidR="00FF4A2C" w:rsidRDefault="00FF4A2C" w:rsidP="0032060F">
      <w:pPr>
        <w:pStyle w:val="BodyText"/>
      </w:pPr>
      <w:r>
        <w:t>Further regulatory reforms will focus on:</w:t>
      </w:r>
    </w:p>
    <w:p w14:paraId="0BFA2D25" w14:textId="77777777" w:rsidR="00FF4A2C" w:rsidRDefault="00FF4A2C" w:rsidP="00677EB0">
      <w:pPr>
        <w:pStyle w:val="ListParagraph"/>
        <w:numPr>
          <w:ilvl w:val="0"/>
          <w:numId w:val="4"/>
        </w:numPr>
        <w:spacing w:before="180"/>
        <w:ind w:left="580"/>
      </w:pPr>
      <w:r>
        <w:t>prescribing documentation that must be submitted to justify performance-based</w:t>
      </w:r>
      <w:r>
        <w:rPr>
          <w:spacing w:val="-41"/>
        </w:rPr>
        <w:t xml:space="preserve"> </w:t>
      </w:r>
      <w:r>
        <w:t>solutions</w:t>
      </w:r>
    </w:p>
    <w:p w14:paraId="17A29EF7" w14:textId="77777777" w:rsidR="00FF4A2C" w:rsidRDefault="00FF4A2C" w:rsidP="00677EB0">
      <w:pPr>
        <w:pStyle w:val="ListParagraph"/>
        <w:numPr>
          <w:ilvl w:val="0"/>
          <w:numId w:val="4"/>
        </w:numPr>
        <w:spacing w:before="138"/>
        <w:ind w:left="580"/>
      </w:pPr>
      <w:r>
        <w:t>greater clarity about post-approval processes and</w:t>
      </w:r>
      <w:r>
        <w:rPr>
          <w:spacing w:val="-28"/>
        </w:rPr>
        <w:t xml:space="preserve"> </w:t>
      </w:r>
      <w:r>
        <w:t>responsibilities.</w:t>
      </w:r>
    </w:p>
    <w:p w14:paraId="54B917E3" w14:textId="77777777" w:rsidR="00FF4A2C" w:rsidRDefault="00FF4A2C" w:rsidP="00604DE8">
      <w:pPr>
        <w:pStyle w:val="Heading3"/>
      </w:pPr>
      <w:r>
        <w:t>Delivery of the state-wide ePlanning platform for development assessment</w:t>
      </w:r>
    </w:p>
    <w:p w14:paraId="5BD6351B" w14:textId="3ABD4C6A" w:rsidR="00A847BD" w:rsidRDefault="00A847BD" w:rsidP="0032060F">
      <w:pPr>
        <w:pStyle w:val="BodyText"/>
      </w:pPr>
      <w:r w:rsidRPr="003F2587">
        <w:t>South Australia will move to a system where all development applications across the State will be lodged via the SA Planning Portal. The portal will become the ‘one-stop-shop’ for building practitioner registration, building approvals and building inspection records. All Ministerial Building Standards, building regulations and council inspection policies will also be housed on the SA Planning Portal.</w:t>
      </w:r>
    </w:p>
    <w:p w14:paraId="43C03E40" w14:textId="77777777" w:rsidR="00FF4A2C" w:rsidRDefault="00FF4A2C" w:rsidP="0032060F">
      <w:pPr>
        <w:pStyle w:val="BodyText"/>
        <w:rPr>
          <w:sz w:val="24"/>
        </w:rPr>
      </w:pPr>
      <w:r>
        <w:t>Improved monitoring and reporting through new performance indicators will be part of the ePlanning platform, which will provide improved transparency around the effectiveness of the building system and the ability to monitor policy and practitioner trends.</w:t>
      </w:r>
    </w:p>
    <w:p w14:paraId="57C70361" w14:textId="77777777" w:rsidR="00604DE8" w:rsidRDefault="00604DE8">
      <w:pPr>
        <w:widowControl/>
        <w:autoSpaceDE/>
        <w:autoSpaceDN/>
        <w:spacing w:after="160" w:line="259" w:lineRule="auto"/>
        <w:rPr>
          <w:color w:val="00283D"/>
          <w:sz w:val="34"/>
          <w:szCs w:val="34"/>
        </w:rPr>
      </w:pPr>
      <w:r>
        <w:rPr>
          <w:color w:val="00283D"/>
        </w:rPr>
        <w:br w:type="page"/>
      </w:r>
    </w:p>
    <w:p w14:paraId="28B9BEC5" w14:textId="08D99607" w:rsidR="00FF4A2C" w:rsidRDefault="00FF4A2C" w:rsidP="00604DE8">
      <w:pPr>
        <w:pStyle w:val="Heading2"/>
        <w:spacing w:before="89"/>
        <w:ind w:left="-142"/>
      </w:pPr>
      <w:r>
        <w:rPr>
          <w:color w:val="00283D"/>
        </w:rPr>
        <w:lastRenderedPageBreak/>
        <w:t>Timeframes</w:t>
      </w:r>
    </w:p>
    <w:tbl>
      <w:tblPr>
        <w:tblW w:w="10307" w:type="dxa"/>
        <w:tblInd w:w="-147"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5339"/>
        <w:gridCol w:w="2693"/>
        <w:gridCol w:w="2275"/>
      </w:tblGrid>
      <w:tr w:rsidR="00FF4A2C" w14:paraId="37C9DEDA" w14:textId="77777777" w:rsidTr="006E2330">
        <w:trPr>
          <w:trHeight w:hRule="exact" w:val="561"/>
        </w:trPr>
        <w:tc>
          <w:tcPr>
            <w:tcW w:w="5339" w:type="dxa"/>
            <w:shd w:val="clear" w:color="auto" w:fill="005577"/>
          </w:tcPr>
          <w:p w14:paraId="78D85CB6" w14:textId="77777777" w:rsidR="00FF4A2C" w:rsidRDefault="00FF4A2C" w:rsidP="00A87137">
            <w:pPr>
              <w:pStyle w:val="TableParagraph"/>
              <w:spacing w:before="158"/>
              <w:ind w:left="2144" w:right="2144"/>
              <w:jc w:val="center"/>
              <w:rPr>
                <w:b/>
                <w:sz w:val="20"/>
              </w:rPr>
            </w:pPr>
            <w:r>
              <w:rPr>
                <w:b/>
                <w:color w:val="FFFFFF"/>
                <w:sz w:val="20"/>
              </w:rPr>
              <w:t>Reform</w:t>
            </w:r>
          </w:p>
        </w:tc>
        <w:tc>
          <w:tcPr>
            <w:tcW w:w="2693" w:type="dxa"/>
            <w:shd w:val="clear" w:color="auto" w:fill="005577"/>
          </w:tcPr>
          <w:p w14:paraId="1F69A775" w14:textId="77777777" w:rsidR="00FF4A2C" w:rsidRDefault="00FF4A2C" w:rsidP="00A87137">
            <w:pPr>
              <w:pStyle w:val="TableParagraph"/>
              <w:spacing w:before="43"/>
              <w:ind w:left="535" w:firstLine="273"/>
              <w:rPr>
                <w:b/>
                <w:sz w:val="20"/>
              </w:rPr>
            </w:pPr>
            <w:r>
              <w:rPr>
                <w:b/>
                <w:color w:val="FFFFFF"/>
                <w:sz w:val="20"/>
              </w:rPr>
              <w:t xml:space="preserve">Associated </w:t>
            </w:r>
            <w:r>
              <w:rPr>
                <w:b/>
                <w:color w:val="FFFFFF"/>
                <w:w w:val="95"/>
                <w:sz w:val="20"/>
              </w:rPr>
              <w:t>recommendation</w:t>
            </w:r>
          </w:p>
        </w:tc>
        <w:tc>
          <w:tcPr>
            <w:tcW w:w="2275" w:type="dxa"/>
            <w:shd w:val="clear" w:color="auto" w:fill="005577"/>
          </w:tcPr>
          <w:p w14:paraId="3349F85D" w14:textId="77777777" w:rsidR="00FF4A2C" w:rsidRDefault="00FF4A2C" w:rsidP="00A87137">
            <w:pPr>
              <w:pStyle w:val="TableParagraph"/>
              <w:spacing w:before="158"/>
              <w:ind w:left="146" w:right="144"/>
              <w:jc w:val="center"/>
              <w:rPr>
                <w:b/>
                <w:sz w:val="20"/>
              </w:rPr>
            </w:pPr>
            <w:r>
              <w:rPr>
                <w:b/>
                <w:color w:val="FFFFFF"/>
                <w:sz w:val="20"/>
              </w:rPr>
              <w:t>Timeframe</w:t>
            </w:r>
          </w:p>
        </w:tc>
      </w:tr>
      <w:tr w:rsidR="00FF4A2C" w14:paraId="74ADC1AB" w14:textId="77777777" w:rsidTr="006E2330">
        <w:trPr>
          <w:trHeight w:hRule="exact" w:val="519"/>
        </w:trPr>
        <w:tc>
          <w:tcPr>
            <w:tcW w:w="5339" w:type="dxa"/>
            <w:shd w:val="clear" w:color="auto" w:fill="F1F1F1"/>
          </w:tcPr>
          <w:p w14:paraId="56772D95" w14:textId="77777777" w:rsidR="00FF4A2C" w:rsidRDefault="00FF4A2C" w:rsidP="00A87137">
            <w:pPr>
              <w:pStyle w:val="TableParagraph"/>
              <w:spacing w:before="139"/>
              <w:ind w:left="104"/>
              <w:rPr>
                <w:sz w:val="20"/>
              </w:rPr>
            </w:pPr>
            <w:r>
              <w:rPr>
                <w:sz w:val="20"/>
              </w:rPr>
              <w:t>Accredited professionals scheme</w:t>
            </w:r>
          </w:p>
        </w:tc>
        <w:tc>
          <w:tcPr>
            <w:tcW w:w="2693" w:type="dxa"/>
          </w:tcPr>
          <w:p w14:paraId="351C858C" w14:textId="77777777" w:rsidR="00FF4A2C" w:rsidRDefault="00FF4A2C" w:rsidP="00A87137">
            <w:pPr>
              <w:pStyle w:val="TableParagraph"/>
              <w:spacing w:before="139"/>
              <w:ind w:left="153" w:right="155"/>
              <w:jc w:val="center"/>
              <w:rPr>
                <w:sz w:val="20"/>
              </w:rPr>
            </w:pPr>
            <w:r>
              <w:rPr>
                <w:sz w:val="20"/>
              </w:rPr>
              <w:t>1, 2, 3, 4, 9, 10, 13, 17, 19</w:t>
            </w:r>
          </w:p>
        </w:tc>
        <w:tc>
          <w:tcPr>
            <w:tcW w:w="2275" w:type="dxa"/>
          </w:tcPr>
          <w:p w14:paraId="223C0C3A" w14:textId="77777777" w:rsidR="00FF4A2C" w:rsidRDefault="00FF4A2C" w:rsidP="00A87137">
            <w:pPr>
              <w:pStyle w:val="TableParagraph"/>
              <w:spacing w:before="139"/>
              <w:ind w:left="146" w:right="144"/>
              <w:jc w:val="center"/>
              <w:rPr>
                <w:sz w:val="20"/>
              </w:rPr>
            </w:pPr>
            <w:r>
              <w:rPr>
                <w:sz w:val="20"/>
              </w:rPr>
              <w:t>Medium to long-term</w:t>
            </w:r>
          </w:p>
        </w:tc>
      </w:tr>
      <w:tr w:rsidR="00FF4A2C" w14:paraId="6AED91A4" w14:textId="77777777" w:rsidTr="006E2330">
        <w:trPr>
          <w:trHeight w:hRule="exact" w:val="727"/>
        </w:trPr>
        <w:tc>
          <w:tcPr>
            <w:tcW w:w="5339" w:type="dxa"/>
            <w:shd w:val="clear" w:color="auto" w:fill="F1F1F1"/>
          </w:tcPr>
          <w:p w14:paraId="48EBAA97" w14:textId="77777777" w:rsidR="00FF4A2C" w:rsidRDefault="00FF4A2C" w:rsidP="00A87137">
            <w:pPr>
              <w:pStyle w:val="TableParagraph"/>
              <w:rPr>
                <w:sz w:val="21"/>
              </w:rPr>
            </w:pPr>
          </w:p>
          <w:p w14:paraId="13FC4B3C" w14:textId="77777777" w:rsidR="00FF4A2C" w:rsidRDefault="00FF4A2C" w:rsidP="00A87137">
            <w:pPr>
              <w:pStyle w:val="TableParagraph"/>
              <w:ind w:left="104"/>
              <w:rPr>
                <w:sz w:val="20"/>
              </w:rPr>
            </w:pPr>
            <w:r>
              <w:rPr>
                <w:sz w:val="20"/>
              </w:rPr>
              <w:t>Revision of building regulations</w:t>
            </w:r>
          </w:p>
        </w:tc>
        <w:tc>
          <w:tcPr>
            <w:tcW w:w="2693" w:type="dxa"/>
          </w:tcPr>
          <w:p w14:paraId="50DEF13F" w14:textId="77777777" w:rsidR="00FF4A2C" w:rsidRDefault="00FF4A2C" w:rsidP="00A87137">
            <w:pPr>
              <w:pStyle w:val="TableParagraph"/>
              <w:rPr>
                <w:sz w:val="21"/>
              </w:rPr>
            </w:pPr>
          </w:p>
          <w:p w14:paraId="13D9DD6C" w14:textId="77777777" w:rsidR="00FF4A2C" w:rsidRDefault="00FF4A2C" w:rsidP="00A87137">
            <w:pPr>
              <w:pStyle w:val="TableParagraph"/>
              <w:ind w:left="153" w:right="155"/>
              <w:jc w:val="center"/>
              <w:rPr>
                <w:sz w:val="20"/>
              </w:rPr>
            </w:pPr>
            <w:r>
              <w:rPr>
                <w:sz w:val="20"/>
              </w:rPr>
              <w:t>5, 8, 14, 15, 16, 20</w:t>
            </w:r>
          </w:p>
        </w:tc>
        <w:tc>
          <w:tcPr>
            <w:tcW w:w="2275" w:type="dxa"/>
          </w:tcPr>
          <w:p w14:paraId="2810426A" w14:textId="77777777" w:rsidR="00FF4A2C" w:rsidRDefault="00FF4A2C" w:rsidP="00A87137">
            <w:pPr>
              <w:pStyle w:val="TableParagraph"/>
              <w:rPr>
                <w:sz w:val="21"/>
              </w:rPr>
            </w:pPr>
          </w:p>
          <w:p w14:paraId="12D0AF9B" w14:textId="77777777" w:rsidR="00FF4A2C" w:rsidRDefault="00FF4A2C" w:rsidP="00A87137">
            <w:pPr>
              <w:pStyle w:val="TableParagraph"/>
              <w:ind w:left="146" w:right="144"/>
              <w:jc w:val="center"/>
              <w:rPr>
                <w:sz w:val="20"/>
              </w:rPr>
            </w:pPr>
            <w:r>
              <w:rPr>
                <w:sz w:val="20"/>
              </w:rPr>
              <w:t>Short to medium-term</w:t>
            </w:r>
          </w:p>
        </w:tc>
      </w:tr>
      <w:tr w:rsidR="00FF4A2C" w14:paraId="124F05B7" w14:textId="77777777" w:rsidTr="006E2330">
        <w:trPr>
          <w:trHeight w:hRule="exact" w:val="518"/>
        </w:trPr>
        <w:tc>
          <w:tcPr>
            <w:tcW w:w="5339" w:type="dxa"/>
            <w:shd w:val="clear" w:color="auto" w:fill="F1F1F1"/>
          </w:tcPr>
          <w:p w14:paraId="36F93398" w14:textId="77777777" w:rsidR="00FF4A2C" w:rsidRDefault="00FF4A2C" w:rsidP="00A87137">
            <w:pPr>
              <w:pStyle w:val="TableParagraph"/>
              <w:spacing w:before="136"/>
              <w:ind w:left="104"/>
              <w:rPr>
                <w:sz w:val="20"/>
              </w:rPr>
            </w:pPr>
            <w:r>
              <w:rPr>
                <w:sz w:val="20"/>
              </w:rPr>
              <w:t>Creation of new Council inspection policies</w:t>
            </w:r>
          </w:p>
        </w:tc>
        <w:tc>
          <w:tcPr>
            <w:tcW w:w="2693" w:type="dxa"/>
          </w:tcPr>
          <w:p w14:paraId="113D212B" w14:textId="77777777" w:rsidR="00FF4A2C" w:rsidRDefault="00FF4A2C" w:rsidP="00A87137">
            <w:pPr>
              <w:pStyle w:val="TableParagraph"/>
              <w:spacing w:before="136"/>
              <w:ind w:left="153" w:right="155"/>
              <w:jc w:val="center"/>
              <w:rPr>
                <w:sz w:val="20"/>
              </w:rPr>
            </w:pPr>
            <w:r>
              <w:rPr>
                <w:sz w:val="20"/>
              </w:rPr>
              <w:t>6, 7, 11, 18</w:t>
            </w:r>
          </w:p>
        </w:tc>
        <w:tc>
          <w:tcPr>
            <w:tcW w:w="2275" w:type="dxa"/>
          </w:tcPr>
          <w:p w14:paraId="712E2504" w14:textId="77777777" w:rsidR="00FF4A2C" w:rsidRDefault="00FF4A2C" w:rsidP="00A87137">
            <w:pPr>
              <w:pStyle w:val="TableParagraph"/>
              <w:spacing w:before="136"/>
              <w:ind w:left="144" w:right="144"/>
              <w:jc w:val="center"/>
              <w:rPr>
                <w:sz w:val="20"/>
              </w:rPr>
            </w:pPr>
            <w:r>
              <w:rPr>
                <w:sz w:val="20"/>
              </w:rPr>
              <w:t>Short</w:t>
            </w:r>
            <w:r w:rsidR="008F4EF1">
              <w:rPr>
                <w:sz w:val="20"/>
              </w:rPr>
              <w:t>-</w:t>
            </w:r>
            <w:r>
              <w:rPr>
                <w:sz w:val="20"/>
              </w:rPr>
              <w:t>term</w:t>
            </w:r>
          </w:p>
        </w:tc>
      </w:tr>
      <w:tr w:rsidR="00FF4A2C" w14:paraId="24884B5E" w14:textId="77777777" w:rsidTr="006E2330">
        <w:trPr>
          <w:trHeight w:hRule="exact" w:val="828"/>
        </w:trPr>
        <w:tc>
          <w:tcPr>
            <w:tcW w:w="5339" w:type="dxa"/>
            <w:shd w:val="clear" w:color="auto" w:fill="F1F1F1"/>
          </w:tcPr>
          <w:p w14:paraId="7C9AE94F" w14:textId="77777777" w:rsidR="00FF4A2C" w:rsidRDefault="00FF4A2C" w:rsidP="00A87137">
            <w:pPr>
              <w:pStyle w:val="TableParagraph"/>
              <w:spacing w:before="182" w:line="228" w:lineRule="exact"/>
              <w:ind w:left="104" w:right="647"/>
              <w:rPr>
                <w:sz w:val="20"/>
              </w:rPr>
            </w:pPr>
            <w:r>
              <w:rPr>
                <w:sz w:val="20"/>
              </w:rPr>
              <w:t>Delivery of the state-wide ePlanning platform for development assessment</w:t>
            </w:r>
          </w:p>
        </w:tc>
        <w:tc>
          <w:tcPr>
            <w:tcW w:w="2693" w:type="dxa"/>
          </w:tcPr>
          <w:p w14:paraId="5DF585DE" w14:textId="77777777" w:rsidR="00FF4A2C" w:rsidRDefault="00FF4A2C" w:rsidP="00A87137">
            <w:pPr>
              <w:pStyle w:val="TableParagraph"/>
              <w:spacing w:before="4"/>
              <w:rPr>
                <w:sz w:val="25"/>
              </w:rPr>
            </w:pPr>
          </w:p>
          <w:p w14:paraId="2F1D6D64" w14:textId="77777777" w:rsidR="00FF4A2C" w:rsidRDefault="00FF4A2C" w:rsidP="00A87137">
            <w:pPr>
              <w:pStyle w:val="TableParagraph"/>
              <w:spacing w:before="1"/>
              <w:ind w:left="153" w:right="153"/>
              <w:jc w:val="center"/>
              <w:rPr>
                <w:sz w:val="20"/>
              </w:rPr>
            </w:pPr>
            <w:r>
              <w:rPr>
                <w:sz w:val="20"/>
              </w:rPr>
              <w:t>1, 8, 12</w:t>
            </w:r>
          </w:p>
        </w:tc>
        <w:tc>
          <w:tcPr>
            <w:tcW w:w="2275" w:type="dxa"/>
          </w:tcPr>
          <w:p w14:paraId="16FA63B5" w14:textId="77777777" w:rsidR="00FF4A2C" w:rsidRDefault="00FF4A2C" w:rsidP="00A87137">
            <w:pPr>
              <w:pStyle w:val="TableParagraph"/>
              <w:spacing w:before="4"/>
              <w:rPr>
                <w:sz w:val="25"/>
              </w:rPr>
            </w:pPr>
          </w:p>
          <w:p w14:paraId="1ECFCA15" w14:textId="77777777" w:rsidR="00FF4A2C" w:rsidRDefault="00FF4A2C" w:rsidP="00A87137">
            <w:pPr>
              <w:pStyle w:val="TableParagraph"/>
              <w:spacing w:before="1"/>
              <w:ind w:left="146" w:right="144"/>
              <w:jc w:val="center"/>
              <w:rPr>
                <w:sz w:val="20"/>
              </w:rPr>
            </w:pPr>
            <w:r>
              <w:rPr>
                <w:sz w:val="20"/>
              </w:rPr>
              <w:t>Medium to long-term</w:t>
            </w:r>
          </w:p>
        </w:tc>
      </w:tr>
    </w:tbl>
    <w:p w14:paraId="5053E74B" w14:textId="77777777" w:rsidR="006E73C7" w:rsidRDefault="006E73C7" w:rsidP="006E73C7"/>
    <w:p w14:paraId="03E3B44D" w14:textId="77777777" w:rsidR="006E73C7" w:rsidRDefault="006E73C7">
      <w:pPr>
        <w:widowControl/>
        <w:autoSpaceDE/>
        <w:autoSpaceDN/>
        <w:spacing w:after="160" w:line="259" w:lineRule="auto"/>
        <w:rPr>
          <w:color w:val="00283D"/>
          <w:sz w:val="34"/>
          <w:szCs w:val="34"/>
        </w:rPr>
      </w:pPr>
      <w:r>
        <w:rPr>
          <w:color w:val="00283D"/>
        </w:rPr>
        <w:br w:type="page"/>
      </w:r>
    </w:p>
    <w:p w14:paraId="1BC0106B" w14:textId="00DB9B5B" w:rsidR="00FF4A2C" w:rsidRPr="00604DE8" w:rsidRDefault="00FF4A2C" w:rsidP="00604DE8">
      <w:pPr>
        <w:pStyle w:val="Heading2"/>
      </w:pPr>
      <w:r w:rsidRPr="00604DE8">
        <w:lastRenderedPageBreak/>
        <w:t>Next steps</w:t>
      </w:r>
    </w:p>
    <w:p w14:paraId="41F47721" w14:textId="1E5D52B4" w:rsidR="00FF4A2C" w:rsidRDefault="00FF4A2C" w:rsidP="00604DE8">
      <w:pPr>
        <w:pStyle w:val="BodyText"/>
      </w:pPr>
      <w:r>
        <w:t>The South Australian Government will develop the above reforms in conjunction with key stakeholders to ensure that the reforms are developed and implemented effectively. Ongoing work will be required to ensure that the reforms can be implemented in the proposed timeframes.</w:t>
      </w:r>
    </w:p>
    <w:p w14:paraId="5A8AFBD0" w14:textId="08669C0F" w:rsidR="00803B68" w:rsidRPr="00BB58CF" w:rsidRDefault="00803B68" w:rsidP="00604DE8">
      <w:pPr>
        <w:pStyle w:val="BodyText"/>
        <w:rPr>
          <w:color w:val="00283D"/>
          <w:sz w:val="34"/>
          <w:szCs w:val="34"/>
        </w:rPr>
      </w:pPr>
      <w:r>
        <w:t xml:space="preserve">Amendments to reflect the new Accredited Professionals Scheme Code of Conduct have been adopted. </w:t>
      </w:r>
      <w:r w:rsidR="00F93C05">
        <w:t>Following consultation, a</w:t>
      </w:r>
      <w:r>
        <w:t xml:space="preserve"> set of state-wide council inspection policies, once approved by the State Planning Commission, will support a more consistent and increased level of compliance across the state. These will be tailored to meet a range of Council requirements but will, subject to approval, look to introduce greater inspections for Class 1b 9 buildings in particular, in addition to examining existing requirements for Class 1a buildings. These policies </w:t>
      </w:r>
      <w:r w:rsidR="007F4F87">
        <w:t>will be in place by July 2020.</w:t>
      </w:r>
    </w:p>
    <w:p w14:paraId="6423EFEF" w14:textId="77777777" w:rsidR="00FF4A2C" w:rsidRDefault="00FF4A2C" w:rsidP="00604DE8">
      <w:pPr>
        <w:pStyle w:val="BodyText"/>
      </w:pPr>
      <w:r>
        <w:br w:type="page"/>
      </w:r>
    </w:p>
    <w:p w14:paraId="51B8829C" w14:textId="56B4448B" w:rsidR="00FF4A2C" w:rsidRPr="00604DE8" w:rsidRDefault="00FF4A2C" w:rsidP="00604DE8">
      <w:pPr>
        <w:pStyle w:val="Heading1"/>
      </w:pPr>
      <w:bookmarkStart w:id="12" w:name="_Toc27738657"/>
      <w:r w:rsidRPr="00604DE8">
        <w:lastRenderedPageBreak/>
        <w:t>Tasmania</w:t>
      </w:r>
      <w:bookmarkEnd w:id="12"/>
    </w:p>
    <w:p w14:paraId="2E776BE5" w14:textId="4679199F" w:rsidR="00FF4A2C" w:rsidRPr="00604DE8" w:rsidRDefault="00604DE8" w:rsidP="00604DE8">
      <w:pPr>
        <w:pStyle w:val="Heading2"/>
      </w:pPr>
      <w:r>
        <w:t>Update o</w:t>
      </w:r>
      <w:r w:rsidR="00FF4A2C" w:rsidRPr="00604DE8">
        <w:t>verview</w:t>
      </w:r>
    </w:p>
    <w:p w14:paraId="36730623" w14:textId="19F7E55E" w:rsidR="00FF4A2C" w:rsidRDefault="00FF4A2C" w:rsidP="0032060F">
      <w:pPr>
        <w:pStyle w:val="BodyText"/>
      </w:pPr>
      <w:r>
        <w:t>During 2015–16 Tasmania undertook a building reform program that resulted in the</w:t>
      </w:r>
      <w:r w:rsidR="000E6E90">
        <w:t xml:space="preserve"> </w:t>
      </w:r>
      <w:r>
        <w:rPr>
          <w:i/>
        </w:rPr>
        <w:t>Building Act 2016</w:t>
      </w:r>
      <w:r>
        <w:t xml:space="preserve">, which came into force on 1 January 2017. Many of the recommendations from </w:t>
      </w:r>
      <w:r w:rsidR="00971146">
        <w:t>the BCR</w:t>
      </w:r>
      <w:r>
        <w:t xml:space="preserve"> were implemented through the </w:t>
      </w:r>
      <w:r>
        <w:rPr>
          <w:i/>
        </w:rPr>
        <w:t>Building Act 2016</w:t>
      </w:r>
      <w:r>
        <w:t xml:space="preserve">, the </w:t>
      </w:r>
      <w:r>
        <w:rPr>
          <w:i/>
        </w:rPr>
        <w:t xml:space="preserve">Occupational Licensing Act 2005 </w:t>
      </w:r>
      <w:r>
        <w:t>and associated regulations. Recommendations 1–4, 7–11, 13 and 15–18 have been fully implemented under either one of these Acts. Priority recommendations set by the BMF (1, 2, 9–11, 13 and 24) have been fully implemented in Tasmania and recommendation 23 is fully supported.</w:t>
      </w:r>
    </w:p>
    <w:p w14:paraId="75BF2D4D" w14:textId="77777777" w:rsidR="000A0179" w:rsidRDefault="000A0179" w:rsidP="0032060F">
      <w:pPr>
        <w:pStyle w:val="BodyText"/>
      </w:pPr>
      <w:r w:rsidRPr="00E32EB8">
        <w:t>With the establishment of an independent implementation team with the ACBC, Tasmania will review the outputs of that team to assess further changes to our current statutory framework.</w:t>
      </w:r>
    </w:p>
    <w:p w14:paraId="4239D2D7" w14:textId="77777777" w:rsidR="00FF4A2C" w:rsidRPr="00604DE8" w:rsidRDefault="00FF4A2C" w:rsidP="00604DE8">
      <w:pPr>
        <w:pStyle w:val="Heading2"/>
      </w:pPr>
      <w:r w:rsidRPr="00604DE8">
        <w:t>Reforms underway</w:t>
      </w:r>
    </w:p>
    <w:p w14:paraId="3F5A634A" w14:textId="77777777" w:rsidR="000A0179" w:rsidRDefault="000A0179" w:rsidP="0032060F">
      <w:pPr>
        <w:pStyle w:val="BodyText"/>
      </w:pPr>
      <w:r>
        <w:t xml:space="preserve">To implement recommendation 12, funded work has commenced on the development of an online portal that will result in a database of building work in Tasmania and is expected to be online in 2021.  </w:t>
      </w:r>
      <w:r w:rsidRPr="00E32EB8">
        <w:t>However, details of the data required for the national database are needed from the independent implementation team before progressing on this recommendation further.</w:t>
      </w:r>
    </w:p>
    <w:p w14:paraId="099FD7EA" w14:textId="77777777" w:rsidR="000A0179" w:rsidRDefault="000A0179" w:rsidP="0032060F">
      <w:pPr>
        <w:pStyle w:val="BodyText"/>
      </w:pPr>
      <w:r>
        <w:t>During the reform program in 2015–16, the proposal of a building manual for commercial buildings was not adopted, however, the work will now be used to implement recommendation 20.</w:t>
      </w:r>
    </w:p>
    <w:p w14:paraId="542AF12A" w14:textId="77777777" w:rsidR="000A0179" w:rsidRDefault="000A0179" w:rsidP="0032060F">
      <w:pPr>
        <w:pStyle w:val="BodyText"/>
      </w:pPr>
      <w:r>
        <w:t>Inclusion of performance solutions information on occupancy permits is supported and the implementation is under review.</w:t>
      </w:r>
    </w:p>
    <w:p w14:paraId="0E72CB33" w14:textId="77777777" w:rsidR="00FE0453" w:rsidRDefault="000A0179" w:rsidP="0032060F">
      <w:pPr>
        <w:pStyle w:val="BodyText"/>
      </w:pPr>
      <w:r>
        <w:t>Tasmania has implemented a process that requires specified high-risk building products to undergo a state accreditation process. In support of recommendation 21, Tasmania will continue to work at a national level for a consistent app</w:t>
      </w:r>
      <w:r w:rsidR="00FE0453">
        <w:t>roach to be adopted nationally.</w:t>
      </w:r>
    </w:p>
    <w:p w14:paraId="64EA2F6E" w14:textId="77777777" w:rsidR="00FE0453" w:rsidRPr="00604DE8" w:rsidRDefault="00FE0453" w:rsidP="00604DE8">
      <w:pPr>
        <w:pStyle w:val="Heading2"/>
      </w:pPr>
      <w:r w:rsidRPr="00604DE8">
        <w:t>Planned reforms</w:t>
      </w:r>
    </w:p>
    <w:p w14:paraId="072A68E1" w14:textId="77777777" w:rsidR="00FE0453" w:rsidRDefault="002D1175" w:rsidP="0032060F">
      <w:pPr>
        <w:pStyle w:val="BodyText"/>
      </w:pPr>
      <w:r w:rsidRPr="00FE0453">
        <w:t>Tasmania is waiting on the outcomes from the independent implementation team before assessi</w:t>
      </w:r>
      <w:r w:rsidR="00FE0453">
        <w:t>ng any further statutory reforms.</w:t>
      </w:r>
    </w:p>
    <w:p w14:paraId="65B998B8" w14:textId="4D7CC87C" w:rsidR="00FF4A2C" w:rsidRDefault="00FF4A2C" w:rsidP="00604DE8">
      <w:pPr>
        <w:pStyle w:val="Heading2"/>
      </w:pPr>
      <w:r w:rsidRPr="00604DE8">
        <w:t>Timeframes</w:t>
      </w:r>
    </w:p>
    <w:tbl>
      <w:tblPr>
        <w:tblW w:w="10207" w:type="dxa"/>
        <w:tblInd w:w="-147"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5396"/>
        <w:gridCol w:w="2083"/>
        <w:gridCol w:w="2728"/>
      </w:tblGrid>
      <w:tr w:rsidR="00FF4A2C" w14:paraId="05C8DDB2" w14:textId="77777777" w:rsidTr="00897069">
        <w:trPr>
          <w:trHeight w:hRule="exact" w:val="585"/>
        </w:trPr>
        <w:tc>
          <w:tcPr>
            <w:tcW w:w="5396" w:type="dxa"/>
            <w:shd w:val="clear" w:color="auto" w:fill="005577"/>
          </w:tcPr>
          <w:p w14:paraId="1C24BFCF" w14:textId="77777777" w:rsidR="00FF4A2C" w:rsidRDefault="00FF4A2C" w:rsidP="00A87137">
            <w:pPr>
              <w:pStyle w:val="TableParagraph"/>
              <w:spacing w:before="170"/>
              <w:ind w:left="2173" w:right="2172"/>
              <w:jc w:val="center"/>
              <w:rPr>
                <w:b/>
                <w:sz w:val="20"/>
              </w:rPr>
            </w:pPr>
            <w:r>
              <w:rPr>
                <w:b/>
                <w:color w:val="FFFFFF"/>
                <w:sz w:val="20"/>
              </w:rPr>
              <w:t>Reform</w:t>
            </w:r>
          </w:p>
        </w:tc>
        <w:tc>
          <w:tcPr>
            <w:tcW w:w="2083" w:type="dxa"/>
            <w:shd w:val="clear" w:color="auto" w:fill="005577"/>
          </w:tcPr>
          <w:p w14:paraId="48DF3BE5" w14:textId="77777777" w:rsidR="00FF4A2C" w:rsidRDefault="00FF4A2C" w:rsidP="00A87137">
            <w:pPr>
              <w:pStyle w:val="TableParagraph"/>
              <w:spacing w:before="55"/>
              <w:ind w:left="232" w:firstLine="273"/>
              <w:rPr>
                <w:b/>
                <w:sz w:val="20"/>
              </w:rPr>
            </w:pPr>
            <w:r>
              <w:rPr>
                <w:b/>
                <w:color w:val="FFFFFF"/>
                <w:sz w:val="20"/>
              </w:rPr>
              <w:t xml:space="preserve">Associated </w:t>
            </w:r>
            <w:r>
              <w:rPr>
                <w:b/>
                <w:color w:val="FFFFFF"/>
                <w:w w:val="95"/>
                <w:sz w:val="20"/>
              </w:rPr>
              <w:t>recommendation</w:t>
            </w:r>
          </w:p>
        </w:tc>
        <w:tc>
          <w:tcPr>
            <w:tcW w:w="2728" w:type="dxa"/>
            <w:shd w:val="clear" w:color="auto" w:fill="005577"/>
          </w:tcPr>
          <w:p w14:paraId="370995E9" w14:textId="77777777" w:rsidR="00FF4A2C" w:rsidRDefault="00FF4A2C" w:rsidP="00A87137">
            <w:pPr>
              <w:pStyle w:val="TableParagraph"/>
              <w:spacing w:before="170"/>
              <w:ind w:left="221" w:right="221"/>
              <w:jc w:val="center"/>
              <w:rPr>
                <w:b/>
                <w:sz w:val="20"/>
              </w:rPr>
            </w:pPr>
            <w:r>
              <w:rPr>
                <w:b/>
                <w:color w:val="FFFFFF"/>
                <w:sz w:val="20"/>
              </w:rPr>
              <w:t>Timeframe</w:t>
            </w:r>
          </w:p>
        </w:tc>
      </w:tr>
      <w:tr w:rsidR="003C6CC0" w14:paraId="09D50E8F" w14:textId="77777777" w:rsidTr="00897069">
        <w:trPr>
          <w:trHeight w:hRule="exact" w:val="365"/>
        </w:trPr>
        <w:tc>
          <w:tcPr>
            <w:tcW w:w="5396" w:type="dxa"/>
            <w:shd w:val="clear" w:color="auto" w:fill="F1F1F1"/>
          </w:tcPr>
          <w:p w14:paraId="05EDA52C" w14:textId="77777777" w:rsidR="003C6CC0" w:rsidRPr="00E32EB8" w:rsidRDefault="003C6CC0" w:rsidP="003C6CC0">
            <w:pPr>
              <w:pStyle w:val="TableParagraph"/>
              <w:spacing w:before="57"/>
              <w:ind w:left="104"/>
              <w:rPr>
                <w:sz w:val="20"/>
              </w:rPr>
            </w:pPr>
            <w:r w:rsidRPr="00E32EB8">
              <w:rPr>
                <w:sz w:val="20"/>
              </w:rPr>
              <w:t>Online Building Portal</w:t>
            </w:r>
          </w:p>
        </w:tc>
        <w:tc>
          <w:tcPr>
            <w:tcW w:w="2083" w:type="dxa"/>
          </w:tcPr>
          <w:p w14:paraId="08E6429C" w14:textId="77777777" w:rsidR="003C6CC0" w:rsidRPr="00E32EB8" w:rsidRDefault="003C6CC0" w:rsidP="003C6CC0">
            <w:pPr>
              <w:pStyle w:val="TableParagraph"/>
              <w:spacing w:before="57"/>
              <w:ind w:left="905" w:right="905"/>
              <w:jc w:val="center"/>
              <w:rPr>
                <w:sz w:val="20"/>
              </w:rPr>
            </w:pPr>
            <w:r w:rsidRPr="00E32EB8">
              <w:rPr>
                <w:sz w:val="20"/>
              </w:rPr>
              <w:t>12</w:t>
            </w:r>
          </w:p>
        </w:tc>
        <w:tc>
          <w:tcPr>
            <w:tcW w:w="2728" w:type="dxa"/>
          </w:tcPr>
          <w:p w14:paraId="049601F0" w14:textId="77777777" w:rsidR="003C6CC0" w:rsidRPr="00E32EB8" w:rsidRDefault="003C6CC0" w:rsidP="003C6CC0">
            <w:pPr>
              <w:pStyle w:val="TableParagraph"/>
              <w:spacing w:before="57"/>
              <w:ind w:left="220" w:right="221"/>
              <w:jc w:val="center"/>
              <w:rPr>
                <w:sz w:val="20"/>
              </w:rPr>
            </w:pPr>
            <w:r w:rsidRPr="00E32EB8">
              <w:rPr>
                <w:sz w:val="20"/>
              </w:rPr>
              <w:t>Long term (2021)</w:t>
            </w:r>
          </w:p>
        </w:tc>
      </w:tr>
      <w:tr w:rsidR="003C6CC0" w14:paraId="79625C6E" w14:textId="77777777" w:rsidTr="00897069">
        <w:trPr>
          <w:trHeight w:hRule="exact" w:val="360"/>
        </w:trPr>
        <w:tc>
          <w:tcPr>
            <w:tcW w:w="5396" w:type="dxa"/>
            <w:shd w:val="clear" w:color="auto" w:fill="F1F1F1"/>
          </w:tcPr>
          <w:p w14:paraId="4D9C4A88" w14:textId="77777777" w:rsidR="003C6CC0" w:rsidRPr="00E32EB8" w:rsidRDefault="003C6CC0" w:rsidP="003C6CC0">
            <w:pPr>
              <w:pStyle w:val="TableParagraph"/>
              <w:spacing w:before="57"/>
              <w:ind w:left="104"/>
              <w:rPr>
                <w:sz w:val="20"/>
              </w:rPr>
            </w:pPr>
            <w:r w:rsidRPr="00E32EB8">
              <w:rPr>
                <w:sz w:val="20"/>
              </w:rPr>
              <w:t>Performance Solutions/Occupancy Certificates</w:t>
            </w:r>
          </w:p>
        </w:tc>
        <w:tc>
          <w:tcPr>
            <w:tcW w:w="2083" w:type="dxa"/>
          </w:tcPr>
          <w:p w14:paraId="7FE4214A" w14:textId="77777777" w:rsidR="003C6CC0" w:rsidRPr="00E32EB8" w:rsidRDefault="003C6CC0" w:rsidP="003C6CC0">
            <w:pPr>
              <w:pStyle w:val="TableParagraph"/>
              <w:spacing w:before="57"/>
              <w:ind w:left="905" w:right="905"/>
              <w:jc w:val="center"/>
              <w:rPr>
                <w:sz w:val="20"/>
              </w:rPr>
            </w:pPr>
            <w:r w:rsidRPr="00E32EB8">
              <w:rPr>
                <w:sz w:val="20"/>
              </w:rPr>
              <w:t>14</w:t>
            </w:r>
          </w:p>
        </w:tc>
        <w:tc>
          <w:tcPr>
            <w:tcW w:w="2728" w:type="dxa"/>
          </w:tcPr>
          <w:p w14:paraId="6DDE0493" w14:textId="77777777" w:rsidR="003C6CC0" w:rsidRPr="00E32EB8" w:rsidRDefault="003C6CC0" w:rsidP="003C6CC0">
            <w:pPr>
              <w:pStyle w:val="TableParagraph"/>
              <w:spacing w:before="57"/>
              <w:ind w:left="221" w:right="221"/>
              <w:jc w:val="center"/>
              <w:rPr>
                <w:sz w:val="20"/>
              </w:rPr>
            </w:pPr>
            <w:r w:rsidRPr="00E32EB8">
              <w:rPr>
                <w:sz w:val="20"/>
              </w:rPr>
              <w:t>Short term (2020)</w:t>
            </w:r>
          </w:p>
        </w:tc>
      </w:tr>
      <w:tr w:rsidR="003C6CC0" w14:paraId="4E8B55D5" w14:textId="77777777" w:rsidTr="00897069">
        <w:trPr>
          <w:trHeight w:hRule="exact" w:val="360"/>
        </w:trPr>
        <w:tc>
          <w:tcPr>
            <w:tcW w:w="5396" w:type="dxa"/>
            <w:shd w:val="clear" w:color="auto" w:fill="F1F1F1"/>
          </w:tcPr>
          <w:p w14:paraId="4D80F0DB" w14:textId="77777777" w:rsidR="003C6CC0" w:rsidRPr="00E32EB8" w:rsidRDefault="003C6CC0" w:rsidP="003C6CC0">
            <w:pPr>
              <w:pStyle w:val="TableParagraph"/>
              <w:spacing w:before="57"/>
              <w:ind w:left="104"/>
              <w:rPr>
                <w:sz w:val="20"/>
              </w:rPr>
            </w:pPr>
            <w:r w:rsidRPr="00E32EB8">
              <w:rPr>
                <w:sz w:val="20"/>
              </w:rPr>
              <w:t>Commercial Building Manual</w:t>
            </w:r>
          </w:p>
        </w:tc>
        <w:tc>
          <w:tcPr>
            <w:tcW w:w="2083" w:type="dxa"/>
          </w:tcPr>
          <w:p w14:paraId="66A4D600" w14:textId="77777777" w:rsidR="003C6CC0" w:rsidRPr="00E32EB8" w:rsidRDefault="003C6CC0" w:rsidP="003C6CC0">
            <w:pPr>
              <w:pStyle w:val="TableParagraph"/>
              <w:spacing w:before="57"/>
              <w:ind w:left="905" w:right="905"/>
              <w:jc w:val="center"/>
              <w:rPr>
                <w:sz w:val="20"/>
              </w:rPr>
            </w:pPr>
            <w:r w:rsidRPr="00E32EB8">
              <w:rPr>
                <w:sz w:val="20"/>
              </w:rPr>
              <w:t>20</w:t>
            </w:r>
          </w:p>
        </w:tc>
        <w:tc>
          <w:tcPr>
            <w:tcW w:w="2728" w:type="dxa"/>
          </w:tcPr>
          <w:p w14:paraId="5CB2B309" w14:textId="77777777" w:rsidR="003C6CC0" w:rsidRPr="00E32EB8" w:rsidRDefault="003C6CC0" w:rsidP="003C6CC0">
            <w:pPr>
              <w:pStyle w:val="TableParagraph"/>
              <w:spacing w:before="57"/>
              <w:ind w:left="220" w:right="221"/>
              <w:jc w:val="center"/>
              <w:rPr>
                <w:sz w:val="20"/>
              </w:rPr>
            </w:pPr>
            <w:r w:rsidRPr="00E32EB8">
              <w:rPr>
                <w:sz w:val="20"/>
              </w:rPr>
              <w:t>Long term (2021)</w:t>
            </w:r>
          </w:p>
        </w:tc>
      </w:tr>
    </w:tbl>
    <w:p w14:paraId="4F666A70" w14:textId="77777777" w:rsidR="00604DE8" w:rsidRDefault="00604DE8" w:rsidP="00604DE8">
      <w:pPr>
        <w:pStyle w:val="Heading2"/>
      </w:pPr>
    </w:p>
    <w:p w14:paraId="6437853D" w14:textId="77777777" w:rsidR="00604DE8" w:rsidRDefault="00604DE8">
      <w:pPr>
        <w:widowControl/>
        <w:autoSpaceDE/>
        <w:autoSpaceDN/>
        <w:spacing w:after="160" w:line="259" w:lineRule="auto"/>
        <w:rPr>
          <w:color w:val="005575"/>
          <w:sz w:val="34"/>
          <w:szCs w:val="34"/>
        </w:rPr>
      </w:pPr>
      <w:r>
        <w:br w:type="page"/>
      </w:r>
    </w:p>
    <w:p w14:paraId="5268A5FE" w14:textId="270E21E8" w:rsidR="00FF4A2C" w:rsidRPr="00604DE8" w:rsidRDefault="00FF4A2C" w:rsidP="00604DE8">
      <w:pPr>
        <w:pStyle w:val="Heading2"/>
      </w:pPr>
      <w:r w:rsidRPr="00604DE8">
        <w:lastRenderedPageBreak/>
        <w:t>Next steps</w:t>
      </w:r>
    </w:p>
    <w:p w14:paraId="13B4E468" w14:textId="77777777" w:rsidR="003C6CC0" w:rsidRPr="00E32EB8" w:rsidRDefault="003C6CC0" w:rsidP="00604DE8">
      <w:pPr>
        <w:pStyle w:val="BodyText"/>
        <w:numPr>
          <w:ilvl w:val="0"/>
          <w:numId w:val="29"/>
        </w:numPr>
      </w:pPr>
      <w:r w:rsidRPr="00E32EB8">
        <w:t>Stakeholder feedback and consultation is ongoing through direct engagement with industry.</w:t>
      </w:r>
    </w:p>
    <w:p w14:paraId="6B29DB30" w14:textId="77777777" w:rsidR="00604DE8" w:rsidRDefault="003C6CC0" w:rsidP="00604DE8">
      <w:pPr>
        <w:pStyle w:val="BodyText"/>
        <w:numPr>
          <w:ilvl w:val="0"/>
          <w:numId w:val="29"/>
        </w:numPr>
      </w:pPr>
      <w:r w:rsidRPr="00E32EB8">
        <w:t>Tender for the next stage of the Planning and Building Portal</w:t>
      </w:r>
      <w:r w:rsidRPr="00E32EB8">
        <w:rPr>
          <w:spacing w:val="-33"/>
        </w:rPr>
        <w:t xml:space="preserve"> </w:t>
      </w:r>
      <w:r w:rsidRPr="00E32EB8">
        <w:t>project.</w:t>
      </w:r>
    </w:p>
    <w:p w14:paraId="4A574A16" w14:textId="3FCAA6DD" w:rsidR="003C6CC0" w:rsidRPr="00604DE8" w:rsidRDefault="003C6CC0" w:rsidP="00604DE8">
      <w:pPr>
        <w:pStyle w:val="BodyText"/>
        <w:numPr>
          <w:ilvl w:val="0"/>
          <w:numId w:val="29"/>
        </w:numPr>
      </w:pPr>
      <w:r w:rsidRPr="00E32EB8">
        <w:t>Development of requirements for the inclusion of performance solution information on occupancy</w:t>
      </w:r>
      <w:r w:rsidRPr="00604DE8">
        <w:rPr>
          <w:spacing w:val="-11"/>
        </w:rPr>
        <w:t xml:space="preserve"> </w:t>
      </w:r>
      <w:r w:rsidRPr="00E32EB8">
        <w:t>certificates.</w:t>
      </w:r>
    </w:p>
    <w:p w14:paraId="11C20450" w14:textId="77777777" w:rsidR="003C6CC0" w:rsidRPr="00BB58CF" w:rsidRDefault="003C6CC0" w:rsidP="00604DE8">
      <w:pPr>
        <w:pStyle w:val="BodyText"/>
      </w:pPr>
      <w:r w:rsidRPr="007968FD">
        <w:t>Tasmania will continue to work with other jurisdictions to further</w:t>
      </w:r>
      <w:r>
        <w:t xml:space="preserve"> </w:t>
      </w:r>
      <w:r w:rsidRPr="007968FD">
        <w:t>improve actions that have already been taken to implement the recommendations and also develop consistent approaches to the remaining implementation work</w:t>
      </w:r>
      <w:r>
        <w:t>.</w:t>
      </w:r>
    </w:p>
    <w:p w14:paraId="1AA2113C" w14:textId="77777777" w:rsidR="00FF4A2C" w:rsidRDefault="00FF4A2C" w:rsidP="00604DE8">
      <w:pPr>
        <w:pStyle w:val="BodyText"/>
        <w:sectPr w:rsidR="00FF4A2C">
          <w:footerReference w:type="default" r:id="rId23"/>
          <w:pgSz w:w="11910" w:h="16840"/>
          <w:pgMar w:top="1040" w:right="1100" w:bottom="700" w:left="980" w:header="764" w:footer="505" w:gutter="0"/>
          <w:cols w:space="720"/>
        </w:sectPr>
      </w:pPr>
    </w:p>
    <w:p w14:paraId="567BDC40" w14:textId="7565B779" w:rsidR="00FF4A2C" w:rsidRPr="00604DE8" w:rsidRDefault="00FF4A2C" w:rsidP="00604DE8">
      <w:pPr>
        <w:pStyle w:val="Heading1"/>
      </w:pPr>
      <w:bookmarkStart w:id="13" w:name="_Toc27738658"/>
      <w:r w:rsidRPr="00604DE8">
        <w:lastRenderedPageBreak/>
        <w:t>Australian Capital Territory</w:t>
      </w:r>
      <w:bookmarkEnd w:id="13"/>
    </w:p>
    <w:p w14:paraId="68BD5897" w14:textId="0FE42C78" w:rsidR="00FF4A2C" w:rsidRDefault="00FF4A2C" w:rsidP="00FF4A2C">
      <w:pPr>
        <w:pStyle w:val="Heading2"/>
        <w:spacing w:before="206"/>
      </w:pPr>
      <w:r>
        <w:rPr>
          <w:color w:val="00283D"/>
        </w:rPr>
        <w:t xml:space="preserve">Update </w:t>
      </w:r>
      <w:r w:rsidR="00604DE8">
        <w:rPr>
          <w:color w:val="00283D"/>
        </w:rPr>
        <w:t>o</w:t>
      </w:r>
      <w:r>
        <w:rPr>
          <w:color w:val="00283D"/>
        </w:rPr>
        <w:t>verview</w:t>
      </w:r>
    </w:p>
    <w:p w14:paraId="42FC94C9" w14:textId="276676CA" w:rsidR="00FF4A2C" w:rsidRPr="003F2587" w:rsidRDefault="00FF4A2C" w:rsidP="0032060F">
      <w:pPr>
        <w:pStyle w:val="BodyText"/>
      </w:pPr>
      <w:r>
        <w:t xml:space="preserve">The ACT Government completed a review of its building regulatory system in 2015 (the Review). As a result of the Review, the Territory has implemented, and continues to implement, reforms to strengthen the integrity of the system. The ACT Government has delivered and is progressing a range of reforms </w:t>
      </w:r>
      <w:r w:rsidRPr="003F2587">
        <w:t>that re</w:t>
      </w:r>
      <w:r w:rsidR="00A8176F" w:rsidRPr="003F2587">
        <w:t>late</w:t>
      </w:r>
      <w:r w:rsidRPr="003F2587">
        <w:t xml:space="preserve"> to the recommendations of </w:t>
      </w:r>
      <w:r w:rsidR="00971146">
        <w:t>the BCR</w:t>
      </w:r>
      <w:r w:rsidRPr="003F2587">
        <w:t>.</w:t>
      </w:r>
    </w:p>
    <w:p w14:paraId="6EE4CD7D" w14:textId="77777777" w:rsidR="00FF4A2C" w:rsidRDefault="00FF4A2C" w:rsidP="0032060F">
      <w:pPr>
        <w:pStyle w:val="BodyText"/>
      </w:pPr>
      <w:r w:rsidRPr="003F2587">
        <w:t xml:space="preserve">The current </w:t>
      </w:r>
      <w:r w:rsidRPr="003F2587">
        <w:rPr>
          <w:i/>
        </w:rPr>
        <w:t xml:space="preserve">Improving the ACT Building Regulatory System </w:t>
      </w:r>
      <w:r w:rsidRPr="003F2587">
        <w:t xml:space="preserve">program includes a comprehensive set of reforms targeting issues such as design and documentation, practitioner regulation, supervision and regulatory oversight of building projects, client protections such as insurance and warranties, dispute resolution and contracting practices. The ACT Government will continue to work closely with </w:t>
      </w:r>
      <w:r w:rsidR="00A8176F" w:rsidRPr="003F2587">
        <w:t>other</w:t>
      </w:r>
      <w:r w:rsidR="00A8176F">
        <w:t xml:space="preserve"> </w:t>
      </w:r>
      <w:r>
        <w:t>jurisdictions on best practice.</w:t>
      </w:r>
    </w:p>
    <w:p w14:paraId="5AAC38E2" w14:textId="77777777" w:rsidR="00FF4A2C" w:rsidRDefault="00FF4A2C" w:rsidP="00FF4A2C">
      <w:pPr>
        <w:pStyle w:val="Heading2"/>
        <w:spacing w:before="159"/>
      </w:pPr>
      <w:r>
        <w:rPr>
          <w:color w:val="00283D"/>
        </w:rPr>
        <w:t>Current system and reforms</w:t>
      </w:r>
    </w:p>
    <w:p w14:paraId="19282A74" w14:textId="77777777" w:rsidR="007155B5" w:rsidRPr="007155B5" w:rsidRDefault="00FF4A2C" w:rsidP="007155B5">
      <w:pPr>
        <w:pStyle w:val="BodyText"/>
      </w:pPr>
      <w:r w:rsidRPr="007155B5">
        <w:t xml:space="preserve">The ACT’s building regulatory system already includes many of the powers and processes suggested in </w:t>
      </w:r>
      <w:r w:rsidR="00971146" w:rsidRPr="007155B5">
        <w:t>the BCR</w:t>
      </w:r>
      <w:r w:rsidRPr="007155B5">
        <w:t xml:space="preserve">. Some of these have been in place for many years, while others have been introduced as a result of the ACT Review. </w:t>
      </w:r>
    </w:p>
    <w:p w14:paraId="1C0F1557" w14:textId="34F16C5F" w:rsidR="00FF4A2C" w:rsidRPr="007155B5" w:rsidRDefault="00FF4A2C" w:rsidP="007155B5">
      <w:pPr>
        <w:pStyle w:val="BodyText"/>
      </w:pPr>
      <w:r w:rsidRPr="007155B5">
        <w:t>Reforms to date include:</w:t>
      </w:r>
    </w:p>
    <w:p w14:paraId="09B258EA" w14:textId="77777777" w:rsidR="00FF4A2C" w:rsidRDefault="00FF4A2C" w:rsidP="00AE4E8A">
      <w:pPr>
        <w:pStyle w:val="ListParagraph"/>
        <w:numPr>
          <w:ilvl w:val="0"/>
          <w:numId w:val="4"/>
        </w:numPr>
        <w:tabs>
          <w:tab w:val="left" w:pos="579"/>
          <w:tab w:val="left" w:pos="580"/>
        </w:tabs>
        <w:spacing w:before="158"/>
        <w:ind w:left="580" w:right="-235"/>
      </w:pPr>
      <w:r>
        <w:t>expanded powers for the regulator to refuse or condition a construction</w:t>
      </w:r>
      <w:r>
        <w:rPr>
          <w:spacing w:val="-31"/>
        </w:rPr>
        <w:t xml:space="preserve"> </w:t>
      </w:r>
      <w:r>
        <w:t>licence</w:t>
      </w:r>
    </w:p>
    <w:p w14:paraId="1A09C63A" w14:textId="77777777" w:rsidR="00FF4A2C" w:rsidRDefault="00FF4A2C" w:rsidP="00AE4E8A">
      <w:pPr>
        <w:pStyle w:val="ListParagraph"/>
        <w:numPr>
          <w:ilvl w:val="0"/>
          <w:numId w:val="4"/>
        </w:numPr>
        <w:tabs>
          <w:tab w:val="left" w:pos="579"/>
          <w:tab w:val="left" w:pos="580"/>
        </w:tabs>
        <w:spacing w:before="138"/>
        <w:ind w:left="580" w:right="-235"/>
      </w:pPr>
      <w:r>
        <w:t>new powers to require licensees to undertake skills</w:t>
      </w:r>
      <w:r>
        <w:rPr>
          <w:spacing w:val="-26"/>
        </w:rPr>
        <w:t xml:space="preserve"> </w:t>
      </w:r>
      <w:r>
        <w:t>assessment</w:t>
      </w:r>
    </w:p>
    <w:p w14:paraId="040661E9" w14:textId="77777777" w:rsidR="00FF4A2C" w:rsidRDefault="00FF4A2C" w:rsidP="00AE4E8A">
      <w:pPr>
        <w:pStyle w:val="ListParagraph"/>
        <w:numPr>
          <w:ilvl w:val="0"/>
          <w:numId w:val="4"/>
        </w:numPr>
        <w:tabs>
          <w:tab w:val="left" w:pos="579"/>
          <w:tab w:val="left" w:pos="580"/>
        </w:tabs>
        <w:spacing w:before="138" w:line="256" w:lineRule="auto"/>
        <w:ind w:left="580" w:right="-235"/>
      </w:pPr>
      <w:r>
        <w:t>a framework for the regulator to direct construction licence holders in particular licence classes to undertake specified</w:t>
      </w:r>
      <w:r>
        <w:rPr>
          <w:spacing w:val="-15"/>
        </w:rPr>
        <w:t xml:space="preserve"> </w:t>
      </w:r>
      <w:r>
        <w:t>training</w:t>
      </w:r>
    </w:p>
    <w:p w14:paraId="03E6DC06" w14:textId="77777777" w:rsidR="00FF4A2C" w:rsidRDefault="00FF4A2C" w:rsidP="00AE4E8A">
      <w:pPr>
        <w:pStyle w:val="ListParagraph"/>
        <w:numPr>
          <w:ilvl w:val="0"/>
          <w:numId w:val="4"/>
        </w:numPr>
        <w:tabs>
          <w:tab w:val="left" w:pos="579"/>
          <w:tab w:val="left" w:pos="580"/>
        </w:tabs>
        <w:spacing w:line="254" w:lineRule="auto"/>
        <w:ind w:left="580" w:right="-235"/>
      </w:pPr>
      <w:r>
        <w:t>new offences and increased penalties for failing to comply with the ACT Building Act, building code and with a rectification</w:t>
      </w:r>
      <w:r>
        <w:rPr>
          <w:spacing w:val="-14"/>
        </w:rPr>
        <w:t xml:space="preserve"> </w:t>
      </w:r>
      <w:r>
        <w:t>order</w:t>
      </w:r>
    </w:p>
    <w:p w14:paraId="4A938462" w14:textId="77777777" w:rsidR="00FF4A2C" w:rsidRDefault="00FF4A2C" w:rsidP="00AE4E8A">
      <w:pPr>
        <w:pStyle w:val="ListParagraph"/>
        <w:numPr>
          <w:ilvl w:val="0"/>
          <w:numId w:val="4"/>
        </w:numPr>
        <w:tabs>
          <w:tab w:val="left" w:pos="579"/>
          <w:tab w:val="left" w:pos="580"/>
        </w:tabs>
        <w:spacing w:before="125"/>
        <w:ind w:left="580" w:right="-235"/>
      </w:pPr>
      <w:r>
        <w:t>creation of a public register of disciplinary information about</w:t>
      </w:r>
      <w:r>
        <w:rPr>
          <w:spacing w:val="-28"/>
        </w:rPr>
        <w:t xml:space="preserve"> </w:t>
      </w:r>
      <w:r>
        <w:t>licensees</w:t>
      </w:r>
    </w:p>
    <w:p w14:paraId="2CD75640" w14:textId="77777777" w:rsidR="007155B5" w:rsidRDefault="00FF4A2C" w:rsidP="00AE4E8A">
      <w:pPr>
        <w:pStyle w:val="ListParagraph"/>
        <w:numPr>
          <w:ilvl w:val="0"/>
          <w:numId w:val="4"/>
        </w:numPr>
        <w:tabs>
          <w:tab w:val="left" w:pos="579"/>
          <w:tab w:val="left" w:pos="580"/>
        </w:tabs>
        <w:spacing w:before="138" w:line="364" w:lineRule="auto"/>
        <w:ind w:left="152" w:right="-235" w:firstLine="0"/>
      </w:pPr>
      <w:r>
        <w:t xml:space="preserve">improved information gathering powers for investigators. </w:t>
      </w:r>
    </w:p>
    <w:p w14:paraId="184A71E8" w14:textId="5C1491A4" w:rsidR="00FF4A2C" w:rsidRDefault="00FF4A2C" w:rsidP="007155B5">
      <w:pPr>
        <w:pStyle w:val="BodyText"/>
      </w:pPr>
      <w:r>
        <w:t>Under the current reform program</w:t>
      </w:r>
      <w:r w:rsidR="00C931B7">
        <w:t>,</w:t>
      </w:r>
      <w:r>
        <w:t xml:space="preserve"> the ACT Government has</w:t>
      </w:r>
      <w:r w:rsidRPr="007155B5">
        <w:rPr>
          <w:spacing w:val="-26"/>
        </w:rPr>
        <w:t xml:space="preserve"> </w:t>
      </w:r>
      <w:r>
        <w:t>also:</w:t>
      </w:r>
    </w:p>
    <w:p w14:paraId="7B007DA3" w14:textId="77777777" w:rsidR="00FF4A2C" w:rsidRDefault="00FF4A2C" w:rsidP="00AE4E8A">
      <w:pPr>
        <w:pStyle w:val="ListParagraph"/>
        <w:numPr>
          <w:ilvl w:val="0"/>
          <w:numId w:val="4"/>
        </w:numPr>
        <w:tabs>
          <w:tab w:val="left" w:pos="579"/>
          <w:tab w:val="left" w:pos="580"/>
        </w:tabs>
        <w:spacing w:before="50" w:line="256" w:lineRule="auto"/>
        <w:ind w:left="580" w:right="-235"/>
      </w:pPr>
      <w:r>
        <w:t>made further restrictions on the types of qualifications and experience required to gain an ACT building</w:t>
      </w:r>
      <w:r>
        <w:rPr>
          <w:spacing w:val="-7"/>
        </w:rPr>
        <w:t xml:space="preserve"> </w:t>
      </w:r>
      <w:r>
        <w:t>licence</w:t>
      </w:r>
    </w:p>
    <w:p w14:paraId="5CE0C46F" w14:textId="77777777" w:rsidR="00FF4A2C" w:rsidRDefault="00FF4A2C" w:rsidP="00AE4E8A">
      <w:pPr>
        <w:pStyle w:val="ListParagraph"/>
        <w:numPr>
          <w:ilvl w:val="0"/>
          <w:numId w:val="4"/>
        </w:numPr>
        <w:tabs>
          <w:tab w:val="left" w:pos="579"/>
          <w:tab w:val="left" w:pos="580"/>
        </w:tabs>
        <w:spacing w:line="256" w:lineRule="auto"/>
        <w:ind w:left="580" w:right="-235"/>
      </w:pPr>
      <w:r>
        <w:t>introduced new provisions and powers to help prevent ‘phoenixing’ in ACT construction licensees and people shifting their operations between existing</w:t>
      </w:r>
      <w:r>
        <w:rPr>
          <w:spacing w:val="-26"/>
        </w:rPr>
        <w:t xml:space="preserve"> </w:t>
      </w:r>
      <w:r>
        <w:t>licences</w:t>
      </w:r>
    </w:p>
    <w:p w14:paraId="35DCB7A8" w14:textId="77777777" w:rsidR="00FF4A2C" w:rsidRDefault="00FF4A2C" w:rsidP="00AE4E8A">
      <w:pPr>
        <w:pStyle w:val="ListParagraph"/>
        <w:numPr>
          <w:ilvl w:val="0"/>
          <w:numId w:val="4"/>
        </w:numPr>
        <w:tabs>
          <w:tab w:val="left" w:pos="579"/>
          <w:tab w:val="left" w:pos="580"/>
        </w:tabs>
        <w:spacing w:line="256" w:lineRule="auto"/>
        <w:ind w:left="580" w:right="-235"/>
      </w:pPr>
      <w:r>
        <w:t>clarified the roles of building certifiers and the obligations of corporate and partnership construction licensees in</w:t>
      </w:r>
      <w:r>
        <w:rPr>
          <w:spacing w:val="-10"/>
        </w:rPr>
        <w:t xml:space="preserve"> </w:t>
      </w:r>
      <w:r>
        <w:t>legislation</w:t>
      </w:r>
    </w:p>
    <w:p w14:paraId="6F7E7FFF" w14:textId="77777777" w:rsidR="00FF4A2C" w:rsidRDefault="00FF4A2C" w:rsidP="00AE4E8A">
      <w:pPr>
        <w:pStyle w:val="ListParagraph"/>
        <w:numPr>
          <w:ilvl w:val="0"/>
          <w:numId w:val="4"/>
        </w:numPr>
        <w:tabs>
          <w:tab w:val="left" w:pos="579"/>
          <w:tab w:val="left" w:pos="580"/>
        </w:tabs>
        <w:spacing w:before="123" w:line="254" w:lineRule="auto"/>
        <w:ind w:left="580" w:right="-235"/>
      </w:pPr>
      <w:r>
        <w:t>created new grounds for occupational discipline and automatic suspensions of a construction licence</w:t>
      </w:r>
    </w:p>
    <w:p w14:paraId="63013CEA" w14:textId="77777777" w:rsidR="00FF4A2C" w:rsidRDefault="00FF4A2C" w:rsidP="00AE4E8A">
      <w:pPr>
        <w:pStyle w:val="ListParagraph"/>
        <w:numPr>
          <w:ilvl w:val="0"/>
          <w:numId w:val="4"/>
        </w:numPr>
        <w:tabs>
          <w:tab w:val="left" w:pos="579"/>
          <w:tab w:val="left" w:pos="580"/>
        </w:tabs>
        <w:spacing w:before="125"/>
        <w:ind w:left="580" w:right="-235"/>
      </w:pPr>
      <w:r>
        <w:t>expanded statutory warranties to all residential</w:t>
      </w:r>
      <w:r>
        <w:rPr>
          <w:spacing w:val="-31"/>
        </w:rPr>
        <w:t xml:space="preserve"> </w:t>
      </w:r>
      <w:r>
        <w:t>buildings</w:t>
      </w:r>
    </w:p>
    <w:p w14:paraId="418AD0C6" w14:textId="77777777" w:rsidR="00FF4A2C" w:rsidRDefault="00FF4A2C" w:rsidP="00AE4E8A">
      <w:pPr>
        <w:pStyle w:val="ListParagraph"/>
        <w:numPr>
          <w:ilvl w:val="0"/>
          <w:numId w:val="4"/>
        </w:numPr>
        <w:tabs>
          <w:tab w:val="left" w:pos="579"/>
          <w:tab w:val="left" w:pos="580"/>
        </w:tabs>
        <w:spacing w:before="138"/>
        <w:ind w:left="580" w:right="-235"/>
      </w:pPr>
      <w:r>
        <w:t>increased maximum payments that can be imposed in an occupational discipline</w:t>
      </w:r>
      <w:r>
        <w:rPr>
          <w:spacing w:val="-38"/>
        </w:rPr>
        <w:t xml:space="preserve"> </w:t>
      </w:r>
      <w:r>
        <w:t>order</w:t>
      </w:r>
    </w:p>
    <w:p w14:paraId="057807C3" w14:textId="77777777" w:rsidR="00FF4A2C" w:rsidRDefault="00FF4A2C" w:rsidP="00AE4E8A">
      <w:pPr>
        <w:pStyle w:val="ListParagraph"/>
        <w:numPr>
          <w:ilvl w:val="0"/>
          <w:numId w:val="4"/>
        </w:numPr>
        <w:tabs>
          <w:tab w:val="left" w:pos="579"/>
          <w:tab w:val="left" w:pos="580"/>
        </w:tabs>
        <w:spacing w:before="138" w:line="256" w:lineRule="auto"/>
        <w:ind w:left="580" w:right="-235"/>
      </w:pPr>
      <w:r>
        <w:t>introduced new reporting related to changes in a licensee’s eligibility, including on financial grounds.</w:t>
      </w:r>
    </w:p>
    <w:p w14:paraId="68CE706C" w14:textId="77777777" w:rsidR="00FF4A2C" w:rsidRDefault="00FF4A2C" w:rsidP="00FF4A2C">
      <w:pPr>
        <w:spacing w:line="256" w:lineRule="auto"/>
        <w:sectPr w:rsidR="00FF4A2C">
          <w:pgSz w:w="11910" w:h="16840"/>
          <w:pgMar w:top="1040" w:right="1100" w:bottom="700" w:left="980" w:header="764" w:footer="505" w:gutter="0"/>
          <w:cols w:space="720"/>
        </w:sectPr>
      </w:pPr>
    </w:p>
    <w:p w14:paraId="0727FA89" w14:textId="77777777" w:rsidR="00FF4A2C" w:rsidRPr="007155B5" w:rsidRDefault="00FF4A2C" w:rsidP="007155B5">
      <w:pPr>
        <w:pStyle w:val="BodyText"/>
      </w:pPr>
      <w:r w:rsidRPr="007155B5">
        <w:lastRenderedPageBreak/>
        <w:t>Following a pilot of licence exams for certain residential builder licences, the ACT Government has extended licence examinations to the main builder licence categories. This means that all applicants for a new ACT licence will need to pass an examination before they are issued a licence.</w:t>
      </w:r>
    </w:p>
    <w:p w14:paraId="23C30588" w14:textId="77777777" w:rsidR="00FF4A2C" w:rsidRPr="007155B5" w:rsidRDefault="00FF4A2C" w:rsidP="007155B5">
      <w:pPr>
        <w:pStyle w:val="BodyText"/>
      </w:pPr>
      <w:r w:rsidRPr="007155B5">
        <w:t>The examinations cover the licensee’s obligations under building laws and fundamental skills such as the ability to read and interpret legislation and technical documents applying to building work. Examinations can also be applied to existing licensees at the time of renewal, particularly licensees with rectification orders or whose work is not compliant with building standards.</w:t>
      </w:r>
    </w:p>
    <w:p w14:paraId="296DDB9A" w14:textId="5699AB90" w:rsidR="00DE4D24" w:rsidRDefault="00FF4A2C" w:rsidP="007155B5">
      <w:pPr>
        <w:pStyle w:val="BodyText"/>
      </w:pPr>
      <w:r w:rsidRPr="007155B5">
        <w:t xml:space="preserve">In addition to the reform agenda, the ACT Government has improved the way that compliance is monitored on building work and how complaints about building work are managed. Government building inspectors attend the sites of complaints usually within five days, to quickly determine </w:t>
      </w:r>
      <w:r w:rsidR="007155B5">
        <w:t>if further action is necessary.</w:t>
      </w:r>
    </w:p>
    <w:p w14:paraId="79B9989B" w14:textId="19BAC3BF" w:rsidR="007155B5" w:rsidRDefault="00DE4D24" w:rsidP="007155B5">
      <w:pPr>
        <w:pStyle w:val="BodyText"/>
      </w:pPr>
      <w:r w:rsidRPr="003F2587">
        <w:t xml:space="preserve">Since the Implementation Plan was released, the ACT has completed a further 15 reforms under the </w:t>
      </w:r>
      <w:r w:rsidRPr="003F2587">
        <w:rPr>
          <w:i/>
        </w:rPr>
        <w:t>Improving the ACT Building Regulatory System</w:t>
      </w:r>
      <w:r w:rsidR="007155B5">
        <w:t xml:space="preserve"> reform program. </w:t>
      </w:r>
    </w:p>
    <w:p w14:paraId="518FD120" w14:textId="77777777" w:rsidR="00DE4D24" w:rsidRPr="003F2587" w:rsidRDefault="00DE4D24" w:rsidP="007155B5">
      <w:pPr>
        <w:pStyle w:val="BodyText"/>
      </w:pPr>
      <w:r w:rsidRPr="003F2587">
        <w:t>The reforms include:</w:t>
      </w:r>
    </w:p>
    <w:p w14:paraId="155690F8" w14:textId="77777777" w:rsidR="00DE4D24" w:rsidRPr="003F2587" w:rsidRDefault="00DE4D24" w:rsidP="00310A44">
      <w:pPr>
        <w:pStyle w:val="ListParagraph"/>
        <w:numPr>
          <w:ilvl w:val="0"/>
          <w:numId w:val="4"/>
        </w:numPr>
        <w:tabs>
          <w:tab w:val="left" w:pos="579"/>
          <w:tab w:val="left" w:pos="580"/>
        </w:tabs>
        <w:spacing w:before="123" w:line="254" w:lineRule="auto"/>
        <w:ind w:left="580" w:right="-235"/>
      </w:pPr>
      <w:r w:rsidRPr="003F2587">
        <w:t xml:space="preserve">A new code of practice for licensed building surveyors that outlines their general obligations when undertaking licensable services and statutory functions as well as minimum requirements for carrying out stage inspections (completes work related to recommendations 9 and 10). </w:t>
      </w:r>
    </w:p>
    <w:p w14:paraId="3504337D" w14:textId="77777777" w:rsidR="00DE4D24" w:rsidRPr="003F2587" w:rsidRDefault="00DE4D24" w:rsidP="00310A44">
      <w:pPr>
        <w:pStyle w:val="ListParagraph"/>
        <w:numPr>
          <w:ilvl w:val="0"/>
          <w:numId w:val="4"/>
        </w:numPr>
        <w:tabs>
          <w:tab w:val="left" w:pos="579"/>
          <w:tab w:val="left" w:pos="580"/>
        </w:tabs>
        <w:spacing w:before="123" w:line="254" w:lineRule="auto"/>
        <w:ind w:left="580" w:right="-235"/>
      </w:pPr>
      <w:r w:rsidRPr="003F2587">
        <w:t xml:space="preserve">A new regulation separating building contracts for residential building work from any agreement between a landowner and another party to appoint the building certifier or arrange approvals (relates to recommendation 9). </w:t>
      </w:r>
    </w:p>
    <w:p w14:paraId="7D38217E" w14:textId="77777777" w:rsidR="00DE4D24" w:rsidRPr="003F2587" w:rsidRDefault="00DE4D24" w:rsidP="00310A44">
      <w:pPr>
        <w:pStyle w:val="ListParagraph"/>
        <w:numPr>
          <w:ilvl w:val="0"/>
          <w:numId w:val="4"/>
        </w:numPr>
        <w:tabs>
          <w:tab w:val="left" w:pos="579"/>
          <w:tab w:val="left" w:pos="580"/>
        </w:tabs>
        <w:spacing w:before="123" w:line="254" w:lineRule="auto"/>
        <w:ind w:left="580" w:right="-235"/>
      </w:pPr>
      <w:r w:rsidRPr="003F2587">
        <w:t>A new minimum documentation guideline for building approvals applications for new or substantially altered class 2-9 buildings (supports recommendations 11, 12, 13, 14, 16 and 20).</w:t>
      </w:r>
    </w:p>
    <w:p w14:paraId="6D69CBDE" w14:textId="77777777" w:rsidR="00DE4D24" w:rsidRPr="003F2587" w:rsidRDefault="00DE4D24" w:rsidP="00310A44">
      <w:pPr>
        <w:pStyle w:val="ListParagraph"/>
        <w:numPr>
          <w:ilvl w:val="0"/>
          <w:numId w:val="4"/>
        </w:numPr>
        <w:tabs>
          <w:tab w:val="left" w:pos="579"/>
          <w:tab w:val="left" w:pos="580"/>
        </w:tabs>
        <w:spacing w:before="123" w:line="254" w:lineRule="auto"/>
        <w:ind w:left="580" w:right="-235"/>
      </w:pPr>
      <w:r w:rsidRPr="003F2587">
        <w:t xml:space="preserve">Introducing licence examinations for applicants for new builder licences and pre-licence assessments for applicants for building surveyors licences (relates to recommendations 1, 2 and 4). </w:t>
      </w:r>
    </w:p>
    <w:p w14:paraId="0EBEEF79" w14:textId="77777777" w:rsidR="00DE4D24" w:rsidRPr="003F2587" w:rsidRDefault="00DE4D24" w:rsidP="00310A44">
      <w:pPr>
        <w:pStyle w:val="ListParagraph"/>
        <w:numPr>
          <w:ilvl w:val="0"/>
          <w:numId w:val="4"/>
        </w:numPr>
        <w:tabs>
          <w:tab w:val="left" w:pos="579"/>
          <w:tab w:val="left" w:pos="580"/>
        </w:tabs>
        <w:spacing w:before="123" w:line="254" w:lineRule="auto"/>
        <w:ind w:left="580" w:right="-235"/>
      </w:pPr>
      <w:r w:rsidRPr="003F2587">
        <w:t xml:space="preserve">Changes to licensing processes for building practitioners to increase checking of eligibility against technical and probity requirements at first application and at renewal (supports recommendation 2). </w:t>
      </w:r>
    </w:p>
    <w:p w14:paraId="4DF5B71E" w14:textId="77777777" w:rsidR="00DE4D24" w:rsidRPr="003F2587" w:rsidRDefault="00DE4D24" w:rsidP="00310A44">
      <w:pPr>
        <w:pStyle w:val="ListParagraph"/>
        <w:numPr>
          <w:ilvl w:val="0"/>
          <w:numId w:val="4"/>
        </w:numPr>
        <w:tabs>
          <w:tab w:val="left" w:pos="579"/>
          <w:tab w:val="left" w:pos="580"/>
        </w:tabs>
        <w:spacing w:before="123" w:line="254" w:lineRule="auto"/>
        <w:ind w:left="580" w:right="-235"/>
      </w:pPr>
      <w:r w:rsidRPr="003F2587">
        <w:t xml:space="preserve">Release of a new online training courses for practitioners on the ACT building regulatory system (relates to recommendations 2, 3, 4 and supports 9, 10 and 11). </w:t>
      </w:r>
    </w:p>
    <w:p w14:paraId="667EE2A5" w14:textId="77777777" w:rsidR="00FF4A2C" w:rsidRPr="007155B5" w:rsidRDefault="00FF4A2C" w:rsidP="007155B5">
      <w:pPr>
        <w:pStyle w:val="Heading2"/>
      </w:pPr>
      <w:r w:rsidRPr="007155B5">
        <w:t>Planned reforms</w:t>
      </w:r>
    </w:p>
    <w:p w14:paraId="557AA582" w14:textId="77777777" w:rsidR="00D6672A" w:rsidRPr="00F93C05" w:rsidRDefault="00D6672A" w:rsidP="007155B5">
      <w:pPr>
        <w:pStyle w:val="BodyText"/>
      </w:pPr>
      <w:r w:rsidRPr="00F93C05">
        <w:t xml:space="preserve">Reforms that will be completed in the next six months include a new code of practice for builders to improve supervision and oversight of building projects by licensees during construction. Additionally, the ACT Government has introduced legislation that, if passed, will introduce enforceable rectification undertakings completing work on recommendation 6.   The regulator will publish an audit strategy for buildings and building approvals for the year shortly (recommendation 7). </w:t>
      </w:r>
    </w:p>
    <w:p w14:paraId="5D2C5EA4" w14:textId="77777777" w:rsidR="00FF4A2C" w:rsidRPr="00F93C05" w:rsidRDefault="00FF4A2C" w:rsidP="007155B5">
      <w:pPr>
        <w:pStyle w:val="BodyText"/>
      </w:pPr>
      <w:r w:rsidRPr="00F93C05">
        <w:t xml:space="preserve">The ACT Government will also consult further on licensing scopes, insurance and accountability of design practitioners preparing plans, specifications and other reports for building approvals (relates to recommendations 1, 2, 13, 17 and 19). </w:t>
      </w:r>
    </w:p>
    <w:p w14:paraId="0A37A16F" w14:textId="77777777" w:rsidR="00FF4A2C" w:rsidRPr="00F93C05" w:rsidRDefault="00FF4A2C" w:rsidP="007155B5">
      <w:pPr>
        <w:pStyle w:val="BodyText"/>
      </w:pPr>
      <w:r w:rsidRPr="00F93C05">
        <w:t xml:space="preserve">In relation to recommendation 15, which is to provide a process for the approval of a performance solution for constructed building work, in the ACT’s system a building approval is for proposed </w:t>
      </w:r>
      <w:r w:rsidRPr="00F93C05">
        <w:lastRenderedPageBreak/>
        <w:t>building work and cannot be issued retrospectively. This recommendation will be considered in relation to processes for final certification of buildings with unapproved work.</w:t>
      </w:r>
    </w:p>
    <w:p w14:paraId="1338C95D" w14:textId="77777777" w:rsidR="00FF4A2C" w:rsidRPr="00F93C05" w:rsidRDefault="00FF4A2C" w:rsidP="007155B5">
      <w:pPr>
        <w:pStyle w:val="BodyText"/>
      </w:pPr>
      <w:r w:rsidRPr="00F93C05">
        <w:t xml:space="preserve">The ACT has an existing database where all building approval documents and a range of certificates and inspection information is stored (recommendation </w:t>
      </w:r>
      <w:r w:rsidR="00A04313" w:rsidRPr="00F93C05">
        <w:t>12</w:t>
      </w:r>
      <w:r w:rsidRPr="00F93C05">
        <w:t>).</w:t>
      </w:r>
    </w:p>
    <w:p w14:paraId="0491A472" w14:textId="77777777" w:rsidR="00FF4A2C" w:rsidRPr="00F93C05" w:rsidRDefault="00FF4A2C" w:rsidP="007155B5">
      <w:pPr>
        <w:pStyle w:val="BodyText"/>
      </w:pPr>
      <w:r w:rsidRPr="00F93C05">
        <w:t>With one level of ACT Government and one building regulatory agency, the ACT considers that establishing further regulatory bodies (recommendation 5) is not needed in the Territory.</w:t>
      </w:r>
    </w:p>
    <w:p w14:paraId="15C6BA95" w14:textId="77777777" w:rsidR="00F35BDF" w:rsidRPr="007155B5" w:rsidRDefault="00F35BDF" w:rsidP="007155B5">
      <w:pPr>
        <w:pStyle w:val="Heading2"/>
      </w:pPr>
      <w:r w:rsidRPr="007155B5">
        <w:t xml:space="preserve">Timeframes </w:t>
      </w:r>
    </w:p>
    <w:p w14:paraId="03F09ACF" w14:textId="77777777" w:rsidR="00836B75" w:rsidRDefault="00836B75" w:rsidP="0032060F">
      <w:pPr>
        <w:pStyle w:val="BodyText"/>
        <w:rPr>
          <w:u w:val="single"/>
        </w:rPr>
      </w:pPr>
      <w:r w:rsidRPr="00F93C05">
        <w:t xml:space="preserve">All reforms in the current </w:t>
      </w:r>
      <w:r w:rsidRPr="00F93C05">
        <w:rPr>
          <w:i/>
        </w:rPr>
        <w:t>Improving the ACT Building Regulatory System</w:t>
      </w:r>
      <w:r w:rsidRPr="00F93C05">
        <w:t xml:space="preserve"> program will be completed by quarter three of 2020. Further information can be found at: </w:t>
      </w:r>
      <w:hyperlink r:id="rId24" w:history="1">
        <w:r w:rsidRPr="00F93C05">
          <w:rPr>
            <w:u w:val="single"/>
          </w:rPr>
          <w:t>https://www.planning.act.gov.au/build-buy-renovate/reviews-and-reforms/building-reforms</w:t>
        </w:r>
      </w:hyperlink>
      <w:r w:rsidR="00B44B92" w:rsidRPr="00F93C05">
        <w:rPr>
          <w:u w:val="single"/>
        </w:rPr>
        <w:t>.</w:t>
      </w:r>
      <w:r w:rsidR="00B44B92">
        <w:rPr>
          <w:u w:val="single"/>
        </w:rPr>
        <w:t xml:space="preserve"> </w:t>
      </w:r>
    </w:p>
    <w:p w14:paraId="406F9EE9" w14:textId="77777777" w:rsidR="00F35BDF" w:rsidRDefault="00F35BDF" w:rsidP="007F4F87"/>
    <w:p w14:paraId="153034D4" w14:textId="77777777" w:rsidR="007576DF" w:rsidRPr="00F35BDF" w:rsidRDefault="007576DF" w:rsidP="007F4F87">
      <w:pPr>
        <w:sectPr w:rsidR="007576DF" w:rsidRPr="00F35BDF">
          <w:pgSz w:w="11910" w:h="16840"/>
          <w:pgMar w:top="1040" w:right="1100" w:bottom="700" w:left="980" w:header="764" w:footer="505" w:gutter="0"/>
          <w:cols w:space="720"/>
        </w:sectPr>
      </w:pPr>
    </w:p>
    <w:p w14:paraId="756756DE" w14:textId="524432F8" w:rsidR="00FF4A2C" w:rsidRPr="007155B5" w:rsidRDefault="00FF4A2C" w:rsidP="007155B5">
      <w:pPr>
        <w:pStyle w:val="Heading1"/>
      </w:pPr>
      <w:bookmarkStart w:id="14" w:name="_Toc27738659"/>
      <w:r w:rsidRPr="007155B5">
        <w:lastRenderedPageBreak/>
        <w:t>Northern Territory</w:t>
      </w:r>
      <w:bookmarkEnd w:id="14"/>
    </w:p>
    <w:p w14:paraId="187C8926" w14:textId="36C871C4" w:rsidR="00FF4A2C" w:rsidRPr="00FE0453" w:rsidRDefault="00FF4A2C" w:rsidP="00FE0453">
      <w:pPr>
        <w:pStyle w:val="Heading2"/>
        <w:spacing w:before="159" w:after="240"/>
        <w:rPr>
          <w:color w:val="00283D"/>
        </w:rPr>
      </w:pPr>
      <w:r w:rsidRPr="00FE0453">
        <w:rPr>
          <w:color w:val="00283D"/>
        </w:rPr>
        <w:t xml:space="preserve">Update </w:t>
      </w:r>
      <w:r w:rsidR="007155B5">
        <w:rPr>
          <w:color w:val="00283D"/>
        </w:rPr>
        <w:t>o</w:t>
      </w:r>
      <w:r w:rsidRPr="00FE0453">
        <w:rPr>
          <w:color w:val="00283D"/>
        </w:rPr>
        <w:t>verview</w:t>
      </w:r>
    </w:p>
    <w:p w14:paraId="0DF5DABA" w14:textId="42C13FF9" w:rsidR="00693BE0" w:rsidRDefault="00FF4A2C" w:rsidP="007155B5">
      <w:pPr>
        <w:pStyle w:val="BodyText"/>
      </w:pPr>
      <w:r w:rsidRPr="00054033">
        <w:t>The Northern Territory Government is committed to providing a robust building regulation system based on best practice.</w:t>
      </w:r>
      <w:r>
        <w:t xml:space="preserve"> The NT is a small jurisdiction with a less complex building regulation framework than other jurisdictions. This is mainly because local government does not have a role in the building approval process and a large proportion of complex non-residential projects are government managed. </w:t>
      </w:r>
    </w:p>
    <w:p w14:paraId="1EF9939E" w14:textId="0538295F" w:rsidR="00693BE0" w:rsidRDefault="00FF4A2C" w:rsidP="007155B5">
      <w:pPr>
        <w:pStyle w:val="BodyText"/>
      </w:pPr>
      <w:r w:rsidRPr="00054033">
        <w:t>Significant reforms were undertaken in 2016 to improve compliance outcomes</w:t>
      </w:r>
      <w:r>
        <w:t xml:space="preserve">. The </w:t>
      </w:r>
      <w:r w:rsidRPr="00054033">
        <w:rPr>
          <w:i/>
        </w:rPr>
        <w:t>Building Confidence</w:t>
      </w:r>
      <w:r w:rsidR="00971146">
        <w:rPr>
          <w:i/>
        </w:rPr>
        <w:t xml:space="preserve"> Report</w:t>
      </w:r>
      <w:r>
        <w:t xml:space="preserve"> (BCR) provides an opportunity to </w:t>
      </w:r>
      <w:r w:rsidRPr="00054033">
        <w:t xml:space="preserve">further </w:t>
      </w:r>
      <w:r>
        <w:t>enhance the system and apply a risk</w:t>
      </w:r>
      <w:r>
        <w:noBreakHyphen/>
      </w:r>
      <w:r w:rsidRPr="00054033">
        <w:t>based and outcome</w:t>
      </w:r>
      <w:r w:rsidRPr="00054033">
        <w:noBreakHyphen/>
      </w:r>
      <w:r w:rsidR="00971146" w:rsidRPr="00054033">
        <w:t>focused</w:t>
      </w:r>
      <w:r w:rsidR="007155B5">
        <w:t xml:space="preserve"> approach.</w:t>
      </w:r>
    </w:p>
    <w:p w14:paraId="67A0D01D" w14:textId="77777777" w:rsidR="00FF4A2C" w:rsidRPr="003F2587" w:rsidRDefault="00FF4A2C" w:rsidP="007155B5">
      <w:pPr>
        <w:pStyle w:val="BodyText"/>
      </w:pPr>
      <w:r w:rsidRPr="003F2587">
        <w:t>Consultation with local industry regarding the report in late 2018 showed that stakeholders recognise that reform is required and that an industry-wide approach is preferred.</w:t>
      </w:r>
      <w:r w:rsidR="00693BE0" w:rsidRPr="003F2587">
        <w:t xml:space="preserve">  Further consultation with industry was undertaken in September 2019 on the themes identified in the BCR through a Building Industry Forum. Participants at the Forum identified the need to understand different perspectives through continued consultation and information sharing during the reform process.</w:t>
      </w:r>
    </w:p>
    <w:p w14:paraId="1F5CDFD3" w14:textId="77777777" w:rsidR="00FF4A2C" w:rsidRPr="003F2587" w:rsidRDefault="00FF4A2C" w:rsidP="00FE0453">
      <w:pPr>
        <w:pStyle w:val="Heading2"/>
        <w:spacing w:before="159" w:after="240"/>
        <w:rPr>
          <w:color w:val="00283D"/>
        </w:rPr>
      </w:pPr>
      <w:r w:rsidRPr="003F2587">
        <w:rPr>
          <w:color w:val="00283D"/>
        </w:rPr>
        <w:t>Reforms underway</w:t>
      </w:r>
    </w:p>
    <w:p w14:paraId="20E29948" w14:textId="5697D164" w:rsidR="00B21FBB" w:rsidRPr="003F2587" w:rsidRDefault="00B21FBB" w:rsidP="007155B5">
      <w:pPr>
        <w:pStyle w:val="BodyText"/>
      </w:pPr>
      <w:r w:rsidRPr="001157C8">
        <w:t>Work is underway to develop projects for delivery in early 2020 that</w:t>
      </w:r>
      <w:r w:rsidRPr="003F2587">
        <w:t xml:space="preserve"> will enhance systems and administrative processes without the need for legislative change.</w:t>
      </w:r>
    </w:p>
    <w:p w14:paraId="362E3F17" w14:textId="1948C5CB" w:rsidR="00B21FBB" w:rsidRDefault="00B21FBB" w:rsidP="007155B5">
      <w:pPr>
        <w:pStyle w:val="BodyText"/>
      </w:pPr>
      <w:r w:rsidRPr="003F2587">
        <w:t>Consultation with the ABCB Implementation Team in October 2019 confirmed that the ABCB is developing model provisions which will assist the NT to develop locally relevant legislative reforms in response to the BCR recommendations identified below. This will allow the NT to take advantage of opportunities to harmonise with other jurisdictions.</w:t>
      </w:r>
    </w:p>
    <w:p w14:paraId="088B0053" w14:textId="6FC202CE" w:rsidR="00CC1209" w:rsidRDefault="00FF4A2C" w:rsidP="007155B5">
      <w:pPr>
        <w:pStyle w:val="BodyText"/>
      </w:pPr>
      <w:r>
        <w:t>The role of the NT Fire and Rescue Service in providing advice to building certifiers as a reporting authority was clarified in April 2019 and effective from 1 July 2019 through changes to procedures a</w:t>
      </w:r>
      <w:r w:rsidR="007155B5">
        <w:t>nd information to stakeholders.</w:t>
      </w:r>
    </w:p>
    <w:p w14:paraId="055EC95A" w14:textId="761F63CA" w:rsidR="00CC1209" w:rsidRDefault="00FF4A2C" w:rsidP="007155B5">
      <w:pPr>
        <w:pStyle w:val="BodyText"/>
      </w:pPr>
      <w:r>
        <w:t>Collaboration with the agency responsible for practitioner registration has begun in relation to the development of the registration</w:t>
      </w:r>
      <w:r w:rsidR="007155B5">
        <w:t xml:space="preserve"> category Fire Safety Engineer.</w:t>
      </w:r>
    </w:p>
    <w:p w14:paraId="205F2464" w14:textId="77777777" w:rsidR="00FF4A2C" w:rsidRPr="00054033" w:rsidRDefault="00FF4A2C" w:rsidP="007155B5">
      <w:pPr>
        <w:pStyle w:val="BodyText"/>
      </w:pPr>
      <w:r>
        <w:t>Following recent compliance cases, the NT Government has commenced reviewing its auditing and compliance policies to align with best practice.</w:t>
      </w:r>
    </w:p>
    <w:p w14:paraId="7D03C79F" w14:textId="77777777" w:rsidR="00FF4A2C" w:rsidRPr="00BB58CF" w:rsidRDefault="00FF4A2C" w:rsidP="00FE0453">
      <w:pPr>
        <w:pStyle w:val="Heading2"/>
        <w:spacing w:before="159" w:after="240"/>
        <w:rPr>
          <w:color w:val="00283D"/>
        </w:rPr>
      </w:pPr>
      <w:r w:rsidRPr="00BB58CF">
        <w:rPr>
          <w:color w:val="00283D"/>
        </w:rPr>
        <w:t>Planned reforms</w:t>
      </w:r>
    </w:p>
    <w:p w14:paraId="150E20EA" w14:textId="77777777" w:rsidR="00FF4A2C" w:rsidRPr="00054033" w:rsidRDefault="00FF4A2C" w:rsidP="007155B5">
      <w:pPr>
        <w:pStyle w:val="BodyText"/>
      </w:pPr>
      <w:r w:rsidRPr="003F2587">
        <w:t>Recommendations 1, 2, 7, 9, 11 and 18 have been partially implemented already. Implementation of recommendations 3, 4, 16, 17, 19 and 20 is supported in-principle. Of those, recommendations 1, 2, 3, 19 and 20 will require a nationally harmonised response</w:t>
      </w:r>
      <w:r w:rsidR="00544692" w:rsidRPr="003F2587">
        <w:t>. T</w:t>
      </w:r>
      <w:r w:rsidRPr="003F2587">
        <w:t xml:space="preserve">he NT is </w:t>
      </w:r>
      <w:r w:rsidR="00C516F1" w:rsidRPr="003F2587">
        <w:t>looking forward to the contributions from the ABCB Implementation Team as they will inform the efforts to implement best practice in a nationally consistent way</w:t>
      </w:r>
      <w:r w:rsidRPr="003F2587">
        <w:t>.</w:t>
      </w:r>
      <w:r w:rsidR="00C516F1" w:rsidRPr="003F2587">
        <w:t xml:space="preserve"> </w:t>
      </w:r>
      <w:r w:rsidRPr="003F2587">
        <w:t>Reforms to fully implement remaining</w:t>
      </w:r>
      <w:r w:rsidRPr="00054033">
        <w:t xml:space="preserve"> recommendations 4, 7,</w:t>
      </w:r>
      <w:r>
        <w:t xml:space="preserve"> 9, 11, 16, 17 and 18 on a risk</w:t>
      </w:r>
      <w:r>
        <w:noBreakHyphen/>
      </w:r>
      <w:r w:rsidRPr="00054033">
        <w:t>based and outcome-focussed basis will be developed by reviewing frameworks in other jurisdictions that have already implemented those recommendations.</w:t>
      </w:r>
    </w:p>
    <w:p w14:paraId="2DF4C248" w14:textId="77777777" w:rsidR="007155B5" w:rsidRDefault="007155B5">
      <w:pPr>
        <w:widowControl/>
        <w:autoSpaceDE/>
        <w:autoSpaceDN/>
        <w:spacing w:after="160" w:line="259" w:lineRule="auto"/>
        <w:rPr>
          <w:color w:val="00283D"/>
          <w:sz w:val="34"/>
          <w:szCs w:val="34"/>
        </w:rPr>
      </w:pPr>
      <w:r>
        <w:rPr>
          <w:color w:val="00283D"/>
        </w:rPr>
        <w:br w:type="page"/>
      </w:r>
    </w:p>
    <w:p w14:paraId="5A11781D" w14:textId="2D443D69" w:rsidR="00FF4A2C" w:rsidRPr="004859D8" w:rsidRDefault="00FF4A2C" w:rsidP="00FE0453">
      <w:pPr>
        <w:pStyle w:val="Heading2"/>
        <w:spacing w:before="159" w:after="240"/>
        <w:rPr>
          <w:color w:val="00283D"/>
        </w:rPr>
      </w:pPr>
      <w:r w:rsidRPr="004859D8">
        <w:rPr>
          <w:color w:val="00283D"/>
        </w:rPr>
        <w:lastRenderedPageBreak/>
        <w:t>Timeframes</w:t>
      </w:r>
    </w:p>
    <w:p w14:paraId="6B39D8D5" w14:textId="77777777" w:rsidR="00FF4A2C" w:rsidRDefault="00FF4A2C" w:rsidP="007155B5">
      <w:pPr>
        <w:pStyle w:val="BodyText"/>
      </w:pPr>
      <w:r w:rsidRPr="00054033">
        <w:t xml:space="preserve">The reforms below will require detailed policy </w:t>
      </w:r>
      <w:r>
        <w:t>analysis</w:t>
      </w:r>
      <w:r w:rsidRPr="00054033">
        <w:t xml:space="preserve"> and development in the short to medium</w:t>
      </w:r>
      <w:r w:rsidRPr="00054033">
        <w:noBreakHyphen/>
        <w:t>term and legislative reforms will be implemented in the third year of the implementation plan to allow for further consultation with industry and the normal legislative amendment process to take place.</w:t>
      </w:r>
    </w:p>
    <w:p w14:paraId="25405D97" w14:textId="77777777" w:rsidR="00131660" w:rsidRPr="00054033" w:rsidRDefault="00131660" w:rsidP="00FF4A2C">
      <w:pPr>
        <w:rPr>
          <w:rFonts w:eastAsiaTheme="minorHAnsi"/>
        </w:rPr>
      </w:pPr>
    </w:p>
    <w:tbl>
      <w:tblPr>
        <w:tblW w:w="982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148"/>
        <w:gridCol w:w="2653"/>
        <w:gridCol w:w="2024"/>
      </w:tblGrid>
      <w:tr w:rsidR="00FF4A2C" w:rsidRPr="00054033" w14:paraId="181F9107" w14:textId="77777777" w:rsidTr="00A87137">
        <w:trPr>
          <w:trHeight w:val="564"/>
        </w:trPr>
        <w:tc>
          <w:tcPr>
            <w:tcW w:w="5148" w:type="dxa"/>
            <w:shd w:val="clear" w:color="auto" w:fill="005677"/>
            <w:vAlign w:val="center"/>
          </w:tcPr>
          <w:p w14:paraId="31532739" w14:textId="77777777" w:rsidR="00FF4A2C" w:rsidRPr="008D164F" w:rsidRDefault="00FF4A2C" w:rsidP="00A87137">
            <w:pPr>
              <w:spacing w:before="60" w:after="60"/>
              <w:jc w:val="center"/>
              <w:rPr>
                <w:rFonts w:eastAsiaTheme="minorHAnsi"/>
                <w:b/>
                <w:bCs/>
                <w:color w:val="FFFFFF" w:themeColor="background1"/>
                <w:sz w:val="20"/>
                <w:szCs w:val="20"/>
              </w:rPr>
            </w:pPr>
            <w:r w:rsidRPr="008D164F">
              <w:rPr>
                <w:rFonts w:eastAsiaTheme="minorHAnsi"/>
                <w:b/>
                <w:bCs/>
                <w:color w:val="FFFFFF" w:themeColor="background1"/>
                <w:sz w:val="20"/>
                <w:szCs w:val="20"/>
              </w:rPr>
              <w:t>Reform</w:t>
            </w:r>
          </w:p>
        </w:tc>
        <w:tc>
          <w:tcPr>
            <w:tcW w:w="2653" w:type="dxa"/>
            <w:shd w:val="clear" w:color="auto" w:fill="005677"/>
            <w:vAlign w:val="center"/>
          </w:tcPr>
          <w:p w14:paraId="5E14867A" w14:textId="77777777" w:rsidR="00FF4A2C" w:rsidRPr="008D164F" w:rsidRDefault="00FF4A2C" w:rsidP="00A87137">
            <w:pPr>
              <w:spacing w:before="60" w:after="60"/>
              <w:jc w:val="center"/>
              <w:rPr>
                <w:rFonts w:eastAsiaTheme="minorHAnsi"/>
                <w:b/>
                <w:bCs/>
                <w:color w:val="FFFFFF" w:themeColor="background1"/>
                <w:sz w:val="20"/>
                <w:szCs w:val="20"/>
              </w:rPr>
            </w:pPr>
            <w:r w:rsidRPr="008D164F">
              <w:rPr>
                <w:rFonts w:eastAsiaTheme="minorHAnsi"/>
                <w:b/>
                <w:bCs/>
                <w:color w:val="FFFFFF" w:themeColor="background1"/>
                <w:sz w:val="20"/>
                <w:szCs w:val="20"/>
              </w:rPr>
              <w:t>Associated recommendation</w:t>
            </w:r>
          </w:p>
        </w:tc>
        <w:tc>
          <w:tcPr>
            <w:tcW w:w="2024" w:type="dxa"/>
            <w:shd w:val="clear" w:color="auto" w:fill="005677"/>
            <w:vAlign w:val="center"/>
          </w:tcPr>
          <w:p w14:paraId="5477EF2E" w14:textId="77777777" w:rsidR="00FF4A2C" w:rsidRPr="008D164F" w:rsidRDefault="00FF4A2C" w:rsidP="00A87137">
            <w:pPr>
              <w:spacing w:before="60" w:after="60"/>
              <w:jc w:val="center"/>
              <w:rPr>
                <w:rFonts w:eastAsiaTheme="minorHAnsi"/>
                <w:b/>
                <w:bCs/>
                <w:color w:val="FFFFFF" w:themeColor="background1"/>
                <w:sz w:val="20"/>
                <w:szCs w:val="20"/>
              </w:rPr>
            </w:pPr>
            <w:r w:rsidRPr="008D164F">
              <w:rPr>
                <w:rFonts w:eastAsiaTheme="minorHAnsi"/>
                <w:b/>
                <w:bCs/>
                <w:color w:val="FFFFFF" w:themeColor="background1"/>
                <w:sz w:val="20"/>
                <w:szCs w:val="20"/>
              </w:rPr>
              <w:t>Timeframe</w:t>
            </w:r>
          </w:p>
        </w:tc>
      </w:tr>
      <w:tr w:rsidR="00FF4A2C" w:rsidRPr="00054033" w14:paraId="0763FA3B" w14:textId="77777777" w:rsidTr="00A87137">
        <w:tc>
          <w:tcPr>
            <w:tcW w:w="5148" w:type="dxa"/>
            <w:shd w:val="clear" w:color="auto" w:fill="F2F2F2" w:themeFill="background1" w:themeFillShade="F2"/>
            <w:vAlign w:val="center"/>
          </w:tcPr>
          <w:p w14:paraId="0E0B80CE" w14:textId="77777777" w:rsidR="00FF4A2C" w:rsidRPr="008D164F" w:rsidRDefault="00FF4A2C" w:rsidP="00A87137">
            <w:pPr>
              <w:spacing w:before="60" w:after="60"/>
              <w:rPr>
                <w:rFonts w:eastAsiaTheme="minorHAnsi"/>
                <w:sz w:val="20"/>
                <w:szCs w:val="20"/>
              </w:rPr>
            </w:pPr>
            <w:r w:rsidRPr="008D164F">
              <w:rPr>
                <w:rFonts w:eastAsiaTheme="minorHAnsi"/>
                <w:sz w:val="20"/>
                <w:szCs w:val="20"/>
              </w:rPr>
              <w:t>Registration and training of practitioners</w:t>
            </w:r>
          </w:p>
        </w:tc>
        <w:tc>
          <w:tcPr>
            <w:tcW w:w="2653" w:type="dxa"/>
            <w:shd w:val="clear" w:color="auto" w:fill="auto"/>
            <w:vAlign w:val="center"/>
          </w:tcPr>
          <w:p w14:paraId="6A590858"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1, 2, 3 and 4</w:t>
            </w:r>
          </w:p>
        </w:tc>
        <w:tc>
          <w:tcPr>
            <w:tcW w:w="2024" w:type="dxa"/>
            <w:shd w:val="clear" w:color="auto" w:fill="auto"/>
            <w:vAlign w:val="center"/>
          </w:tcPr>
          <w:p w14:paraId="74A209EF"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Long-term</w:t>
            </w:r>
          </w:p>
        </w:tc>
      </w:tr>
      <w:tr w:rsidR="00FF4A2C" w:rsidRPr="00054033" w14:paraId="3F2EFD84" w14:textId="77777777" w:rsidTr="00A87137">
        <w:tc>
          <w:tcPr>
            <w:tcW w:w="5148" w:type="dxa"/>
            <w:shd w:val="clear" w:color="auto" w:fill="F2F2F2" w:themeFill="background1" w:themeFillShade="F2"/>
            <w:vAlign w:val="center"/>
          </w:tcPr>
          <w:p w14:paraId="21836C32" w14:textId="77777777" w:rsidR="00FF4A2C" w:rsidRPr="008D164F" w:rsidRDefault="00FF4A2C" w:rsidP="00A87137">
            <w:pPr>
              <w:spacing w:before="60" w:after="60"/>
              <w:rPr>
                <w:rFonts w:eastAsiaTheme="minorHAnsi"/>
                <w:sz w:val="20"/>
                <w:szCs w:val="20"/>
              </w:rPr>
            </w:pPr>
            <w:r w:rsidRPr="008D164F">
              <w:rPr>
                <w:rFonts w:eastAsiaTheme="minorHAnsi"/>
                <w:sz w:val="20"/>
                <w:szCs w:val="20"/>
              </w:rPr>
              <w:t>Roles and responsibilities of regulators</w:t>
            </w:r>
          </w:p>
        </w:tc>
        <w:tc>
          <w:tcPr>
            <w:tcW w:w="2653" w:type="dxa"/>
            <w:shd w:val="clear" w:color="auto" w:fill="auto"/>
            <w:vAlign w:val="center"/>
          </w:tcPr>
          <w:p w14:paraId="49DA8DEF"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7</w:t>
            </w:r>
          </w:p>
        </w:tc>
        <w:tc>
          <w:tcPr>
            <w:tcW w:w="2024" w:type="dxa"/>
            <w:shd w:val="clear" w:color="auto" w:fill="auto"/>
            <w:vAlign w:val="center"/>
          </w:tcPr>
          <w:p w14:paraId="6083E682"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Long-term</w:t>
            </w:r>
          </w:p>
        </w:tc>
      </w:tr>
      <w:tr w:rsidR="00FF4A2C" w:rsidRPr="00054033" w14:paraId="39607FD5" w14:textId="77777777" w:rsidTr="00A87137">
        <w:tc>
          <w:tcPr>
            <w:tcW w:w="5148" w:type="dxa"/>
            <w:shd w:val="clear" w:color="auto" w:fill="F2F2F2" w:themeFill="background1" w:themeFillShade="F2"/>
            <w:vAlign w:val="center"/>
          </w:tcPr>
          <w:p w14:paraId="08C08733" w14:textId="77777777" w:rsidR="00FF4A2C" w:rsidRPr="008D164F" w:rsidRDefault="00FF4A2C" w:rsidP="00A87137">
            <w:pPr>
              <w:spacing w:before="60" w:after="60"/>
              <w:rPr>
                <w:rFonts w:eastAsiaTheme="minorHAnsi"/>
                <w:sz w:val="20"/>
                <w:szCs w:val="20"/>
              </w:rPr>
            </w:pPr>
            <w:r w:rsidRPr="008D164F">
              <w:rPr>
                <w:rFonts w:eastAsiaTheme="minorHAnsi"/>
                <w:sz w:val="20"/>
                <w:szCs w:val="20"/>
              </w:rPr>
              <w:t>Integrity of building certifiers</w:t>
            </w:r>
          </w:p>
        </w:tc>
        <w:tc>
          <w:tcPr>
            <w:tcW w:w="2653" w:type="dxa"/>
            <w:shd w:val="clear" w:color="auto" w:fill="auto"/>
            <w:vAlign w:val="center"/>
          </w:tcPr>
          <w:p w14:paraId="5D0F65A0"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9 and 11</w:t>
            </w:r>
          </w:p>
        </w:tc>
        <w:tc>
          <w:tcPr>
            <w:tcW w:w="2024" w:type="dxa"/>
            <w:shd w:val="clear" w:color="auto" w:fill="auto"/>
            <w:vAlign w:val="center"/>
          </w:tcPr>
          <w:p w14:paraId="32BA8A83"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Long-term</w:t>
            </w:r>
          </w:p>
        </w:tc>
      </w:tr>
      <w:tr w:rsidR="00FF4A2C" w:rsidRPr="00054033" w14:paraId="521FC8C0" w14:textId="77777777" w:rsidTr="00A87137">
        <w:tc>
          <w:tcPr>
            <w:tcW w:w="5148" w:type="dxa"/>
            <w:shd w:val="clear" w:color="auto" w:fill="F2F2F2" w:themeFill="background1" w:themeFillShade="F2"/>
            <w:vAlign w:val="center"/>
          </w:tcPr>
          <w:p w14:paraId="4614E9B7" w14:textId="77777777" w:rsidR="00FF4A2C" w:rsidRPr="008D164F" w:rsidRDefault="00FF4A2C" w:rsidP="00A87137">
            <w:pPr>
              <w:spacing w:before="60" w:after="60"/>
              <w:rPr>
                <w:rFonts w:eastAsiaTheme="minorHAnsi"/>
                <w:sz w:val="20"/>
                <w:szCs w:val="20"/>
              </w:rPr>
            </w:pPr>
            <w:r w:rsidRPr="008D164F">
              <w:rPr>
                <w:rFonts w:eastAsiaTheme="minorHAnsi"/>
                <w:sz w:val="20"/>
                <w:szCs w:val="20"/>
              </w:rPr>
              <w:t>Adequacy of documentation and record keeping</w:t>
            </w:r>
          </w:p>
        </w:tc>
        <w:tc>
          <w:tcPr>
            <w:tcW w:w="2653" w:type="dxa"/>
            <w:shd w:val="clear" w:color="auto" w:fill="auto"/>
            <w:vAlign w:val="center"/>
          </w:tcPr>
          <w:p w14:paraId="2B56FB6E"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16 and 17</w:t>
            </w:r>
          </w:p>
        </w:tc>
        <w:tc>
          <w:tcPr>
            <w:tcW w:w="2024" w:type="dxa"/>
            <w:shd w:val="clear" w:color="auto" w:fill="auto"/>
            <w:vAlign w:val="center"/>
          </w:tcPr>
          <w:p w14:paraId="42F87EA8"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Long-term</w:t>
            </w:r>
          </w:p>
        </w:tc>
      </w:tr>
      <w:tr w:rsidR="00FF4A2C" w:rsidRPr="00054033" w14:paraId="7E8A0475" w14:textId="77777777" w:rsidTr="00A87137">
        <w:tc>
          <w:tcPr>
            <w:tcW w:w="5148" w:type="dxa"/>
            <w:shd w:val="clear" w:color="auto" w:fill="F2F2F2" w:themeFill="background1" w:themeFillShade="F2"/>
            <w:vAlign w:val="center"/>
          </w:tcPr>
          <w:p w14:paraId="28653FCC" w14:textId="77777777" w:rsidR="00FF4A2C" w:rsidRPr="008D164F" w:rsidRDefault="00FF4A2C" w:rsidP="00A87137">
            <w:pPr>
              <w:spacing w:before="60" w:after="60"/>
              <w:rPr>
                <w:rFonts w:eastAsiaTheme="minorHAnsi"/>
                <w:sz w:val="20"/>
                <w:szCs w:val="20"/>
              </w:rPr>
            </w:pPr>
            <w:r w:rsidRPr="008D164F">
              <w:rPr>
                <w:rFonts w:eastAsiaTheme="minorHAnsi"/>
                <w:sz w:val="20"/>
                <w:szCs w:val="20"/>
              </w:rPr>
              <w:t>Inspection regimes</w:t>
            </w:r>
          </w:p>
        </w:tc>
        <w:tc>
          <w:tcPr>
            <w:tcW w:w="2653" w:type="dxa"/>
            <w:shd w:val="clear" w:color="auto" w:fill="auto"/>
            <w:vAlign w:val="center"/>
          </w:tcPr>
          <w:p w14:paraId="4F4D4AFA"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18 and 19</w:t>
            </w:r>
          </w:p>
        </w:tc>
        <w:tc>
          <w:tcPr>
            <w:tcW w:w="2024" w:type="dxa"/>
            <w:shd w:val="clear" w:color="auto" w:fill="auto"/>
            <w:vAlign w:val="center"/>
          </w:tcPr>
          <w:p w14:paraId="634238CD"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Long-term</w:t>
            </w:r>
          </w:p>
        </w:tc>
      </w:tr>
      <w:tr w:rsidR="00FF4A2C" w:rsidRPr="00054033" w14:paraId="55BECFAE" w14:textId="77777777" w:rsidTr="00A87137">
        <w:tc>
          <w:tcPr>
            <w:tcW w:w="5148" w:type="dxa"/>
            <w:shd w:val="clear" w:color="auto" w:fill="F2F2F2" w:themeFill="background1" w:themeFillShade="F2"/>
            <w:vAlign w:val="center"/>
          </w:tcPr>
          <w:p w14:paraId="0FDA039A" w14:textId="77777777" w:rsidR="00FF4A2C" w:rsidRPr="008D164F" w:rsidRDefault="00FF4A2C" w:rsidP="00A87137">
            <w:pPr>
              <w:spacing w:before="60" w:after="60"/>
              <w:rPr>
                <w:rFonts w:eastAsiaTheme="minorHAnsi"/>
                <w:sz w:val="20"/>
                <w:szCs w:val="20"/>
              </w:rPr>
            </w:pPr>
            <w:r w:rsidRPr="008D164F">
              <w:rPr>
                <w:rFonts w:eastAsiaTheme="minorHAnsi"/>
                <w:sz w:val="20"/>
                <w:szCs w:val="20"/>
              </w:rPr>
              <w:t>Post-construction information management</w:t>
            </w:r>
          </w:p>
        </w:tc>
        <w:tc>
          <w:tcPr>
            <w:tcW w:w="2653" w:type="dxa"/>
            <w:shd w:val="clear" w:color="auto" w:fill="auto"/>
            <w:vAlign w:val="center"/>
          </w:tcPr>
          <w:p w14:paraId="39C8F19A"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20</w:t>
            </w:r>
          </w:p>
        </w:tc>
        <w:tc>
          <w:tcPr>
            <w:tcW w:w="2024" w:type="dxa"/>
            <w:shd w:val="clear" w:color="auto" w:fill="auto"/>
            <w:vAlign w:val="center"/>
          </w:tcPr>
          <w:p w14:paraId="6CE985CC" w14:textId="77777777" w:rsidR="00FF4A2C" w:rsidRPr="008D164F" w:rsidRDefault="00FF4A2C" w:rsidP="00A87137">
            <w:pPr>
              <w:spacing w:before="60" w:after="60"/>
              <w:jc w:val="center"/>
              <w:rPr>
                <w:rFonts w:eastAsiaTheme="minorHAnsi"/>
                <w:sz w:val="20"/>
                <w:szCs w:val="20"/>
              </w:rPr>
            </w:pPr>
            <w:r w:rsidRPr="008D164F">
              <w:rPr>
                <w:rFonts w:eastAsiaTheme="minorHAnsi"/>
                <w:sz w:val="20"/>
                <w:szCs w:val="20"/>
              </w:rPr>
              <w:t>Long-term</w:t>
            </w:r>
          </w:p>
        </w:tc>
      </w:tr>
    </w:tbl>
    <w:p w14:paraId="143227B2" w14:textId="77777777" w:rsidR="00131660" w:rsidRDefault="00131660" w:rsidP="00FE0453"/>
    <w:p w14:paraId="63299734" w14:textId="77777777" w:rsidR="00FF4A2C" w:rsidRPr="00312BB8" w:rsidRDefault="00FF4A2C" w:rsidP="00FE0453">
      <w:pPr>
        <w:pStyle w:val="Heading2"/>
        <w:spacing w:before="159" w:after="240"/>
        <w:rPr>
          <w:color w:val="00283D"/>
        </w:rPr>
      </w:pPr>
      <w:r w:rsidRPr="00312BB8">
        <w:rPr>
          <w:color w:val="00283D"/>
        </w:rPr>
        <w:t>Next steps</w:t>
      </w:r>
    </w:p>
    <w:p w14:paraId="4D9A80EE" w14:textId="77777777" w:rsidR="00FF4A2C" w:rsidRDefault="00FF4A2C" w:rsidP="007155B5">
      <w:pPr>
        <w:pStyle w:val="BodyText"/>
      </w:pPr>
      <w:r w:rsidRPr="003F2587">
        <w:t xml:space="preserve">The Northern Territory Government has commenced analysis and policy development for the reforms identified above. </w:t>
      </w:r>
      <w:r w:rsidR="00312BB8" w:rsidRPr="003F2587">
        <w:t>C</w:t>
      </w:r>
      <w:r w:rsidRPr="003F2587">
        <w:t xml:space="preserve">onsultation </w:t>
      </w:r>
      <w:r w:rsidR="002D097E" w:rsidRPr="003F2587">
        <w:t>will continue with stakeholders through all phases of implementation</w:t>
      </w:r>
      <w:r w:rsidRPr="003F2587">
        <w:t>.</w:t>
      </w:r>
    </w:p>
    <w:p w14:paraId="3B50F889" w14:textId="77777777" w:rsidR="00FF4A2C" w:rsidRDefault="00FF4A2C" w:rsidP="00FF4A2C">
      <w:pPr>
        <w:spacing w:line="259" w:lineRule="auto"/>
        <w:sectPr w:rsidR="00FF4A2C">
          <w:pgSz w:w="11910" w:h="16840"/>
          <w:pgMar w:top="1040" w:right="820" w:bottom="700" w:left="980" w:header="764" w:footer="505" w:gutter="0"/>
          <w:cols w:space="720"/>
        </w:sectPr>
      </w:pPr>
    </w:p>
    <w:p w14:paraId="2C5B83F3" w14:textId="2512A79D" w:rsidR="00FF4A2C" w:rsidRPr="007155B5" w:rsidRDefault="00FF4A2C" w:rsidP="007155B5">
      <w:pPr>
        <w:pStyle w:val="Heading1"/>
      </w:pPr>
      <w:bookmarkStart w:id="15" w:name="_Toc27738660"/>
      <w:r w:rsidRPr="007155B5">
        <w:lastRenderedPageBreak/>
        <w:t>Australian Building Codes Board (ABCB)</w:t>
      </w:r>
      <w:bookmarkEnd w:id="15"/>
    </w:p>
    <w:p w14:paraId="4DE1D57F" w14:textId="7A1CBFEB" w:rsidR="00FF4A2C" w:rsidRPr="007155B5" w:rsidRDefault="007155B5" w:rsidP="007155B5">
      <w:pPr>
        <w:pStyle w:val="Heading2"/>
      </w:pPr>
      <w:r>
        <w:t>Update o</w:t>
      </w:r>
      <w:r w:rsidR="00FF4A2C" w:rsidRPr="007155B5">
        <w:t>verview</w:t>
      </w:r>
    </w:p>
    <w:p w14:paraId="6BC84944" w14:textId="6C6ECE4C" w:rsidR="00676C75" w:rsidRPr="007155B5" w:rsidRDefault="00F93C05" w:rsidP="007155B5">
      <w:pPr>
        <w:pStyle w:val="BodyText"/>
      </w:pPr>
      <w:r w:rsidRPr="007155B5">
        <w:t>The</w:t>
      </w:r>
      <w:r w:rsidR="00676C75" w:rsidRPr="007155B5">
        <w:t xml:space="preserve"> BMF at its meeting on 18 July 2019, established an Implementation Team as part of the ABCB, to develop and publicly report on a national framework for the consistent implementation of the recommendations of the BCR, as well as the design, construction and certification of complex buildings.</w:t>
      </w:r>
    </w:p>
    <w:p w14:paraId="7DAFB7A0" w14:textId="77777777" w:rsidR="00676C75" w:rsidRPr="007155B5" w:rsidRDefault="00676C75" w:rsidP="007155B5">
      <w:pPr>
        <w:pStyle w:val="BodyText"/>
      </w:pPr>
      <w:r w:rsidRPr="007155B5">
        <w:t xml:space="preserve">The BCR Implementation Team has now been established within the ABCB and the BMF has agreed to a BCR National Framework available on the ABCB website, as well as a recast Strategic Plan and a revised Business Plan for the ABCB </w:t>
      </w:r>
      <w:r w:rsidR="00171846" w:rsidRPr="007155B5">
        <w:t xml:space="preserve">to </w:t>
      </w:r>
      <w:r w:rsidRPr="007155B5">
        <w:t>reflect the challenges needing to be addressed in implementing the recommendations of the BCR.</w:t>
      </w:r>
    </w:p>
    <w:p w14:paraId="59247421" w14:textId="77777777" w:rsidR="00676C75" w:rsidRPr="007155B5" w:rsidRDefault="00676C75" w:rsidP="007155B5">
      <w:pPr>
        <w:pStyle w:val="BodyText"/>
      </w:pPr>
      <w:r w:rsidRPr="007155B5">
        <w:t>As one of the functions of the BCR Implementation Team is to publicly report on the BCR National Framework and in order to remove confusion, the work of the ABCB in respect to the BCR will occur separately, noting that this is occurring in coordination with the individual activities of the States and Territories.</w:t>
      </w:r>
    </w:p>
    <w:sectPr w:rsidR="00676C75" w:rsidRPr="007155B5">
      <w:pgSz w:w="11910" w:h="16840"/>
      <w:pgMar w:top="1040" w:right="720" w:bottom="700" w:left="980" w:header="764"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860C" w14:textId="77777777" w:rsidR="00604DE8" w:rsidRDefault="00604DE8">
      <w:r>
        <w:separator/>
      </w:r>
    </w:p>
    <w:p w14:paraId="4584E8BF" w14:textId="77777777" w:rsidR="00604DE8" w:rsidRDefault="00604DE8"/>
  </w:endnote>
  <w:endnote w:type="continuationSeparator" w:id="0">
    <w:p w14:paraId="34EBF822" w14:textId="77777777" w:rsidR="00604DE8" w:rsidRDefault="00604DE8">
      <w:r>
        <w:continuationSeparator/>
      </w:r>
    </w:p>
    <w:p w14:paraId="0E5681DA" w14:textId="77777777" w:rsidR="00604DE8" w:rsidRDefault="00604DE8"/>
  </w:endnote>
  <w:endnote w:type="continuationNotice" w:id="1">
    <w:p w14:paraId="61AFBBD7" w14:textId="77777777" w:rsidR="00604DE8" w:rsidRDefault="00604DE8"/>
    <w:p w14:paraId="502623C2" w14:textId="77777777" w:rsidR="00604DE8" w:rsidRDefault="00604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45AA" w14:textId="77777777" w:rsidR="00604DE8" w:rsidRDefault="00604DE8" w:rsidP="00067D39">
    <w:pPr>
      <w:pStyle w:val="Footer"/>
    </w:pPr>
  </w:p>
  <w:p w14:paraId="601D4B58" w14:textId="5CBDA995" w:rsidR="00604DE8" w:rsidRDefault="00604DE8" w:rsidP="00067D39">
    <w:pPr>
      <w:pStyle w:val="Footer"/>
      <w:rPr>
        <w:noProof/>
      </w:rPr>
    </w:pPr>
    <w:r w:rsidRPr="00A96FF6">
      <w:t xml:space="preserve"> </w:t>
    </w:r>
    <w:sdt>
      <w:sdtPr>
        <w:alias w:val="Title"/>
        <w:tag w:val=""/>
        <w:id w:val="934324428"/>
        <w:placeholder>
          <w:docPart w:val="667F3E9CC89742B7B88E522C31652B94"/>
        </w:placeholder>
        <w:dataBinding w:prefixMappings="xmlns:ns0='http://purl.org/dc/elements/1.1/' xmlns:ns1='http://schemas.openxmlformats.org/package/2006/metadata/core-properties' " w:xpath="/ns1:coreProperties[1]/ns0:title[1]" w:storeItemID="{6C3C8BC8-F283-45AE-878A-BAB7291924A1}"/>
        <w:text/>
      </w:sdtPr>
      <w:sdtEndPr/>
      <w:sdtContent>
        <w:r w:rsidR="00FB4EAC">
          <w:t>Building Confidence Report: Jurisdictional Update</w:t>
        </w:r>
      </w:sdtContent>
    </w:sdt>
    <w:r>
      <w:tab/>
    </w:r>
    <w:sdt>
      <w:sdtPr>
        <w:id w:val="-94603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1112E">
          <w:rPr>
            <w:noProof/>
          </w:rPr>
          <w:t>2</w:t>
        </w:r>
        <w:r>
          <w:rPr>
            <w:noProof/>
          </w:rPr>
          <w:fldChar w:fldCharType="end"/>
        </w:r>
      </w:sdtContent>
    </w:sdt>
  </w:p>
  <w:p w14:paraId="2048A15D" w14:textId="31EF0A90" w:rsidR="00604DE8" w:rsidRDefault="00604DE8" w:rsidP="0032060F">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ACE0" w14:textId="637DA19F" w:rsidR="00604DE8" w:rsidRPr="00FA196A" w:rsidRDefault="00604DE8" w:rsidP="005C4E2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CE17" w14:textId="77777777" w:rsidR="00604DE8" w:rsidRDefault="00604DE8" w:rsidP="00067D39">
    <w:pPr>
      <w:pStyle w:val="Footer"/>
    </w:pPr>
  </w:p>
  <w:p w14:paraId="6CA7FCAA" w14:textId="0D2319A3" w:rsidR="00604DE8" w:rsidRPr="00067D39" w:rsidRDefault="00604DE8" w:rsidP="00067D39">
    <w:pPr>
      <w:pStyle w:val="Footer"/>
      <w:rPr>
        <w:noProof/>
      </w:rPr>
    </w:pPr>
    <w:r w:rsidRPr="00A96FF6">
      <w:t xml:space="preserve"> </w:t>
    </w:r>
    <w:sdt>
      <w:sdtPr>
        <w:alias w:val="Title"/>
        <w:tag w:val=""/>
        <w:id w:val="2113392519"/>
        <w:placeholder>
          <w:docPart w:val="7671AD7347E8425DB59C1C451075E359"/>
        </w:placeholder>
        <w:dataBinding w:prefixMappings="xmlns:ns0='http://purl.org/dc/elements/1.1/' xmlns:ns1='http://schemas.openxmlformats.org/package/2006/metadata/core-properties' " w:xpath="/ns1:coreProperties[1]/ns0:title[1]" w:storeItemID="{6C3C8BC8-F283-45AE-878A-BAB7291924A1}"/>
        <w:text/>
      </w:sdtPr>
      <w:sdtEndPr/>
      <w:sdtContent>
        <w:r w:rsidR="00FB4EAC">
          <w:t>Building Confidence Report: Jurisdictional Update</w:t>
        </w:r>
      </w:sdtContent>
    </w:sdt>
    <w:r>
      <w:tab/>
    </w:r>
    <w:sdt>
      <w:sdtPr>
        <w:id w:val="-697542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1112E">
          <w:rPr>
            <w:noProof/>
          </w:rPr>
          <w:t>20</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7E01" w14:textId="77777777" w:rsidR="00604DE8" w:rsidRDefault="00604DE8" w:rsidP="00A96FF6">
    <w:pPr>
      <w:pStyle w:val="Footer"/>
    </w:pPr>
  </w:p>
  <w:p w14:paraId="5C96B5ED" w14:textId="4224C83F" w:rsidR="00604DE8" w:rsidRDefault="00604DE8" w:rsidP="00A96FF6">
    <w:pPr>
      <w:pStyle w:val="Footer"/>
      <w:rPr>
        <w:noProof/>
      </w:rPr>
    </w:pPr>
    <w:r w:rsidRPr="00A96FF6">
      <w:t xml:space="preserve"> </w:t>
    </w:r>
    <w:sdt>
      <w:sdtPr>
        <w:alias w:val="Title"/>
        <w:tag w:val=""/>
        <w:id w:val="-927260502"/>
        <w:placeholder>
          <w:docPart w:val="50E37FD5C64E474D8E11D565F696542F"/>
        </w:placeholder>
        <w:dataBinding w:prefixMappings="xmlns:ns0='http://purl.org/dc/elements/1.1/' xmlns:ns1='http://schemas.openxmlformats.org/package/2006/metadata/core-properties' " w:xpath="/ns1:coreProperties[1]/ns0:title[1]" w:storeItemID="{6C3C8BC8-F283-45AE-878A-BAB7291924A1}"/>
        <w:text/>
      </w:sdtPr>
      <w:sdtEndPr/>
      <w:sdtContent>
        <w:r w:rsidR="00FB4EAC">
          <w:t>Building Confidence Report: Jurisdictional Update</w:t>
        </w:r>
      </w:sdtContent>
    </w:sdt>
    <w:r>
      <w:tab/>
    </w:r>
    <w:sdt>
      <w:sdtPr>
        <w:id w:val="17887739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1112E">
          <w:rPr>
            <w:noProof/>
          </w:rPr>
          <w:t>23</w:t>
        </w:r>
        <w:r>
          <w:rPr>
            <w:noProof/>
          </w:rPr>
          <w:fldChar w:fldCharType="end"/>
        </w:r>
      </w:sdtContent>
    </w:sdt>
  </w:p>
  <w:p w14:paraId="02B45280" w14:textId="552F6D8E" w:rsidR="00604DE8" w:rsidRDefault="00604DE8" w:rsidP="0032060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6C96" w14:textId="77777777" w:rsidR="00604DE8" w:rsidRDefault="00604DE8">
      <w:r>
        <w:separator/>
      </w:r>
    </w:p>
    <w:p w14:paraId="21427C7F" w14:textId="77777777" w:rsidR="00604DE8" w:rsidRDefault="00604DE8"/>
  </w:footnote>
  <w:footnote w:type="continuationSeparator" w:id="0">
    <w:p w14:paraId="36C300F3" w14:textId="77777777" w:rsidR="00604DE8" w:rsidRDefault="00604DE8">
      <w:r>
        <w:continuationSeparator/>
      </w:r>
    </w:p>
    <w:p w14:paraId="4CA86AB6" w14:textId="77777777" w:rsidR="00604DE8" w:rsidRDefault="00604DE8"/>
  </w:footnote>
  <w:footnote w:type="continuationNotice" w:id="1">
    <w:p w14:paraId="3E10D3C6" w14:textId="77777777" w:rsidR="00604DE8" w:rsidRDefault="00604DE8"/>
    <w:p w14:paraId="2B125D84" w14:textId="77777777" w:rsidR="00604DE8" w:rsidRDefault="00604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8ABA" w14:textId="7FF53D9D" w:rsidR="00604DE8" w:rsidRDefault="00604DE8" w:rsidP="0032060F">
    <w:pPr>
      <w:pStyle w:val="Body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812E" w14:textId="4940D3DA" w:rsidR="00604DE8" w:rsidRPr="0032060F" w:rsidRDefault="00604DE8" w:rsidP="0032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428"/>
    <w:multiLevelType w:val="hybridMultilevel"/>
    <w:tmpl w:val="14DA5E2C"/>
    <w:lvl w:ilvl="0" w:tplc="BF9AF48A">
      <w:start w:val="1"/>
      <w:numFmt w:val="decimal"/>
      <w:lvlText w:val="%1."/>
      <w:lvlJc w:val="left"/>
      <w:pPr>
        <w:ind w:left="720" w:hanging="360"/>
      </w:pPr>
      <w:rPr>
        <w:rFonts w:hint="default"/>
        <w:color w:val="00283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76541"/>
    <w:multiLevelType w:val="hybridMultilevel"/>
    <w:tmpl w:val="62024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F51EE7"/>
    <w:multiLevelType w:val="hybridMultilevel"/>
    <w:tmpl w:val="98847A58"/>
    <w:lvl w:ilvl="0" w:tplc="05B40F2C">
      <w:start w:val="2"/>
      <w:numFmt w:val="decimal"/>
      <w:lvlText w:val="%1."/>
      <w:lvlJc w:val="left"/>
      <w:pPr>
        <w:ind w:left="475" w:hanging="360"/>
      </w:pPr>
      <w:rPr>
        <w:rFonts w:ascii="Arial" w:eastAsia="Arial" w:hAnsi="Arial" w:cs="Arial" w:hint="default"/>
        <w:spacing w:val="-1"/>
        <w:w w:val="100"/>
        <w:sz w:val="22"/>
        <w:szCs w:val="22"/>
      </w:rPr>
    </w:lvl>
    <w:lvl w:ilvl="1" w:tplc="895C051A">
      <w:numFmt w:val="bullet"/>
      <w:lvlText w:val=""/>
      <w:lvlJc w:val="left"/>
      <w:pPr>
        <w:ind w:left="835" w:hanging="360"/>
      </w:pPr>
      <w:rPr>
        <w:rFonts w:ascii="Symbol" w:eastAsia="Symbol" w:hAnsi="Symbol" w:cs="Symbol" w:hint="default"/>
        <w:w w:val="100"/>
        <w:sz w:val="22"/>
        <w:szCs w:val="22"/>
      </w:rPr>
    </w:lvl>
    <w:lvl w:ilvl="2" w:tplc="21A87B78">
      <w:numFmt w:val="bullet"/>
      <w:lvlText w:val="•"/>
      <w:lvlJc w:val="left"/>
      <w:pPr>
        <w:ind w:left="1722" w:hanging="360"/>
      </w:pPr>
      <w:rPr>
        <w:rFonts w:hint="default"/>
      </w:rPr>
    </w:lvl>
    <w:lvl w:ilvl="3" w:tplc="14FECEEC">
      <w:numFmt w:val="bullet"/>
      <w:lvlText w:val="•"/>
      <w:lvlJc w:val="left"/>
      <w:pPr>
        <w:ind w:left="2604" w:hanging="360"/>
      </w:pPr>
      <w:rPr>
        <w:rFonts w:hint="default"/>
      </w:rPr>
    </w:lvl>
    <w:lvl w:ilvl="4" w:tplc="E71E0C4C">
      <w:numFmt w:val="bullet"/>
      <w:lvlText w:val="•"/>
      <w:lvlJc w:val="left"/>
      <w:pPr>
        <w:ind w:left="3487" w:hanging="360"/>
      </w:pPr>
      <w:rPr>
        <w:rFonts w:hint="default"/>
      </w:rPr>
    </w:lvl>
    <w:lvl w:ilvl="5" w:tplc="082E388E">
      <w:numFmt w:val="bullet"/>
      <w:lvlText w:val="•"/>
      <w:lvlJc w:val="left"/>
      <w:pPr>
        <w:ind w:left="4369" w:hanging="360"/>
      </w:pPr>
      <w:rPr>
        <w:rFonts w:hint="default"/>
      </w:rPr>
    </w:lvl>
    <w:lvl w:ilvl="6" w:tplc="1ACE9ED0">
      <w:numFmt w:val="bullet"/>
      <w:lvlText w:val="•"/>
      <w:lvlJc w:val="left"/>
      <w:pPr>
        <w:ind w:left="5251" w:hanging="360"/>
      </w:pPr>
      <w:rPr>
        <w:rFonts w:hint="default"/>
      </w:rPr>
    </w:lvl>
    <w:lvl w:ilvl="7" w:tplc="FCFC1726">
      <w:numFmt w:val="bullet"/>
      <w:lvlText w:val="•"/>
      <w:lvlJc w:val="left"/>
      <w:pPr>
        <w:ind w:left="6134" w:hanging="360"/>
      </w:pPr>
      <w:rPr>
        <w:rFonts w:hint="default"/>
      </w:rPr>
    </w:lvl>
    <w:lvl w:ilvl="8" w:tplc="766EFAD8">
      <w:numFmt w:val="bullet"/>
      <w:lvlText w:val="•"/>
      <w:lvlJc w:val="left"/>
      <w:pPr>
        <w:ind w:left="7016" w:hanging="360"/>
      </w:pPr>
      <w:rPr>
        <w:rFonts w:hint="default"/>
      </w:rPr>
    </w:lvl>
  </w:abstractNum>
  <w:abstractNum w:abstractNumId="3" w15:restartNumberingAfterBreak="0">
    <w:nsid w:val="0A440A8D"/>
    <w:multiLevelType w:val="hybridMultilevel"/>
    <w:tmpl w:val="D0ECA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B05C8"/>
    <w:multiLevelType w:val="hybridMultilevel"/>
    <w:tmpl w:val="FA308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4E73C2"/>
    <w:multiLevelType w:val="hybridMultilevel"/>
    <w:tmpl w:val="3CA0251A"/>
    <w:lvl w:ilvl="0" w:tplc="A8A65D8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AE2066"/>
    <w:multiLevelType w:val="hybridMultilevel"/>
    <w:tmpl w:val="577E1378"/>
    <w:lvl w:ilvl="0" w:tplc="2550C0C4">
      <w:numFmt w:val="bullet"/>
      <w:lvlText w:val=""/>
      <w:lvlJc w:val="left"/>
      <w:pPr>
        <w:ind w:left="1131" w:hanging="428"/>
      </w:pPr>
      <w:rPr>
        <w:rFonts w:ascii="Symbol" w:eastAsia="Symbol" w:hAnsi="Symbol" w:cs="Symbol" w:hint="default"/>
        <w:w w:val="100"/>
        <w:sz w:val="22"/>
        <w:szCs w:val="22"/>
      </w:rPr>
    </w:lvl>
    <w:lvl w:ilvl="1" w:tplc="BDC842AC">
      <w:numFmt w:val="bullet"/>
      <w:lvlText w:val="•"/>
      <w:lvlJc w:val="left"/>
      <w:pPr>
        <w:ind w:left="2080" w:hanging="428"/>
      </w:pPr>
      <w:rPr>
        <w:rFonts w:hint="default"/>
      </w:rPr>
    </w:lvl>
    <w:lvl w:ilvl="2" w:tplc="4AC4D524">
      <w:numFmt w:val="bullet"/>
      <w:lvlText w:val="•"/>
      <w:lvlJc w:val="left"/>
      <w:pPr>
        <w:ind w:left="3032" w:hanging="428"/>
      </w:pPr>
      <w:rPr>
        <w:rFonts w:hint="default"/>
      </w:rPr>
    </w:lvl>
    <w:lvl w:ilvl="3" w:tplc="5E2C3F2A">
      <w:numFmt w:val="bullet"/>
      <w:lvlText w:val="•"/>
      <w:lvlJc w:val="left"/>
      <w:pPr>
        <w:ind w:left="3985" w:hanging="428"/>
      </w:pPr>
      <w:rPr>
        <w:rFonts w:hint="default"/>
      </w:rPr>
    </w:lvl>
    <w:lvl w:ilvl="4" w:tplc="A89AC616">
      <w:numFmt w:val="bullet"/>
      <w:lvlText w:val="•"/>
      <w:lvlJc w:val="left"/>
      <w:pPr>
        <w:ind w:left="4937" w:hanging="428"/>
      </w:pPr>
      <w:rPr>
        <w:rFonts w:hint="default"/>
      </w:rPr>
    </w:lvl>
    <w:lvl w:ilvl="5" w:tplc="D47640EE">
      <w:numFmt w:val="bullet"/>
      <w:lvlText w:val="•"/>
      <w:lvlJc w:val="left"/>
      <w:pPr>
        <w:ind w:left="5890" w:hanging="428"/>
      </w:pPr>
      <w:rPr>
        <w:rFonts w:hint="default"/>
      </w:rPr>
    </w:lvl>
    <w:lvl w:ilvl="6" w:tplc="3F0ACE1E">
      <w:numFmt w:val="bullet"/>
      <w:lvlText w:val="•"/>
      <w:lvlJc w:val="left"/>
      <w:pPr>
        <w:ind w:left="6842" w:hanging="428"/>
      </w:pPr>
      <w:rPr>
        <w:rFonts w:hint="default"/>
      </w:rPr>
    </w:lvl>
    <w:lvl w:ilvl="7" w:tplc="0BD2D2E6">
      <w:numFmt w:val="bullet"/>
      <w:lvlText w:val="•"/>
      <w:lvlJc w:val="left"/>
      <w:pPr>
        <w:ind w:left="7795" w:hanging="428"/>
      </w:pPr>
      <w:rPr>
        <w:rFonts w:hint="default"/>
      </w:rPr>
    </w:lvl>
    <w:lvl w:ilvl="8" w:tplc="4118A214">
      <w:numFmt w:val="bullet"/>
      <w:lvlText w:val="•"/>
      <w:lvlJc w:val="left"/>
      <w:pPr>
        <w:ind w:left="8747" w:hanging="428"/>
      </w:pPr>
      <w:rPr>
        <w:rFonts w:hint="default"/>
      </w:rPr>
    </w:lvl>
  </w:abstractNum>
  <w:abstractNum w:abstractNumId="7" w15:restartNumberingAfterBreak="0">
    <w:nsid w:val="1D0E494C"/>
    <w:multiLevelType w:val="hybridMultilevel"/>
    <w:tmpl w:val="ABDCB21A"/>
    <w:lvl w:ilvl="0" w:tplc="0EF6659C">
      <w:start w:val="1"/>
      <w:numFmt w:val="bullet"/>
      <w:pStyle w:val="ListBullet"/>
      <w:lvlText w:val=""/>
      <w:lvlJc w:val="left"/>
      <w:pPr>
        <w:tabs>
          <w:tab w:val="num" w:pos="2040"/>
        </w:tabs>
        <w:ind w:left="2040" w:hanging="340"/>
      </w:pPr>
      <w:rPr>
        <w:rFonts w:ascii="Symbol" w:hAnsi="Symbol" w:hint="default"/>
        <w:color w:val="auto"/>
        <w:sz w:val="22"/>
        <w:szCs w:val="22"/>
      </w:rPr>
    </w:lvl>
    <w:lvl w:ilvl="1" w:tplc="04090003">
      <w:start w:val="1"/>
      <w:numFmt w:val="bullet"/>
      <w:lvlText w:val="o"/>
      <w:lvlJc w:val="left"/>
      <w:pPr>
        <w:tabs>
          <w:tab w:val="num" w:pos="3140"/>
        </w:tabs>
        <w:ind w:left="3140" w:hanging="360"/>
      </w:pPr>
      <w:rPr>
        <w:rFonts w:ascii="Courier New" w:hAnsi="Courier New" w:cs="Times New Roman" w:hint="default"/>
      </w:rPr>
    </w:lvl>
    <w:lvl w:ilvl="2" w:tplc="04090005">
      <w:start w:val="1"/>
      <w:numFmt w:val="bullet"/>
      <w:lvlText w:val=""/>
      <w:lvlJc w:val="left"/>
      <w:pPr>
        <w:tabs>
          <w:tab w:val="num" w:pos="3860"/>
        </w:tabs>
        <w:ind w:left="3860" w:hanging="360"/>
      </w:pPr>
      <w:rPr>
        <w:rFonts w:ascii="Wingdings" w:hAnsi="Wingdings" w:hint="default"/>
      </w:rPr>
    </w:lvl>
    <w:lvl w:ilvl="3" w:tplc="04090001">
      <w:start w:val="1"/>
      <w:numFmt w:val="bullet"/>
      <w:lvlText w:val=""/>
      <w:lvlJc w:val="left"/>
      <w:pPr>
        <w:tabs>
          <w:tab w:val="num" w:pos="4580"/>
        </w:tabs>
        <w:ind w:left="4580" w:hanging="360"/>
      </w:pPr>
      <w:rPr>
        <w:rFonts w:ascii="Symbol" w:hAnsi="Symbol" w:hint="default"/>
      </w:rPr>
    </w:lvl>
    <w:lvl w:ilvl="4" w:tplc="04090003">
      <w:start w:val="1"/>
      <w:numFmt w:val="bullet"/>
      <w:lvlText w:val="o"/>
      <w:lvlJc w:val="left"/>
      <w:pPr>
        <w:tabs>
          <w:tab w:val="num" w:pos="5300"/>
        </w:tabs>
        <w:ind w:left="5300" w:hanging="360"/>
      </w:pPr>
      <w:rPr>
        <w:rFonts w:ascii="Courier New" w:hAnsi="Courier New" w:cs="Times New Roman" w:hint="default"/>
      </w:rPr>
    </w:lvl>
    <w:lvl w:ilvl="5" w:tplc="04090005">
      <w:start w:val="1"/>
      <w:numFmt w:val="bullet"/>
      <w:lvlText w:val=""/>
      <w:lvlJc w:val="left"/>
      <w:pPr>
        <w:tabs>
          <w:tab w:val="num" w:pos="6020"/>
        </w:tabs>
        <w:ind w:left="6020" w:hanging="360"/>
      </w:pPr>
      <w:rPr>
        <w:rFonts w:ascii="Wingdings" w:hAnsi="Wingdings" w:hint="default"/>
      </w:rPr>
    </w:lvl>
    <w:lvl w:ilvl="6" w:tplc="04090001">
      <w:start w:val="1"/>
      <w:numFmt w:val="bullet"/>
      <w:lvlText w:val=""/>
      <w:lvlJc w:val="left"/>
      <w:pPr>
        <w:tabs>
          <w:tab w:val="num" w:pos="6740"/>
        </w:tabs>
        <w:ind w:left="6740" w:hanging="360"/>
      </w:pPr>
      <w:rPr>
        <w:rFonts w:ascii="Symbol" w:hAnsi="Symbol" w:hint="default"/>
      </w:rPr>
    </w:lvl>
    <w:lvl w:ilvl="7" w:tplc="04090003">
      <w:start w:val="1"/>
      <w:numFmt w:val="bullet"/>
      <w:lvlText w:val="o"/>
      <w:lvlJc w:val="left"/>
      <w:pPr>
        <w:tabs>
          <w:tab w:val="num" w:pos="7460"/>
        </w:tabs>
        <w:ind w:left="7460" w:hanging="360"/>
      </w:pPr>
      <w:rPr>
        <w:rFonts w:ascii="Courier New" w:hAnsi="Courier New" w:cs="Times New Roman" w:hint="default"/>
      </w:rPr>
    </w:lvl>
    <w:lvl w:ilvl="8" w:tplc="04090005">
      <w:start w:val="1"/>
      <w:numFmt w:val="bullet"/>
      <w:lvlText w:val=""/>
      <w:lvlJc w:val="left"/>
      <w:pPr>
        <w:tabs>
          <w:tab w:val="num" w:pos="8180"/>
        </w:tabs>
        <w:ind w:left="8180" w:hanging="360"/>
      </w:pPr>
      <w:rPr>
        <w:rFonts w:ascii="Wingdings" w:hAnsi="Wingdings" w:hint="default"/>
      </w:rPr>
    </w:lvl>
  </w:abstractNum>
  <w:abstractNum w:abstractNumId="8" w15:restartNumberingAfterBreak="0">
    <w:nsid w:val="240A5739"/>
    <w:multiLevelType w:val="hybridMultilevel"/>
    <w:tmpl w:val="F68E567A"/>
    <w:lvl w:ilvl="0" w:tplc="D67CED84">
      <w:start w:val="1"/>
      <w:numFmt w:val="decimal"/>
      <w:lvlText w:val="%1."/>
      <w:lvlJc w:val="left"/>
      <w:pPr>
        <w:ind w:left="580" w:hanging="428"/>
      </w:pPr>
      <w:rPr>
        <w:rFonts w:ascii="Arial" w:eastAsia="Arial" w:hAnsi="Arial" w:cs="Arial" w:hint="default"/>
        <w:spacing w:val="-1"/>
        <w:w w:val="100"/>
        <w:sz w:val="22"/>
        <w:szCs w:val="22"/>
      </w:rPr>
    </w:lvl>
    <w:lvl w:ilvl="1" w:tplc="984ABC20">
      <w:numFmt w:val="bullet"/>
      <w:lvlText w:val="•"/>
      <w:lvlJc w:val="left"/>
      <w:pPr>
        <w:ind w:left="1504" w:hanging="428"/>
      </w:pPr>
      <w:rPr>
        <w:rFonts w:hint="default"/>
      </w:rPr>
    </w:lvl>
    <w:lvl w:ilvl="2" w:tplc="973A2C62">
      <w:numFmt w:val="bullet"/>
      <w:lvlText w:val="•"/>
      <w:lvlJc w:val="left"/>
      <w:pPr>
        <w:ind w:left="2428" w:hanging="428"/>
      </w:pPr>
      <w:rPr>
        <w:rFonts w:hint="default"/>
      </w:rPr>
    </w:lvl>
    <w:lvl w:ilvl="3" w:tplc="EFDC7EAE">
      <w:numFmt w:val="bullet"/>
      <w:lvlText w:val="•"/>
      <w:lvlJc w:val="left"/>
      <w:pPr>
        <w:ind w:left="3353" w:hanging="428"/>
      </w:pPr>
      <w:rPr>
        <w:rFonts w:hint="default"/>
      </w:rPr>
    </w:lvl>
    <w:lvl w:ilvl="4" w:tplc="681EB336">
      <w:numFmt w:val="bullet"/>
      <w:lvlText w:val="•"/>
      <w:lvlJc w:val="left"/>
      <w:pPr>
        <w:ind w:left="4277" w:hanging="428"/>
      </w:pPr>
      <w:rPr>
        <w:rFonts w:hint="default"/>
      </w:rPr>
    </w:lvl>
    <w:lvl w:ilvl="5" w:tplc="C8226674">
      <w:numFmt w:val="bullet"/>
      <w:lvlText w:val="•"/>
      <w:lvlJc w:val="left"/>
      <w:pPr>
        <w:ind w:left="5202" w:hanging="428"/>
      </w:pPr>
      <w:rPr>
        <w:rFonts w:hint="default"/>
      </w:rPr>
    </w:lvl>
    <w:lvl w:ilvl="6" w:tplc="036A57BC">
      <w:numFmt w:val="bullet"/>
      <w:lvlText w:val="•"/>
      <w:lvlJc w:val="left"/>
      <w:pPr>
        <w:ind w:left="6126" w:hanging="428"/>
      </w:pPr>
      <w:rPr>
        <w:rFonts w:hint="default"/>
      </w:rPr>
    </w:lvl>
    <w:lvl w:ilvl="7" w:tplc="22FED48C">
      <w:numFmt w:val="bullet"/>
      <w:lvlText w:val="•"/>
      <w:lvlJc w:val="left"/>
      <w:pPr>
        <w:ind w:left="7051" w:hanging="428"/>
      </w:pPr>
      <w:rPr>
        <w:rFonts w:hint="default"/>
      </w:rPr>
    </w:lvl>
    <w:lvl w:ilvl="8" w:tplc="BE3EEC7C">
      <w:numFmt w:val="bullet"/>
      <w:lvlText w:val="•"/>
      <w:lvlJc w:val="left"/>
      <w:pPr>
        <w:ind w:left="7975" w:hanging="428"/>
      </w:pPr>
      <w:rPr>
        <w:rFonts w:hint="default"/>
      </w:rPr>
    </w:lvl>
  </w:abstractNum>
  <w:abstractNum w:abstractNumId="9" w15:restartNumberingAfterBreak="0">
    <w:nsid w:val="25AC7D56"/>
    <w:multiLevelType w:val="hybridMultilevel"/>
    <w:tmpl w:val="20B2D22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6250E98"/>
    <w:multiLevelType w:val="hybridMultilevel"/>
    <w:tmpl w:val="390C0E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BBF0B60"/>
    <w:multiLevelType w:val="hybridMultilevel"/>
    <w:tmpl w:val="4956FA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7D76F8"/>
    <w:multiLevelType w:val="hybridMultilevel"/>
    <w:tmpl w:val="C76CF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D130F2"/>
    <w:multiLevelType w:val="multilevel"/>
    <w:tmpl w:val="E6A4C532"/>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1980"/>
        </w:tabs>
        <w:ind w:left="1980" w:hanging="360"/>
      </w:pPr>
      <w:rPr>
        <w:rFonts w:ascii="Wingdings" w:hAnsi="Wingdings" w:hint="default"/>
        <w:sz w:val="20"/>
      </w:rPr>
    </w:lvl>
    <w:lvl w:ilvl="2">
      <w:start w:val="1"/>
      <w:numFmt w:val="bullet"/>
      <w:lvlText w:val=""/>
      <w:lvlJc w:val="left"/>
      <w:pPr>
        <w:tabs>
          <w:tab w:val="num" w:pos="2700"/>
        </w:tabs>
        <w:ind w:left="2700" w:hanging="360"/>
      </w:pPr>
      <w:rPr>
        <w:rFonts w:ascii="Wingdings" w:hAnsi="Wingdings" w:hint="default"/>
        <w:sz w:val="20"/>
      </w:rPr>
    </w:lvl>
    <w:lvl w:ilvl="3">
      <w:start w:val="1"/>
      <w:numFmt w:val="bullet"/>
      <w:lvlText w:val=""/>
      <w:lvlJc w:val="left"/>
      <w:pPr>
        <w:tabs>
          <w:tab w:val="num" w:pos="3420"/>
        </w:tabs>
        <w:ind w:left="3420" w:hanging="360"/>
      </w:pPr>
      <w:rPr>
        <w:rFonts w:ascii="Wingdings" w:hAnsi="Wingdings" w:hint="default"/>
        <w:sz w:val="20"/>
      </w:rPr>
    </w:lvl>
    <w:lvl w:ilvl="4">
      <w:start w:val="1"/>
      <w:numFmt w:val="bullet"/>
      <w:lvlText w:val=""/>
      <w:lvlJc w:val="left"/>
      <w:pPr>
        <w:tabs>
          <w:tab w:val="num" w:pos="4140"/>
        </w:tabs>
        <w:ind w:left="4140" w:hanging="360"/>
      </w:pPr>
      <w:rPr>
        <w:rFonts w:ascii="Wingdings" w:hAnsi="Wingdings" w:hint="default"/>
        <w:sz w:val="20"/>
      </w:rPr>
    </w:lvl>
    <w:lvl w:ilvl="5">
      <w:start w:val="1"/>
      <w:numFmt w:val="bullet"/>
      <w:lvlText w:val=""/>
      <w:lvlJc w:val="left"/>
      <w:pPr>
        <w:tabs>
          <w:tab w:val="num" w:pos="4860"/>
        </w:tabs>
        <w:ind w:left="4860" w:hanging="360"/>
      </w:pPr>
      <w:rPr>
        <w:rFonts w:ascii="Wingdings" w:hAnsi="Wingdings" w:hint="default"/>
        <w:sz w:val="20"/>
      </w:rPr>
    </w:lvl>
    <w:lvl w:ilvl="6">
      <w:start w:val="1"/>
      <w:numFmt w:val="bullet"/>
      <w:lvlText w:val=""/>
      <w:lvlJc w:val="left"/>
      <w:pPr>
        <w:tabs>
          <w:tab w:val="num" w:pos="5580"/>
        </w:tabs>
        <w:ind w:left="5580" w:hanging="360"/>
      </w:pPr>
      <w:rPr>
        <w:rFonts w:ascii="Wingdings" w:hAnsi="Wingdings" w:hint="default"/>
        <w:sz w:val="20"/>
      </w:rPr>
    </w:lvl>
    <w:lvl w:ilvl="7">
      <w:start w:val="1"/>
      <w:numFmt w:val="bullet"/>
      <w:lvlText w:val=""/>
      <w:lvlJc w:val="left"/>
      <w:pPr>
        <w:tabs>
          <w:tab w:val="num" w:pos="6300"/>
        </w:tabs>
        <w:ind w:left="6300" w:hanging="360"/>
      </w:pPr>
      <w:rPr>
        <w:rFonts w:ascii="Wingdings" w:hAnsi="Wingdings" w:hint="default"/>
        <w:sz w:val="20"/>
      </w:rPr>
    </w:lvl>
    <w:lvl w:ilvl="8">
      <w:start w:val="1"/>
      <w:numFmt w:val="bullet"/>
      <w:lvlText w:val=""/>
      <w:lvlJc w:val="left"/>
      <w:pPr>
        <w:tabs>
          <w:tab w:val="num" w:pos="7020"/>
        </w:tabs>
        <w:ind w:left="7020" w:hanging="360"/>
      </w:pPr>
      <w:rPr>
        <w:rFonts w:ascii="Wingdings" w:hAnsi="Wingdings" w:hint="default"/>
        <w:sz w:val="20"/>
      </w:rPr>
    </w:lvl>
  </w:abstractNum>
  <w:abstractNum w:abstractNumId="14" w15:restartNumberingAfterBreak="0">
    <w:nsid w:val="3A0F1F19"/>
    <w:multiLevelType w:val="hybridMultilevel"/>
    <w:tmpl w:val="6E8C6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473A45"/>
    <w:multiLevelType w:val="hybridMultilevel"/>
    <w:tmpl w:val="77649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0971685"/>
    <w:multiLevelType w:val="hybridMultilevel"/>
    <w:tmpl w:val="312A9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FE21D3"/>
    <w:multiLevelType w:val="hybridMultilevel"/>
    <w:tmpl w:val="8FE83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BC426B"/>
    <w:multiLevelType w:val="multilevel"/>
    <w:tmpl w:val="78EA2D06"/>
    <w:lvl w:ilvl="0">
      <w:start w:val="1"/>
      <w:numFmt w:val="bullet"/>
      <w:lvlText w:val="o"/>
      <w:lvlJc w:val="left"/>
      <w:pPr>
        <w:ind w:left="926" w:hanging="425"/>
      </w:pPr>
      <w:rPr>
        <w:rFonts w:ascii="Courier New" w:hAnsi="Courier New" w:cs="Courier New" w:hint="default"/>
      </w:rPr>
    </w:lvl>
    <w:lvl w:ilvl="1">
      <w:start w:val="1"/>
      <w:numFmt w:val="bullet"/>
      <w:lvlText w:val="-"/>
      <w:lvlJc w:val="left"/>
      <w:pPr>
        <w:ind w:left="1351" w:hanging="425"/>
      </w:pPr>
      <w:rPr>
        <w:rFonts w:ascii="Symbol" w:hAnsi="Symbol" w:hint="default"/>
      </w:rPr>
    </w:lvl>
    <w:lvl w:ilvl="2">
      <w:start w:val="1"/>
      <w:numFmt w:val="bullet"/>
      <w:lvlText w:val="o"/>
      <w:lvlJc w:val="left"/>
      <w:pPr>
        <w:ind w:left="1776" w:hanging="425"/>
      </w:pPr>
      <w:rPr>
        <w:rFonts w:ascii="Courier New" w:hAnsi="Courier New" w:hint="default"/>
      </w:rPr>
    </w:lvl>
    <w:lvl w:ilvl="3">
      <w:start w:val="1"/>
      <w:numFmt w:val="bullet"/>
      <w:lvlText w:val=""/>
      <w:lvlJc w:val="left"/>
      <w:pPr>
        <w:ind w:left="2201" w:hanging="425"/>
      </w:pPr>
      <w:rPr>
        <w:rFonts w:ascii="Symbol" w:hAnsi="Symbol" w:hint="default"/>
      </w:rPr>
    </w:lvl>
    <w:lvl w:ilvl="4">
      <w:start w:val="1"/>
      <w:numFmt w:val="bullet"/>
      <w:lvlText w:val="-"/>
      <w:lvlJc w:val="left"/>
      <w:pPr>
        <w:ind w:left="2626" w:hanging="425"/>
      </w:pPr>
      <w:rPr>
        <w:rFonts w:ascii="Symbol" w:hAnsi="Symbol" w:hint="default"/>
      </w:rPr>
    </w:lvl>
    <w:lvl w:ilvl="5">
      <w:start w:val="1"/>
      <w:numFmt w:val="bullet"/>
      <w:lvlText w:val="o"/>
      <w:lvlJc w:val="left"/>
      <w:pPr>
        <w:ind w:left="3051" w:hanging="425"/>
      </w:pPr>
      <w:rPr>
        <w:rFonts w:ascii="Courier New" w:hAnsi="Courier New" w:hint="default"/>
      </w:rPr>
    </w:lvl>
    <w:lvl w:ilvl="6">
      <w:start w:val="1"/>
      <w:numFmt w:val="bullet"/>
      <w:lvlText w:val=""/>
      <w:lvlJc w:val="left"/>
      <w:pPr>
        <w:ind w:left="3476" w:hanging="425"/>
      </w:pPr>
      <w:rPr>
        <w:rFonts w:ascii="Symbol" w:hAnsi="Symbol" w:hint="default"/>
        <w:color w:val="auto"/>
      </w:rPr>
    </w:lvl>
    <w:lvl w:ilvl="7">
      <w:start w:val="1"/>
      <w:numFmt w:val="bullet"/>
      <w:lvlText w:val="-"/>
      <w:lvlJc w:val="left"/>
      <w:pPr>
        <w:ind w:left="3901" w:hanging="425"/>
      </w:pPr>
      <w:rPr>
        <w:rFonts w:ascii="Symbol" w:hAnsi="Symbol" w:hint="default"/>
      </w:rPr>
    </w:lvl>
    <w:lvl w:ilvl="8">
      <w:start w:val="1"/>
      <w:numFmt w:val="bullet"/>
      <w:lvlText w:val="o"/>
      <w:lvlJc w:val="left"/>
      <w:pPr>
        <w:ind w:left="4326" w:hanging="425"/>
      </w:pPr>
      <w:rPr>
        <w:rFonts w:ascii="Courier New" w:hAnsi="Courier New" w:hint="default"/>
      </w:rPr>
    </w:lvl>
  </w:abstractNum>
  <w:abstractNum w:abstractNumId="19" w15:restartNumberingAfterBreak="0">
    <w:nsid w:val="4EA25889"/>
    <w:multiLevelType w:val="hybridMultilevel"/>
    <w:tmpl w:val="72745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03279A"/>
    <w:multiLevelType w:val="multilevel"/>
    <w:tmpl w:val="03180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B3DE2"/>
    <w:multiLevelType w:val="hybridMultilevel"/>
    <w:tmpl w:val="789426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9CF2BEC"/>
    <w:multiLevelType w:val="hybridMultilevel"/>
    <w:tmpl w:val="876C9E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0F5A34"/>
    <w:multiLevelType w:val="hybridMultilevel"/>
    <w:tmpl w:val="AC1A14D0"/>
    <w:lvl w:ilvl="0" w:tplc="C0146182">
      <w:start w:val="1"/>
      <w:numFmt w:val="decimal"/>
      <w:lvlText w:val="%1."/>
      <w:lvlJc w:val="left"/>
      <w:pPr>
        <w:ind w:left="475" w:hanging="360"/>
      </w:pPr>
      <w:rPr>
        <w:rFonts w:ascii="Arial" w:eastAsia="Arial" w:hAnsi="Arial" w:cs="Arial" w:hint="default"/>
        <w:spacing w:val="-1"/>
        <w:w w:val="100"/>
        <w:sz w:val="22"/>
        <w:szCs w:val="22"/>
      </w:rPr>
    </w:lvl>
    <w:lvl w:ilvl="1" w:tplc="4B882636">
      <w:numFmt w:val="bullet"/>
      <w:lvlText w:val=""/>
      <w:lvlJc w:val="left"/>
      <w:pPr>
        <w:ind w:left="1195" w:hanging="360"/>
      </w:pPr>
      <w:rPr>
        <w:rFonts w:ascii="Symbol" w:eastAsia="Symbol" w:hAnsi="Symbol" w:cs="Symbol" w:hint="default"/>
        <w:w w:val="100"/>
        <w:sz w:val="22"/>
        <w:szCs w:val="22"/>
      </w:rPr>
    </w:lvl>
    <w:lvl w:ilvl="2" w:tplc="6DDCF9B6">
      <w:numFmt w:val="bullet"/>
      <w:lvlText w:val="•"/>
      <w:lvlJc w:val="left"/>
      <w:pPr>
        <w:ind w:left="2042" w:hanging="360"/>
      </w:pPr>
      <w:rPr>
        <w:rFonts w:hint="default"/>
      </w:rPr>
    </w:lvl>
    <w:lvl w:ilvl="3" w:tplc="62F84A76">
      <w:numFmt w:val="bullet"/>
      <w:lvlText w:val="•"/>
      <w:lvlJc w:val="left"/>
      <w:pPr>
        <w:ind w:left="2884" w:hanging="360"/>
      </w:pPr>
      <w:rPr>
        <w:rFonts w:hint="default"/>
      </w:rPr>
    </w:lvl>
    <w:lvl w:ilvl="4" w:tplc="224ADB5A">
      <w:numFmt w:val="bullet"/>
      <w:lvlText w:val="•"/>
      <w:lvlJc w:val="left"/>
      <w:pPr>
        <w:ind w:left="3727" w:hanging="360"/>
      </w:pPr>
      <w:rPr>
        <w:rFonts w:hint="default"/>
      </w:rPr>
    </w:lvl>
    <w:lvl w:ilvl="5" w:tplc="86E0E5A6">
      <w:numFmt w:val="bullet"/>
      <w:lvlText w:val="•"/>
      <w:lvlJc w:val="left"/>
      <w:pPr>
        <w:ind w:left="4569" w:hanging="360"/>
      </w:pPr>
      <w:rPr>
        <w:rFonts w:hint="default"/>
      </w:rPr>
    </w:lvl>
    <w:lvl w:ilvl="6" w:tplc="A486391A">
      <w:numFmt w:val="bullet"/>
      <w:lvlText w:val="•"/>
      <w:lvlJc w:val="left"/>
      <w:pPr>
        <w:ind w:left="5411" w:hanging="360"/>
      </w:pPr>
      <w:rPr>
        <w:rFonts w:hint="default"/>
      </w:rPr>
    </w:lvl>
    <w:lvl w:ilvl="7" w:tplc="FC26DF50">
      <w:numFmt w:val="bullet"/>
      <w:lvlText w:val="•"/>
      <w:lvlJc w:val="left"/>
      <w:pPr>
        <w:ind w:left="6254" w:hanging="360"/>
      </w:pPr>
      <w:rPr>
        <w:rFonts w:hint="default"/>
      </w:rPr>
    </w:lvl>
    <w:lvl w:ilvl="8" w:tplc="86165CB6">
      <w:numFmt w:val="bullet"/>
      <w:lvlText w:val="•"/>
      <w:lvlJc w:val="left"/>
      <w:pPr>
        <w:ind w:left="7096" w:hanging="360"/>
      </w:pPr>
      <w:rPr>
        <w:rFonts w:hint="default"/>
      </w:rPr>
    </w:lvl>
  </w:abstractNum>
  <w:abstractNum w:abstractNumId="24" w15:restartNumberingAfterBreak="0">
    <w:nsid w:val="6548534B"/>
    <w:multiLevelType w:val="hybridMultilevel"/>
    <w:tmpl w:val="70303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422E12"/>
    <w:multiLevelType w:val="hybridMultilevel"/>
    <w:tmpl w:val="55F27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753D90"/>
    <w:multiLevelType w:val="hybridMultilevel"/>
    <w:tmpl w:val="14D6C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E25416"/>
    <w:multiLevelType w:val="hybridMultilevel"/>
    <w:tmpl w:val="195AD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322655"/>
    <w:multiLevelType w:val="hybridMultilevel"/>
    <w:tmpl w:val="7194CB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657612546">
    <w:abstractNumId w:val="8"/>
  </w:num>
  <w:num w:numId="2" w16cid:durableId="935870635">
    <w:abstractNumId w:val="2"/>
  </w:num>
  <w:num w:numId="3" w16cid:durableId="2037844406">
    <w:abstractNumId w:val="23"/>
  </w:num>
  <w:num w:numId="4" w16cid:durableId="1292907856">
    <w:abstractNumId w:val="6"/>
  </w:num>
  <w:num w:numId="5" w16cid:durableId="313878504">
    <w:abstractNumId w:val="9"/>
  </w:num>
  <w:num w:numId="6" w16cid:durableId="2102022554">
    <w:abstractNumId w:val="10"/>
  </w:num>
  <w:num w:numId="7" w16cid:durableId="1815567016">
    <w:abstractNumId w:val="20"/>
  </w:num>
  <w:num w:numId="8" w16cid:durableId="501971649">
    <w:abstractNumId w:val="13"/>
  </w:num>
  <w:num w:numId="9" w16cid:durableId="678045374">
    <w:abstractNumId w:val="28"/>
  </w:num>
  <w:num w:numId="10" w16cid:durableId="1469590378">
    <w:abstractNumId w:val="5"/>
  </w:num>
  <w:num w:numId="11" w16cid:durableId="1061713012">
    <w:abstractNumId w:val="25"/>
  </w:num>
  <w:num w:numId="12" w16cid:durableId="371227275">
    <w:abstractNumId w:val="7"/>
  </w:num>
  <w:num w:numId="13" w16cid:durableId="939291568">
    <w:abstractNumId w:val="12"/>
  </w:num>
  <w:num w:numId="14" w16cid:durableId="1867017357">
    <w:abstractNumId w:val="19"/>
  </w:num>
  <w:num w:numId="15" w16cid:durableId="1999385850">
    <w:abstractNumId w:val="14"/>
  </w:num>
  <w:num w:numId="16" w16cid:durableId="2008627681">
    <w:abstractNumId w:val="18"/>
  </w:num>
  <w:num w:numId="17" w16cid:durableId="2127305318">
    <w:abstractNumId w:val="15"/>
  </w:num>
  <w:num w:numId="18" w16cid:durableId="1104351345">
    <w:abstractNumId w:val="0"/>
  </w:num>
  <w:num w:numId="19" w16cid:durableId="1842086648">
    <w:abstractNumId w:val="27"/>
  </w:num>
  <w:num w:numId="20" w16cid:durableId="88545837">
    <w:abstractNumId w:val="4"/>
  </w:num>
  <w:num w:numId="21" w16cid:durableId="1201548722">
    <w:abstractNumId w:val="3"/>
  </w:num>
  <w:num w:numId="22" w16cid:durableId="1242368175">
    <w:abstractNumId w:val="21"/>
  </w:num>
  <w:num w:numId="23" w16cid:durableId="589003579">
    <w:abstractNumId w:val="26"/>
  </w:num>
  <w:num w:numId="24" w16cid:durableId="872620665">
    <w:abstractNumId w:val="16"/>
  </w:num>
  <w:num w:numId="25" w16cid:durableId="1326931501">
    <w:abstractNumId w:val="11"/>
  </w:num>
  <w:num w:numId="26" w16cid:durableId="1192689668">
    <w:abstractNumId w:val="22"/>
  </w:num>
  <w:num w:numId="27" w16cid:durableId="36442258">
    <w:abstractNumId w:val="24"/>
  </w:num>
  <w:num w:numId="28" w16cid:durableId="178542140">
    <w:abstractNumId w:val="1"/>
  </w:num>
  <w:num w:numId="29" w16cid:durableId="2930987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2C"/>
    <w:rsid w:val="000047ED"/>
    <w:rsid w:val="00032ABC"/>
    <w:rsid w:val="00036C7E"/>
    <w:rsid w:val="00037F36"/>
    <w:rsid w:val="00041849"/>
    <w:rsid w:val="000438CB"/>
    <w:rsid w:val="00053BF0"/>
    <w:rsid w:val="000563B5"/>
    <w:rsid w:val="00064DD2"/>
    <w:rsid w:val="00066395"/>
    <w:rsid w:val="00066D41"/>
    <w:rsid w:val="00067D39"/>
    <w:rsid w:val="00077739"/>
    <w:rsid w:val="000818BC"/>
    <w:rsid w:val="00086689"/>
    <w:rsid w:val="000A0179"/>
    <w:rsid w:val="000B238D"/>
    <w:rsid w:val="000B42C8"/>
    <w:rsid w:val="000C23F4"/>
    <w:rsid w:val="000C747C"/>
    <w:rsid w:val="000D2015"/>
    <w:rsid w:val="000E14BA"/>
    <w:rsid w:val="000E2807"/>
    <w:rsid w:val="000E4A7A"/>
    <w:rsid w:val="000E6E90"/>
    <w:rsid w:val="000F12C3"/>
    <w:rsid w:val="001157C8"/>
    <w:rsid w:val="00115D67"/>
    <w:rsid w:val="001300FB"/>
    <w:rsid w:val="00131660"/>
    <w:rsid w:val="00145249"/>
    <w:rsid w:val="00152596"/>
    <w:rsid w:val="00156986"/>
    <w:rsid w:val="001576A7"/>
    <w:rsid w:val="00171846"/>
    <w:rsid w:val="0018089C"/>
    <w:rsid w:val="00180F9C"/>
    <w:rsid w:val="001853B8"/>
    <w:rsid w:val="00195217"/>
    <w:rsid w:val="00196819"/>
    <w:rsid w:val="001A3DC1"/>
    <w:rsid w:val="001A403F"/>
    <w:rsid w:val="001B5763"/>
    <w:rsid w:val="001B6228"/>
    <w:rsid w:val="001C4B1D"/>
    <w:rsid w:val="001D08D1"/>
    <w:rsid w:val="001D5C33"/>
    <w:rsid w:val="001E4AD8"/>
    <w:rsid w:val="001E7F5A"/>
    <w:rsid w:val="001F15A7"/>
    <w:rsid w:val="001F4BAB"/>
    <w:rsid w:val="0020006D"/>
    <w:rsid w:val="00214BB2"/>
    <w:rsid w:val="00227D5F"/>
    <w:rsid w:val="00240FEB"/>
    <w:rsid w:val="00243522"/>
    <w:rsid w:val="00246267"/>
    <w:rsid w:val="00252F48"/>
    <w:rsid w:val="002562F5"/>
    <w:rsid w:val="00264C24"/>
    <w:rsid w:val="002653C8"/>
    <w:rsid w:val="00281450"/>
    <w:rsid w:val="0029128B"/>
    <w:rsid w:val="00292E38"/>
    <w:rsid w:val="002A338F"/>
    <w:rsid w:val="002B5499"/>
    <w:rsid w:val="002C210F"/>
    <w:rsid w:val="002D097E"/>
    <w:rsid w:val="002D1175"/>
    <w:rsid w:val="002D1D8C"/>
    <w:rsid w:val="002E49D8"/>
    <w:rsid w:val="002F2908"/>
    <w:rsid w:val="002F66D2"/>
    <w:rsid w:val="003018B1"/>
    <w:rsid w:val="00310A44"/>
    <w:rsid w:val="00312257"/>
    <w:rsid w:val="00312BB8"/>
    <w:rsid w:val="0032060F"/>
    <w:rsid w:val="003216C7"/>
    <w:rsid w:val="0032589A"/>
    <w:rsid w:val="003262A8"/>
    <w:rsid w:val="003315A6"/>
    <w:rsid w:val="003454B1"/>
    <w:rsid w:val="00351D12"/>
    <w:rsid w:val="003545F5"/>
    <w:rsid w:val="00355BA9"/>
    <w:rsid w:val="00363025"/>
    <w:rsid w:val="0036323B"/>
    <w:rsid w:val="00365EB6"/>
    <w:rsid w:val="003772D0"/>
    <w:rsid w:val="003C0F90"/>
    <w:rsid w:val="003C6CC0"/>
    <w:rsid w:val="003D1B73"/>
    <w:rsid w:val="003D2895"/>
    <w:rsid w:val="003D560E"/>
    <w:rsid w:val="003E55E4"/>
    <w:rsid w:val="003F2587"/>
    <w:rsid w:val="00401401"/>
    <w:rsid w:val="00434BBD"/>
    <w:rsid w:val="00441162"/>
    <w:rsid w:val="004423E3"/>
    <w:rsid w:val="00444E94"/>
    <w:rsid w:val="00447DB7"/>
    <w:rsid w:val="00452D3A"/>
    <w:rsid w:val="0046220A"/>
    <w:rsid w:val="00462297"/>
    <w:rsid w:val="004828F0"/>
    <w:rsid w:val="004859D8"/>
    <w:rsid w:val="00487100"/>
    <w:rsid w:val="00492DC9"/>
    <w:rsid w:val="00495EC4"/>
    <w:rsid w:val="004A0A35"/>
    <w:rsid w:val="004A0E83"/>
    <w:rsid w:val="004A4180"/>
    <w:rsid w:val="004A4EAE"/>
    <w:rsid w:val="004A529C"/>
    <w:rsid w:val="004A6684"/>
    <w:rsid w:val="004B0B8A"/>
    <w:rsid w:val="004B4F42"/>
    <w:rsid w:val="004C290C"/>
    <w:rsid w:val="004C35D8"/>
    <w:rsid w:val="004C6293"/>
    <w:rsid w:val="004C69FF"/>
    <w:rsid w:val="004D4CCB"/>
    <w:rsid w:val="004E4685"/>
    <w:rsid w:val="004E7946"/>
    <w:rsid w:val="004F09F2"/>
    <w:rsid w:val="004F25DA"/>
    <w:rsid w:val="0051112E"/>
    <w:rsid w:val="005335CF"/>
    <w:rsid w:val="00536DB9"/>
    <w:rsid w:val="005370D8"/>
    <w:rsid w:val="00544692"/>
    <w:rsid w:val="00546157"/>
    <w:rsid w:val="005613E1"/>
    <w:rsid w:val="005658A7"/>
    <w:rsid w:val="00565A6A"/>
    <w:rsid w:val="005675EF"/>
    <w:rsid w:val="00572AD1"/>
    <w:rsid w:val="0057694B"/>
    <w:rsid w:val="005774F8"/>
    <w:rsid w:val="005808B9"/>
    <w:rsid w:val="00586A7A"/>
    <w:rsid w:val="00592792"/>
    <w:rsid w:val="00596487"/>
    <w:rsid w:val="005B61CA"/>
    <w:rsid w:val="005C06AF"/>
    <w:rsid w:val="005C4E20"/>
    <w:rsid w:val="005D3D15"/>
    <w:rsid w:val="005D7C6A"/>
    <w:rsid w:val="005E6632"/>
    <w:rsid w:val="005F250B"/>
    <w:rsid w:val="005F7F38"/>
    <w:rsid w:val="00604DE8"/>
    <w:rsid w:val="0061048B"/>
    <w:rsid w:val="006109F1"/>
    <w:rsid w:val="0061352F"/>
    <w:rsid w:val="00624EB5"/>
    <w:rsid w:val="006368CB"/>
    <w:rsid w:val="006523E5"/>
    <w:rsid w:val="006611DE"/>
    <w:rsid w:val="00676C75"/>
    <w:rsid w:val="00677EB0"/>
    <w:rsid w:val="00693BE0"/>
    <w:rsid w:val="006967F1"/>
    <w:rsid w:val="006A16F7"/>
    <w:rsid w:val="006C077D"/>
    <w:rsid w:val="006D7B1A"/>
    <w:rsid w:val="006E2330"/>
    <w:rsid w:val="006E3B1A"/>
    <w:rsid w:val="006E73C7"/>
    <w:rsid w:val="006F07D4"/>
    <w:rsid w:val="006F5677"/>
    <w:rsid w:val="006F62C1"/>
    <w:rsid w:val="007155B5"/>
    <w:rsid w:val="00725A56"/>
    <w:rsid w:val="0072656D"/>
    <w:rsid w:val="007273B5"/>
    <w:rsid w:val="007309DC"/>
    <w:rsid w:val="00731AA4"/>
    <w:rsid w:val="007408F3"/>
    <w:rsid w:val="00747948"/>
    <w:rsid w:val="007550D9"/>
    <w:rsid w:val="007576DF"/>
    <w:rsid w:val="00764ED9"/>
    <w:rsid w:val="00770C13"/>
    <w:rsid w:val="007923F0"/>
    <w:rsid w:val="007940FB"/>
    <w:rsid w:val="007A1327"/>
    <w:rsid w:val="007A45CD"/>
    <w:rsid w:val="007B4007"/>
    <w:rsid w:val="007C2752"/>
    <w:rsid w:val="007C68EC"/>
    <w:rsid w:val="007D6556"/>
    <w:rsid w:val="007E1FB4"/>
    <w:rsid w:val="007F4F87"/>
    <w:rsid w:val="00803B68"/>
    <w:rsid w:val="00811EDF"/>
    <w:rsid w:val="00817401"/>
    <w:rsid w:val="00820603"/>
    <w:rsid w:val="008262E2"/>
    <w:rsid w:val="00833355"/>
    <w:rsid w:val="00835C26"/>
    <w:rsid w:val="00836B75"/>
    <w:rsid w:val="008575EC"/>
    <w:rsid w:val="008625F9"/>
    <w:rsid w:val="00870B20"/>
    <w:rsid w:val="00876227"/>
    <w:rsid w:val="00886AA8"/>
    <w:rsid w:val="00887EFD"/>
    <w:rsid w:val="00890ED3"/>
    <w:rsid w:val="008916E2"/>
    <w:rsid w:val="00892A58"/>
    <w:rsid w:val="00897069"/>
    <w:rsid w:val="008975C1"/>
    <w:rsid w:val="008B5B68"/>
    <w:rsid w:val="008D6892"/>
    <w:rsid w:val="008F4EF1"/>
    <w:rsid w:val="008F5A11"/>
    <w:rsid w:val="00910829"/>
    <w:rsid w:val="009120F8"/>
    <w:rsid w:val="00923053"/>
    <w:rsid w:val="00937A73"/>
    <w:rsid w:val="0095077F"/>
    <w:rsid w:val="00950C84"/>
    <w:rsid w:val="00952482"/>
    <w:rsid w:val="009550C9"/>
    <w:rsid w:val="00963B67"/>
    <w:rsid w:val="00967926"/>
    <w:rsid w:val="00971146"/>
    <w:rsid w:val="0098298C"/>
    <w:rsid w:val="00982C2C"/>
    <w:rsid w:val="00984AD5"/>
    <w:rsid w:val="00992E6C"/>
    <w:rsid w:val="009A360D"/>
    <w:rsid w:val="009B6E9F"/>
    <w:rsid w:val="009C34A0"/>
    <w:rsid w:val="009E71B3"/>
    <w:rsid w:val="009F5AB9"/>
    <w:rsid w:val="00A02D8D"/>
    <w:rsid w:val="00A03D67"/>
    <w:rsid w:val="00A04313"/>
    <w:rsid w:val="00A3216F"/>
    <w:rsid w:val="00A4409F"/>
    <w:rsid w:val="00A46700"/>
    <w:rsid w:val="00A60E2B"/>
    <w:rsid w:val="00A70E0A"/>
    <w:rsid w:val="00A76E6E"/>
    <w:rsid w:val="00A8176F"/>
    <w:rsid w:val="00A847BD"/>
    <w:rsid w:val="00A87137"/>
    <w:rsid w:val="00A90DF3"/>
    <w:rsid w:val="00A96FF6"/>
    <w:rsid w:val="00AA151E"/>
    <w:rsid w:val="00AA2358"/>
    <w:rsid w:val="00AA7F5A"/>
    <w:rsid w:val="00AB34A3"/>
    <w:rsid w:val="00AB7665"/>
    <w:rsid w:val="00AC04AE"/>
    <w:rsid w:val="00AC3D91"/>
    <w:rsid w:val="00AC78E3"/>
    <w:rsid w:val="00AD66F5"/>
    <w:rsid w:val="00AE4E8A"/>
    <w:rsid w:val="00AF3CDB"/>
    <w:rsid w:val="00B00352"/>
    <w:rsid w:val="00B0403F"/>
    <w:rsid w:val="00B04D8D"/>
    <w:rsid w:val="00B11766"/>
    <w:rsid w:val="00B13E93"/>
    <w:rsid w:val="00B215D5"/>
    <w:rsid w:val="00B21FBB"/>
    <w:rsid w:val="00B22D5D"/>
    <w:rsid w:val="00B30962"/>
    <w:rsid w:val="00B33DB6"/>
    <w:rsid w:val="00B44B92"/>
    <w:rsid w:val="00B46379"/>
    <w:rsid w:val="00B4657E"/>
    <w:rsid w:val="00B551E7"/>
    <w:rsid w:val="00B56C01"/>
    <w:rsid w:val="00B6019E"/>
    <w:rsid w:val="00B76ED1"/>
    <w:rsid w:val="00B81B7A"/>
    <w:rsid w:val="00B90D45"/>
    <w:rsid w:val="00B919C0"/>
    <w:rsid w:val="00B92AAC"/>
    <w:rsid w:val="00BA15CF"/>
    <w:rsid w:val="00BC1FE7"/>
    <w:rsid w:val="00BC6616"/>
    <w:rsid w:val="00BC6880"/>
    <w:rsid w:val="00BD3769"/>
    <w:rsid w:val="00BD3C03"/>
    <w:rsid w:val="00BD55B4"/>
    <w:rsid w:val="00BE0304"/>
    <w:rsid w:val="00BF3656"/>
    <w:rsid w:val="00C03560"/>
    <w:rsid w:val="00C12FDE"/>
    <w:rsid w:val="00C17250"/>
    <w:rsid w:val="00C21E47"/>
    <w:rsid w:val="00C34AC5"/>
    <w:rsid w:val="00C516F1"/>
    <w:rsid w:val="00C54B1F"/>
    <w:rsid w:val="00C56D49"/>
    <w:rsid w:val="00C616DA"/>
    <w:rsid w:val="00C64BAC"/>
    <w:rsid w:val="00C743A0"/>
    <w:rsid w:val="00C77D57"/>
    <w:rsid w:val="00C8070D"/>
    <w:rsid w:val="00C931B7"/>
    <w:rsid w:val="00CA3A09"/>
    <w:rsid w:val="00CA6BDA"/>
    <w:rsid w:val="00CB1CA3"/>
    <w:rsid w:val="00CC1209"/>
    <w:rsid w:val="00CC122B"/>
    <w:rsid w:val="00CC23C4"/>
    <w:rsid w:val="00CE6980"/>
    <w:rsid w:val="00CF1AF2"/>
    <w:rsid w:val="00CF2855"/>
    <w:rsid w:val="00CF3854"/>
    <w:rsid w:val="00D03B79"/>
    <w:rsid w:val="00D10843"/>
    <w:rsid w:val="00D14FDE"/>
    <w:rsid w:val="00D167AD"/>
    <w:rsid w:val="00D26153"/>
    <w:rsid w:val="00D40487"/>
    <w:rsid w:val="00D407C7"/>
    <w:rsid w:val="00D6672A"/>
    <w:rsid w:val="00D90025"/>
    <w:rsid w:val="00D918A2"/>
    <w:rsid w:val="00D92B8F"/>
    <w:rsid w:val="00DA170E"/>
    <w:rsid w:val="00DC4E26"/>
    <w:rsid w:val="00DD15C1"/>
    <w:rsid w:val="00DE4D24"/>
    <w:rsid w:val="00E32EB8"/>
    <w:rsid w:val="00E369D7"/>
    <w:rsid w:val="00E40DB1"/>
    <w:rsid w:val="00E40E92"/>
    <w:rsid w:val="00E42DEB"/>
    <w:rsid w:val="00E477FE"/>
    <w:rsid w:val="00E61380"/>
    <w:rsid w:val="00E63D4C"/>
    <w:rsid w:val="00E66A4C"/>
    <w:rsid w:val="00E72DCE"/>
    <w:rsid w:val="00E833CA"/>
    <w:rsid w:val="00E93CF6"/>
    <w:rsid w:val="00E958A3"/>
    <w:rsid w:val="00E95EDD"/>
    <w:rsid w:val="00EA45F8"/>
    <w:rsid w:val="00EB03CF"/>
    <w:rsid w:val="00EB1730"/>
    <w:rsid w:val="00EC08CF"/>
    <w:rsid w:val="00EC6842"/>
    <w:rsid w:val="00ED2B7A"/>
    <w:rsid w:val="00ED33B6"/>
    <w:rsid w:val="00EE24C0"/>
    <w:rsid w:val="00EF0605"/>
    <w:rsid w:val="00F245EE"/>
    <w:rsid w:val="00F25B2E"/>
    <w:rsid w:val="00F35BDF"/>
    <w:rsid w:val="00F37A62"/>
    <w:rsid w:val="00F4324A"/>
    <w:rsid w:val="00F4457B"/>
    <w:rsid w:val="00F47212"/>
    <w:rsid w:val="00F52849"/>
    <w:rsid w:val="00F53F1D"/>
    <w:rsid w:val="00F66FB6"/>
    <w:rsid w:val="00F72704"/>
    <w:rsid w:val="00F86F35"/>
    <w:rsid w:val="00F93963"/>
    <w:rsid w:val="00F93C05"/>
    <w:rsid w:val="00FA196A"/>
    <w:rsid w:val="00FA5B98"/>
    <w:rsid w:val="00FB4EAC"/>
    <w:rsid w:val="00FB6558"/>
    <w:rsid w:val="00FB6F85"/>
    <w:rsid w:val="00FB7450"/>
    <w:rsid w:val="00FC3080"/>
    <w:rsid w:val="00FD1CF4"/>
    <w:rsid w:val="00FD6ED5"/>
    <w:rsid w:val="00FE0453"/>
    <w:rsid w:val="00FE0740"/>
    <w:rsid w:val="00FE07B4"/>
    <w:rsid w:val="00FF1740"/>
    <w:rsid w:val="00FF4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02425"/>
  <w15:chartTrackingRefBased/>
  <w15:docId w15:val="{6F31758C-EAB4-4CF2-B93A-8BF3B721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2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8B5B68"/>
    <w:pPr>
      <w:spacing w:before="85"/>
      <w:outlineLvl w:val="0"/>
    </w:pPr>
    <w:rPr>
      <w:color w:val="005575"/>
      <w:sz w:val="52"/>
      <w:szCs w:val="48"/>
    </w:rPr>
  </w:style>
  <w:style w:type="paragraph" w:styleId="Heading2">
    <w:name w:val="heading 2"/>
    <w:basedOn w:val="Normal"/>
    <w:link w:val="Heading2Char"/>
    <w:uiPriority w:val="9"/>
    <w:unhideWhenUsed/>
    <w:qFormat/>
    <w:rsid w:val="00EB1730"/>
    <w:pPr>
      <w:spacing w:before="400" w:after="120"/>
      <w:outlineLvl w:val="1"/>
    </w:pPr>
    <w:rPr>
      <w:color w:val="005575"/>
      <w:sz w:val="34"/>
      <w:szCs w:val="34"/>
    </w:rPr>
  </w:style>
  <w:style w:type="paragraph" w:styleId="Heading3">
    <w:name w:val="heading 3"/>
    <w:basedOn w:val="Normal"/>
    <w:link w:val="Heading3Char"/>
    <w:uiPriority w:val="9"/>
    <w:unhideWhenUsed/>
    <w:qFormat/>
    <w:rsid w:val="00604DE8"/>
    <w:pPr>
      <w:spacing w:before="240" w:after="240"/>
      <w:outlineLvl w:val="2"/>
    </w:pPr>
    <w:rPr>
      <w:b/>
      <w:sz w:val="24"/>
      <w:szCs w:val="24"/>
    </w:rPr>
  </w:style>
  <w:style w:type="paragraph" w:styleId="Heading4">
    <w:name w:val="heading 4"/>
    <w:basedOn w:val="Normal"/>
    <w:next w:val="Normal"/>
    <w:link w:val="Heading4Char"/>
    <w:uiPriority w:val="9"/>
    <w:unhideWhenUsed/>
    <w:qFormat/>
    <w:rsid w:val="00FF4A2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B68"/>
    <w:rPr>
      <w:rFonts w:ascii="Arial" w:eastAsia="Arial" w:hAnsi="Arial" w:cs="Arial"/>
      <w:color w:val="005575"/>
      <w:sz w:val="52"/>
      <w:szCs w:val="48"/>
      <w:lang w:val="en-US"/>
    </w:rPr>
  </w:style>
  <w:style w:type="character" w:customStyle="1" w:styleId="Heading2Char">
    <w:name w:val="Heading 2 Char"/>
    <w:basedOn w:val="DefaultParagraphFont"/>
    <w:link w:val="Heading2"/>
    <w:uiPriority w:val="9"/>
    <w:rsid w:val="00EB1730"/>
    <w:rPr>
      <w:rFonts w:ascii="Arial" w:eastAsia="Arial" w:hAnsi="Arial" w:cs="Arial"/>
      <w:color w:val="005575"/>
      <w:sz w:val="34"/>
      <w:szCs w:val="34"/>
      <w:lang w:val="en-US"/>
    </w:rPr>
  </w:style>
  <w:style w:type="character" w:customStyle="1" w:styleId="Heading3Char">
    <w:name w:val="Heading 3 Char"/>
    <w:basedOn w:val="DefaultParagraphFont"/>
    <w:link w:val="Heading3"/>
    <w:uiPriority w:val="9"/>
    <w:rsid w:val="00604DE8"/>
    <w:rPr>
      <w:rFonts w:ascii="Arial" w:eastAsia="Arial" w:hAnsi="Arial" w:cs="Arial"/>
      <w:b/>
      <w:sz w:val="24"/>
      <w:szCs w:val="24"/>
      <w:lang w:val="en-US"/>
    </w:rPr>
  </w:style>
  <w:style w:type="character" w:customStyle="1" w:styleId="Heading4Char">
    <w:name w:val="Heading 4 Char"/>
    <w:basedOn w:val="DefaultParagraphFont"/>
    <w:link w:val="Heading4"/>
    <w:uiPriority w:val="9"/>
    <w:rsid w:val="00FF4A2C"/>
    <w:rPr>
      <w:rFonts w:asciiTheme="majorHAnsi" w:eastAsiaTheme="majorEastAsia" w:hAnsiTheme="majorHAnsi" w:cstheme="majorBidi"/>
      <w:i/>
      <w:iCs/>
      <w:color w:val="2F5496" w:themeColor="accent1" w:themeShade="BF"/>
      <w:lang w:val="en-US"/>
    </w:rPr>
  </w:style>
  <w:style w:type="paragraph" w:styleId="TOC1">
    <w:name w:val="toc 1"/>
    <w:basedOn w:val="Normal"/>
    <w:uiPriority w:val="39"/>
    <w:qFormat/>
    <w:rsid w:val="00FF4A2C"/>
    <w:pPr>
      <w:spacing w:before="119"/>
      <w:ind w:left="357"/>
    </w:pPr>
    <w:rPr>
      <w:rFonts w:ascii="Calibri" w:eastAsia="Calibri" w:hAnsi="Calibri" w:cs="Calibri"/>
    </w:rPr>
  </w:style>
  <w:style w:type="paragraph" w:styleId="BodyText">
    <w:name w:val="Body Text"/>
    <w:basedOn w:val="Normal"/>
    <w:link w:val="BodyTextChar"/>
    <w:uiPriority w:val="1"/>
    <w:qFormat/>
    <w:rsid w:val="00604DE8"/>
    <w:pPr>
      <w:spacing w:before="208" w:line="259" w:lineRule="auto"/>
    </w:pPr>
  </w:style>
  <w:style w:type="character" w:customStyle="1" w:styleId="BodyTextChar">
    <w:name w:val="Body Text Char"/>
    <w:basedOn w:val="DefaultParagraphFont"/>
    <w:link w:val="BodyText"/>
    <w:uiPriority w:val="1"/>
    <w:rsid w:val="00604DE8"/>
    <w:rPr>
      <w:rFonts w:ascii="Arial" w:eastAsia="Arial" w:hAnsi="Arial" w:cs="Arial"/>
      <w:lang w:val="en-US"/>
    </w:rPr>
  </w:style>
  <w:style w:type="paragraph" w:styleId="ListParagraph">
    <w:name w:val="List Paragraph"/>
    <w:aliases w:val="Bullet point,Bulletr List Paragraph,FooterText,L,List Paragraph1,List Paragraph11,List Paragraph2,List Paragraph21,Listeafsnit1,NFP GP Bulleted List,Paragraphe de liste1,Parágrafo da Lista1,Recommendation,bullet point list,1 heading,列出段落"/>
    <w:basedOn w:val="Normal"/>
    <w:link w:val="ListParagraphChar"/>
    <w:uiPriority w:val="34"/>
    <w:qFormat/>
    <w:rsid w:val="00FF4A2C"/>
    <w:pPr>
      <w:spacing w:before="122"/>
      <w:ind w:left="580" w:hanging="428"/>
    </w:pPr>
  </w:style>
  <w:style w:type="paragraph" w:customStyle="1" w:styleId="TableParagraph">
    <w:name w:val="Table Paragraph"/>
    <w:basedOn w:val="Normal"/>
    <w:uiPriority w:val="1"/>
    <w:qFormat/>
    <w:rsid w:val="00FF4A2C"/>
  </w:style>
  <w:style w:type="paragraph" w:styleId="BalloonText">
    <w:name w:val="Balloon Text"/>
    <w:basedOn w:val="Normal"/>
    <w:link w:val="BalloonTextChar"/>
    <w:uiPriority w:val="99"/>
    <w:semiHidden/>
    <w:unhideWhenUsed/>
    <w:rsid w:val="00FF4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2C"/>
    <w:rPr>
      <w:rFonts w:ascii="Segoe UI" w:eastAsia="Arial" w:hAnsi="Segoe UI" w:cs="Segoe UI"/>
      <w:sz w:val="18"/>
      <w:szCs w:val="18"/>
      <w:lang w:val="en-US"/>
    </w:rPr>
  </w:style>
  <w:style w:type="character" w:styleId="Hyperlink">
    <w:name w:val="Hyperlink"/>
    <w:basedOn w:val="DefaultParagraphFont"/>
    <w:uiPriority w:val="99"/>
    <w:unhideWhenUsed/>
    <w:rsid w:val="00FF4A2C"/>
    <w:rPr>
      <w:color w:val="0563C1" w:themeColor="hyperlink"/>
      <w:u w:val="single"/>
    </w:rPr>
  </w:style>
  <w:style w:type="table" w:styleId="TableGrid">
    <w:name w:val="Table Grid"/>
    <w:basedOn w:val="TableNormal"/>
    <w:uiPriority w:val="39"/>
    <w:rsid w:val="00FF4A2C"/>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F4A2C"/>
    <w:pPr>
      <w:widowControl/>
      <w:autoSpaceDE/>
      <w:autoSpaceDN/>
      <w:spacing w:after="160"/>
    </w:pPr>
    <w:rPr>
      <w:rFonts w:asciiTheme="minorHAnsi" w:eastAsiaTheme="minorEastAsia" w:hAnsiTheme="minorHAnsi" w:cstheme="minorBidi"/>
      <w:sz w:val="20"/>
      <w:szCs w:val="20"/>
      <w:lang w:val="en-AU"/>
    </w:rPr>
  </w:style>
  <w:style w:type="character" w:customStyle="1" w:styleId="CommentTextChar">
    <w:name w:val="Comment Text Char"/>
    <w:basedOn w:val="DefaultParagraphFont"/>
    <w:link w:val="CommentText"/>
    <w:uiPriority w:val="99"/>
    <w:semiHidden/>
    <w:rsid w:val="00FF4A2C"/>
    <w:rPr>
      <w:rFonts w:eastAsiaTheme="minorEastAsia"/>
      <w:sz w:val="20"/>
      <w:szCs w:val="20"/>
    </w:rPr>
  </w:style>
  <w:style w:type="character" w:styleId="CommentReference">
    <w:name w:val="annotation reference"/>
    <w:basedOn w:val="DefaultParagraphFont"/>
    <w:uiPriority w:val="99"/>
    <w:semiHidden/>
    <w:unhideWhenUsed/>
    <w:rsid w:val="00FF4A2C"/>
    <w:rPr>
      <w:sz w:val="16"/>
      <w:szCs w:val="16"/>
    </w:rPr>
  </w:style>
  <w:style w:type="paragraph" w:customStyle="1" w:styleId="Default">
    <w:name w:val="Default"/>
    <w:rsid w:val="00FF4A2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ListParagraphChar">
    <w:name w:val="List Paragraph Char"/>
    <w:aliases w:val="Bullet point Char,Bulletr List Paragraph Char,FooterText Char,L Char,List Paragraph1 Char,List Paragraph11 Char,List Paragraph2 Char,List Paragraph21 Char,Listeafsnit1 Char,NFP GP Bulleted List Char,Paragraphe de liste1 Char"/>
    <w:link w:val="ListParagraph"/>
    <w:uiPriority w:val="34"/>
    <w:qFormat/>
    <w:locked/>
    <w:rsid w:val="00FF4A2C"/>
    <w:rPr>
      <w:rFonts w:ascii="Arial" w:eastAsia="Arial" w:hAnsi="Arial" w:cs="Arial"/>
      <w:lang w:val="en-US"/>
    </w:rPr>
  </w:style>
  <w:style w:type="paragraph" w:styleId="ListBullet">
    <w:name w:val="List Bullet"/>
    <w:basedOn w:val="Normal"/>
    <w:uiPriority w:val="99"/>
    <w:semiHidden/>
    <w:unhideWhenUsed/>
    <w:rsid w:val="00FF4A2C"/>
    <w:pPr>
      <w:widowControl/>
      <w:numPr>
        <w:numId w:val="12"/>
      </w:numPr>
      <w:autoSpaceDE/>
      <w:autoSpaceDN/>
      <w:ind w:left="0" w:firstLine="0"/>
      <w:jc w:val="both"/>
    </w:pPr>
    <w:rPr>
      <w:rFonts w:eastAsiaTheme="minorHAnsi"/>
      <w:sz w:val="24"/>
      <w:szCs w:val="24"/>
      <w:lang w:val="en-AU"/>
    </w:rPr>
  </w:style>
  <w:style w:type="paragraph" w:styleId="CommentSubject">
    <w:name w:val="annotation subject"/>
    <w:basedOn w:val="CommentText"/>
    <w:next w:val="CommentText"/>
    <w:link w:val="CommentSubjectChar"/>
    <w:uiPriority w:val="99"/>
    <w:semiHidden/>
    <w:unhideWhenUsed/>
    <w:rsid w:val="00FF4A2C"/>
    <w:pPr>
      <w:widowControl w:val="0"/>
      <w:autoSpaceDE w:val="0"/>
      <w:autoSpaceDN w:val="0"/>
      <w:spacing w:after="0"/>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FF4A2C"/>
    <w:rPr>
      <w:rFonts w:ascii="Arial" w:eastAsia="Arial" w:hAnsi="Arial" w:cs="Arial"/>
      <w:b/>
      <w:bCs/>
      <w:sz w:val="20"/>
      <w:szCs w:val="20"/>
      <w:lang w:val="en-US"/>
    </w:rPr>
  </w:style>
  <w:style w:type="paragraph" w:styleId="Header">
    <w:name w:val="header"/>
    <w:basedOn w:val="Normal"/>
    <w:link w:val="HeaderChar"/>
    <w:uiPriority w:val="99"/>
    <w:unhideWhenUsed/>
    <w:rsid w:val="00FF4A2C"/>
    <w:pPr>
      <w:tabs>
        <w:tab w:val="center" w:pos="4513"/>
        <w:tab w:val="right" w:pos="9026"/>
      </w:tabs>
    </w:pPr>
  </w:style>
  <w:style w:type="character" w:customStyle="1" w:styleId="HeaderChar">
    <w:name w:val="Header Char"/>
    <w:basedOn w:val="DefaultParagraphFont"/>
    <w:link w:val="Header"/>
    <w:uiPriority w:val="99"/>
    <w:rsid w:val="00FF4A2C"/>
    <w:rPr>
      <w:rFonts w:ascii="Arial" w:eastAsia="Arial" w:hAnsi="Arial" w:cs="Arial"/>
      <w:lang w:val="en-US"/>
    </w:rPr>
  </w:style>
  <w:style w:type="paragraph" w:styleId="Footer">
    <w:name w:val="footer"/>
    <w:basedOn w:val="Normal"/>
    <w:link w:val="FooterChar"/>
    <w:uiPriority w:val="99"/>
    <w:unhideWhenUsed/>
    <w:rsid w:val="00FF4A2C"/>
    <w:pPr>
      <w:tabs>
        <w:tab w:val="center" w:pos="4513"/>
        <w:tab w:val="right" w:pos="9026"/>
      </w:tabs>
    </w:pPr>
  </w:style>
  <w:style w:type="character" w:customStyle="1" w:styleId="FooterChar">
    <w:name w:val="Footer Char"/>
    <w:basedOn w:val="DefaultParagraphFont"/>
    <w:link w:val="Footer"/>
    <w:uiPriority w:val="99"/>
    <w:rsid w:val="00FF4A2C"/>
    <w:rPr>
      <w:rFonts w:ascii="Arial" w:eastAsia="Arial" w:hAnsi="Arial" w:cs="Arial"/>
      <w:lang w:val="en-US"/>
    </w:rPr>
  </w:style>
  <w:style w:type="paragraph" w:customStyle="1" w:styleId="paragraph">
    <w:name w:val="paragraph"/>
    <w:basedOn w:val="Normal"/>
    <w:rsid w:val="007C2752"/>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C2752"/>
  </w:style>
  <w:style w:type="paragraph" w:styleId="NormalWeb">
    <w:name w:val="Normal (Web)"/>
    <w:basedOn w:val="Normal"/>
    <w:uiPriority w:val="99"/>
    <w:semiHidden/>
    <w:unhideWhenUsed/>
    <w:rsid w:val="004E468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Spacing">
    <w:name w:val="No Spacing"/>
    <w:uiPriority w:val="1"/>
    <w:qFormat/>
    <w:rsid w:val="00BD3769"/>
    <w:pPr>
      <w:widowControl w:val="0"/>
      <w:autoSpaceDE w:val="0"/>
      <w:autoSpaceDN w:val="0"/>
      <w:spacing w:after="0" w:line="240" w:lineRule="auto"/>
    </w:pPr>
    <w:rPr>
      <w:rFonts w:ascii="Arial" w:eastAsia="Arial" w:hAnsi="Arial" w:cs="Arial"/>
      <w:lang w:val="en-US"/>
    </w:rPr>
  </w:style>
  <w:style w:type="character" w:styleId="Strong">
    <w:name w:val="Strong"/>
    <w:basedOn w:val="DefaultParagraphFont"/>
    <w:uiPriority w:val="22"/>
    <w:qFormat/>
    <w:rsid w:val="000B4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30859">
      <w:bodyDiv w:val="1"/>
      <w:marLeft w:val="0"/>
      <w:marRight w:val="0"/>
      <w:marTop w:val="0"/>
      <w:marBottom w:val="0"/>
      <w:divBdr>
        <w:top w:val="none" w:sz="0" w:space="0" w:color="auto"/>
        <w:left w:val="none" w:sz="0" w:space="0" w:color="auto"/>
        <w:bottom w:val="none" w:sz="0" w:space="0" w:color="auto"/>
        <w:right w:val="none" w:sz="0" w:space="0" w:color="auto"/>
      </w:divBdr>
    </w:div>
    <w:div w:id="802578956">
      <w:bodyDiv w:val="1"/>
      <w:marLeft w:val="0"/>
      <w:marRight w:val="0"/>
      <w:marTop w:val="0"/>
      <w:marBottom w:val="0"/>
      <w:divBdr>
        <w:top w:val="none" w:sz="0" w:space="0" w:color="auto"/>
        <w:left w:val="none" w:sz="0" w:space="0" w:color="auto"/>
        <w:bottom w:val="none" w:sz="0" w:space="0" w:color="auto"/>
        <w:right w:val="none" w:sz="0" w:space="0" w:color="auto"/>
      </w:divBdr>
    </w:div>
    <w:div w:id="909922277">
      <w:bodyDiv w:val="1"/>
      <w:marLeft w:val="0"/>
      <w:marRight w:val="0"/>
      <w:marTop w:val="0"/>
      <w:marBottom w:val="0"/>
      <w:divBdr>
        <w:top w:val="none" w:sz="0" w:space="0" w:color="auto"/>
        <w:left w:val="none" w:sz="0" w:space="0" w:color="auto"/>
        <w:bottom w:val="none" w:sz="0" w:space="0" w:color="auto"/>
        <w:right w:val="none" w:sz="0" w:space="0" w:color="auto"/>
      </w:divBdr>
    </w:div>
    <w:div w:id="1836725874">
      <w:bodyDiv w:val="1"/>
      <w:marLeft w:val="0"/>
      <w:marRight w:val="0"/>
      <w:marTop w:val="0"/>
      <w:marBottom w:val="0"/>
      <w:divBdr>
        <w:top w:val="none" w:sz="0" w:space="0" w:color="auto"/>
        <w:left w:val="none" w:sz="0" w:space="0" w:color="auto"/>
        <w:bottom w:val="none" w:sz="0" w:space="0" w:color="auto"/>
        <w:right w:val="none" w:sz="0" w:space="0" w:color="auto"/>
      </w:divBdr>
    </w:div>
    <w:div w:id="19665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fairtrading.nsw.gov.au/__data/assets/pdf_file/0007/451375/Response-to-Shergold-Weir-Building-Confidence-Report.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ndustry.gov.au/regulation-and-standards/building-and-construction/building-ministers-forum/building-ministers-forum-sub-group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lanning.act.gov.au/build-buy-renovate/reviews-and-reforms/building-reforms" TargetMode="External"/><Relationship Id="rId5" Type="http://schemas.openxmlformats.org/officeDocument/2006/relationships/customXml" Target="../customXml/item5.xml"/><Relationship Id="rId15" Type="http://schemas.openxmlformats.org/officeDocument/2006/relationships/hyperlink" Target="https://creativecommons.org/licenses/by/4.0/legalcode"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37FD5C64E474D8E11D565F696542F"/>
        <w:category>
          <w:name w:val="General"/>
          <w:gallery w:val="placeholder"/>
        </w:category>
        <w:types>
          <w:type w:val="bbPlcHdr"/>
        </w:types>
        <w:behaviors>
          <w:behavior w:val="content"/>
        </w:behaviors>
        <w:guid w:val="{76D8F2B6-FD78-45B2-ABEC-F53568BDEE89}"/>
      </w:docPartPr>
      <w:docPartBody>
        <w:p w:rsidR="006F1498" w:rsidRDefault="006F1498" w:rsidP="006F1498">
          <w:pPr>
            <w:pStyle w:val="50E37FD5C64E474D8E11D565F696542F"/>
          </w:pPr>
          <w:r w:rsidRPr="00DB39DE">
            <w:rPr>
              <w:rStyle w:val="PlaceholderText"/>
            </w:rPr>
            <w:t>[Title]</w:t>
          </w:r>
        </w:p>
      </w:docPartBody>
    </w:docPart>
    <w:docPart>
      <w:docPartPr>
        <w:name w:val="7671AD7347E8425DB59C1C451075E359"/>
        <w:category>
          <w:name w:val="General"/>
          <w:gallery w:val="placeholder"/>
        </w:category>
        <w:types>
          <w:type w:val="bbPlcHdr"/>
        </w:types>
        <w:behaviors>
          <w:behavior w:val="content"/>
        </w:behaviors>
        <w:guid w:val="{DEFA447C-BD9C-4DCA-81E0-2FBA35B09D61}"/>
      </w:docPartPr>
      <w:docPartBody>
        <w:p w:rsidR="006F1498" w:rsidRDefault="006F1498" w:rsidP="006F1498">
          <w:pPr>
            <w:pStyle w:val="7671AD7347E8425DB59C1C451075E359"/>
          </w:pPr>
          <w:r w:rsidRPr="00DB39DE">
            <w:rPr>
              <w:rStyle w:val="PlaceholderText"/>
            </w:rPr>
            <w:t>[Title]</w:t>
          </w:r>
        </w:p>
      </w:docPartBody>
    </w:docPart>
    <w:docPart>
      <w:docPartPr>
        <w:name w:val="667F3E9CC89742B7B88E522C31652B94"/>
        <w:category>
          <w:name w:val="General"/>
          <w:gallery w:val="placeholder"/>
        </w:category>
        <w:types>
          <w:type w:val="bbPlcHdr"/>
        </w:types>
        <w:behaviors>
          <w:behavior w:val="content"/>
        </w:behaviors>
        <w:guid w:val="{99672982-80AA-44A2-86FF-680007468995}"/>
      </w:docPartPr>
      <w:docPartBody>
        <w:p w:rsidR="006F1498" w:rsidRDefault="006F1498" w:rsidP="006F1498">
          <w:pPr>
            <w:pStyle w:val="667F3E9CC89742B7B88E522C31652B94"/>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98"/>
    <w:rsid w:val="006F1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498"/>
    <w:rPr>
      <w:color w:val="808080"/>
    </w:rPr>
  </w:style>
  <w:style w:type="paragraph" w:customStyle="1" w:styleId="50E37FD5C64E474D8E11D565F696542F">
    <w:name w:val="50E37FD5C64E474D8E11D565F696542F"/>
    <w:rsid w:val="006F1498"/>
  </w:style>
  <w:style w:type="paragraph" w:customStyle="1" w:styleId="7671AD7347E8425DB59C1C451075E359">
    <w:name w:val="7671AD7347E8425DB59C1C451075E359"/>
    <w:rsid w:val="006F1498"/>
  </w:style>
  <w:style w:type="paragraph" w:customStyle="1" w:styleId="667F3E9CC89742B7B88E522C31652B94">
    <w:name w:val="667F3E9CC89742B7B88E522C31652B94"/>
    <w:rsid w:val="006F1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2555c81638466f9eb614edb9ecde52 xmlns="498945f5-0448-4b4c-97d9-fcd4d7a5a1b1">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116a9244-cef6-47ce-a9a5-088c9cf21292</TermId>
        </TermInfo>
      </Terms>
    </pe2555c81638466f9eb614edb9ecde52>
    <TaxCatchAll xmlns="498945f5-0448-4b4c-97d9-fcd4d7a5a1b1">
      <Value>1982</Value>
      <Value>25</Value>
      <Value>15</Value>
      <Value>917</Value>
    </TaxCatchAll>
    <IconOverlay xmlns="http://schemas.microsoft.com/sharepoint/v4" xsi:nil="true"/>
    <g7bcb40ba23249a78edca7d43a67c1c9 xmlns="498945f5-0448-4b4c-97d9-fcd4d7a5a1b1">
      <Terms xmlns="http://schemas.microsoft.com/office/infopath/2007/PartnerControls"/>
    </g7bcb40ba23249a78edca7d43a67c1c9>
    <n99e4c9942c6404eb103464a00e6097b xmlns="498945f5-0448-4b4c-97d9-fcd4d7a5a1b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7e451fe0-4dc6-437a-a849-bab7965a9aee</TermId>
        </TermInfo>
      </Terms>
    </n99e4c9942c6404eb103464a00e6097b>
    <adb9bed2e36e4a93af574aeb444da63e xmlns="498945f5-0448-4b4c-97d9-fcd4d7a5a1b1">
      <Terms xmlns="http://schemas.microsoft.com/office/infopath/2007/PartnerControls">
        <TermInfo xmlns="http://schemas.microsoft.com/office/infopath/2007/PartnerControls">
          <TermName>BMF meeting</TermName>
          <TermId>cf2505ed-349c-4c75-b58e-27da5d6cf32a</TermId>
        </TermInfo>
      </Terms>
    </adb9bed2e36e4a93af574aeb444da63e>
    <DocHub_PDMSNumber xmlns="498945f5-0448-4b4c-97d9-fcd4d7a5a1b1" xsi:nil="true"/>
    <aa25a1a23adf4c92a153145de6afe324 xmlns="498945f5-0448-4b4c-97d9-fcd4d7a5a1b1">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11f6fb0b-52ce-4109-8f7f-521b2a62f692</TermId>
        </TermInfo>
      </Terms>
    </aa25a1a23adf4c92a153145de6afe324>
    <Comments xmlns="http://schemas.microsoft.com/sharepoint/v3" xsi:nil="true"/>
    <_dlc_DocId xmlns="498945f5-0448-4b4c-97d9-fcd4d7a5a1b1">A3PSR54DD4M5-206227225-2389</_dlc_DocId>
    <_dlc_DocIdUrl xmlns="498945f5-0448-4b4c-97d9-fcd4d7a5a1b1">
      <Url>https://dochub/div/sectoralgrowthpolicy/businessfunctions/buildingindustrypolicymanagement/buildingindustrypolicyissues/_layouts/15/DocIdRedir.aspx?ID=A3PSR54DD4M5-206227225-2389</Url>
      <Description>A3PSR54DD4M5-206227225-2389</Description>
    </_dlc_DocIdUrl>
    <ccb99dc9f08a42648d3c9cc38ac4e7e1 xmlns="498945f5-0448-4b4c-97d9-fcd4d7a5a1b1">
      <Terms xmlns="http://schemas.microsoft.com/office/infopath/2007/PartnerControls"/>
    </ccb99dc9f08a42648d3c9cc38ac4e7e1>
    <jffd395a7291496faaefad93e123a102 xmlns="498945f5-0448-4b4c-97d9-fcd4d7a5a1b1">
      <Terms xmlns="http://schemas.microsoft.com/office/infopath/2007/PartnerControls"/>
    </jffd395a7291496faaefad93e123a102>
    <h562caa41cd8435eb8b6f0bdc23e20a9 xmlns="498945f5-0448-4b4c-97d9-fcd4d7a5a1b1">
      <Terms xmlns="http://schemas.microsoft.com/office/infopath/2007/PartnerControls"/>
    </h562caa41cd8435eb8b6f0bdc23e20a9>
    <f3c15194519446c1ae7c79cc9b01c009 xmlns="498945f5-0448-4b4c-97d9-fcd4d7a5a1b1">
      <Terms xmlns="http://schemas.microsoft.com/office/infopath/2007/PartnerControls"/>
    </f3c15194519446c1ae7c79cc9b01c00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47BCF96234C4F88189F5C12E1DFB5" ma:contentTypeVersion="29" ma:contentTypeDescription="Create a new document." ma:contentTypeScope="" ma:versionID="1e90186d03d14236be48d8409c73f497">
  <xsd:schema xmlns:xsd="http://www.w3.org/2001/XMLSchema" xmlns:xs="http://www.w3.org/2001/XMLSchema" xmlns:p="http://schemas.microsoft.com/office/2006/metadata/properties" xmlns:ns1="http://schemas.microsoft.com/sharepoint/v3" xmlns:ns2="498945f5-0448-4b4c-97d9-fcd4d7a5a1b1" xmlns:ns3="http://schemas.microsoft.com/sharepoint/v4" targetNamespace="http://schemas.microsoft.com/office/2006/metadata/properties" ma:root="true" ma:fieldsID="53fca2a1223f1e55a2530f9fff074a8a" ns1:_="" ns2:_="" ns3:_="">
    <xsd:import namespace="http://schemas.microsoft.com/sharepoint/v3"/>
    <xsd:import namespace="498945f5-0448-4b4c-97d9-fcd4d7a5a1b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PDMSNumber" minOccurs="0"/>
                <xsd:element ref="ns2:h562caa41cd8435eb8b6f0bdc23e20a9" minOccurs="0"/>
                <xsd:element ref="ns2:ccb99dc9f08a42648d3c9cc38ac4e7e1" minOccurs="0"/>
                <xsd:element ref="ns2:jffd395a7291496faaefad93e123a102" minOccurs="0"/>
                <xsd:element ref="ns2:f3c15194519446c1ae7c79cc9b01c009"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945f5-0448-4b4c-97d9-fcd4d7a5a1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2c53e56-ba7a-482a-8980-6f177a156077}" ma:internalName="TaxCatchAll" ma:showField="CatchAllData" ma:web="498945f5-0448-4b4c-97d9-fcd4d7a5a1b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2bfc713d-067c-4d39-b284-75f65e0f335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PDMSNumber" ma:index="23" nillable="true" ma:displayName="PDMS Number" ma:description="Parliamentary Document Management System (PDMS) Reference Number" ma:internalName="DocHub_PDMSNumber">
      <xsd:simpleType>
        <xsd:restriction base="dms:Text">
          <xsd:maxLength value="255"/>
        </xsd:restriction>
      </xsd:simpleType>
    </xsd:element>
    <xsd:element name="h562caa41cd8435eb8b6f0bdc23e20a9" ma:index="24" nillable="true" ma:taxonomy="true" ma:internalName="h562caa41cd8435eb8b6f0bdc23e20a9" ma:taxonomyFieldName="DocHub_BriefingCorrespondenceType" ma:displayName="Briefing / Correspondence Type" ma:indexed="true" ma:fieldId="{1562caa4-1cd8-435e-b8b6-f0bdc23e20a9}" ma:sspId="fb0313f7-9433-48c0-866e-9e0bbee59a50" ma:termSetId="caaae84e-cb57-45e4-b635-a2aae71a9e6c" ma:anchorId="00000000-0000-0000-0000-000000000000" ma:open="false" ma:isKeyword="false">
      <xsd:complexType>
        <xsd:sequence>
          <xsd:element ref="pc:Terms" minOccurs="0" maxOccurs="1"/>
        </xsd:sequence>
      </xsd:complexType>
    </xsd:element>
    <xsd:element name="ccb99dc9f08a42648d3c9cc38ac4e7e1" ma:index="28" nillable="true" ma:taxonomy="true" ma:internalName="ccb99dc9f08a42648d3c9cc38ac4e7e1" ma:taxonomyFieldName="DocHub_Topic" ma:displayName="Work Topic" ma:indexed="true" ma:default="" ma:fieldId="{ccb99dc9-f08a-4264-8d3c-9cc38ac4e7e1}" ma:sspId="fb0313f7-9433-48c0-866e-9e0bbee59a50" ma:termSetId="831db4c2-964f-4bd2-8bab-2703a13df8cd" ma:anchorId="00000000-0000-0000-0000-000000000000" ma:open="false" ma:isKeyword="false">
      <xsd:complexType>
        <xsd:sequence>
          <xsd:element ref="pc:Terms" minOccurs="0" maxOccurs="1"/>
        </xsd:sequence>
      </xsd:complexType>
    </xsd:element>
    <xsd:element name="jffd395a7291496faaefad93e123a102" ma:index="30" nillable="true" ma:taxonomy="true" ma:internalName="jffd395a7291496faaefad93e123a102" ma:taxonomyFieldName="DocHub_Forums_x002F_Committees" ma:displayName="Forums / Committees" ma:indexed="true" ma:default="" ma:fieldId="{3ffd395a-7291-496f-aaef-ad93e123a102}" ma:sspId="fb0313f7-9433-48c0-866e-9e0bbee59a50" ma:termSetId="a4fcc36f-70d3-4f3a-b836-1533657d0178" ma:anchorId="00000000-0000-0000-0000-000000000000" ma:open="false" ma:isKeyword="false">
      <xsd:complexType>
        <xsd:sequence>
          <xsd:element ref="pc:Terms" minOccurs="0" maxOccurs="1"/>
        </xsd:sequence>
      </xsd:complexType>
    </xsd:element>
    <xsd:element name="f3c15194519446c1ae7c79cc9b01c009" ma:index="32" nillable="true" ma:taxonomy="true" ma:internalName="f3c15194519446c1ae7c79cc9b01c009" ma:taxonomyFieldName="DocHub_BuildingIndustryMinisters" ma:displayName="Minister" ma:indexed="true" ma:default="" ma:fieldId="{f3c15194-5194-46c1-ae7c-79cc9b01c009}" ma:sspId="fb0313f7-9433-48c0-866e-9e0bbee59a50" ma:termSetId="6626e42a-a0d3-4b7d-ad8b-2bc7b868d136" ma:anchorId="00000000-0000-0000-0000-000000000000" ma:open="false" ma:isKeyword="false">
      <xsd:complexType>
        <xsd:sequence>
          <xsd:element ref="pc:Terms" minOccurs="0" maxOccurs="1"/>
        </xsd:sequence>
      </xsd:complexType>
    </xsd:element>
    <xsd:element name="SharedWithUsers" ma:index="3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035487-4F14-4E09-8765-E64C2FFA0B5F}">
  <ds:schemaRefs>
    <ds:schemaRef ds:uri="http://schemas.microsoft.com/sharepoint/v3/contenttype/forms"/>
  </ds:schemaRefs>
</ds:datastoreItem>
</file>

<file path=customXml/itemProps2.xml><?xml version="1.0" encoding="utf-8"?>
<ds:datastoreItem xmlns:ds="http://schemas.openxmlformats.org/officeDocument/2006/customXml" ds:itemID="{7958876C-43A4-46DC-9885-915EF41189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498945f5-0448-4b4c-97d9-fcd4d7a5a1b1"/>
    <ds:schemaRef ds:uri="http://www.w3.org/XML/1998/namespace"/>
    <ds:schemaRef ds:uri="http://purl.org/dc/dcmitype/"/>
  </ds:schemaRefs>
</ds:datastoreItem>
</file>

<file path=customXml/itemProps3.xml><?xml version="1.0" encoding="utf-8"?>
<ds:datastoreItem xmlns:ds="http://schemas.openxmlformats.org/officeDocument/2006/customXml" ds:itemID="{241F2970-A3AE-450D-90DF-AF4CC77FC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8945f5-0448-4b4c-97d9-fcd4d7a5a1b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1F0E2-FB52-4889-9738-3E729719B6A9}">
  <ds:schemaRefs>
    <ds:schemaRef ds:uri="http://schemas.openxmlformats.org/officeDocument/2006/bibliography"/>
  </ds:schemaRefs>
</ds:datastoreItem>
</file>

<file path=customXml/itemProps5.xml><?xml version="1.0" encoding="utf-8"?>
<ds:datastoreItem xmlns:ds="http://schemas.openxmlformats.org/officeDocument/2006/customXml" ds:itemID="{7278BE0E-4008-4C13-A349-9257759102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9943</Words>
  <Characters>56677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Building Confidence Report: Jurisdictional Update</vt:lpstr>
    </vt:vector>
  </TitlesOfParts>
  <Company>Department of Housing and Public Works</Company>
  <LinksUpToDate>false</LinksUpToDate>
  <CharactersWithSpaces>66488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Confidence Report: Jurisdictional Update</dc:title>
  <dc:subject/>
  <dc:creator>FERRIS Mick</dc:creator>
  <cp:keywords/>
  <dc:description/>
  <cp:lastModifiedBy>Palmer, Selene</cp:lastModifiedBy>
  <cp:revision>5</cp:revision>
  <cp:lastPrinted>2023-08-31T02:06:00Z</cp:lastPrinted>
  <dcterms:created xsi:type="dcterms:W3CDTF">2020-03-13T02:39:00Z</dcterms:created>
  <dcterms:modified xsi:type="dcterms:W3CDTF">2023-08-31T02:08:00Z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0x010100BA147BCF96234C4F88189F5C12E1DFB5</vt:lpwstr>
  </property>
  <property fmtid="{D5CDD505-2E9C-101B-9397-08002B2CF9AE}" pid="3" name="DocHub_Year">
    <vt:lpwstr>917;#2019|7e451fe0-4dc6-437a-a849-bab7965a9aee</vt:lpwstr>
  </property>
  <property fmtid="{D5CDD505-2E9C-101B-9397-08002B2CF9AE}" pid="4" name="DocHub_SecurityClassification">
    <vt:lpwstr>25;#For Official Use Only|11f6fb0b-52ce-4109-8f7f-521b2a62f692</vt:lpwstr>
  </property>
  <property fmtid="{D5CDD505-2E9C-101B-9397-08002B2CF9AE}" pid="5" name="DocHub_WorkActivity">
    <vt:lpwstr/>
  </property>
  <property fmtid="{D5CDD505-2E9C-101B-9397-08002B2CF9AE}" pid="6" name="_dlc_DocIdItemGuid">
    <vt:lpwstr>4eae2dd4-a7c6-4966-9939-ec5688d30ad0</vt:lpwstr>
  </property>
  <property fmtid="{D5CDD505-2E9C-101B-9397-08002B2CF9AE}" pid="7" name="DocHub_DocumentType">
    <vt:lpwstr>15;#Brief|b7e64b99-5aaf-414e-afb1-f6ec93007836</vt:lpwstr>
  </property>
  <property fmtid="{D5CDD505-2E9C-101B-9397-08002B2CF9AE}" pid="8" name="DocHub_Keywords">
    <vt:lpwstr>1982;#BMF meeting|cf2505ed-349c-4c75-b58e-27da5d6cf32a</vt:lpwstr>
  </property>
  <property fmtid="{D5CDD505-2E9C-101B-9397-08002B2CF9AE}" pid="9" name="DocHub_Topic">
    <vt:lpwstr/>
  </property>
  <property fmtid="{D5CDD505-2E9C-101B-9397-08002B2CF9AE}" pid="10" name="DocHub_Forums/Committees">
    <vt:lpwstr/>
  </property>
  <property fmtid="{D5CDD505-2E9C-101B-9397-08002B2CF9AE}" pid="11" name="DocHub_BriefingCorrespondenceType">
    <vt:lpwstr/>
  </property>
  <property fmtid="{D5CDD505-2E9C-101B-9397-08002B2CF9AE}" pid="12" name="DocHub_BuildingIndustryMinisters">
    <vt:lpwstr/>
  </property>
</Properties>
</file>