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E53A1" w14:textId="77777777" w:rsidR="00BE0C2B" w:rsidRPr="00143702" w:rsidRDefault="008647FF" w:rsidP="00143702">
      <w:pPr>
        <w:spacing w:before="240" w:line="240" w:lineRule="auto"/>
        <w:jc w:val="center"/>
        <w:textAlignment w:val="baseline"/>
        <w:rPr>
          <w:rFonts w:ascii="Calibri Light" w:eastAsia="Times New Roman" w:hAnsi="Calibri Light" w:cs="Calibri Light"/>
          <w:sz w:val="32"/>
          <w:szCs w:val="32"/>
          <w:lang w:eastAsia="en-AU"/>
        </w:rPr>
      </w:pPr>
      <w:r w:rsidRPr="00143702">
        <w:rPr>
          <w:rFonts w:ascii="Calibri Light" w:eastAsia="Times New Roman" w:hAnsi="Calibri Light" w:cs="Calibri Light"/>
          <w:sz w:val="32"/>
          <w:szCs w:val="32"/>
          <w:lang w:eastAsia="en-AU"/>
        </w:rPr>
        <w:t xml:space="preserve">Dr Steven Kennedy PSM </w:t>
      </w:r>
    </w:p>
    <w:p w14:paraId="28419A76" w14:textId="77777777" w:rsidR="00BE0C2B" w:rsidRPr="00143702" w:rsidRDefault="008647FF" w:rsidP="00143702">
      <w:pPr>
        <w:spacing w:before="240" w:line="240" w:lineRule="auto"/>
        <w:jc w:val="center"/>
        <w:textAlignment w:val="baseline"/>
        <w:rPr>
          <w:rFonts w:ascii="Calibri Light" w:eastAsia="Times New Roman" w:hAnsi="Calibri Light" w:cs="Calibri Light"/>
          <w:sz w:val="32"/>
          <w:szCs w:val="32"/>
          <w:lang w:eastAsia="en-AU"/>
        </w:rPr>
      </w:pPr>
      <w:r w:rsidRPr="00143702">
        <w:rPr>
          <w:rFonts w:ascii="Calibri Light" w:eastAsia="Times New Roman" w:hAnsi="Calibri Light" w:cs="Calibri Light"/>
          <w:sz w:val="32"/>
          <w:szCs w:val="32"/>
          <w:lang w:eastAsia="en-AU"/>
        </w:rPr>
        <w:t xml:space="preserve">Secretary to the </w:t>
      </w:r>
      <w:r w:rsidR="00BE0C2B" w:rsidRPr="00143702">
        <w:rPr>
          <w:rFonts w:ascii="Calibri Light" w:eastAsia="Times New Roman" w:hAnsi="Calibri Light" w:cs="Calibri Light"/>
          <w:sz w:val="32"/>
          <w:szCs w:val="32"/>
          <w:lang w:eastAsia="en-AU"/>
        </w:rPr>
        <w:t xml:space="preserve">Treasury </w:t>
      </w:r>
    </w:p>
    <w:p w14:paraId="21D01C22" w14:textId="77777777" w:rsidR="00506370" w:rsidRPr="00721655" w:rsidRDefault="00506370" w:rsidP="00506370">
      <w:pPr>
        <w:spacing w:before="240" w:line="240" w:lineRule="auto"/>
        <w:jc w:val="center"/>
        <w:textAlignment w:val="baseline"/>
        <w:rPr>
          <w:rFonts w:ascii="Calibri Light" w:eastAsia="Times New Roman" w:hAnsi="Calibri Light" w:cs="Calibri Light"/>
          <w:i/>
          <w:iCs/>
          <w:sz w:val="32"/>
          <w:szCs w:val="32"/>
          <w:lang w:eastAsia="en-AU"/>
        </w:rPr>
      </w:pPr>
      <w:r w:rsidRPr="00721655">
        <w:rPr>
          <w:rFonts w:ascii="Calibri Light" w:eastAsia="Times New Roman" w:hAnsi="Calibri Light" w:cs="Calibri Light"/>
          <w:i/>
          <w:iCs/>
          <w:sz w:val="32"/>
          <w:szCs w:val="32"/>
          <w:lang w:eastAsia="en-AU"/>
        </w:rPr>
        <w:t>Economic Policy Amid Global Uncertainty</w:t>
      </w:r>
    </w:p>
    <w:p w14:paraId="27C70EE3" w14:textId="4845CA3F" w:rsidR="004402C9" w:rsidRPr="009D64F0" w:rsidRDefault="009A26B7" w:rsidP="004402C9">
      <w:pPr>
        <w:spacing w:before="240" w:line="240" w:lineRule="auto"/>
        <w:jc w:val="center"/>
        <w:textAlignment w:val="baseline"/>
        <w:rPr>
          <w:rFonts w:ascii="Calibri Light" w:eastAsia="Times New Roman" w:hAnsi="Calibri Light" w:cs="Calibri Light"/>
          <w:sz w:val="32"/>
          <w:szCs w:val="32"/>
          <w:lang w:eastAsia="en-AU"/>
        </w:rPr>
      </w:pPr>
      <w:r w:rsidRPr="00143702">
        <w:rPr>
          <w:rFonts w:ascii="Calibri Light" w:eastAsia="Times New Roman" w:hAnsi="Calibri Light" w:cs="Calibri Light"/>
          <w:sz w:val="32"/>
          <w:szCs w:val="32"/>
          <w:lang w:eastAsia="en-AU"/>
        </w:rPr>
        <w:t xml:space="preserve">Post-Budget economic </w:t>
      </w:r>
      <w:r w:rsidRPr="009D64F0">
        <w:rPr>
          <w:rFonts w:ascii="Calibri Light" w:eastAsia="Times New Roman" w:hAnsi="Calibri Light" w:cs="Calibri Light"/>
          <w:sz w:val="32"/>
          <w:szCs w:val="32"/>
          <w:lang w:eastAsia="en-AU"/>
        </w:rPr>
        <w:t>briefing</w:t>
      </w:r>
      <w:r w:rsidR="004402C9" w:rsidRPr="009D64F0">
        <w:rPr>
          <w:rFonts w:cstheme="minorHAnsi"/>
          <w:color w:val="313131"/>
          <w:kern w:val="0"/>
          <w:sz w:val="32"/>
          <w:szCs w:val="32"/>
          <w:shd w:val="clear" w:color="auto" w:fill="FFFFFF"/>
          <w:vertAlign w:val="superscript"/>
          <w14:ligatures w14:val="none"/>
        </w:rPr>
        <w:t xml:space="preserve"> </w:t>
      </w:r>
      <w:r w:rsidR="004402C9" w:rsidRPr="009D64F0">
        <w:rPr>
          <w:rFonts w:ascii="Calibri Light" w:eastAsia="Times New Roman" w:hAnsi="Calibri Light" w:cs="Calibri Light"/>
          <w:sz w:val="32"/>
          <w:szCs w:val="32"/>
          <w:vertAlign w:val="superscript"/>
          <w:lang w:eastAsia="en-AU"/>
        </w:rPr>
        <w:footnoteReference w:customMarkFollows="1" w:id="2"/>
        <w:sym w:font="Symbol" w:char="F02A"/>
      </w:r>
      <w:r w:rsidR="004402C9" w:rsidRPr="009D64F0">
        <w:rPr>
          <w:rFonts w:ascii="Calibri Light" w:eastAsia="Times New Roman" w:hAnsi="Calibri Light" w:cs="Calibri Light"/>
          <w:sz w:val="32"/>
          <w:szCs w:val="32"/>
          <w:lang w:eastAsia="en-AU"/>
        </w:rPr>
        <w:t xml:space="preserve"> </w:t>
      </w:r>
    </w:p>
    <w:p w14:paraId="3D819738" w14:textId="38278BCC" w:rsidR="00BE0C2B" w:rsidRPr="00143702" w:rsidRDefault="008647FF" w:rsidP="00143702">
      <w:pPr>
        <w:spacing w:before="240" w:line="240" w:lineRule="auto"/>
        <w:jc w:val="center"/>
        <w:textAlignment w:val="baseline"/>
        <w:rPr>
          <w:rFonts w:ascii="Calibri Light" w:eastAsia="Times New Roman" w:hAnsi="Calibri Light" w:cs="Calibri Light"/>
          <w:sz w:val="32"/>
          <w:szCs w:val="32"/>
          <w:lang w:eastAsia="en-AU"/>
        </w:rPr>
      </w:pPr>
      <w:r w:rsidRPr="00143702">
        <w:rPr>
          <w:rFonts w:ascii="Calibri Light" w:eastAsia="Times New Roman" w:hAnsi="Calibri Light" w:cs="Calibri Light"/>
          <w:sz w:val="32"/>
          <w:szCs w:val="32"/>
          <w:lang w:eastAsia="en-AU"/>
        </w:rPr>
        <w:t>Address to the Australian Business Economists</w:t>
      </w:r>
    </w:p>
    <w:p w14:paraId="56FC63C3" w14:textId="2D09C0E7" w:rsidR="008647FF" w:rsidRPr="00143702" w:rsidRDefault="004238C6" w:rsidP="00A240EC">
      <w:pPr>
        <w:spacing w:before="240" w:after="360" w:line="240" w:lineRule="auto"/>
        <w:jc w:val="center"/>
        <w:textAlignment w:val="baseline"/>
        <w:rPr>
          <w:rFonts w:ascii="Calibri Light" w:eastAsia="Times New Roman" w:hAnsi="Calibri Light" w:cs="Calibri Light"/>
          <w:sz w:val="32"/>
          <w:szCs w:val="32"/>
          <w:lang w:eastAsia="en-AU"/>
        </w:rPr>
      </w:pPr>
      <w:r>
        <w:rPr>
          <w:rFonts w:ascii="Calibri Light" w:eastAsia="Times New Roman" w:hAnsi="Calibri Light" w:cs="Calibri Light"/>
          <w:sz w:val="32"/>
          <w:szCs w:val="32"/>
          <w:lang w:eastAsia="en-AU"/>
        </w:rPr>
        <w:t>28</w:t>
      </w:r>
      <w:r w:rsidR="008647FF" w:rsidRPr="00143702">
        <w:rPr>
          <w:rFonts w:ascii="Calibri Light" w:eastAsia="Times New Roman" w:hAnsi="Calibri Light" w:cs="Calibri Light"/>
          <w:sz w:val="32"/>
          <w:szCs w:val="32"/>
          <w:lang w:eastAsia="en-AU"/>
        </w:rPr>
        <w:t xml:space="preserve"> May 202</w:t>
      </w:r>
      <w:r w:rsidR="004B55EB">
        <w:rPr>
          <w:rFonts w:ascii="Calibri Light" w:eastAsia="Times New Roman" w:hAnsi="Calibri Light" w:cs="Calibri Light"/>
          <w:sz w:val="32"/>
          <w:szCs w:val="32"/>
          <w:lang w:eastAsia="en-AU"/>
        </w:rPr>
        <w:t>5</w:t>
      </w:r>
      <w:r w:rsidR="008647FF" w:rsidRPr="00143702">
        <w:rPr>
          <w:rFonts w:ascii="Calibri Light" w:eastAsia="Times New Roman" w:hAnsi="Calibri Light" w:cs="Calibri Light"/>
          <w:sz w:val="32"/>
          <w:szCs w:val="32"/>
          <w:lang w:eastAsia="en-AU"/>
        </w:rPr>
        <w:t xml:space="preserve"> </w:t>
      </w:r>
    </w:p>
    <w:p w14:paraId="4A41FF39" w14:textId="5A206BD3" w:rsidR="0087528B" w:rsidRPr="00900C50" w:rsidRDefault="0087528B" w:rsidP="008E1A13">
      <w:pPr>
        <w:rPr>
          <w:rFonts w:cs="Calibri"/>
        </w:rPr>
      </w:pPr>
      <w:r w:rsidRPr="00900C50">
        <w:rPr>
          <w:rFonts w:cs="Calibri"/>
        </w:rPr>
        <w:t>Thank you Besa</w:t>
      </w:r>
      <w:r w:rsidR="00463C2D">
        <w:rPr>
          <w:rFonts w:cs="Calibri"/>
        </w:rPr>
        <w:t>.</w:t>
      </w:r>
      <w:r w:rsidRPr="00900C50">
        <w:rPr>
          <w:rFonts w:cs="Calibri"/>
        </w:rPr>
        <w:t xml:space="preserve"> </w:t>
      </w:r>
    </w:p>
    <w:p w14:paraId="2034AFCC" w14:textId="7A91E66E" w:rsidR="008E1A13" w:rsidRPr="00900C50" w:rsidRDefault="008E1A13" w:rsidP="008E1A13">
      <w:pPr>
        <w:rPr>
          <w:rFonts w:cs="Calibri"/>
        </w:rPr>
      </w:pPr>
      <w:r w:rsidRPr="00900C50">
        <w:rPr>
          <w:rFonts w:cs="Calibri"/>
        </w:rPr>
        <w:t>I begin today by acknowledging the Traditional Custodians of the land on which we are meeting, the Gadigal people of the Eora Nation, and I acknowledge their ongoing connection to Country.</w:t>
      </w:r>
    </w:p>
    <w:p w14:paraId="2048E27A" w14:textId="77777777" w:rsidR="008E1A13" w:rsidRPr="00900C50" w:rsidRDefault="008E1A13" w:rsidP="008E1A13">
      <w:pPr>
        <w:rPr>
          <w:rFonts w:cs="Calibri"/>
        </w:rPr>
      </w:pPr>
      <w:r w:rsidRPr="00900C50">
        <w:rPr>
          <w:rFonts w:cs="Calibri"/>
        </w:rPr>
        <w:t>I pay my respects to their Elders – past and present – and extend my respect to any First Nations people who are here with us today.</w:t>
      </w:r>
    </w:p>
    <w:p w14:paraId="2B3E3C58" w14:textId="20BF57DC" w:rsidR="008350FF" w:rsidRPr="00900C50" w:rsidRDefault="00B111AB" w:rsidP="00B111AB">
      <w:pPr>
        <w:rPr>
          <w:rFonts w:cs="Calibri"/>
        </w:rPr>
      </w:pPr>
      <w:r w:rsidRPr="00900C50">
        <w:rPr>
          <w:rFonts w:cs="Calibri"/>
        </w:rPr>
        <w:t>It’s a pleasure to be with the A</w:t>
      </w:r>
      <w:r w:rsidR="007C4DA8">
        <w:rPr>
          <w:rFonts w:cs="Calibri"/>
        </w:rPr>
        <w:t>ustralian Business Economists (A</w:t>
      </w:r>
      <w:r w:rsidRPr="00900C50">
        <w:rPr>
          <w:rFonts w:cs="Calibri"/>
        </w:rPr>
        <w:t>BE</w:t>
      </w:r>
      <w:r w:rsidR="007C4DA8">
        <w:rPr>
          <w:rFonts w:cs="Calibri"/>
        </w:rPr>
        <w:t>)</w:t>
      </w:r>
      <w:r w:rsidRPr="00900C50">
        <w:rPr>
          <w:rFonts w:cs="Calibri"/>
        </w:rPr>
        <w:t xml:space="preserve"> for </w:t>
      </w:r>
      <w:r w:rsidR="00C57044" w:rsidRPr="00900C50">
        <w:rPr>
          <w:rFonts w:cs="Calibri"/>
        </w:rPr>
        <w:t xml:space="preserve">the annual </w:t>
      </w:r>
      <w:r w:rsidRPr="00900C50">
        <w:rPr>
          <w:rFonts w:cs="Calibri"/>
        </w:rPr>
        <w:t>post</w:t>
      </w:r>
      <w:r w:rsidR="007C4DA8">
        <w:rPr>
          <w:rFonts w:cs="Calibri"/>
        </w:rPr>
        <w:noBreakHyphen/>
      </w:r>
      <w:r w:rsidRPr="00900C50">
        <w:rPr>
          <w:rFonts w:cs="Calibri"/>
        </w:rPr>
        <w:t xml:space="preserve">Budget address. </w:t>
      </w:r>
    </w:p>
    <w:p w14:paraId="2098B40A" w14:textId="44659C2D" w:rsidR="006E4316" w:rsidRPr="00900C50" w:rsidRDefault="006E4316" w:rsidP="00B111AB">
      <w:pPr>
        <w:rPr>
          <w:rFonts w:cs="Calibri"/>
        </w:rPr>
      </w:pPr>
      <w:r w:rsidRPr="00900C50">
        <w:rPr>
          <w:rFonts w:cs="Calibri"/>
        </w:rPr>
        <w:t xml:space="preserve">Three key themes </w:t>
      </w:r>
      <w:r w:rsidR="00414850" w:rsidRPr="00900C50">
        <w:rPr>
          <w:rFonts w:cs="Calibri"/>
        </w:rPr>
        <w:t xml:space="preserve">have dominated my </w:t>
      </w:r>
      <w:r w:rsidR="00D6676A" w:rsidRPr="00900C50">
        <w:rPr>
          <w:rFonts w:cs="Calibri"/>
        </w:rPr>
        <w:t xml:space="preserve">previous </w:t>
      </w:r>
      <w:r w:rsidR="00414850" w:rsidRPr="00900C50">
        <w:rPr>
          <w:rFonts w:cs="Calibri"/>
        </w:rPr>
        <w:t>addresses to the ABE</w:t>
      </w:r>
      <w:r w:rsidR="00EC28C1" w:rsidRPr="00900C50">
        <w:rPr>
          <w:rFonts w:cs="Calibri"/>
        </w:rPr>
        <w:t>:</w:t>
      </w:r>
    </w:p>
    <w:p w14:paraId="699B1F00" w14:textId="377151DF" w:rsidR="00EC28C1" w:rsidRPr="00900C50" w:rsidRDefault="00EC28C1" w:rsidP="00EC28C1">
      <w:pPr>
        <w:pStyle w:val="Bullet"/>
        <w:rPr>
          <w:rFonts w:cs="Calibri"/>
        </w:rPr>
      </w:pPr>
      <w:r w:rsidRPr="00900C50">
        <w:rPr>
          <w:rFonts w:cs="Calibri"/>
        </w:rPr>
        <w:t>Global trends and their impacts on Australia</w:t>
      </w:r>
      <w:r w:rsidR="00C8694E">
        <w:rPr>
          <w:rFonts w:cs="Calibri"/>
        </w:rPr>
        <w:t>.</w:t>
      </w:r>
    </w:p>
    <w:p w14:paraId="374A8E40" w14:textId="3D8BA414" w:rsidR="00EC28C1" w:rsidRPr="00900C50" w:rsidRDefault="00EC28C1" w:rsidP="00EC28C1">
      <w:pPr>
        <w:pStyle w:val="Bullet"/>
        <w:rPr>
          <w:rFonts w:cs="Calibri"/>
        </w:rPr>
      </w:pPr>
      <w:r w:rsidRPr="00900C50">
        <w:rPr>
          <w:rFonts w:cs="Calibri"/>
        </w:rPr>
        <w:t>Structural forces such as demographics, climate change and secular declines in productivity</w:t>
      </w:r>
      <w:r w:rsidR="00C8694E">
        <w:rPr>
          <w:rFonts w:cs="Calibri"/>
        </w:rPr>
        <w:t>.</w:t>
      </w:r>
    </w:p>
    <w:p w14:paraId="0E44B684" w14:textId="1E9513AC" w:rsidR="00EC28C1" w:rsidRPr="00900C50" w:rsidRDefault="00042BDF" w:rsidP="00EC28C1">
      <w:pPr>
        <w:pStyle w:val="Bullet"/>
        <w:rPr>
          <w:rFonts w:cs="Calibri"/>
        </w:rPr>
      </w:pPr>
      <w:r w:rsidRPr="00900C50">
        <w:rPr>
          <w:rFonts w:cs="Calibri"/>
        </w:rPr>
        <w:t xml:space="preserve">Fiscal sustainability. </w:t>
      </w:r>
    </w:p>
    <w:p w14:paraId="4ED153F0" w14:textId="41C92BF9" w:rsidR="00042BDF" w:rsidRPr="00900C50" w:rsidRDefault="00042BDF" w:rsidP="009C5168">
      <w:pPr>
        <w:rPr>
          <w:rFonts w:cs="Calibri"/>
        </w:rPr>
      </w:pPr>
      <w:r w:rsidRPr="00900C50">
        <w:rPr>
          <w:rFonts w:cs="Calibri"/>
        </w:rPr>
        <w:t xml:space="preserve">I will again touch on these </w:t>
      </w:r>
      <w:r w:rsidR="00E768C9" w:rsidRPr="00900C50">
        <w:rPr>
          <w:rFonts w:cs="Calibri"/>
        </w:rPr>
        <w:t xml:space="preserve">constants today. However, this presentation comes not when the Budget </w:t>
      </w:r>
      <w:r w:rsidR="00B0742A" w:rsidRPr="00900C50">
        <w:rPr>
          <w:rFonts w:cs="Calibri"/>
        </w:rPr>
        <w:t>is newly printed</w:t>
      </w:r>
      <w:r w:rsidR="00E768C9" w:rsidRPr="00900C50">
        <w:rPr>
          <w:rFonts w:cs="Calibri"/>
        </w:rPr>
        <w:t xml:space="preserve">, </w:t>
      </w:r>
      <w:r w:rsidR="009C5168" w:rsidRPr="00900C50">
        <w:rPr>
          <w:rFonts w:cs="Calibri"/>
        </w:rPr>
        <w:t xml:space="preserve">but instead </w:t>
      </w:r>
      <w:r w:rsidR="001B352B">
        <w:rPr>
          <w:rFonts w:cs="Calibri"/>
        </w:rPr>
        <w:t xml:space="preserve">with some delay due to the election and </w:t>
      </w:r>
      <w:r w:rsidR="009C5168" w:rsidRPr="00900C50">
        <w:rPr>
          <w:rFonts w:cs="Calibri"/>
        </w:rPr>
        <w:t>in the wake of</w:t>
      </w:r>
      <w:r w:rsidR="00034850" w:rsidRPr="00900C50">
        <w:rPr>
          <w:rFonts w:cs="Calibri"/>
        </w:rPr>
        <w:t xml:space="preserve"> </w:t>
      </w:r>
      <w:r w:rsidR="00472633">
        <w:rPr>
          <w:rFonts w:cs="Calibri"/>
        </w:rPr>
        <w:t xml:space="preserve">elevated </w:t>
      </w:r>
      <w:r w:rsidR="00034850" w:rsidRPr="00900C50">
        <w:rPr>
          <w:rFonts w:cs="Calibri"/>
        </w:rPr>
        <w:t>global uncertainty</w:t>
      </w:r>
      <w:r w:rsidR="00472633">
        <w:rPr>
          <w:rFonts w:cs="Calibri"/>
        </w:rPr>
        <w:t xml:space="preserve">. </w:t>
      </w:r>
    </w:p>
    <w:p w14:paraId="1029D984" w14:textId="5168AAA6" w:rsidR="008575C6" w:rsidRPr="00900C50" w:rsidRDefault="00034850" w:rsidP="00B111AB">
      <w:pPr>
        <w:rPr>
          <w:rFonts w:cs="Calibri"/>
        </w:rPr>
      </w:pPr>
      <w:r w:rsidRPr="00900C50">
        <w:rPr>
          <w:rFonts w:cs="Calibri"/>
        </w:rPr>
        <w:t>E</w:t>
      </w:r>
      <w:r w:rsidR="008350FF" w:rsidRPr="00900C50">
        <w:rPr>
          <w:rFonts w:cs="Calibri"/>
        </w:rPr>
        <w:t xml:space="preserve">conomic forecasters </w:t>
      </w:r>
      <w:r w:rsidR="006754C6" w:rsidRPr="00900C50">
        <w:rPr>
          <w:rFonts w:cs="Calibri"/>
        </w:rPr>
        <w:t>like</w:t>
      </w:r>
      <w:r w:rsidR="008350FF" w:rsidRPr="00900C50">
        <w:rPr>
          <w:rFonts w:cs="Calibri"/>
        </w:rPr>
        <w:t xml:space="preserve"> to add </w:t>
      </w:r>
      <w:r w:rsidR="002A5DB4" w:rsidRPr="00900C50">
        <w:rPr>
          <w:rFonts w:cs="Calibri"/>
        </w:rPr>
        <w:t xml:space="preserve">a </w:t>
      </w:r>
      <w:r w:rsidR="008350FF" w:rsidRPr="00900C50">
        <w:rPr>
          <w:rFonts w:cs="Calibri"/>
        </w:rPr>
        <w:t xml:space="preserve">rider </w:t>
      </w:r>
      <w:r w:rsidR="0089356A" w:rsidRPr="00900C50">
        <w:rPr>
          <w:rFonts w:cs="Calibri"/>
        </w:rPr>
        <w:t xml:space="preserve">to </w:t>
      </w:r>
      <w:r w:rsidR="008350FF" w:rsidRPr="00900C50">
        <w:rPr>
          <w:rFonts w:cs="Calibri"/>
        </w:rPr>
        <w:t xml:space="preserve">their forecasts, </w:t>
      </w:r>
      <w:r w:rsidR="006754C6" w:rsidRPr="00900C50">
        <w:rPr>
          <w:rFonts w:cs="Calibri"/>
        </w:rPr>
        <w:t xml:space="preserve">that </w:t>
      </w:r>
      <w:r w:rsidR="008350FF" w:rsidRPr="00900C50">
        <w:rPr>
          <w:rFonts w:cs="Calibri"/>
        </w:rPr>
        <w:t xml:space="preserve">there is more than the usual degree of uncertainty surrounding </w:t>
      </w:r>
      <w:r w:rsidR="00014418" w:rsidRPr="00900C50">
        <w:rPr>
          <w:rFonts w:cs="Calibri"/>
        </w:rPr>
        <w:t xml:space="preserve">the </w:t>
      </w:r>
      <w:r w:rsidR="001642D1" w:rsidRPr="00900C50">
        <w:rPr>
          <w:rFonts w:cs="Calibri"/>
        </w:rPr>
        <w:t>outlook</w:t>
      </w:r>
      <w:r w:rsidR="008350FF" w:rsidRPr="00900C50">
        <w:rPr>
          <w:rFonts w:cs="Calibri"/>
        </w:rPr>
        <w:t xml:space="preserve">. </w:t>
      </w:r>
    </w:p>
    <w:p w14:paraId="4015953B" w14:textId="5970E17C" w:rsidR="00B111AB" w:rsidRPr="00900C50" w:rsidRDefault="002A5DB4" w:rsidP="00B111AB">
      <w:r w:rsidRPr="00900C50">
        <w:rPr>
          <w:rFonts w:cs="Calibri"/>
        </w:rPr>
        <w:t xml:space="preserve">It </w:t>
      </w:r>
      <w:r w:rsidR="00C11037" w:rsidRPr="00900C50">
        <w:rPr>
          <w:rFonts w:cs="Calibri"/>
        </w:rPr>
        <w:t>may be</w:t>
      </w:r>
      <w:r w:rsidRPr="00900C50">
        <w:rPr>
          <w:rFonts w:cs="Calibri"/>
        </w:rPr>
        <w:t xml:space="preserve"> time to stop saying that and accept that for</w:t>
      </w:r>
      <w:r w:rsidR="00095C80" w:rsidRPr="00900C50">
        <w:rPr>
          <w:rFonts w:cs="Calibri"/>
        </w:rPr>
        <w:t xml:space="preserve"> the</w:t>
      </w:r>
      <w:r w:rsidRPr="00900C50">
        <w:rPr>
          <w:rFonts w:cs="Calibri"/>
        </w:rPr>
        <w:t xml:space="preserve"> foreseeable future </w:t>
      </w:r>
      <w:r w:rsidR="00564639" w:rsidRPr="00900C50">
        <w:rPr>
          <w:rFonts w:cs="Calibri"/>
        </w:rPr>
        <w:t>the</w:t>
      </w:r>
      <w:r w:rsidRPr="00900C50">
        <w:rPr>
          <w:rFonts w:cs="Calibri"/>
        </w:rPr>
        <w:t xml:space="preserve"> world will be characterised by a persistent</w:t>
      </w:r>
      <w:r w:rsidR="00C11037" w:rsidRPr="00900C50">
        <w:rPr>
          <w:rFonts w:cs="Calibri"/>
        </w:rPr>
        <w:t xml:space="preserve"> </w:t>
      </w:r>
      <w:r w:rsidR="008575C6" w:rsidRPr="00900C50">
        <w:rPr>
          <w:rFonts w:cs="Calibri"/>
        </w:rPr>
        <w:t>high</w:t>
      </w:r>
      <w:r w:rsidR="00855D28">
        <w:rPr>
          <w:rFonts w:cs="Calibri"/>
        </w:rPr>
        <w:t xml:space="preserve"> </w:t>
      </w:r>
      <w:r w:rsidR="008575C6" w:rsidRPr="00900C50">
        <w:rPr>
          <w:rFonts w:cs="Calibri"/>
        </w:rPr>
        <w:t>level</w:t>
      </w:r>
      <w:r w:rsidRPr="00900C50">
        <w:rPr>
          <w:rFonts w:cs="Calibri"/>
        </w:rPr>
        <w:t xml:space="preserve"> </w:t>
      </w:r>
      <w:r w:rsidR="009F7B13" w:rsidRPr="00900C50">
        <w:rPr>
          <w:rFonts w:cs="Calibri"/>
        </w:rPr>
        <w:t xml:space="preserve">of </w:t>
      </w:r>
      <w:r w:rsidRPr="00900C50">
        <w:rPr>
          <w:rFonts w:cs="Calibri"/>
        </w:rPr>
        <w:t>uncertainty</w:t>
      </w:r>
      <w:r w:rsidR="00564639" w:rsidRPr="00900C50">
        <w:rPr>
          <w:rFonts w:cs="Calibri"/>
        </w:rPr>
        <w:t>, a level</w:t>
      </w:r>
      <w:r w:rsidRPr="00900C50">
        <w:rPr>
          <w:rFonts w:cs="Calibri"/>
        </w:rPr>
        <w:t xml:space="preserve"> not </w:t>
      </w:r>
      <w:r w:rsidR="00822370">
        <w:rPr>
          <w:rFonts w:cs="Calibri"/>
        </w:rPr>
        <w:t xml:space="preserve">experienced </w:t>
      </w:r>
      <w:r w:rsidRPr="00900C50">
        <w:rPr>
          <w:rFonts w:cs="Calibri"/>
        </w:rPr>
        <w:t>for decades.</w:t>
      </w:r>
    </w:p>
    <w:p w14:paraId="761744BE" w14:textId="04A2A427" w:rsidR="00C62F4C" w:rsidRPr="00013B1B" w:rsidRDefault="00F5337F" w:rsidP="00F5337F">
      <w:r w:rsidRPr="00013B1B">
        <w:lastRenderedPageBreak/>
        <w:t xml:space="preserve">Current global </w:t>
      </w:r>
      <w:r w:rsidR="00374180" w:rsidRPr="00013B1B">
        <w:t>condition</w:t>
      </w:r>
      <w:r w:rsidRPr="00013B1B">
        <w:t>s make policy trade</w:t>
      </w:r>
      <w:r w:rsidR="00751D7F" w:rsidRPr="00013B1B">
        <w:t>-</w:t>
      </w:r>
      <w:r w:rsidRPr="00013B1B">
        <w:t xml:space="preserve">offs </w:t>
      </w:r>
      <w:r w:rsidR="009722B7" w:rsidRPr="00013B1B">
        <w:t>starker</w:t>
      </w:r>
      <w:r w:rsidR="00B97103" w:rsidRPr="00013B1B">
        <w:t xml:space="preserve"> –</w:t>
      </w:r>
      <w:r w:rsidRPr="00013B1B">
        <w:t xml:space="preserve"> they demand</w:t>
      </w:r>
      <w:r w:rsidR="00E64AC1" w:rsidRPr="00013B1B">
        <w:t xml:space="preserve"> </w:t>
      </w:r>
      <w:r w:rsidRPr="00013B1B">
        <w:t>evidence driven approach</w:t>
      </w:r>
      <w:r w:rsidR="00E64AC1" w:rsidRPr="00013B1B">
        <w:t>es</w:t>
      </w:r>
      <w:r w:rsidRPr="00013B1B">
        <w:t>.</w:t>
      </w:r>
      <w:r w:rsidR="00A0033E" w:rsidRPr="00013B1B">
        <w:t xml:space="preserve"> </w:t>
      </w:r>
      <w:r w:rsidR="001F7846" w:rsidRPr="00013B1B">
        <w:t>T</w:t>
      </w:r>
      <w:r w:rsidR="00EB1602" w:rsidRPr="00013B1B">
        <w:t>he margin for error is smaller and the</w:t>
      </w:r>
      <w:r w:rsidR="00032E63" w:rsidRPr="00013B1B">
        <w:t xml:space="preserve"> </w:t>
      </w:r>
      <w:r w:rsidR="00B97103" w:rsidRPr="00013B1B">
        <w:t>need for</w:t>
      </w:r>
      <w:r w:rsidR="00D921A5" w:rsidRPr="00013B1B">
        <w:t xml:space="preserve"> </w:t>
      </w:r>
      <w:r w:rsidR="00032E63" w:rsidRPr="00013B1B">
        <w:t>insurance</w:t>
      </w:r>
      <w:r w:rsidR="00D921A5" w:rsidRPr="00013B1B">
        <w:t xml:space="preserve"> </w:t>
      </w:r>
      <w:r w:rsidR="006E632C" w:rsidRPr="00013B1B">
        <w:t xml:space="preserve">against damaging outcomes </w:t>
      </w:r>
      <w:r w:rsidR="009D6418" w:rsidRPr="00013B1B">
        <w:t>is</w:t>
      </w:r>
      <w:r w:rsidR="00D921A5" w:rsidRPr="00013B1B">
        <w:t xml:space="preserve"> higher.</w:t>
      </w:r>
      <w:r w:rsidR="00032E63" w:rsidRPr="00013B1B">
        <w:t xml:space="preserve"> </w:t>
      </w:r>
    </w:p>
    <w:p w14:paraId="07685236" w14:textId="73D2A7C6" w:rsidR="009C5137" w:rsidRPr="00013B1B" w:rsidRDefault="009C5137" w:rsidP="009C5137">
      <w:r w:rsidRPr="00013B1B">
        <w:t xml:space="preserve">I’ll start with observations about </w:t>
      </w:r>
      <w:r w:rsidR="007F5FC6" w:rsidRPr="00013B1B">
        <w:t xml:space="preserve">recent </w:t>
      </w:r>
      <w:r w:rsidRPr="00013B1B">
        <w:t>econo</w:t>
      </w:r>
      <w:r w:rsidR="00C67DD2" w:rsidRPr="00013B1B">
        <w:t>mic</w:t>
      </w:r>
      <w:r w:rsidR="007F5FC6" w:rsidRPr="00013B1B">
        <w:t xml:space="preserve"> developments</w:t>
      </w:r>
      <w:r w:rsidR="008D4F9B" w:rsidRPr="00013B1B">
        <w:t>,</w:t>
      </w:r>
      <w:r w:rsidR="006C6A8A" w:rsidRPr="00013B1B">
        <w:t xml:space="preserve"> </w:t>
      </w:r>
      <w:r w:rsidR="008D4F9B" w:rsidRPr="00013B1B">
        <w:t>discuss</w:t>
      </w:r>
      <w:r w:rsidR="006C6A8A" w:rsidRPr="00013B1B">
        <w:t xml:space="preserve"> </w:t>
      </w:r>
      <w:r w:rsidR="00BD60EA" w:rsidRPr="00013B1B">
        <w:t>a</w:t>
      </w:r>
      <w:r w:rsidR="006C6A8A" w:rsidRPr="00013B1B">
        <w:t xml:space="preserve"> new international paradigm, </w:t>
      </w:r>
      <w:r w:rsidR="00514283" w:rsidRPr="00013B1B">
        <w:t>outline</w:t>
      </w:r>
      <w:r w:rsidR="008D4F9B" w:rsidRPr="00013B1B">
        <w:t xml:space="preserve"> how countries are responding to these developmen</w:t>
      </w:r>
      <w:r w:rsidR="00163F82" w:rsidRPr="00013B1B">
        <w:t>t</w:t>
      </w:r>
      <w:r w:rsidR="00514283" w:rsidRPr="00013B1B">
        <w:t>s</w:t>
      </w:r>
      <w:r w:rsidR="004B2CF0" w:rsidRPr="00013B1B">
        <w:t xml:space="preserve">, </w:t>
      </w:r>
      <w:r w:rsidRPr="00013B1B">
        <w:t xml:space="preserve">before turning to </w:t>
      </w:r>
      <w:r w:rsidR="004B2CF0" w:rsidRPr="00013B1B">
        <w:t xml:space="preserve">policy </w:t>
      </w:r>
      <w:r w:rsidR="007A7400" w:rsidRPr="00013B1B">
        <w:t>opportunities</w:t>
      </w:r>
      <w:r w:rsidR="006C6A8A" w:rsidRPr="00013B1B">
        <w:t xml:space="preserve"> more broadly</w:t>
      </w:r>
      <w:r w:rsidR="009F5B65" w:rsidRPr="00013B1B">
        <w:t xml:space="preserve"> with a focus on productivity</w:t>
      </w:r>
      <w:r w:rsidR="00101553" w:rsidRPr="00013B1B">
        <w:t xml:space="preserve"> and fiscal policy</w:t>
      </w:r>
      <w:r w:rsidR="009F5B65" w:rsidRPr="00013B1B">
        <w:t>.</w:t>
      </w:r>
    </w:p>
    <w:p w14:paraId="593952CC" w14:textId="739BE38B" w:rsidR="002F41FB" w:rsidRPr="000755F0" w:rsidRDefault="007F5FC6" w:rsidP="002F41FB">
      <w:pPr>
        <w:pStyle w:val="Heading1"/>
        <w:rPr>
          <w:sz w:val="28"/>
          <w:szCs w:val="28"/>
        </w:rPr>
      </w:pPr>
      <w:r w:rsidRPr="000755F0">
        <w:rPr>
          <w:sz w:val="28"/>
          <w:szCs w:val="28"/>
        </w:rPr>
        <w:t>Recent</w:t>
      </w:r>
      <w:r w:rsidR="00481A37" w:rsidRPr="000755F0">
        <w:rPr>
          <w:sz w:val="28"/>
          <w:szCs w:val="28"/>
        </w:rPr>
        <w:t xml:space="preserve"> econom</w:t>
      </w:r>
      <w:r w:rsidR="00041A4C" w:rsidRPr="000755F0">
        <w:rPr>
          <w:sz w:val="28"/>
          <w:szCs w:val="28"/>
        </w:rPr>
        <w:t>ic developments</w:t>
      </w:r>
    </w:p>
    <w:p w14:paraId="166957DF" w14:textId="1DC84D7D" w:rsidR="0077291D" w:rsidRPr="00013B1B" w:rsidRDefault="00A658D8" w:rsidP="0077291D">
      <w:r w:rsidRPr="00013B1B">
        <w:t xml:space="preserve">The </w:t>
      </w:r>
      <w:r w:rsidR="008F33C3">
        <w:t xml:space="preserve">economic update for </w:t>
      </w:r>
      <w:r w:rsidR="00735909" w:rsidRPr="00013B1B">
        <w:t>P</w:t>
      </w:r>
      <w:r w:rsidR="00237715">
        <w:t>re-election Economic and Fiscal Outlook (P</w:t>
      </w:r>
      <w:r w:rsidR="00735909" w:rsidRPr="00013B1B">
        <w:t>EFO</w:t>
      </w:r>
      <w:r w:rsidR="00237715">
        <w:t>)</w:t>
      </w:r>
      <w:r w:rsidR="00735909" w:rsidRPr="00013B1B">
        <w:t xml:space="preserve"> was finalised on 31 March. The tariffs announced by the </w:t>
      </w:r>
      <w:r w:rsidR="00D37C53">
        <w:t>United States (</w:t>
      </w:r>
      <w:r w:rsidR="00735909" w:rsidRPr="00013B1B">
        <w:t>US</w:t>
      </w:r>
      <w:r w:rsidR="00D37C53">
        <w:t>)</w:t>
      </w:r>
      <w:r w:rsidR="00735909" w:rsidRPr="00013B1B">
        <w:t xml:space="preserve"> President on 3</w:t>
      </w:r>
      <w:r w:rsidR="00387D0A" w:rsidRPr="00013B1B">
        <w:t> </w:t>
      </w:r>
      <w:r w:rsidR="00735909" w:rsidRPr="00013B1B">
        <w:t>April were</w:t>
      </w:r>
      <w:r w:rsidR="000F320E" w:rsidRPr="00013B1B">
        <w:t xml:space="preserve"> </w:t>
      </w:r>
      <w:r w:rsidR="00735909" w:rsidRPr="00013B1B">
        <w:t>more substantial than expected, and</w:t>
      </w:r>
      <w:r w:rsidR="00B95B69" w:rsidRPr="00013B1B">
        <w:t xml:space="preserve"> since this time</w:t>
      </w:r>
      <w:r w:rsidR="00EC27EB">
        <w:t>,</w:t>
      </w:r>
      <w:r w:rsidR="00735909" w:rsidRPr="00013B1B">
        <w:t xml:space="preserve"> markets have experienced unusually high levels of</w:t>
      </w:r>
      <w:r w:rsidR="000F320E" w:rsidRPr="00013B1B">
        <w:t xml:space="preserve"> </w:t>
      </w:r>
      <w:r w:rsidR="00735909" w:rsidRPr="00013B1B">
        <w:t>volatility</w:t>
      </w:r>
      <w:r w:rsidR="00570DE2" w:rsidRPr="00013B1B">
        <w:t>.</w:t>
      </w:r>
      <w:r w:rsidR="00903EBC" w:rsidRPr="00013B1B">
        <w:t xml:space="preserve"> </w:t>
      </w:r>
      <w:r w:rsidR="002A2014" w:rsidRPr="00013B1B">
        <w:t>Initially,</w:t>
      </w:r>
      <w:r w:rsidR="00735909" w:rsidRPr="00013B1B">
        <w:t xml:space="preserve"> the 90-day delay of ‘reciprocal’ tariffs on all countries other than China calmed markets a little</w:t>
      </w:r>
      <w:r w:rsidR="00F33720">
        <w:t xml:space="preserve"> (see Chart 1).</w:t>
      </w:r>
    </w:p>
    <w:p w14:paraId="67A05362" w14:textId="64E53676" w:rsidR="007E2502" w:rsidRDefault="00CF6980" w:rsidP="000F320E">
      <w:r w:rsidRPr="00013B1B">
        <w:t>T</w:t>
      </w:r>
      <w:r w:rsidR="008310E0" w:rsidRPr="00013B1B">
        <w:t>he subsequent</w:t>
      </w:r>
      <w:r w:rsidR="00735909" w:rsidRPr="00013B1B">
        <w:t xml:space="preserve"> </w:t>
      </w:r>
      <w:r w:rsidR="00AC6C5C" w:rsidRPr="00013B1B">
        <w:t xml:space="preserve">ratcheting </w:t>
      </w:r>
      <w:r w:rsidR="008310E0" w:rsidRPr="00013B1B">
        <w:t xml:space="preserve">of tariff levels </w:t>
      </w:r>
      <w:r w:rsidR="00BB39ED" w:rsidRPr="00013B1B">
        <w:t>between China and the US</w:t>
      </w:r>
      <w:r w:rsidR="00280A83">
        <w:t xml:space="preserve"> </w:t>
      </w:r>
      <w:r w:rsidR="0056198C" w:rsidRPr="00013B1B">
        <w:t xml:space="preserve">and </w:t>
      </w:r>
      <w:r w:rsidR="002B75BC">
        <w:t xml:space="preserve">more recent </w:t>
      </w:r>
      <w:r w:rsidR="00CC16CC">
        <w:t>de</w:t>
      </w:r>
      <w:r w:rsidR="00CC16CC" w:rsidRPr="00013B1B">
        <w:t>-escalation</w:t>
      </w:r>
      <w:r w:rsidR="0056198C" w:rsidRPr="00013B1B">
        <w:t xml:space="preserve"> </w:t>
      </w:r>
      <w:r w:rsidR="00455A13" w:rsidRPr="00013B1B">
        <w:t xml:space="preserve">serves as a </w:t>
      </w:r>
      <w:r w:rsidR="006A2312" w:rsidRPr="00013B1B">
        <w:t xml:space="preserve">reminder </w:t>
      </w:r>
      <w:r w:rsidR="00974FD1" w:rsidRPr="00013B1B">
        <w:t xml:space="preserve">that both </w:t>
      </w:r>
      <w:r w:rsidR="00030F4A">
        <w:t xml:space="preserve">have dependencies </w:t>
      </w:r>
      <w:r w:rsidR="00974FD1" w:rsidRPr="00013B1B">
        <w:t xml:space="preserve">and </w:t>
      </w:r>
      <w:r w:rsidR="00B61EF7" w:rsidRPr="00013B1B">
        <w:t>vulnerabilities,</w:t>
      </w:r>
      <w:r w:rsidR="00535D11" w:rsidRPr="00013B1B">
        <w:t xml:space="preserve"> and tension will remain for the foreseeable future</w:t>
      </w:r>
      <w:r w:rsidR="00B66865" w:rsidRPr="00013B1B">
        <w:t>.</w:t>
      </w:r>
      <w:r w:rsidR="00280A83" w:rsidRPr="00013B1B">
        <w:rPr>
          <w:rStyle w:val="FootnoteReference"/>
        </w:rPr>
        <w:footnoteReference w:id="3"/>
      </w:r>
      <w:r w:rsidR="00280A83" w:rsidRPr="00013B1B">
        <w:t xml:space="preserve"> </w:t>
      </w:r>
    </w:p>
    <w:p w14:paraId="32CF5CB7" w14:textId="36515F97" w:rsidR="001B2FA1" w:rsidRPr="00013B1B" w:rsidRDefault="001B2FA1" w:rsidP="00FC6333">
      <w:pPr>
        <w:rPr>
          <w:color w:val="0E2740"/>
        </w:rPr>
      </w:pPr>
      <w:r w:rsidRPr="00EE3034">
        <w:rPr>
          <w:b/>
          <w:bCs/>
          <w:color w:val="0E2740"/>
        </w:rPr>
        <w:t xml:space="preserve">Chart </w:t>
      </w:r>
      <w:r>
        <w:rPr>
          <w:b/>
          <w:bCs/>
          <w:color w:val="0E2740"/>
        </w:rPr>
        <w:t>1</w:t>
      </w:r>
      <w:r w:rsidRPr="00EC7105">
        <w:rPr>
          <w:b/>
          <w:bCs/>
          <w:color w:val="0E2740"/>
        </w:rPr>
        <w:t xml:space="preserve">: </w:t>
      </w:r>
      <w:r>
        <w:rPr>
          <w:b/>
          <w:bCs/>
          <w:color w:val="0E2740"/>
        </w:rPr>
        <w:t xml:space="preserve">Trade </w:t>
      </w:r>
      <w:r w:rsidR="009D1638">
        <w:rPr>
          <w:b/>
          <w:bCs/>
          <w:color w:val="0E2740"/>
        </w:rPr>
        <w:t>u</w:t>
      </w:r>
      <w:r>
        <w:rPr>
          <w:b/>
          <w:bCs/>
          <w:color w:val="0E2740"/>
        </w:rPr>
        <w:t xml:space="preserve">ncertainty </w:t>
      </w:r>
      <w:r w:rsidR="009D1638">
        <w:rPr>
          <w:b/>
          <w:bCs/>
          <w:color w:val="0E2740"/>
        </w:rPr>
        <w:t>i</w:t>
      </w:r>
      <w:r>
        <w:rPr>
          <w:b/>
          <w:bCs/>
          <w:color w:val="0E2740"/>
        </w:rPr>
        <w:t>ndex</w:t>
      </w:r>
    </w:p>
    <w:p w14:paraId="5E223044" w14:textId="6CDC35C7" w:rsidR="002E314E" w:rsidRDefault="00FA12BB" w:rsidP="00FB28DC">
      <w:pPr>
        <w:jc w:val="center"/>
        <w:rPr>
          <w:sz w:val="20"/>
          <w:szCs w:val="20"/>
        </w:rPr>
      </w:pPr>
      <w:r w:rsidRPr="00FA12BB">
        <w:rPr>
          <w:noProof/>
        </w:rPr>
        <w:drawing>
          <wp:inline distT="0" distB="0" distL="0" distR="0" wp14:anchorId="07CDB862" wp14:editId="3CCB5F66">
            <wp:extent cx="5607050" cy="2401570"/>
            <wp:effectExtent l="0" t="0" r="0" b="0"/>
            <wp:docPr id="1960027669" name="Picture 4" descr="This line chart shows a 21-day rolling average of the Bloomberg Economics Trade Policy Uncertainty Index from 2009 to 2025. &#10;The years of the first and second Trump Administration are shaded. Trade uncertainty was higher than average during the first Trump Administration (2017–2021) partially reflecting the impacts of the COVID-19 pandemic. &#10;The trade uncertainty index reached record highs in 2025, coinciding with the commencement of the second Trump Administration and their accompanying tariff announc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27669" name="Picture 4" descr="This line chart shows a 21-day rolling average of the Bloomberg Economics Trade Policy Uncertainty Index from 2009 to 2025. &#10;The years of the first and second Trump Administration are shaded. Trade uncertainty was higher than average during the first Trump Administration (2017–2021) partially reflecting the impacts of the COVID-19 pandemic. &#10;The trade uncertainty index reached record highs in 2025, coinciding with the commencement of the second Trump Administration and their accompanying tariff announcement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7050" cy="2401570"/>
                    </a:xfrm>
                    <a:prstGeom prst="rect">
                      <a:avLst/>
                    </a:prstGeom>
                    <a:noFill/>
                    <a:ln>
                      <a:noFill/>
                    </a:ln>
                  </pic:spPr>
                </pic:pic>
              </a:graphicData>
            </a:graphic>
          </wp:inline>
        </w:drawing>
      </w:r>
    </w:p>
    <w:p w14:paraId="144C0C23" w14:textId="77777777" w:rsidR="00EF71CD" w:rsidRPr="00D561D2" w:rsidRDefault="00EF71CD" w:rsidP="00EF71CD">
      <w:pPr>
        <w:spacing w:after="0" w:line="240" w:lineRule="auto"/>
        <w:rPr>
          <w:sz w:val="20"/>
          <w:szCs w:val="20"/>
        </w:rPr>
      </w:pPr>
      <w:r w:rsidRPr="00D561D2">
        <w:rPr>
          <w:sz w:val="20"/>
          <w:szCs w:val="20"/>
        </w:rPr>
        <w:t>Note: 21-day rolling average. Bloomberg Economics Trade Policy Uncertainty (TPU) Index is aligned with the indexes developed by Baker, Bloom &amp; Davis and Caldara et al., showing similar historical changes since 2018.</w:t>
      </w:r>
    </w:p>
    <w:p w14:paraId="3A0D0386" w14:textId="77777777" w:rsidR="00D561D2" w:rsidRPr="00D561D2" w:rsidRDefault="00D561D2" w:rsidP="00D561D2">
      <w:pPr>
        <w:spacing w:after="0" w:line="240" w:lineRule="auto"/>
        <w:rPr>
          <w:sz w:val="20"/>
          <w:szCs w:val="20"/>
        </w:rPr>
      </w:pPr>
      <w:r w:rsidRPr="00D561D2">
        <w:rPr>
          <w:sz w:val="20"/>
          <w:szCs w:val="20"/>
        </w:rPr>
        <w:t xml:space="preserve">Source: Bloomberg Economic Global Trade Policy Uncertainty Daily </w:t>
      </w:r>
    </w:p>
    <w:p w14:paraId="1FA02B79" w14:textId="77777777" w:rsidR="00CE647B" w:rsidRPr="00013B1B" w:rsidRDefault="00CE647B" w:rsidP="001A7F72"/>
    <w:p w14:paraId="142D1707" w14:textId="75EA62BA" w:rsidR="00F97AC2" w:rsidRPr="00013B1B" w:rsidRDefault="00423B34" w:rsidP="000F320E">
      <w:r w:rsidRPr="00081B36">
        <w:lastRenderedPageBreak/>
        <w:t>China has a lot</w:t>
      </w:r>
      <w:r w:rsidR="008F0CEF" w:rsidRPr="00081B36">
        <w:t xml:space="preserve"> to</w:t>
      </w:r>
      <w:r w:rsidRPr="00081B36">
        <w:t xml:space="preserve"> lose </w:t>
      </w:r>
      <w:r w:rsidR="00DF28F0" w:rsidRPr="00081B36">
        <w:t>should exports to the US be significantly curtailed</w:t>
      </w:r>
      <w:r w:rsidR="00B62727">
        <w:t xml:space="preserve">. It is </w:t>
      </w:r>
      <w:r w:rsidR="00AE3C7D" w:rsidRPr="00081B36">
        <w:t>estimated that</w:t>
      </w:r>
      <w:r w:rsidR="00EB49D9" w:rsidRPr="00081B36">
        <w:t xml:space="preserve"> 16 million people work in sectors that export to the US</w:t>
      </w:r>
      <w:r w:rsidR="00DF28F0" w:rsidRPr="00081B36">
        <w:t>.</w:t>
      </w:r>
      <w:r w:rsidR="001B22AA" w:rsidRPr="00081B36">
        <w:rPr>
          <w:rStyle w:val="FootnoteReference"/>
        </w:rPr>
        <w:footnoteReference w:id="4"/>
      </w:r>
      <w:r w:rsidR="00DF28F0" w:rsidRPr="00013B1B">
        <w:t xml:space="preserve"> </w:t>
      </w:r>
    </w:p>
    <w:p w14:paraId="613EC9EA" w14:textId="0DAC663B" w:rsidR="002647FF" w:rsidRPr="00013B1B" w:rsidRDefault="00DF28F0" w:rsidP="000F320E">
      <w:r w:rsidRPr="00013B1B">
        <w:t xml:space="preserve">The US </w:t>
      </w:r>
      <w:r w:rsidR="00E9315F" w:rsidRPr="00013B1B">
        <w:t xml:space="preserve">also has </w:t>
      </w:r>
      <w:r w:rsidRPr="00013B1B">
        <w:t xml:space="preserve">a lot </w:t>
      </w:r>
      <w:r w:rsidR="00887EA4">
        <w:t xml:space="preserve">to </w:t>
      </w:r>
      <w:r w:rsidRPr="00013B1B">
        <w:t xml:space="preserve">lose </w:t>
      </w:r>
      <w:r w:rsidR="006B103B" w:rsidRPr="00013B1B">
        <w:t>if they can</w:t>
      </w:r>
      <w:r w:rsidR="008F0CEF" w:rsidRPr="00013B1B">
        <w:t>not</w:t>
      </w:r>
      <w:r w:rsidR="006B103B" w:rsidRPr="00013B1B">
        <w:t xml:space="preserve"> access Chinese goods</w:t>
      </w:r>
      <w:r w:rsidR="002B75BC">
        <w:t>,</w:t>
      </w:r>
      <w:r w:rsidR="006B103B" w:rsidRPr="00013B1B">
        <w:t xml:space="preserve"> especially in the near term</w:t>
      </w:r>
      <w:r w:rsidR="00B53AE6" w:rsidRPr="00013B1B">
        <w:t xml:space="preserve">, with </w:t>
      </w:r>
      <w:r w:rsidR="001A61D1">
        <w:t xml:space="preserve">processed </w:t>
      </w:r>
      <w:r w:rsidR="00B53AE6" w:rsidRPr="00013B1B">
        <w:t xml:space="preserve">critical </w:t>
      </w:r>
      <w:r w:rsidR="000738A7" w:rsidRPr="00013B1B">
        <w:t>minerals</w:t>
      </w:r>
      <w:r w:rsidR="00B53AE6" w:rsidRPr="00013B1B">
        <w:t xml:space="preserve"> sitting near the top of the </w:t>
      </w:r>
      <w:r w:rsidR="007265DD" w:rsidRPr="00013B1B">
        <w:t>list</w:t>
      </w:r>
      <w:r w:rsidR="000738A7" w:rsidRPr="00013B1B">
        <w:t>.</w:t>
      </w:r>
    </w:p>
    <w:p w14:paraId="393C486A" w14:textId="42BC6338" w:rsidR="00D006BA" w:rsidRPr="00013B1B" w:rsidRDefault="00D006BA" w:rsidP="00D006BA">
      <w:r w:rsidRPr="00013B1B">
        <w:t xml:space="preserve">The US heavily relies on Chinese imports that are not easily replaceable or producible domestically without incurring significant costs. </w:t>
      </w:r>
      <w:r w:rsidR="001E6F30" w:rsidRPr="00013B1B">
        <w:t xml:space="preserve">Adam Posen has gone as far </w:t>
      </w:r>
      <w:r w:rsidR="001561D2">
        <w:t xml:space="preserve">as </w:t>
      </w:r>
      <w:r w:rsidR="001F2DB6" w:rsidRPr="00013B1B">
        <w:t xml:space="preserve">to say </w:t>
      </w:r>
      <w:r w:rsidR="001E6F30" w:rsidRPr="00013B1B">
        <w:t>that this</w:t>
      </w:r>
      <w:r w:rsidRPr="00013B1B">
        <w:t xml:space="preserve"> dependency makes the US more vulnerable to trade disruptions than China, which can more readily find alternative markets for its exports.</w:t>
      </w:r>
      <w:r w:rsidRPr="00013B1B">
        <w:rPr>
          <w:rStyle w:val="FootnoteReference"/>
        </w:rPr>
        <w:footnoteReference w:id="5"/>
      </w:r>
    </w:p>
    <w:p w14:paraId="36B3F6B2" w14:textId="3F3B50C9" w:rsidR="00475FA5" w:rsidRPr="00013B1B" w:rsidRDefault="00E667C7" w:rsidP="000F320E">
      <w:r w:rsidRPr="00013B1B">
        <w:t xml:space="preserve">Unsurprisingly, </w:t>
      </w:r>
      <w:r w:rsidR="001413B0">
        <w:t>th</w:t>
      </w:r>
      <w:r w:rsidR="00676DA7">
        <w:t xml:space="preserve">ese developments have </w:t>
      </w:r>
      <w:r w:rsidR="00735909" w:rsidRPr="00013B1B">
        <w:t>led to a downgrade to the global outlook.</w:t>
      </w:r>
      <w:r w:rsidR="00781927" w:rsidRPr="00013B1B">
        <w:t xml:space="preserve"> </w:t>
      </w:r>
    </w:p>
    <w:p w14:paraId="5B0BF4CB" w14:textId="1AA3064B" w:rsidR="00735909" w:rsidRPr="00013B1B" w:rsidRDefault="00DB3DC9" w:rsidP="000F320E">
      <w:r w:rsidRPr="00B4107A">
        <w:t>T</w:t>
      </w:r>
      <w:r w:rsidR="00781927" w:rsidRPr="00B4107A">
        <w:t>he I</w:t>
      </w:r>
      <w:r w:rsidR="00007AAD">
        <w:t xml:space="preserve">nternational Monetary </w:t>
      </w:r>
      <w:r w:rsidR="00887EA4">
        <w:t>F</w:t>
      </w:r>
      <w:r w:rsidR="00007AAD">
        <w:t>und (I</w:t>
      </w:r>
      <w:r w:rsidR="00781927" w:rsidRPr="00B4107A">
        <w:t>MF</w:t>
      </w:r>
      <w:r w:rsidR="00007AAD">
        <w:t>)</w:t>
      </w:r>
      <w:r w:rsidRPr="00B4107A">
        <w:t xml:space="preserve"> recently</w:t>
      </w:r>
      <w:r w:rsidR="00781927" w:rsidRPr="00B4107A">
        <w:t xml:space="preserve"> downgraded global growth</w:t>
      </w:r>
      <w:r w:rsidRPr="00B4107A">
        <w:t xml:space="preserve"> </w:t>
      </w:r>
      <w:r w:rsidR="004C6163" w:rsidRPr="00B4107A">
        <w:t>for 2025</w:t>
      </w:r>
      <w:r w:rsidR="00007AAD">
        <w:t xml:space="preserve"> to</w:t>
      </w:r>
      <w:r w:rsidR="004C6163" w:rsidRPr="00B4107A">
        <w:t xml:space="preserve"> </w:t>
      </w:r>
      <w:r w:rsidR="009148D6" w:rsidRPr="00B4107A">
        <w:t>2.8 per</w:t>
      </w:r>
      <w:r w:rsidR="00C8694E">
        <w:t xml:space="preserve"> </w:t>
      </w:r>
      <w:r w:rsidR="009148D6" w:rsidRPr="00B4107A">
        <w:t>cent, from 3.3 per</w:t>
      </w:r>
      <w:r w:rsidR="00C8694E">
        <w:t xml:space="preserve"> </w:t>
      </w:r>
      <w:r w:rsidR="009148D6" w:rsidRPr="00B4107A">
        <w:t>cent</w:t>
      </w:r>
      <w:r w:rsidR="00735909" w:rsidRPr="00B4107A">
        <w:t>.</w:t>
      </w:r>
      <w:r w:rsidR="00735909" w:rsidRPr="00013B1B">
        <w:t xml:space="preserve"> The largest downgrades to the outlook</w:t>
      </w:r>
      <w:r w:rsidR="00781927" w:rsidRPr="00013B1B">
        <w:t xml:space="preserve"> were for</w:t>
      </w:r>
      <w:r w:rsidR="009849AE" w:rsidRPr="00013B1B">
        <w:t xml:space="preserve"> the US and</w:t>
      </w:r>
      <w:r w:rsidR="00781927" w:rsidRPr="00013B1B">
        <w:t xml:space="preserve"> </w:t>
      </w:r>
      <w:r w:rsidR="00735909" w:rsidRPr="00013B1B">
        <w:t>China</w:t>
      </w:r>
      <w:r w:rsidR="00EC27EB">
        <w:t>, which were</w:t>
      </w:r>
      <w:r w:rsidR="00E1538D">
        <w:t xml:space="preserve"> down</w:t>
      </w:r>
      <w:r w:rsidR="00EC27EB">
        <w:t>graded by</w:t>
      </w:r>
      <w:r w:rsidR="00887EA4">
        <w:t xml:space="preserve"> </w:t>
      </w:r>
      <w:r w:rsidR="009849AE" w:rsidRPr="00013B1B">
        <w:t>0.9</w:t>
      </w:r>
      <w:r w:rsidRPr="00013B1B">
        <w:t xml:space="preserve"> and </w:t>
      </w:r>
      <w:r w:rsidR="009849AE" w:rsidRPr="00013B1B">
        <w:t>0.6</w:t>
      </w:r>
      <w:r w:rsidR="00F3286C">
        <w:t xml:space="preserve"> </w:t>
      </w:r>
      <w:r w:rsidRPr="00013B1B">
        <w:t>percent</w:t>
      </w:r>
      <w:r w:rsidR="00E1538D">
        <w:t>age points respectively</w:t>
      </w:r>
      <w:r w:rsidRPr="00013B1B">
        <w:t>.</w:t>
      </w:r>
    </w:p>
    <w:p w14:paraId="05D222D3" w14:textId="5F1BB400" w:rsidR="00A91C20" w:rsidRPr="00013B1B" w:rsidRDefault="00A91C20" w:rsidP="00A91C20">
      <w:r w:rsidRPr="00013B1B">
        <w:t xml:space="preserve">The impact of </w:t>
      </w:r>
      <w:r w:rsidR="00EC27EB">
        <w:t xml:space="preserve">the </w:t>
      </w:r>
      <w:r w:rsidRPr="00013B1B">
        <w:t>downgrades to Chinese growth</w:t>
      </w:r>
      <w:r w:rsidR="007420D2" w:rsidRPr="00013B1B">
        <w:t xml:space="preserve"> on global growth</w:t>
      </w:r>
      <w:r w:rsidRPr="00013B1B">
        <w:t xml:space="preserve"> will be larger</w:t>
      </w:r>
      <w:r w:rsidR="00076D1C" w:rsidRPr="00013B1B">
        <w:t xml:space="preserve"> </w:t>
      </w:r>
      <w:r w:rsidRPr="00013B1B">
        <w:t xml:space="preserve">than </w:t>
      </w:r>
      <w:r w:rsidR="007420D2" w:rsidRPr="00013B1B">
        <w:t xml:space="preserve">the impact of </w:t>
      </w:r>
      <w:r w:rsidR="00DF6E17" w:rsidRPr="00013B1B">
        <w:t>downgrades</w:t>
      </w:r>
      <w:r w:rsidRPr="00013B1B">
        <w:t xml:space="preserve"> </w:t>
      </w:r>
      <w:r w:rsidR="007420D2" w:rsidRPr="00013B1B">
        <w:t>to</w:t>
      </w:r>
      <w:r w:rsidRPr="00013B1B">
        <w:t xml:space="preserve"> US growth. </w:t>
      </w:r>
    </w:p>
    <w:p w14:paraId="4AF63331" w14:textId="4CA8D259" w:rsidR="00A91C20" w:rsidRPr="00013B1B" w:rsidRDefault="00A91C20" w:rsidP="00A91C20">
      <w:r w:rsidRPr="00013B1B">
        <w:t xml:space="preserve">Outside of </w:t>
      </w:r>
      <w:r w:rsidR="00EC27EB">
        <w:t xml:space="preserve">the </w:t>
      </w:r>
      <w:r w:rsidRPr="00013B1B">
        <w:t xml:space="preserve">years affected by COVID-19, China has contributed more </w:t>
      </w:r>
      <w:r w:rsidR="00001E24" w:rsidRPr="00013B1B">
        <w:t xml:space="preserve">to </w:t>
      </w:r>
      <w:r w:rsidRPr="00013B1B">
        <w:t>world growth than the G7 since 2006.</w:t>
      </w:r>
      <w:r w:rsidR="00001E24" w:rsidRPr="00013B1B">
        <w:t xml:space="preserve"> And more than the US since 2001.</w:t>
      </w:r>
    </w:p>
    <w:p w14:paraId="0B64F8D7" w14:textId="07C901D2" w:rsidR="00735909" w:rsidRPr="00013B1B" w:rsidRDefault="00A50587" w:rsidP="000F320E">
      <w:r w:rsidRPr="00013B1B">
        <w:t>W</w:t>
      </w:r>
      <w:r w:rsidR="00735909" w:rsidRPr="00013B1B">
        <w:t xml:space="preserve">e expect </w:t>
      </w:r>
      <w:r w:rsidR="000E2D30">
        <w:t xml:space="preserve">lower </w:t>
      </w:r>
      <w:r w:rsidR="00735909" w:rsidRPr="00013B1B">
        <w:t>demand for Australia’s exports (particularly from China) to weaken</w:t>
      </w:r>
      <w:r w:rsidRPr="00013B1B">
        <w:t xml:space="preserve"> </w:t>
      </w:r>
      <w:r w:rsidR="00735909" w:rsidRPr="00013B1B">
        <w:t>domestic growth. This may be exacerbated by lower consumption and investment as households and</w:t>
      </w:r>
      <w:r w:rsidRPr="00013B1B">
        <w:t xml:space="preserve"> </w:t>
      </w:r>
      <w:r w:rsidR="00735909" w:rsidRPr="00013B1B">
        <w:t>businesses react to the heightened uncertainty</w:t>
      </w:r>
      <w:r w:rsidR="00E47D7C">
        <w:t xml:space="preserve"> and the disruption to supply chains.</w:t>
      </w:r>
    </w:p>
    <w:p w14:paraId="346E5DE3" w14:textId="738F2F95" w:rsidR="004B66DD" w:rsidRPr="00013B1B" w:rsidRDefault="00735909" w:rsidP="000F320E">
      <w:r w:rsidRPr="00013B1B">
        <w:t>A weaker economy would be expected to flow through to a weaker labour market and</w:t>
      </w:r>
      <w:r w:rsidR="00A50587" w:rsidRPr="00013B1B">
        <w:t xml:space="preserve"> </w:t>
      </w:r>
      <w:r w:rsidR="005C1EF4">
        <w:t xml:space="preserve">lower </w:t>
      </w:r>
      <w:r w:rsidRPr="00013B1B">
        <w:t xml:space="preserve">wage growth. </w:t>
      </w:r>
    </w:p>
    <w:p w14:paraId="3C69CC75" w14:textId="3C21C0CD" w:rsidR="004B66DD" w:rsidRPr="00013B1B" w:rsidRDefault="00735909" w:rsidP="000F320E">
      <w:r w:rsidRPr="00013B1B">
        <w:t xml:space="preserve">There </w:t>
      </w:r>
      <w:r w:rsidR="002C676C" w:rsidRPr="00013B1B">
        <w:t xml:space="preserve">are offsetting </w:t>
      </w:r>
      <w:r w:rsidRPr="00013B1B">
        <w:t>impact</w:t>
      </w:r>
      <w:r w:rsidR="002C676C" w:rsidRPr="00013B1B">
        <w:t>s</w:t>
      </w:r>
      <w:r w:rsidRPr="00013B1B">
        <w:t xml:space="preserve"> on domestic inflation</w:t>
      </w:r>
      <w:r w:rsidR="002C676C" w:rsidRPr="00013B1B">
        <w:t>, with the net effect likely to reduce inflation</w:t>
      </w:r>
      <w:r w:rsidRPr="00013B1B">
        <w:t xml:space="preserve">. </w:t>
      </w:r>
    </w:p>
    <w:p w14:paraId="786B0B71" w14:textId="555E0DAE" w:rsidR="00735909" w:rsidRPr="00013B1B" w:rsidRDefault="00735909" w:rsidP="000F320E">
      <w:r w:rsidRPr="00013B1B">
        <w:t>While</w:t>
      </w:r>
      <w:r w:rsidR="00A50587" w:rsidRPr="00013B1B">
        <w:t xml:space="preserve"> </w:t>
      </w:r>
      <w:r w:rsidRPr="00013B1B">
        <w:t>tariffs present a global inflationary shock</w:t>
      </w:r>
      <w:r w:rsidR="005368CA" w:rsidRPr="00013B1B">
        <w:t xml:space="preserve"> as supply chains are r</w:t>
      </w:r>
      <w:r w:rsidR="007455DB" w:rsidRPr="00013B1B">
        <w:t>econfigured</w:t>
      </w:r>
      <w:r w:rsidRPr="00013B1B">
        <w:t>, low</w:t>
      </w:r>
      <w:r w:rsidR="00497E23">
        <w:noBreakHyphen/>
      </w:r>
      <w:r w:rsidRPr="00013B1B">
        <w:t xml:space="preserve">cost </w:t>
      </w:r>
      <w:r w:rsidR="00893534">
        <w:t xml:space="preserve">output </w:t>
      </w:r>
      <w:r w:rsidRPr="00013B1B">
        <w:t>from China</w:t>
      </w:r>
      <w:r w:rsidR="002C676C" w:rsidRPr="00013B1B">
        <w:t xml:space="preserve"> will</w:t>
      </w:r>
      <w:r w:rsidRPr="00013B1B">
        <w:t xml:space="preserve"> be</w:t>
      </w:r>
      <w:r w:rsidR="00A50587" w:rsidRPr="00013B1B">
        <w:t xml:space="preserve"> </w:t>
      </w:r>
      <w:r w:rsidRPr="00013B1B">
        <w:t>disinflationary</w:t>
      </w:r>
      <w:r w:rsidR="005C1EF4">
        <w:t xml:space="preserve"> as China diverts its trade</w:t>
      </w:r>
      <w:r w:rsidRPr="00013B1B">
        <w:t xml:space="preserve">. Movements in the exchange rate and oil prices </w:t>
      </w:r>
      <w:r w:rsidR="00A50587" w:rsidRPr="00013B1B">
        <w:t>are</w:t>
      </w:r>
      <w:r w:rsidRPr="00013B1B">
        <w:t xml:space="preserve"> also shap</w:t>
      </w:r>
      <w:r w:rsidR="00A50587" w:rsidRPr="00013B1B">
        <w:t>ing</w:t>
      </w:r>
      <w:r w:rsidRPr="00013B1B">
        <w:t xml:space="preserve"> outcomes.</w:t>
      </w:r>
      <w:r w:rsidR="00BD40A5" w:rsidRPr="00013B1B">
        <w:t xml:space="preserve"> Oil prices are currently well below what we assumed in PEFO.</w:t>
      </w:r>
      <w:r w:rsidR="00A9691D" w:rsidRPr="00013B1B">
        <w:t xml:space="preserve"> </w:t>
      </w:r>
    </w:p>
    <w:p w14:paraId="3C41BF8C" w14:textId="21BB2CBB" w:rsidR="0017388D" w:rsidRDefault="00544BAD" w:rsidP="00EB63BB">
      <w:r>
        <w:t>A</w:t>
      </w:r>
      <w:r w:rsidR="00ED0B2E" w:rsidRPr="00013B1B">
        <w:t xml:space="preserve">ny significant disruptions to financial markets would further </w:t>
      </w:r>
      <w:r w:rsidR="00BD3DFC">
        <w:t>jeopardise</w:t>
      </w:r>
      <w:r w:rsidR="00BD3DFC" w:rsidRPr="00013B1B">
        <w:t xml:space="preserve"> </w:t>
      </w:r>
      <w:r w:rsidR="00ED0B2E" w:rsidRPr="00013B1B">
        <w:t>the growth outlook.</w:t>
      </w:r>
      <w:r w:rsidR="007078B4">
        <w:t xml:space="preserve"> </w:t>
      </w:r>
    </w:p>
    <w:p w14:paraId="09C73057" w14:textId="49A18FDE" w:rsidR="00EB63BB" w:rsidRDefault="003B413B" w:rsidP="00EB63BB">
      <w:r>
        <w:lastRenderedPageBreak/>
        <w:t xml:space="preserve">The tariff announcements </w:t>
      </w:r>
      <w:r w:rsidR="008675D1">
        <w:t xml:space="preserve">have </w:t>
      </w:r>
      <w:r>
        <w:t xml:space="preserve">ushered in volatility in bond markets, pushing </w:t>
      </w:r>
      <w:r w:rsidR="009E5026">
        <w:t xml:space="preserve">long-dated US Treasury yields higher. More recently, bond market volatility reflects </w:t>
      </w:r>
      <w:r w:rsidR="00EB63BB" w:rsidRPr="00EB63BB">
        <w:t>anxiety over the US fiscal outlook and rising deficits, as the spending and tax bill introduced by the Trump administration is projected to add over US$3 trillion to the national deficit in the next decade.</w:t>
      </w:r>
    </w:p>
    <w:p w14:paraId="200C12AB" w14:textId="43CBDEE6" w:rsidR="00B31988" w:rsidRPr="00013B1B" w:rsidRDefault="00F14EFE" w:rsidP="00B31988">
      <w:proofErr w:type="gramStart"/>
      <w:r w:rsidRPr="00013B1B">
        <w:t xml:space="preserve">In light </w:t>
      </w:r>
      <w:r w:rsidR="00BF6DE2" w:rsidRPr="00013B1B">
        <w:t>of</w:t>
      </w:r>
      <w:proofErr w:type="gramEnd"/>
      <w:r w:rsidR="00BF6DE2" w:rsidRPr="00013B1B">
        <w:t xml:space="preserve"> the </w:t>
      </w:r>
      <w:r w:rsidR="00650180">
        <w:t xml:space="preserve">heightened </w:t>
      </w:r>
      <w:r w:rsidR="001300A6" w:rsidRPr="00013B1B">
        <w:t>uncertainty</w:t>
      </w:r>
      <w:r w:rsidR="00BF6DE2" w:rsidRPr="00013B1B">
        <w:t xml:space="preserve">, we are increasingly relying on </w:t>
      </w:r>
      <w:r w:rsidR="00BF6DE2">
        <w:t>scenario</w:t>
      </w:r>
      <w:r w:rsidR="462CACD7">
        <w:t xml:space="preserve"> analysis </w:t>
      </w:r>
      <w:r w:rsidR="00BF6DE2" w:rsidRPr="00013B1B">
        <w:t>to test policy position</w:t>
      </w:r>
      <w:r w:rsidR="00811D7E" w:rsidRPr="00013B1B">
        <w:t>s and understand the</w:t>
      </w:r>
      <w:r w:rsidR="008C6A5B" w:rsidRPr="00013B1B">
        <w:t xml:space="preserve"> risks</w:t>
      </w:r>
      <w:r w:rsidR="00811D7E" w:rsidRPr="00013B1B">
        <w:t>.</w:t>
      </w:r>
    </w:p>
    <w:p w14:paraId="0A34EED5" w14:textId="52102AE9" w:rsidR="00B31988" w:rsidRDefault="24142648" w:rsidP="00B31988">
      <w:r>
        <w:t>We have assessed a range of scenarios on how current US trade policy could evolve</w:t>
      </w:r>
      <w:r w:rsidR="008D5064">
        <w:t>,</w:t>
      </w:r>
      <w:r>
        <w:t xml:space="preserve"> two of which were presented </w:t>
      </w:r>
      <w:r w:rsidR="119D27E6">
        <w:t>i</w:t>
      </w:r>
      <w:r w:rsidR="00B31988">
        <w:t>n</w:t>
      </w:r>
      <w:r w:rsidR="00B31988" w:rsidRPr="00013B1B">
        <w:t xml:space="preserve"> the </w:t>
      </w:r>
      <w:r w:rsidR="001F0340">
        <w:t xml:space="preserve">2025-26 </w:t>
      </w:r>
      <w:r w:rsidR="00B31988" w:rsidRPr="00013B1B">
        <w:t>Budget</w:t>
      </w:r>
      <w:r w:rsidR="61F80B4A">
        <w:t xml:space="preserve">. A key </w:t>
      </w:r>
      <w:r w:rsidR="702F4BF1">
        <w:t>takeaway from these scenarios is that an increase in tariffs is likely to lead to a modest reduction in Australia’s real GDP over time.</w:t>
      </w:r>
      <w:r w:rsidR="00B31988" w:rsidRPr="00013B1B">
        <w:t xml:space="preserve"> </w:t>
      </w:r>
    </w:p>
    <w:p w14:paraId="7B208DF5" w14:textId="77777777" w:rsidR="00AD3C36" w:rsidRDefault="00E278C7" w:rsidP="00B4107A">
      <w:r w:rsidRPr="00013B1B">
        <w:t>Given our limited trade flows with the US, the indirect impact is nearly four times as large as the direct effect.</w:t>
      </w:r>
      <w:r w:rsidRPr="00013B1B">
        <w:rPr>
          <w:rStyle w:val="FootnoteReference"/>
        </w:rPr>
        <w:footnoteReference w:id="6"/>
      </w:r>
      <w:r w:rsidRPr="00013B1B">
        <w:t xml:space="preserve">  </w:t>
      </w:r>
    </w:p>
    <w:p w14:paraId="549FE842" w14:textId="23704428" w:rsidR="001813B3" w:rsidRDefault="1CDFB929" w:rsidP="00B4107A">
      <w:r>
        <w:t>However, t</w:t>
      </w:r>
      <w:r w:rsidR="00E238DA" w:rsidRPr="00013B1B">
        <w:t>he impacts of uncertainty</w:t>
      </w:r>
      <w:r w:rsidR="008F19FB" w:rsidRPr="00013B1B">
        <w:t xml:space="preserve"> regarding</w:t>
      </w:r>
      <w:r w:rsidR="00CD12E3">
        <w:t xml:space="preserve"> policy directions</w:t>
      </w:r>
      <w:r w:rsidR="008F19FB" w:rsidRPr="00013B1B">
        <w:t xml:space="preserve">, outcomes or asset values have the potential to be more </w:t>
      </w:r>
      <w:r w:rsidR="00140659" w:rsidRPr="00013B1B">
        <w:t>damaging</w:t>
      </w:r>
      <w:r w:rsidR="00AD3C36">
        <w:t xml:space="preserve"> than </w:t>
      </w:r>
      <w:r w:rsidR="00CA66E9">
        <w:t>tariffs</w:t>
      </w:r>
      <w:r w:rsidR="00140659" w:rsidRPr="00013B1B">
        <w:t xml:space="preserve">. </w:t>
      </w:r>
      <w:r w:rsidR="009F2718" w:rsidRPr="00013B1B">
        <w:t xml:space="preserve"> </w:t>
      </w:r>
    </w:p>
    <w:p w14:paraId="5180BCD1" w14:textId="053EE023" w:rsidR="00AD3C36" w:rsidRPr="00B9453E" w:rsidRDefault="0017258A" w:rsidP="00B4107A">
      <w:pPr>
        <w:pStyle w:val="Bullet"/>
        <w:numPr>
          <w:ilvl w:val="0"/>
          <w:numId w:val="0"/>
        </w:numPr>
      </w:pPr>
      <w:r w:rsidRPr="00B9453E">
        <w:t xml:space="preserve">To illustrate this, we have </w:t>
      </w:r>
      <w:r w:rsidR="0027695E" w:rsidRPr="00B9453E">
        <w:t xml:space="preserve">modelled a scenario </w:t>
      </w:r>
      <w:r w:rsidR="009F2718" w:rsidRPr="00B9453E">
        <w:t xml:space="preserve">where </w:t>
      </w:r>
      <w:r w:rsidR="6AEE79E1">
        <w:t>both tariffs and investor uncertainty affect financial market conditions</w:t>
      </w:r>
      <w:r w:rsidR="00D13121" w:rsidRPr="00B9453E">
        <w:t>.</w:t>
      </w:r>
      <w:r w:rsidR="00AD3C36" w:rsidRPr="00B9453E">
        <w:t xml:space="preserve"> Not surprisingly, output falls by even more under this scenario for all countries</w:t>
      </w:r>
      <w:r w:rsidR="61B46A39">
        <w:t>, driven by lower investment</w:t>
      </w:r>
      <w:r w:rsidR="00AD3C36">
        <w:t>.</w:t>
      </w:r>
      <w:r w:rsidRPr="3F4A430F">
        <w:rPr>
          <w:rStyle w:val="FootnoteReference"/>
        </w:rPr>
        <w:footnoteReference w:id="7"/>
      </w:r>
      <w:r w:rsidR="00D13121" w:rsidRPr="00B9453E">
        <w:t xml:space="preserve">  </w:t>
      </w:r>
    </w:p>
    <w:p w14:paraId="790475D9" w14:textId="37F828F9" w:rsidR="00AD3C36" w:rsidRPr="001651BC" w:rsidRDefault="00AD3C36" w:rsidP="00B4107A">
      <w:pPr>
        <w:pStyle w:val="Bullet"/>
        <w:numPr>
          <w:ilvl w:val="0"/>
          <w:numId w:val="0"/>
        </w:numPr>
      </w:pPr>
      <w:r w:rsidRPr="001651BC">
        <w:t>We have also modelled a scenario where risk in the US arises due to policy choices. I</w:t>
      </w:r>
      <w:r w:rsidR="001651BC" w:rsidRPr="001651BC">
        <w:t>n</w:t>
      </w:r>
      <w:r w:rsidRPr="001651BC">
        <w:t xml:space="preserve"> this case output rises in Australia and China, reflecting their increased attractiveness as an investment destination compared to the US</w:t>
      </w:r>
      <w:r w:rsidR="001651BC">
        <w:t>.</w:t>
      </w:r>
    </w:p>
    <w:p w14:paraId="2BAA1454" w14:textId="6CB6BA65" w:rsidR="002F2E3F" w:rsidRPr="00F85A30" w:rsidRDefault="00AD3C36" w:rsidP="00B4107A">
      <w:pPr>
        <w:pStyle w:val="Bullet"/>
        <w:numPr>
          <w:ilvl w:val="0"/>
          <w:numId w:val="0"/>
        </w:numPr>
      </w:pPr>
      <w:r w:rsidRPr="00F85A30">
        <w:t xml:space="preserve">Lastly, we </w:t>
      </w:r>
      <w:r w:rsidR="7C9E44EC">
        <w:t>assessed the cumulated impacts of trade policy</w:t>
      </w:r>
      <w:r w:rsidRPr="00F85A30">
        <w:t xml:space="preserve">, </w:t>
      </w:r>
      <w:r w:rsidR="05CEB09D">
        <w:t xml:space="preserve">heightened </w:t>
      </w:r>
      <w:r w:rsidRPr="00F85A30">
        <w:t>uncertainty and increased risk in the US</w:t>
      </w:r>
      <w:r w:rsidR="002F2E3F" w:rsidRPr="00F85A30">
        <w:t>. The net effect of this scenario is a decline in output but not to the same extent as the scenario where risk in the US does not change.</w:t>
      </w:r>
    </w:p>
    <w:p w14:paraId="7ABF6CD8" w14:textId="2BBD1047" w:rsidR="002F2E3F" w:rsidRPr="00F85A30" w:rsidRDefault="002F2E3F" w:rsidP="00B4107A">
      <w:pPr>
        <w:pStyle w:val="Bullet"/>
        <w:numPr>
          <w:ilvl w:val="0"/>
          <w:numId w:val="0"/>
        </w:numPr>
      </w:pPr>
      <w:r w:rsidRPr="00F85A30">
        <w:t>The importance o</w:t>
      </w:r>
      <w:r w:rsidR="00EE38A9">
        <w:t>f</w:t>
      </w:r>
      <w:r w:rsidRPr="00F85A30">
        <w:t xml:space="preserve"> policy that improves Australia’s relative attractiveness as an investment destination is illustrated through these scenarios</w:t>
      </w:r>
      <w:r w:rsidR="00363206">
        <w:t xml:space="preserve"> (see Charts 2 to 5)</w:t>
      </w:r>
      <w:r w:rsidRPr="00F85A30">
        <w:t>.</w:t>
      </w:r>
    </w:p>
    <w:p w14:paraId="6A8007C7" w14:textId="77777777" w:rsidR="00081B36" w:rsidRDefault="00462E9D" w:rsidP="00081B36">
      <w:pPr>
        <w:jc w:val="center"/>
        <w:rPr>
          <w:b/>
          <w:bCs/>
          <w:color w:val="153D63" w:themeColor="text2" w:themeTint="E6"/>
        </w:rPr>
      </w:pPr>
      <w:r>
        <w:rPr>
          <w:b/>
          <w:bCs/>
        </w:rPr>
        <w:br w:type="page"/>
      </w:r>
      <w:r w:rsidR="00081B36">
        <w:rPr>
          <w:b/>
          <w:bCs/>
          <w:color w:val="153D63" w:themeColor="text2" w:themeTint="E6"/>
        </w:rPr>
        <w:lastRenderedPageBreak/>
        <w:t>Trade scenarios</w:t>
      </w:r>
    </w:p>
    <w:tbl>
      <w:tblPr>
        <w:tblStyle w:val="TableGrid"/>
        <w:tblW w:w="96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25"/>
      </w:tblGrid>
      <w:tr w:rsidR="00C37322" w14:paraId="68055023" w14:textId="77777777" w:rsidTr="00C37322">
        <w:trPr>
          <w:trHeight w:val="321"/>
          <w:jc w:val="center"/>
        </w:trPr>
        <w:tc>
          <w:tcPr>
            <w:tcW w:w="4825" w:type="dxa"/>
          </w:tcPr>
          <w:p w14:paraId="28FDFAA7" w14:textId="77777777" w:rsidR="00C37322" w:rsidRDefault="00C37322" w:rsidP="00377D5A">
            <w:pPr>
              <w:jc w:val="center"/>
              <w:rPr>
                <w:b/>
                <w:bCs/>
                <w:color w:val="153D63" w:themeColor="text2" w:themeTint="E6"/>
              </w:rPr>
            </w:pPr>
            <w:r w:rsidRPr="00185BA8">
              <w:rPr>
                <w:b/>
                <w:bCs/>
                <w:color w:val="153D63" w:themeColor="text2" w:themeTint="E6"/>
              </w:rPr>
              <w:t>Chart 2: Tariff only</w:t>
            </w:r>
          </w:p>
          <w:p w14:paraId="328591FD" w14:textId="77777777" w:rsidR="00C37322" w:rsidRDefault="00C37322" w:rsidP="00377D5A">
            <w:pPr>
              <w:jc w:val="center"/>
              <w:rPr>
                <w:b/>
                <w:color w:val="153D63" w:themeColor="text2" w:themeTint="E6"/>
                <w:sz w:val="20"/>
                <w:szCs w:val="20"/>
              </w:rPr>
            </w:pPr>
            <w:r w:rsidRPr="6A22D7CB">
              <w:rPr>
                <w:b/>
                <w:bCs/>
                <w:color w:val="153D63" w:themeColor="text2" w:themeTint="E6"/>
                <w:sz w:val="20"/>
                <w:szCs w:val="20"/>
              </w:rPr>
              <w:t>Real GDP</w:t>
            </w:r>
            <w:r w:rsidRPr="7EFBB80F">
              <w:rPr>
                <w:b/>
                <w:bCs/>
                <w:color w:val="153D63" w:themeColor="text2" w:themeTint="E6"/>
                <w:sz w:val="20"/>
                <w:szCs w:val="20"/>
              </w:rPr>
              <w:t xml:space="preserve"> </w:t>
            </w:r>
            <w:r w:rsidRPr="2BE3DBB8">
              <w:rPr>
                <w:b/>
                <w:bCs/>
                <w:color w:val="153D63" w:themeColor="text2" w:themeTint="E6"/>
                <w:sz w:val="20"/>
                <w:szCs w:val="20"/>
              </w:rPr>
              <w:t>impacts</w:t>
            </w:r>
            <w:r w:rsidRPr="6A22D7CB">
              <w:rPr>
                <w:b/>
                <w:bCs/>
                <w:color w:val="153D63" w:themeColor="text2" w:themeTint="E6"/>
                <w:sz w:val="20"/>
                <w:szCs w:val="20"/>
              </w:rPr>
              <w:t>, deviation from baseline</w:t>
            </w:r>
          </w:p>
        </w:tc>
        <w:tc>
          <w:tcPr>
            <w:tcW w:w="4825" w:type="dxa"/>
          </w:tcPr>
          <w:p w14:paraId="493E6F07" w14:textId="77777777" w:rsidR="00C37322" w:rsidRDefault="00C37322" w:rsidP="00377D5A">
            <w:pPr>
              <w:jc w:val="center"/>
              <w:rPr>
                <w:b/>
                <w:bCs/>
                <w:color w:val="153D63" w:themeColor="text2" w:themeTint="E6"/>
              </w:rPr>
            </w:pPr>
            <w:r w:rsidRPr="00185BA8">
              <w:rPr>
                <w:b/>
                <w:bCs/>
                <w:color w:val="153D63" w:themeColor="text2" w:themeTint="E6"/>
              </w:rPr>
              <w:t>Chart 3: Tariff and uncertainty</w:t>
            </w:r>
          </w:p>
          <w:p w14:paraId="7B362A65" w14:textId="77777777" w:rsidR="00C37322" w:rsidRDefault="00C37322" w:rsidP="00377D5A">
            <w:pPr>
              <w:jc w:val="center"/>
              <w:rPr>
                <w:b/>
                <w:color w:val="153D63" w:themeColor="text2" w:themeTint="E6"/>
                <w:sz w:val="20"/>
                <w:szCs w:val="20"/>
              </w:rPr>
            </w:pPr>
            <w:r w:rsidRPr="1340D19E">
              <w:rPr>
                <w:b/>
                <w:bCs/>
                <w:color w:val="153D63" w:themeColor="text2" w:themeTint="E6"/>
                <w:sz w:val="20"/>
                <w:szCs w:val="20"/>
              </w:rPr>
              <w:t>Real GDP</w:t>
            </w:r>
            <w:r w:rsidRPr="24AB5FE5">
              <w:rPr>
                <w:b/>
                <w:bCs/>
                <w:color w:val="153D63" w:themeColor="text2" w:themeTint="E6"/>
                <w:sz w:val="20"/>
                <w:szCs w:val="20"/>
              </w:rPr>
              <w:t xml:space="preserve"> impacts</w:t>
            </w:r>
            <w:r w:rsidRPr="1340D19E">
              <w:rPr>
                <w:b/>
                <w:bCs/>
                <w:color w:val="153D63" w:themeColor="text2" w:themeTint="E6"/>
                <w:sz w:val="20"/>
                <w:szCs w:val="20"/>
              </w:rPr>
              <w:t>, deviation from baseline</w:t>
            </w:r>
          </w:p>
        </w:tc>
      </w:tr>
      <w:tr w:rsidR="00C37322" w14:paraId="44D427B0" w14:textId="77777777" w:rsidTr="00C37322">
        <w:trPr>
          <w:trHeight w:val="4861"/>
          <w:jc w:val="center"/>
        </w:trPr>
        <w:tc>
          <w:tcPr>
            <w:tcW w:w="4825" w:type="dxa"/>
          </w:tcPr>
          <w:p w14:paraId="2EE03AD6" w14:textId="77777777" w:rsidR="00C37322" w:rsidRDefault="00C37322" w:rsidP="00377D5A">
            <w:pPr>
              <w:jc w:val="both"/>
            </w:pPr>
            <w:r w:rsidRPr="00A649FA">
              <w:rPr>
                <w:noProof/>
              </w:rPr>
              <w:drawing>
                <wp:inline distT="0" distB="0" distL="0" distR="0" wp14:anchorId="68028E14" wp14:editId="69E182C1">
                  <wp:extent cx="2884170" cy="2884170"/>
                  <wp:effectExtent l="0" t="0" r="0" b="0"/>
                  <wp:docPr id="714470602" name="Picture 5" descr="The line chart shows the Real GDP impacts from illustrative modelling on the impact of US tariffs from 2025 to 2030. Tariffs reduce Australian GDP by -0.44 per cent compared to a no tariff scenario in 2025, which recovers to -0.08 per cent by 2030. US GDP initially increases by 0.09 per cent compared to the baseline in 2025, falls by  1.26 per cent in 2027 and recovers slightly to -0.73 per cent by 2030. Chinese GDP has a larger fall, reducing by -2.72 per cent in 2027 and recovering slightly to -2.21 per cent in 203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70602" name="Picture 5" descr="The line chart shows the Real GDP impacts from illustrative modelling on the impact of US tariffs from 2025 to 2030. Tariffs reduce Australian GDP by -0.44 per cent compared to a no tariff scenario in 2025, which recovers to -0.08 per cent by 2030. US GDP initially increases by 0.09 per cent compared to the baseline in 2025, falls by  1.26 per cent in 2027 and recovers slightly to -0.73 per cent by 2030. Chinese GDP has a larger fall, reducing by -2.72 per cent in 2027 and recovering slightly to -2.21 per cent in 2030.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4170" cy="2884170"/>
                          </a:xfrm>
                          <a:prstGeom prst="rect">
                            <a:avLst/>
                          </a:prstGeom>
                          <a:noFill/>
                          <a:ln>
                            <a:noFill/>
                          </a:ln>
                        </pic:spPr>
                      </pic:pic>
                    </a:graphicData>
                  </a:graphic>
                </wp:inline>
              </w:drawing>
            </w:r>
          </w:p>
        </w:tc>
        <w:tc>
          <w:tcPr>
            <w:tcW w:w="4825" w:type="dxa"/>
          </w:tcPr>
          <w:p w14:paraId="6B3E01B3" w14:textId="77777777" w:rsidR="00C37322" w:rsidRDefault="00C37322" w:rsidP="00377D5A">
            <w:r w:rsidRPr="005A64F8">
              <w:rPr>
                <w:noProof/>
              </w:rPr>
              <w:drawing>
                <wp:inline distT="0" distB="0" distL="0" distR="0" wp14:anchorId="4D77DB96" wp14:editId="7E068DEB">
                  <wp:extent cx="2884170" cy="2884170"/>
                  <wp:effectExtent l="0" t="0" r="0" b="0"/>
                  <wp:docPr id="1986263477" name="Picture 4" descr="The line chart shows the Real GDP impacts from illustrative modelling on the impact of US tariffs combined with greater investment uncertainty from 2025 to 2030. The combined impact of tariffs and uncertainty reduce Australian GDP by -1.00 per cent below the baseline in 2025, recovering to -0.69 per cent by 2030. US GDP in 2025 reduces by -0.05 per cent compared to the baseline in 2025, falls by -1.31 per cent in 2027 and recovers slightly to -0.91 per cent in 2030. Chinese GDP has a larger fall, reducing by -3.24 per cent in 2027 and recovering slightly to -2.80 per cent by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263477" name="Picture 4" descr="The line chart shows the Real GDP impacts from illustrative modelling on the impact of US tariffs combined with greater investment uncertainty from 2025 to 2030. The combined impact of tariffs and uncertainty reduce Australian GDP by -1.00 per cent below the baseline in 2025, recovering to -0.69 per cent by 2030. US GDP in 2025 reduces by -0.05 per cent compared to the baseline in 2025, falls by -1.31 per cent in 2027 and recovers slightly to -0.91 per cent in 2030. Chinese GDP has a larger fall, reducing by -3.24 per cent in 2027 and recovering slightly to -2.80 per cent by 20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4170" cy="2884170"/>
                          </a:xfrm>
                          <a:prstGeom prst="rect">
                            <a:avLst/>
                          </a:prstGeom>
                          <a:noFill/>
                          <a:ln>
                            <a:noFill/>
                          </a:ln>
                        </pic:spPr>
                      </pic:pic>
                    </a:graphicData>
                  </a:graphic>
                </wp:inline>
              </w:drawing>
            </w:r>
          </w:p>
        </w:tc>
      </w:tr>
      <w:tr w:rsidR="00C37322" w14:paraId="7563C9E4" w14:textId="77777777" w:rsidTr="00C37322">
        <w:trPr>
          <w:trHeight w:val="949"/>
          <w:jc w:val="center"/>
        </w:trPr>
        <w:tc>
          <w:tcPr>
            <w:tcW w:w="4825" w:type="dxa"/>
          </w:tcPr>
          <w:p w14:paraId="1A0367ED" w14:textId="77777777" w:rsidR="00C37322" w:rsidRDefault="00C37322" w:rsidP="00377D5A">
            <w:pPr>
              <w:jc w:val="center"/>
              <w:rPr>
                <w:b/>
                <w:bCs/>
                <w:color w:val="153D63" w:themeColor="text2" w:themeTint="E6"/>
              </w:rPr>
            </w:pPr>
          </w:p>
          <w:p w14:paraId="0FB6B289" w14:textId="77777777" w:rsidR="00C37322" w:rsidRDefault="00C37322" w:rsidP="00377D5A">
            <w:pPr>
              <w:jc w:val="center"/>
              <w:rPr>
                <w:b/>
                <w:bCs/>
                <w:color w:val="153D63" w:themeColor="text2" w:themeTint="E6"/>
              </w:rPr>
            </w:pPr>
            <w:r w:rsidRPr="00185BA8">
              <w:rPr>
                <w:b/>
                <w:bCs/>
                <w:color w:val="153D63" w:themeColor="text2" w:themeTint="E6"/>
              </w:rPr>
              <w:t>Chart 4: US sovereign risk only</w:t>
            </w:r>
          </w:p>
          <w:p w14:paraId="6EEBF786" w14:textId="77777777" w:rsidR="00C37322" w:rsidRDefault="00C37322" w:rsidP="00377D5A">
            <w:pPr>
              <w:jc w:val="center"/>
              <w:rPr>
                <w:b/>
                <w:color w:val="153D63" w:themeColor="text2" w:themeTint="E6"/>
                <w:sz w:val="20"/>
                <w:szCs w:val="20"/>
              </w:rPr>
            </w:pPr>
            <w:r w:rsidRPr="3AA5F4EC">
              <w:rPr>
                <w:b/>
                <w:bCs/>
                <w:color w:val="153D63" w:themeColor="text2" w:themeTint="E6"/>
                <w:sz w:val="20"/>
                <w:szCs w:val="20"/>
              </w:rPr>
              <w:t>Real GDP</w:t>
            </w:r>
            <w:r w:rsidRPr="24AB5FE5">
              <w:rPr>
                <w:b/>
                <w:bCs/>
                <w:color w:val="153D63" w:themeColor="text2" w:themeTint="E6"/>
                <w:sz w:val="20"/>
                <w:szCs w:val="20"/>
              </w:rPr>
              <w:t xml:space="preserve"> impacts</w:t>
            </w:r>
            <w:r w:rsidRPr="3AA5F4EC">
              <w:rPr>
                <w:b/>
                <w:bCs/>
                <w:color w:val="153D63" w:themeColor="text2" w:themeTint="E6"/>
                <w:sz w:val="20"/>
                <w:szCs w:val="20"/>
              </w:rPr>
              <w:t>, deviation from baseline</w:t>
            </w:r>
          </w:p>
        </w:tc>
        <w:tc>
          <w:tcPr>
            <w:tcW w:w="4825" w:type="dxa"/>
          </w:tcPr>
          <w:p w14:paraId="6D83D400" w14:textId="77777777" w:rsidR="00C37322" w:rsidRDefault="00C37322" w:rsidP="00377D5A">
            <w:pPr>
              <w:jc w:val="center"/>
              <w:rPr>
                <w:b/>
                <w:bCs/>
                <w:color w:val="153D63" w:themeColor="text2" w:themeTint="E6"/>
              </w:rPr>
            </w:pPr>
          </w:p>
          <w:p w14:paraId="7568FBCF" w14:textId="77777777" w:rsidR="00C37322" w:rsidRDefault="00C37322" w:rsidP="00377D5A">
            <w:pPr>
              <w:jc w:val="center"/>
              <w:rPr>
                <w:b/>
                <w:bCs/>
                <w:color w:val="153D63" w:themeColor="text2" w:themeTint="E6"/>
              </w:rPr>
            </w:pPr>
            <w:r w:rsidRPr="00185BA8">
              <w:rPr>
                <w:b/>
                <w:bCs/>
                <w:color w:val="153D63" w:themeColor="text2" w:themeTint="E6"/>
              </w:rPr>
              <w:t>Chart 5: Tariff, uncertainty, US sovereign</w:t>
            </w:r>
            <w:r>
              <w:rPr>
                <w:b/>
                <w:bCs/>
                <w:color w:val="153D63" w:themeColor="text2" w:themeTint="E6"/>
              </w:rPr>
              <w:t xml:space="preserve"> risk</w:t>
            </w:r>
          </w:p>
          <w:p w14:paraId="57911F1F" w14:textId="77777777" w:rsidR="00C37322" w:rsidRDefault="00C37322" w:rsidP="00377D5A">
            <w:pPr>
              <w:jc w:val="center"/>
              <w:rPr>
                <w:b/>
                <w:color w:val="153D63" w:themeColor="text2" w:themeTint="E6"/>
                <w:sz w:val="20"/>
                <w:szCs w:val="20"/>
              </w:rPr>
            </w:pPr>
            <w:r w:rsidRPr="3AA5F4EC">
              <w:rPr>
                <w:b/>
                <w:bCs/>
                <w:color w:val="153D63" w:themeColor="text2" w:themeTint="E6"/>
                <w:sz w:val="20"/>
                <w:szCs w:val="20"/>
              </w:rPr>
              <w:t>Real GDP</w:t>
            </w:r>
            <w:r w:rsidRPr="24AB5FE5">
              <w:rPr>
                <w:b/>
                <w:bCs/>
                <w:color w:val="153D63" w:themeColor="text2" w:themeTint="E6"/>
                <w:sz w:val="20"/>
                <w:szCs w:val="20"/>
              </w:rPr>
              <w:t xml:space="preserve"> impacts</w:t>
            </w:r>
            <w:r w:rsidRPr="3AA5F4EC">
              <w:rPr>
                <w:b/>
                <w:bCs/>
                <w:color w:val="153D63" w:themeColor="text2" w:themeTint="E6"/>
                <w:sz w:val="20"/>
                <w:szCs w:val="20"/>
              </w:rPr>
              <w:t>, deviation from baseline</w:t>
            </w:r>
          </w:p>
        </w:tc>
      </w:tr>
      <w:tr w:rsidR="00C37322" w14:paraId="1B38AAF1" w14:textId="77777777" w:rsidTr="00C37322">
        <w:trPr>
          <w:trHeight w:val="4877"/>
          <w:jc w:val="center"/>
        </w:trPr>
        <w:tc>
          <w:tcPr>
            <w:tcW w:w="4825" w:type="dxa"/>
          </w:tcPr>
          <w:p w14:paraId="104523AC" w14:textId="77777777" w:rsidR="00C37322" w:rsidRDefault="00C37322" w:rsidP="00377D5A">
            <w:pPr>
              <w:rPr>
                <w:b/>
                <w:bCs/>
                <w:color w:val="153D63" w:themeColor="text2" w:themeTint="E6"/>
              </w:rPr>
            </w:pPr>
            <w:r w:rsidRPr="00FE2F0B">
              <w:rPr>
                <w:b/>
                <w:bCs/>
                <w:noProof/>
                <w:color w:val="153D63" w:themeColor="text2" w:themeTint="E6"/>
              </w:rPr>
              <w:drawing>
                <wp:inline distT="0" distB="0" distL="0" distR="0" wp14:anchorId="6A7EA20F" wp14:editId="63C4681A">
                  <wp:extent cx="2884170" cy="2884170"/>
                  <wp:effectExtent l="0" t="0" r="9525" b="0"/>
                  <wp:docPr id="95228512" name="Picture 6" descr="The line chart shows the Real GDP impacts from illustrative modelling on the impact of greater US sovereign risk from 2025 to 2030. The change in US sovereign risk increases Australian GDP by 0.12 per cent above the baseline, which increases to 0.48 per cent by 2030. Chinese GDP also increases, up by 0.33 per cent in 2030. US GDP in 2025 reduces by -0.57 per cent compared to the baseline in 2025, falls by -1.71 per cent in 2027 and recovers slightly to -0.70 per cent by 203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28512" name="Picture 6" descr="The line chart shows the Real GDP impacts from illustrative modelling on the impact of greater US sovereign risk from 2025 to 2030. The change in US sovereign risk increases Australian GDP by 0.12 per cent above the baseline, which increases to 0.48 per cent by 2030. Chinese GDP also increases, up by 0.33 per cent in 2030. US GDP in 2025 reduces by -0.57 per cent compared to the baseline in 2025, falls by -1.71 per cent in 2027 and recovers slightly to -0.70 per cent by 2030.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4170" cy="2884170"/>
                          </a:xfrm>
                          <a:prstGeom prst="rect">
                            <a:avLst/>
                          </a:prstGeom>
                          <a:noFill/>
                          <a:ln>
                            <a:noFill/>
                          </a:ln>
                        </pic:spPr>
                      </pic:pic>
                    </a:graphicData>
                  </a:graphic>
                </wp:inline>
              </w:drawing>
            </w:r>
          </w:p>
        </w:tc>
        <w:tc>
          <w:tcPr>
            <w:tcW w:w="4825" w:type="dxa"/>
          </w:tcPr>
          <w:p w14:paraId="47762A11" w14:textId="77777777" w:rsidR="00C37322" w:rsidRDefault="00C37322" w:rsidP="00377D5A">
            <w:pPr>
              <w:rPr>
                <w:b/>
                <w:bCs/>
                <w:color w:val="153D63" w:themeColor="text2" w:themeTint="E6"/>
              </w:rPr>
            </w:pPr>
            <w:r w:rsidRPr="005A1D6B">
              <w:rPr>
                <w:b/>
                <w:bCs/>
                <w:noProof/>
                <w:color w:val="153D63" w:themeColor="text2" w:themeTint="E6"/>
              </w:rPr>
              <w:drawing>
                <wp:inline distT="0" distB="0" distL="0" distR="0" wp14:anchorId="26D289BD" wp14:editId="76CB9A0A">
                  <wp:extent cx="2884170" cy="2884170"/>
                  <wp:effectExtent l="0" t="0" r="0" b="0"/>
                  <wp:docPr id="1037466625" name="Picture 8" descr="The line chart shows the Real GDP impacts from illustrative modelling on the impact of US tariffs, greater investment uncertainty and greater US sovereign risk from 2025 to 2030. This reduces Australian GDP by -0.88 per cent below the baseline, which recovers to the baseline by 2028. US and Chinese GDP both fall by around -3.0 per cent compared to the baseline in 2027. By 2030, US GDP is -1.62 per cent below the baseline, while Chinese GDP is -2.47 per cent below the base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466625" name="Picture 8" descr="The line chart shows the Real GDP impacts from illustrative modelling on the impact of US tariffs, greater investment uncertainty and greater US sovereign risk from 2025 to 2030. This reduces Australian GDP by -0.88 per cent below the baseline, which recovers to the baseline by 2028. US and Chinese GDP both fall by around -3.0 per cent compared to the baseline in 2027. By 2030, US GDP is -1.62 per cent below the baseline, while Chinese GDP is -2.47 per cent below the baselin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4170" cy="2884170"/>
                          </a:xfrm>
                          <a:prstGeom prst="rect">
                            <a:avLst/>
                          </a:prstGeom>
                          <a:noFill/>
                          <a:ln>
                            <a:noFill/>
                          </a:ln>
                        </pic:spPr>
                      </pic:pic>
                    </a:graphicData>
                  </a:graphic>
                </wp:inline>
              </w:drawing>
            </w:r>
          </w:p>
        </w:tc>
      </w:tr>
    </w:tbl>
    <w:p w14:paraId="11BB22C3" w14:textId="52734CF9" w:rsidR="008327F0" w:rsidRPr="00D561D2" w:rsidRDefault="008327F0" w:rsidP="008327F0">
      <w:pPr>
        <w:spacing w:after="0" w:line="240" w:lineRule="auto"/>
        <w:rPr>
          <w:sz w:val="20"/>
          <w:szCs w:val="20"/>
        </w:rPr>
      </w:pPr>
      <w:r w:rsidRPr="00D561D2">
        <w:rPr>
          <w:sz w:val="20"/>
          <w:szCs w:val="20"/>
        </w:rPr>
        <w:t xml:space="preserve">Source: </w:t>
      </w:r>
      <w:r>
        <w:rPr>
          <w:sz w:val="20"/>
          <w:szCs w:val="20"/>
        </w:rPr>
        <w:t xml:space="preserve">Treasury analysis using G-Cubed </w:t>
      </w:r>
      <w:r w:rsidRPr="00D561D2">
        <w:rPr>
          <w:sz w:val="20"/>
          <w:szCs w:val="20"/>
        </w:rPr>
        <w:t xml:space="preserve"> </w:t>
      </w:r>
    </w:p>
    <w:p w14:paraId="2E128FBA" w14:textId="77777777" w:rsidR="00485CC0" w:rsidRDefault="00485CC0">
      <w:pPr>
        <w:rPr>
          <w:rFonts w:asciiTheme="majorHAnsi" w:eastAsiaTheme="majorEastAsia" w:hAnsiTheme="majorHAnsi" w:cstheme="majorBidi"/>
          <w:b/>
          <w:bCs/>
          <w:color w:val="0F4761" w:themeColor="accent1" w:themeShade="BF"/>
          <w:sz w:val="28"/>
          <w:szCs w:val="28"/>
        </w:rPr>
      </w:pPr>
      <w:r>
        <w:rPr>
          <w:sz w:val="28"/>
          <w:szCs w:val="28"/>
        </w:rPr>
        <w:br w:type="page"/>
      </w:r>
    </w:p>
    <w:p w14:paraId="27C3E3C4" w14:textId="43BFBF16" w:rsidR="006E729A" w:rsidRPr="000F7B51" w:rsidRDefault="002149B2" w:rsidP="008C6F12">
      <w:pPr>
        <w:pStyle w:val="Heading1"/>
        <w:rPr>
          <w:sz w:val="28"/>
          <w:szCs w:val="28"/>
        </w:rPr>
      </w:pPr>
      <w:r w:rsidRPr="000F7B51">
        <w:rPr>
          <w:sz w:val="28"/>
          <w:szCs w:val="28"/>
        </w:rPr>
        <w:lastRenderedPageBreak/>
        <w:t>A</w:t>
      </w:r>
      <w:r w:rsidR="008C6F12" w:rsidRPr="000F7B51">
        <w:rPr>
          <w:sz w:val="28"/>
          <w:szCs w:val="28"/>
        </w:rPr>
        <w:t xml:space="preserve"> </w:t>
      </w:r>
      <w:r w:rsidR="00475FA5" w:rsidRPr="000F7B51">
        <w:rPr>
          <w:sz w:val="28"/>
          <w:szCs w:val="28"/>
        </w:rPr>
        <w:t>n</w:t>
      </w:r>
      <w:r w:rsidR="008C6F12" w:rsidRPr="000F7B51">
        <w:rPr>
          <w:sz w:val="28"/>
          <w:szCs w:val="28"/>
        </w:rPr>
        <w:t xml:space="preserve">ew </w:t>
      </w:r>
      <w:r w:rsidR="00475FA5" w:rsidRPr="000F7B51">
        <w:rPr>
          <w:sz w:val="28"/>
          <w:szCs w:val="28"/>
        </w:rPr>
        <w:t>i</w:t>
      </w:r>
      <w:r w:rsidR="008C6F12" w:rsidRPr="000F7B51">
        <w:rPr>
          <w:sz w:val="28"/>
          <w:szCs w:val="28"/>
        </w:rPr>
        <w:t xml:space="preserve">nternational </w:t>
      </w:r>
      <w:r w:rsidR="00475FA5" w:rsidRPr="000F7B51">
        <w:rPr>
          <w:sz w:val="28"/>
          <w:szCs w:val="28"/>
        </w:rPr>
        <w:t>p</w:t>
      </w:r>
      <w:r w:rsidR="008C6F12" w:rsidRPr="000F7B51">
        <w:rPr>
          <w:sz w:val="28"/>
          <w:szCs w:val="28"/>
        </w:rPr>
        <w:t>aradigm</w:t>
      </w:r>
    </w:p>
    <w:p w14:paraId="4AC0246D" w14:textId="20373A85" w:rsidR="00475FA5" w:rsidRPr="00013B1B" w:rsidRDefault="00475FA5" w:rsidP="00475FA5">
      <w:r w:rsidRPr="00013B1B">
        <w:t xml:space="preserve">The US administration has made it clearer that it </w:t>
      </w:r>
      <w:r w:rsidR="00252670">
        <w:t>intends to</w:t>
      </w:r>
      <w:r w:rsidR="00252670" w:rsidRPr="00013B1B">
        <w:t xml:space="preserve"> </w:t>
      </w:r>
      <w:r w:rsidRPr="00013B1B">
        <w:t>reshape the global economic and political order to further its interests. In doing so, our key security partner</w:t>
      </w:r>
      <w:r w:rsidR="007D7C49" w:rsidRPr="00013B1B">
        <w:t xml:space="preserve"> and the world’s dominant financial power</w:t>
      </w:r>
      <w:r w:rsidRPr="00013B1B">
        <w:t xml:space="preserve"> has pitted itself against </w:t>
      </w:r>
      <w:r w:rsidR="007D7C49" w:rsidRPr="00013B1B">
        <w:t xml:space="preserve">China, the world’s dominant manufacturing power, and </w:t>
      </w:r>
      <w:r w:rsidRPr="00013B1B">
        <w:t>a country with significant influence on our prosperity</w:t>
      </w:r>
      <w:r w:rsidR="00555665">
        <w:t xml:space="preserve"> (see Chart 6)</w:t>
      </w:r>
      <w:r w:rsidRPr="00013B1B">
        <w:t xml:space="preserve">. </w:t>
      </w:r>
    </w:p>
    <w:p w14:paraId="1D8D5A03" w14:textId="24A7345B" w:rsidR="004C05F4" w:rsidRPr="00687352" w:rsidRDefault="004C05F4" w:rsidP="004C05F4">
      <w:r w:rsidRPr="00013B1B">
        <w:t xml:space="preserve">However, the US has gone further than sharpening the contest with China, </w:t>
      </w:r>
      <w:r w:rsidR="007D7C49" w:rsidRPr="00013B1B">
        <w:t xml:space="preserve">it has told the rest of the world that </w:t>
      </w:r>
      <w:r w:rsidR="006D2ED0" w:rsidRPr="00EE3034">
        <w:t xml:space="preserve">it </w:t>
      </w:r>
      <w:r w:rsidRPr="00013B1B">
        <w:t xml:space="preserve">will more </w:t>
      </w:r>
      <w:r w:rsidR="00166559">
        <w:t xml:space="preserve">robustly </w:t>
      </w:r>
      <w:r w:rsidRPr="00013B1B">
        <w:t>pursue its own interests in all domains</w:t>
      </w:r>
      <w:r w:rsidR="007D7C49" w:rsidRPr="00013B1B">
        <w:t xml:space="preserve"> and expect others to lift their effort on peace and security</w:t>
      </w:r>
      <w:r w:rsidRPr="00013B1B">
        <w:t xml:space="preserve">. </w:t>
      </w:r>
      <w:r w:rsidR="008A1762" w:rsidRPr="00013B1B">
        <w:t xml:space="preserve">These actions reflect an </w:t>
      </w:r>
      <w:r w:rsidR="008A1762" w:rsidRPr="00687352">
        <w:t xml:space="preserve">underlying belief that the rules, norms and institutions the US sponsored no longer serve its interests. </w:t>
      </w:r>
    </w:p>
    <w:p w14:paraId="616B13BC" w14:textId="77777777" w:rsidR="001C3A20" w:rsidRPr="00687352" w:rsidRDefault="00475FA5" w:rsidP="1E87258C">
      <w:r w:rsidRPr="00687352">
        <w:t>Australian policy will have to adjust this reality.</w:t>
      </w:r>
    </w:p>
    <w:p w14:paraId="7616D577" w14:textId="6D2C8EB1" w:rsidR="7DC88A2B" w:rsidRPr="00687352" w:rsidRDefault="001C3A20" w:rsidP="1E87258C">
      <w:r w:rsidRPr="00687352">
        <w:t>C</w:t>
      </w:r>
      <w:r w:rsidR="7DC88A2B" w:rsidRPr="00687352">
        <w:t xml:space="preserve">oncerns that China is hollowing out US manufacturing through unfair trade and industrial practices </w:t>
      </w:r>
      <w:r w:rsidR="008A5FC8" w:rsidRPr="00687352">
        <w:t>have been present for decades</w:t>
      </w:r>
      <w:r w:rsidR="009A24CA" w:rsidRPr="00687352">
        <w:t xml:space="preserve"> and are largely bipartisan</w:t>
      </w:r>
      <w:r w:rsidR="008A5FC8" w:rsidRPr="00687352">
        <w:t xml:space="preserve">. </w:t>
      </w:r>
    </w:p>
    <w:p w14:paraId="6DA99886" w14:textId="1A652434" w:rsidR="003A679E" w:rsidRPr="00687352" w:rsidRDefault="7DC88A2B" w:rsidP="1E87258C">
      <w:r w:rsidRPr="00687352">
        <w:t xml:space="preserve">Transition memos from the end of the Bush </w:t>
      </w:r>
      <w:r w:rsidR="00C8694E">
        <w:t>a</w:t>
      </w:r>
      <w:r w:rsidR="00C8694E" w:rsidRPr="00687352">
        <w:t xml:space="preserve">dministration </w:t>
      </w:r>
      <w:r w:rsidRPr="00687352">
        <w:t>highlight the growing concerns of China's economic ascendency less than a decade after joining the World Trade Organisation</w:t>
      </w:r>
      <w:r w:rsidR="00880290" w:rsidRPr="00687352">
        <w:t xml:space="preserve"> (WTO).</w:t>
      </w:r>
      <w:r w:rsidR="0022019C" w:rsidRPr="00687352">
        <w:rPr>
          <w:rStyle w:val="FootnoteReference"/>
        </w:rPr>
        <w:footnoteReference w:id="8"/>
      </w:r>
    </w:p>
    <w:p w14:paraId="3E6F3C76" w14:textId="65F88744" w:rsidR="7DC88A2B" w:rsidRPr="00687352" w:rsidRDefault="7DC88A2B" w:rsidP="00FC6333">
      <w:pPr>
        <w:rPr>
          <w:b/>
          <w:bCs/>
          <w:color w:val="0E2740"/>
        </w:rPr>
      </w:pPr>
      <w:r w:rsidRPr="00687352">
        <w:rPr>
          <w:b/>
          <w:bCs/>
          <w:color w:val="0E2740"/>
        </w:rPr>
        <w:t xml:space="preserve">Chart </w:t>
      </w:r>
      <w:r w:rsidR="00712DBD" w:rsidRPr="00687352">
        <w:rPr>
          <w:b/>
          <w:bCs/>
          <w:color w:val="0E2740"/>
        </w:rPr>
        <w:t>6</w:t>
      </w:r>
      <w:r w:rsidRPr="00687352">
        <w:rPr>
          <w:b/>
          <w:bCs/>
          <w:color w:val="0E2740"/>
        </w:rPr>
        <w:t>: Share</w:t>
      </w:r>
      <w:r w:rsidR="00FC6333" w:rsidRPr="00687352">
        <w:rPr>
          <w:b/>
          <w:bCs/>
          <w:color w:val="0E2740"/>
        </w:rPr>
        <w:t>s</w:t>
      </w:r>
      <w:r w:rsidRPr="00687352">
        <w:rPr>
          <w:b/>
          <w:bCs/>
          <w:color w:val="0E2740"/>
        </w:rPr>
        <w:t xml:space="preserve"> of </w:t>
      </w:r>
      <w:r w:rsidR="0057039C" w:rsidRPr="00687352">
        <w:rPr>
          <w:b/>
          <w:bCs/>
          <w:color w:val="0E2740"/>
        </w:rPr>
        <w:t xml:space="preserve">global </w:t>
      </w:r>
      <w:r w:rsidRPr="00687352">
        <w:rPr>
          <w:b/>
          <w:bCs/>
          <w:color w:val="0E2740"/>
        </w:rPr>
        <w:t>manufacturing</w:t>
      </w:r>
      <w:r w:rsidR="007933A1" w:rsidRPr="00687352">
        <w:rPr>
          <w:b/>
          <w:bCs/>
          <w:color w:val="0E2740"/>
        </w:rPr>
        <w:t xml:space="preserve"> </w:t>
      </w:r>
      <w:r w:rsidR="0057039C" w:rsidRPr="00687352">
        <w:rPr>
          <w:b/>
          <w:bCs/>
          <w:color w:val="0E2740"/>
        </w:rPr>
        <w:t>(</w:t>
      </w:r>
      <w:r w:rsidR="007933A1" w:rsidRPr="00687352">
        <w:rPr>
          <w:b/>
          <w:bCs/>
          <w:color w:val="0E2740"/>
        </w:rPr>
        <w:t>value added</w:t>
      </w:r>
      <w:r w:rsidR="0057039C" w:rsidRPr="00687352">
        <w:rPr>
          <w:b/>
          <w:bCs/>
          <w:color w:val="0E2740"/>
        </w:rPr>
        <w:t>)</w:t>
      </w:r>
    </w:p>
    <w:p w14:paraId="5C7DBFC0" w14:textId="0F85957C" w:rsidR="007933A1" w:rsidRPr="00687352" w:rsidRDefault="002A358A" w:rsidP="00EE3034">
      <w:pPr>
        <w:jc w:val="center"/>
      </w:pPr>
      <w:r w:rsidRPr="002A358A">
        <w:rPr>
          <w:noProof/>
        </w:rPr>
        <w:drawing>
          <wp:inline distT="0" distB="0" distL="0" distR="0" wp14:anchorId="5CFC904F" wp14:editId="49B3C5A9">
            <wp:extent cx="5536565" cy="2491740"/>
            <wp:effectExtent l="0" t="0" r="0" b="0"/>
            <wp:docPr id="952997626" name="Picture 2" descr="This line chart shows the shares of global manufacturing value added for the United States and China from 1994 to 2022. The United States has seen a decline in its share of global manufacturing over time, falling from 23 per cent in 1994 to 15 per cent in 2022.  Over the same period, China’s share has increased from around 6 per cent to 31 per cent, overtaking the United States in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997626" name="Picture 2" descr="This line chart shows the shares of global manufacturing value added for the United States and China from 1994 to 2022. The United States has seen a decline in its share of global manufacturing over time, falling from 23 per cent in 1994 to 15 per cent in 2022.  Over the same period, China’s share has increased from around 6 per cent to 31 per cent, overtaking the United States in 20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6565" cy="2491740"/>
                    </a:xfrm>
                    <a:prstGeom prst="rect">
                      <a:avLst/>
                    </a:prstGeom>
                    <a:noFill/>
                    <a:ln>
                      <a:noFill/>
                    </a:ln>
                  </pic:spPr>
                </pic:pic>
              </a:graphicData>
            </a:graphic>
          </wp:inline>
        </w:drawing>
      </w:r>
    </w:p>
    <w:p w14:paraId="7F519C17" w14:textId="77777777" w:rsidR="004313BF" w:rsidRPr="00687352" w:rsidRDefault="004313BF" w:rsidP="004313BF">
      <w:pPr>
        <w:rPr>
          <w:sz w:val="20"/>
          <w:szCs w:val="20"/>
        </w:rPr>
      </w:pPr>
      <w:r w:rsidRPr="00687352">
        <w:rPr>
          <w:sz w:val="20"/>
          <w:szCs w:val="20"/>
        </w:rPr>
        <w:t>Source: United Nations Industrial Development Organisation</w:t>
      </w:r>
    </w:p>
    <w:p w14:paraId="20FD642B" w14:textId="77777777" w:rsidR="00443DE3" w:rsidRDefault="00443DE3">
      <w:r>
        <w:br w:type="page"/>
      </w:r>
    </w:p>
    <w:p w14:paraId="0025152D" w14:textId="024B620E" w:rsidR="00904578" w:rsidRPr="00687352" w:rsidRDefault="003B5700" w:rsidP="1E87258C">
      <w:r w:rsidRPr="00687352">
        <w:lastRenderedPageBreak/>
        <w:t xml:space="preserve">As China’s share of global </w:t>
      </w:r>
      <w:r w:rsidR="00186474" w:rsidRPr="00687352">
        <w:t xml:space="preserve">manufacturing and output </w:t>
      </w:r>
      <w:r w:rsidRPr="00687352">
        <w:t xml:space="preserve">continued to grow, so did the outward signs of strategic competition. </w:t>
      </w:r>
      <w:r w:rsidR="00C23FE9" w:rsidRPr="00687352">
        <w:t>By 2016, the T</w:t>
      </w:r>
      <w:r w:rsidR="00526486" w:rsidRPr="00687352">
        <w:t>rans-Pacific Partnership (T</w:t>
      </w:r>
      <w:r w:rsidR="00C23FE9" w:rsidRPr="00687352">
        <w:t>PP</w:t>
      </w:r>
      <w:r w:rsidR="00526486" w:rsidRPr="00687352">
        <w:t>)</w:t>
      </w:r>
      <w:r w:rsidR="00C23FE9" w:rsidRPr="00687352">
        <w:t xml:space="preserve"> was unashamedly a US </w:t>
      </w:r>
      <w:r w:rsidR="00AB479B" w:rsidRPr="00687352">
        <w:t>plan</w:t>
      </w:r>
      <w:r w:rsidR="00C23FE9" w:rsidRPr="00687352">
        <w:t xml:space="preserve"> designed to counterbalance China’s </w:t>
      </w:r>
      <w:r w:rsidR="00AB479B" w:rsidRPr="00687352">
        <w:t>growing economic weight in the region</w:t>
      </w:r>
      <w:r w:rsidR="00205A62" w:rsidRPr="00687352">
        <w:t>.</w:t>
      </w:r>
      <w:r w:rsidR="00AB479B" w:rsidRPr="00687352">
        <w:rPr>
          <w:rStyle w:val="FootnoteReference"/>
        </w:rPr>
        <w:footnoteReference w:id="9"/>
      </w:r>
    </w:p>
    <w:p w14:paraId="39172FD7" w14:textId="6EAFAFFF" w:rsidR="00417A2C" w:rsidRDefault="00C82FAC" w:rsidP="00417A2C">
      <w:r w:rsidRPr="00687352">
        <w:t xml:space="preserve">During </w:t>
      </w:r>
      <w:r w:rsidR="7DC88A2B" w:rsidRPr="00687352">
        <w:t xml:space="preserve">the first Trump </w:t>
      </w:r>
      <w:r w:rsidR="00C8694E">
        <w:t>a</w:t>
      </w:r>
      <w:r w:rsidR="00C8694E" w:rsidRPr="00687352">
        <w:t xml:space="preserve">dministration </w:t>
      </w:r>
      <w:r w:rsidR="00F33472" w:rsidRPr="00687352">
        <w:t>more direct</w:t>
      </w:r>
      <w:r w:rsidR="7DC88A2B" w:rsidRPr="00687352">
        <w:t xml:space="preserve"> US </w:t>
      </w:r>
      <w:r w:rsidR="007D7C49" w:rsidRPr="00687352">
        <w:t xml:space="preserve">measures </w:t>
      </w:r>
      <w:r w:rsidR="00C04ECD" w:rsidRPr="00687352">
        <w:t>were put in place</w:t>
      </w:r>
      <w:r w:rsidR="00590081" w:rsidRPr="00687352">
        <w:t>,</w:t>
      </w:r>
      <w:r w:rsidR="00C04ECD" w:rsidRPr="00687352">
        <w:t xml:space="preserve"> including tariffs</w:t>
      </w:r>
      <w:r w:rsidR="7DC88A2B" w:rsidRPr="00687352">
        <w:t xml:space="preserve">.  </w:t>
      </w:r>
    </w:p>
    <w:p w14:paraId="49932D56" w14:textId="7129186B" w:rsidR="00417A2C" w:rsidRPr="00687352" w:rsidRDefault="00EB5582" w:rsidP="00417A2C">
      <w:r>
        <w:t xml:space="preserve">Since this time, </w:t>
      </w:r>
      <w:r w:rsidR="00417A2C" w:rsidRPr="00687352">
        <w:t>US imports from China have steadily declined from their peak of 21.6</w:t>
      </w:r>
      <w:r w:rsidR="00A64952">
        <w:t> </w:t>
      </w:r>
      <w:r w:rsidR="00417A2C" w:rsidRPr="00687352">
        <w:t>per cent of total imports in 2017 to 13.4 per cent in 2024.</w:t>
      </w:r>
    </w:p>
    <w:p w14:paraId="2E3F1B1A" w14:textId="67A72492" w:rsidR="00417A2C" w:rsidRPr="00687352" w:rsidRDefault="007205D0" w:rsidP="00417A2C">
      <w:r w:rsidRPr="00687352">
        <w:t>By 2024, a</w:t>
      </w:r>
      <w:r w:rsidR="00417A2C" w:rsidRPr="00687352">
        <w:t>t 14.7 per cent, the share of China’s exports going to the US were at their lowest level since 1992</w:t>
      </w:r>
      <w:r w:rsidR="00EB5582">
        <w:t xml:space="preserve"> </w:t>
      </w:r>
      <w:r w:rsidR="00F400AD">
        <w:t>(see Chart 7)</w:t>
      </w:r>
      <w:r w:rsidR="00774E15" w:rsidRPr="00687352">
        <w:t xml:space="preserve">. </w:t>
      </w:r>
    </w:p>
    <w:p w14:paraId="5CCBBF02" w14:textId="42490897" w:rsidR="007933A1" w:rsidRPr="00FC6333" w:rsidRDefault="00FC6333" w:rsidP="00FC6333">
      <w:pPr>
        <w:rPr>
          <w:b/>
          <w:bCs/>
          <w:color w:val="0E2740"/>
        </w:rPr>
      </w:pPr>
      <w:r w:rsidRPr="00687352">
        <w:rPr>
          <w:b/>
          <w:bCs/>
          <w:color w:val="0E2740"/>
        </w:rPr>
        <w:t xml:space="preserve">Chart 7: </w:t>
      </w:r>
      <w:r w:rsidR="00687352" w:rsidRPr="00687352">
        <w:rPr>
          <w:b/>
          <w:bCs/>
          <w:color w:val="0E2740"/>
        </w:rPr>
        <w:t>US-China direct trade relationship</w:t>
      </w:r>
    </w:p>
    <w:p w14:paraId="196B3196" w14:textId="56E4EF85" w:rsidR="7DC88A2B" w:rsidRPr="00013B1B" w:rsidRDefault="00584D7C" w:rsidP="00551C69">
      <w:pPr>
        <w:jc w:val="center"/>
      </w:pPr>
      <w:r w:rsidRPr="008438A7">
        <w:rPr>
          <w:noProof/>
        </w:rPr>
        <w:drawing>
          <wp:inline distT="0" distB="0" distL="0" distR="0" wp14:anchorId="228C4D4E" wp14:editId="2C6AF14A">
            <wp:extent cx="5562600" cy="2527300"/>
            <wp:effectExtent l="0" t="0" r="0" b="0"/>
            <wp:docPr id="1500819471" name="Picture 1" descr="This line chart shows the direct trade relationship between the United States and China. The United States imports from China have steadily declined from their peak of 21.6 per cent of total imports in 2017 to 13 per cent in 2024. The share of China’s exports going to the United States has also declined over time, to be 14.7 per cent in 2024 – their lowest level since 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19471" name="Picture 1" descr="This line chart shows the direct trade relationship between the United States and China. The United States imports from China have steadily declined from their peak of 21.6 per cent of total imports in 2017 to 13 per cent in 2024. The share of China’s exports going to the United States has also declined over time, to be 14.7 per cent in 2024 – their lowest level since 19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62600" cy="2527300"/>
                    </a:xfrm>
                    <a:prstGeom prst="rect">
                      <a:avLst/>
                    </a:prstGeom>
                    <a:noFill/>
                    <a:ln>
                      <a:noFill/>
                    </a:ln>
                  </pic:spPr>
                </pic:pic>
              </a:graphicData>
            </a:graphic>
          </wp:inline>
        </w:drawing>
      </w:r>
      <w:r w:rsidR="00084050">
        <w:rPr>
          <w:noProof/>
        </w:rPr>
        <w:t xml:space="preserve">      </w:t>
      </w:r>
    </w:p>
    <w:p w14:paraId="79B44CB7" w14:textId="6DA3583D" w:rsidR="004313BF" w:rsidRPr="00013B1B" w:rsidRDefault="004313BF" w:rsidP="1E87258C">
      <w:r w:rsidRPr="00EE3034">
        <w:rPr>
          <w:sz w:val="20"/>
          <w:szCs w:val="20"/>
        </w:rPr>
        <w:t>Source: I</w:t>
      </w:r>
      <w:r w:rsidR="00081B36">
        <w:rPr>
          <w:sz w:val="20"/>
          <w:szCs w:val="20"/>
        </w:rPr>
        <w:t xml:space="preserve">nternational Monetary Fund and </w:t>
      </w:r>
      <w:r w:rsidRPr="00935602">
        <w:rPr>
          <w:sz w:val="20"/>
          <w:szCs w:val="20"/>
        </w:rPr>
        <w:t>WIND</w:t>
      </w:r>
      <w:r w:rsidR="007011AF" w:rsidRPr="00935602">
        <w:rPr>
          <w:sz w:val="20"/>
          <w:szCs w:val="20"/>
        </w:rPr>
        <w:t xml:space="preserve"> </w:t>
      </w:r>
    </w:p>
    <w:p w14:paraId="358FDB17" w14:textId="5AB64FD1" w:rsidR="0023146A" w:rsidRPr="00013B1B" w:rsidRDefault="00907834" w:rsidP="00A37860">
      <w:r w:rsidRPr="00013B1B">
        <w:t xml:space="preserve">Beyond the sharpening of US and Chinese strategic competition </w:t>
      </w:r>
      <w:r w:rsidR="004F4713" w:rsidRPr="00013B1B">
        <w:t>is</w:t>
      </w:r>
      <w:r w:rsidR="00C86F4D" w:rsidRPr="00013B1B">
        <w:t xml:space="preserve"> the</w:t>
      </w:r>
      <w:r w:rsidR="004F4713" w:rsidRPr="00013B1B">
        <w:t xml:space="preserve"> </w:t>
      </w:r>
      <w:r w:rsidR="001443F6" w:rsidRPr="00013B1B">
        <w:t>stark</w:t>
      </w:r>
      <w:r w:rsidR="00651073" w:rsidRPr="00013B1B">
        <w:t xml:space="preserve"> </w:t>
      </w:r>
      <w:r w:rsidR="004F4713" w:rsidRPr="00013B1B">
        <w:t>re</w:t>
      </w:r>
      <w:r w:rsidR="00F400AD">
        <w:noBreakHyphen/>
      </w:r>
      <w:r w:rsidR="004F4713" w:rsidRPr="00013B1B">
        <w:t xml:space="preserve">emergence </w:t>
      </w:r>
      <w:r w:rsidR="00D00F87" w:rsidRPr="00013B1B">
        <w:t>of</w:t>
      </w:r>
      <w:r w:rsidR="004F4713" w:rsidRPr="00013B1B">
        <w:t xml:space="preserve"> </w:t>
      </w:r>
      <w:r w:rsidR="0087527F" w:rsidRPr="00013B1B">
        <w:t>long-standing</w:t>
      </w:r>
      <w:r w:rsidR="004F4713" w:rsidRPr="00013B1B">
        <w:t xml:space="preserve"> tensions</w:t>
      </w:r>
      <w:r w:rsidR="00C86F4D" w:rsidRPr="00013B1B">
        <w:t xml:space="preserve"> around the world</w:t>
      </w:r>
      <w:r w:rsidR="00D00F87" w:rsidRPr="00013B1B">
        <w:t>.</w:t>
      </w:r>
    </w:p>
    <w:p w14:paraId="5DD19745" w14:textId="5327D50B" w:rsidR="00316043" w:rsidRPr="00013B1B" w:rsidRDefault="00316043" w:rsidP="00316043">
      <w:r w:rsidRPr="00013B1B">
        <w:t xml:space="preserve">Russia’s </w:t>
      </w:r>
      <w:r w:rsidR="0008036C" w:rsidRPr="00013B1B">
        <w:t xml:space="preserve">illegal invasion </w:t>
      </w:r>
      <w:r w:rsidRPr="00013B1B">
        <w:t>o</w:t>
      </w:r>
      <w:r w:rsidR="0008036C" w:rsidRPr="00013B1B">
        <w:t>f</w:t>
      </w:r>
      <w:r w:rsidRPr="00013B1B">
        <w:t xml:space="preserve"> Ukraine has been a critical turning point in European strategic and economic policy.  </w:t>
      </w:r>
    </w:p>
    <w:p w14:paraId="0F0EC9EF" w14:textId="5570983F" w:rsidR="00C06FCA" w:rsidRPr="00013B1B" w:rsidRDefault="00A37860" w:rsidP="00A37860">
      <w:r w:rsidRPr="00013B1B">
        <w:t>Underscoring th</w:t>
      </w:r>
      <w:r w:rsidR="009432AB" w:rsidRPr="00013B1B">
        <w:t>is</w:t>
      </w:r>
      <w:r w:rsidRPr="00013B1B">
        <w:t xml:space="preserve"> </w:t>
      </w:r>
      <w:r w:rsidR="009432AB" w:rsidRPr="00013B1B">
        <w:t>reality</w:t>
      </w:r>
      <w:r w:rsidRPr="00013B1B">
        <w:t xml:space="preserve">, the Swedish and French Governments have produced brochures informing their citizens about how to prepare for a variety of threats, including armed conflict. </w:t>
      </w:r>
    </w:p>
    <w:p w14:paraId="098049F1" w14:textId="7E9448A2" w:rsidR="00A37860" w:rsidRPr="00013B1B" w:rsidRDefault="0000459B" w:rsidP="00A37860">
      <w:r w:rsidRPr="00013B1B">
        <w:t>And in the last year, c</w:t>
      </w:r>
      <w:r w:rsidR="00C91965" w:rsidRPr="00013B1B">
        <w:t xml:space="preserve">onscription has been </w:t>
      </w:r>
      <w:r w:rsidRPr="00013B1B">
        <w:t xml:space="preserve">a topic of genuine political debate in Germany and </w:t>
      </w:r>
      <w:r w:rsidR="006103C9" w:rsidRPr="00013B1B">
        <w:t>Poland</w:t>
      </w:r>
      <w:r w:rsidRPr="00013B1B">
        <w:t>.</w:t>
      </w:r>
    </w:p>
    <w:p w14:paraId="4C23BF0F" w14:textId="77777777" w:rsidR="0030109A" w:rsidRPr="00013B1B" w:rsidRDefault="002920E3" w:rsidP="00BD0BB9">
      <w:r w:rsidRPr="002F2E3F">
        <w:lastRenderedPageBreak/>
        <w:t xml:space="preserve">The challenges </w:t>
      </w:r>
      <w:r w:rsidR="00743B0D" w:rsidRPr="002F2E3F">
        <w:t xml:space="preserve">associated with </w:t>
      </w:r>
      <w:r w:rsidRPr="002F2E3F">
        <w:t xml:space="preserve">familiar structures becoming more fragile extends beyond </w:t>
      </w:r>
      <w:r w:rsidR="00BF46FB" w:rsidRPr="002F2E3F">
        <w:t>the international arena</w:t>
      </w:r>
      <w:r w:rsidR="008E4DB0" w:rsidRPr="002F2E3F">
        <w:t>.</w:t>
      </w:r>
      <w:r w:rsidR="008E4DB0" w:rsidRPr="00013B1B">
        <w:t xml:space="preserve"> </w:t>
      </w:r>
      <w:r w:rsidR="00D67D04" w:rsidRPr="00013B1B">
        <w:t xml:space="preserve"> </w:t>
      </w:r>
    </w:p>
    <w:p w14:paraId="5927B8B9" w14:textId="238D3626" w:rsidR="00A734CC" w:rsidRPr="00013B1B" w:rsidRDefault="0008607F" w:rsidP="00BD0BB9">
      <w:r w:rsidRPr="00013B1B">
        <w:t xml:space="preserve">Within </w:t>
      </w:r>
      <w:r w:rsidR="00487DB5" w:rsidRPr="00013B1B">
        <w:t>nation-states, e</w:t>
      </w:r>
      <w:r w:rsidR="00517368" w:rsidRPr="00013B1B">
        <w:t xml:space="preserve">lectorates and </w:t>
      </w:r>
      <w:r w:rsidR="00487DB5" w:rsidRPr="00013B1B">
        <w:t xml:space="preserve">mass communication channels </w:t>
      </w:r>
      <w:r w:rsidR="00517368" w:rsidRPr="00013B1B">
        <w:t xml:space="preserve">have become more </w:t>
      </w:r>
      <w:r w:rsidR="00A41E2E" w:rsidRPr="00013B1B">
        <w:t xml:space="preserve">fractured </w:t>
      </w:r>
      <w:r w:rsidR="00485505" w:rsidRPr="00013B1B">
        <w:t>and polarised</w:t>
      </w:r>
      <w:r w:rsidR="009043E5" w:rsidRPr="00013B1B">
        <w:t>.</w:t>
      </w:r>
      <w:r w:rsidR="00007F71" w:rsidRPr="00013B1B">
        <w:t xml:space="preserve"> </w:t>
      </w:r>
      <w:r w:rsidR="00732AB6" w:rsidRPr="00013B1B">
        <w:t>Nationalism is proving to be a more enduring, motivating and powerful force than globali</w:t>
      </w:r>
      <w:r w:rsidR="00DC3717">
        <w:t>sation</w:t>
      </w:r>
      <w:r w:rsidR="00732AB6" w:rsidRPr="00013B1B">
        <w:t>.</w:t>
      </w:r>
      <w:r w:rsidR="00732AB6" w:rsidRPr="00013B1B">
        <w:rPr>
          <w:rStyle w:val="FootnoteReference"/>
        </w:rPr>
        <w:footnoteReference w:id="10"/>
      </w:r>
      <w:r w:rsidR="00732AB6" w:rsidRPr="00013B1B">
        <w:t xml:space="preserve"> </w:t>
      </w:r>
    </w:p>
    <w:p w14:paraId="7D52B58D" w14:textId="355F9F13" w:rsidR="00E86B69" w:rsidRPr="00013B1B" w:rsidRDefault="007F3136" w:rsidP="007F3136">
      <w:pPr>
        <w:pStyle w:val="Bullet"/>
        <w:numPr>
          <w:ilvl w:val="0"/>
          <w:numId w:val="0"/>
        </w:numPr>
      </w:pPr>
      <w:r w:rsidRPr="00013B1B">
        <w:t>The pandemic</w:t>
      </w:r>
      <w:r w:rsidR="00952D79" w:rsidRPr="00013B1B">
        <w:t xml:space="preserve"> and </w:t>
      </w:r>
      <w:r w:rsidR="00D0576C">
        <w:t>conflict-</w:t>
      </w:r>
      <w:r w:rsidR="00952D79" w:rsidRPr="00013B1B">
        <w:t>driven energy and inflation shock</w:t>
      </w:r>
      <w:r w:rsidR="00FD2DE5">
        <w:t>s</w:t>
      </w:r>
      <w:r w:rsidRPr="00013B1B">
        <w:t>, along with the consequent monetary tightening, amplified frustrations with the cost of living</w:t>
      </w:r>
      <w:r w:rsidR="0033287D" w:rsidRPr="00013B1B">
        <w:t xml:space="preserve"> and inequality</w:t>
      </w:r>
      <w:r w:rsidRPr="00013B1B">
        <w:t xml:space="preserve">. </w:t>
      </w:r>
    </w:p>
    <w:p w14:paraId="3F89F05F" w14:textId="5F1FF3C7" w:rsidR="007F3136" w:rsidRPr="00013B1B" w:rsidRDefault="007F3136" w:rsidP="007F3136">
      <w:pPr>
        <w:pStyle w:val="Bullet"/>
        <w:numPr>
          <w:ilvl w:val="0"/>
          <w:numId w:val="0"/>
        </w:numPr>
        <w:rPr>
          <w:rFonts w:ascii="Calibri" w:hAnsi="Calibri" w:cs="Calibri"/>
        </w:rPr>
      </w:pPr>
      <w:r w:rsidRPr="00013B1B">
        <w:t>In many places, this has manifested in populism and a wave</w:t>
      </w:r>
      <w:r w:rsidR="009B4EB7">
        <w:t xml:space="preserve"> of</w:t>
      </w:r>
      <w:r w:rsidRPr="00013B1B">
        <w:t xml:space="preserve"> anti-incumbency.</w:t>
      </w:r>
      <w:r w:rsidR="00706847">
        <w:rPr>
          <w:rStyle w:val="FootnoteReference"/>
        </w:rPr>
        <w:footnoteReference w:id="11"/>
      </w:r>
    </w:p>
    <w:p w14:paraId="6E7E3E23" w14:textId="74F3F4A2" w:rsidR="00890806" w:rsidRPr="00013B1B" w:rsidRDefault="008672D1" w:rsidP="00BD0BB9">
      <w:r w:rsidRPr="00013B1B">
        <w:t>C</w:t>
      </w:r>
      <w:r w:rsidR="00517368" w:rsidRPr="00013B1B">
        <w:t xml:space="preserve">onsensus-building </w:t>
      </w:r>
      <w:r w:rsidR="009043E5" w:rsidRPr="00013B1B">
        <w:t xml:space="preserve">for new policy </w:t>
      </w:r>
      <w:r w:rsidRPr="00013B1B">
        <w:t xml:space="preserve">has become </w:t>
      </w:r>
      <w:r w:rsidR="00517368" w:rsidRPr="00013B1B">
        <w:t>more challenging</w:t>
      </w:r>
      <w:r w:rsidR="00175DB2" w:rsidRPr="00013B1B">
        <w:t xml:space="preserve"> in democratic societies</w:t>
      </w:r>
      <w:r w:rsidR="00F562FC" w:rsidRPr="00013B1B">
        <w:t xml:space="preserve">. And </w:t>
      </w:r>
      <w:r w:rsidR="00110AA4" w:rsidRPr="00013B1B">
        <w:t xml:space="preserve">it has </w:t>
      </w:r>
      <w:r w:rsidR="00832AA5" w:rsidRPr="00013B1B">
        <w:t xml:space="preserve">made it more difficult to anticipate how governments </w:t>
      </w:r>
      <w:r w:rsidR="00007F71" w:rsidRPr="00013B1B">
        <w:t>might</w:t>
      </w:r>
      <w:r w:rsidR="00832AA5" w:rsidRPr="00013B1B">
        <w:t xml:space="preserve"> respond to </w:t>
      </w:r>
      <w:r w:rsidR="00B04C2B" w:rsidRPr="00013B1B">
        <w:t>evolving circumstances</w:t>
      </w:r>
      <w:r w:rsidR="00CC4F00" w:rsidRPr="00013B1B">
        <w:t>.</w:t>
      </w:r>
    </w:p>
    <w:p w14:paraId="3A67E09E" w14:textId="33C9A8EE" w:rsidR="008D12D4" w:rsidRPr="00013B1B" w:rsidRDefault="003E3873" w:rsidP="00BD0BB9">
      <w:r w:rsidRPr="00013B1B">
        <w:t>In some c</w:t>
      </w:r>
      <w:r w:rsidR="008D12D4" w:rsidRPr="00013B1B">
        <w:t>ountries</w:t>
      </w:r>
      <w:r w:rsidRPr="00013B1B">
        <w:t>, we are seeing the institutions of democracy</w:t>
      </w:r>
      <w:r w:rsidR="00AF3D4D" w:rsidRPr="00013B1B">
        <w:t xml:space="preserve"> and even the judiciary</w:t>
      </w:r>
      <w:r w:rsidRPr="00013B1B">
        <w:t xml:space="preserve"> under pressure. </w:t>
      </w:r>
    </w:p>
    <w:p w14:paraId="673C212F" w14:textId="73E96BF6" w:rsidR="00D3637E" w:rsidRDefault="00A53AA4" w:rsidP="00BD0BB9">
      <w:r w:rsidRPr="00013B1B">
        <w:t>Fortunately</w:t>
      </w:r>
      <w:r w:rsidR="009B12B7" w:rsidRPr="00013B1B">
        <w:t xml:space="preserve"> for</w:t>
      </w:r>
      <w:r w:rsidR="00E86B69" w:rsidRPr="00013B1B">
        <w:t xml:space="preserve"> Australia, </w:t>
      </w:r>
      <w:r w:rsidR="002B0F35" w:rsidRPr="00013B1B">
        <w:t>our institutions support</w:t>
      </w:r>
      <w:r w:rsidR="00444730" w:rsidRPr="00013B1B">
        <w:t>ing</w:t>
      </w:r>
      <w:r w:rsidR="002B0F35" w:rsidRPr="00013B1B">
        <w:t xml:space="preserve"> democracy</w:t>
      </w:r>
      <w:r w:rsidR="00444730" w:rsidRPr="00013B1B">
        <w:t>, such as the Australian Elec</w:t>
      </w:r>
      <w:r w:rsidR="00C9358B" w:rsidRPr="00013B1B">
        <w:t>toral</w:t>
      </w:r>
      <w:r w:rsidR="00444730" w:rsidRPr="00013B1B">
        <w:t xml:space="preserve"> Commission,</w:t>
      </w:r>
      <w:r w:rsidR="00C8694E">
        <w:t xml:space="preserve"> </w:t>
      </w:r>
      <w:r w:rsidR="002B0F35" w:rsidRPr="00013B1B">
        <w:t>continue</w:t>
      </w:r>
      <w:r w:rsidR="00444730" w:rsidRPr="00013B1B">
        <w:t xml:space="preserve"> their </w:t>
      </w:r>
      <w:r w:rsidR="001F1A08" w:rsidRPr="00013B1B">
        <w:t>exemplary</w:t>
      </w:r>
      <w:r w:rsidR="00444730" w:rsidRPr="00013B1B">
        <w:t xml:space="preserve"> </w:t>
      </w:r>
      <w:r w:rsidR="001F1A08" w:rsidRPr="00013B1B">
        <w:t xml:space="preserve">performance and </w:t>
      </w:r>
      <w:r w:rsidR="00A02E7F" w:rsidRPr="00013B1B">
        <w:t xml:space="preserve">they </w:t>
      </w:r>
      <w:r w:rsidR="001F1A08" w:rsidRPr="00013B1B">
        <w:t xml:space="preserve">enjoy </w:t>
      </w:r>
      <w:r w:rsidR="00DE2E0F" w:rsidRPr="00013B1B">
        <w:t>widespread</w:t>
      </w:r>
      <w:r w:rsidR="00084E4E" w:rsidRPr="00013B1B">
        <w:t xml:space="preserve"> </w:t>
      </w:r>
      <w:r w:rsidR="00A02E7F" w:rsidRPr="00013B1B">
        <w:t xml:space="preserve">public </w:t>
      </w:r>
      <w:r w:rsidR="001F1A08" w:rsidRPr="00013B1B">
        <w:t>support and trust.</w:t>
      </w:r>
    </w:p>
    <w:p w14:paraId="43186093" w14:textId="570A7CFB" w:rsidR="00B51DE5" w:rsidRPr="000F7B51" w:rsidRDefault="00597A0C" w:rsidP="00517368">
      <w:pPr>
        <w:pStyle w:val="Heading1"/>
        <w:rPr>
          <w:sz w:val="28"/>
          <w:szCs w:val="28"/>
        </w:rPr>
      </w:pPr>
      <w:bookmarkStart w:id="0" w:name="_Toc197769130"/>
      <w:r w:rsidRPr="000F7B51">
        <w:rPr>
          <w:sz w:val="28"/>
          <w:szCs w:val="28"/>
        </w:rPr>
        <w:t>How are countries responding</w:t>
      </w:r>
      <w:r w:rsidR="00425CD7" w:rsidRPr="000F7B51">
        <w:rPr>
          <w:sz w:val="28"/>
          <w:szCs w:val="28"/>
        </w:rPr>
        <w:t xml:space="preserve"> </w:t>
      </w:r>
      <w:r w:rsidR="00FE5052" w:rsidRPr="000F7B51">
        <w:rPr>
          <w:sz w:val="28"/>
          <w:szCs w:val="28"/>
        </w:rPr>
        <w:t xml:space="preserve">to </w:t>
      </w:r>
      <w:r w:rsidR="00BF76AC" w:rsidRPr="000F7B51">
        <w:rPr>
          <w:sz w:val="28"/>
          <w:szCs w:val="28"/>
        </w:rPr>
        <w:t xml:space="preserve">global </w:t>
      </w:r>
      <w:r w:rsidR="00FE5052" w:rsidRPr="000F7B51">
        <w:rPr>
          <w:sz w:val="28"/>
          <w:szCs w:val="28"/>
        </w:rPr>
        <w:t>uncertainty</w:t>
      </w:r>
      <w:r w:rsidR="000867EC" w:rsidRPr="000F7B51">
        <w:rPr>
          <w:sz w:val="28"/>
          <w:szCs w:val="28"/>
        </w:rPr>
        <w:t xml:space="preserve"> and fragmentation</w:t>
      </w:r>
      <w:r w:rsidRPr="000F7B51">
        <w:rPr>
          <w:sz w:val="28"/>
          <w:szCs w:val="28"/>
        </w:rPr>
        <w:t xml:space="preserve">? </w:t>
      </w:r>
      <w:bookmarkEnd w:id="0"/>
    </w:p>
    <w:p w14:paraId="4DE7E45B" w14:textId="2972049E" w:rsidR="00FE760E" w:rsidRPr="00013B1B" w:rsidRDefault="00BF76AC" w:rsidP="008C2738">
      <w:r w:rsidRPr="00013B1B">
        <w:t>W</w:t>
      </w:r>
      <w:r w:rsidR="00136F91" w:rsidRPr="00013B1B">
        <w:t>e see</w:t>
      </w:r>
      <w:r w:rsidR="006C512A" w:rsidRPr="00013B1B">
        <w:t xml:space="preserve"> three key</w:t>
      </w:r>
      <w:r w:rsidR="00136F91" w:rsidRPr="00013B1B">
        <w:t xml:space="preserve"> trends in the policy choices</w:t>
      </w:r>
      <w:r w:rsidR="006C512A" w:rsidRPr="00013B1B">
        <w:t xml:space="preserve"> by</w:t>
      </w:r>
      <w:r w:rsidR="00136F91" w:rsidRPr="00013B1B">
        <w:t xml:space="preserve"> governments</w:t>
      </w:r>
      <w:r w:rsidRPr="00013B1B">
        <w:t xml:space="preserve"> in response to global uncertainty</w:t>
      </w:r>
      <w:r w:rsidR="000867EC" w:rsidRPr="00013B1B">
        <w:t xml:space="preserve"> and </w:t>
      </w:r>
      <w:r w:rsidR="002779E1" w:rsidRPr="00013B1B">
        <w:t>fragmentation:</w:t>
      </w:r>
      <w:r w:rsidR="000867EC" w:rsidRPr="00013B1B">
        <w:t xml:space="preserve"> building resilience, trade and economic diversification </w:t>
      </w:r>
      <w:r w:rsidR="004F38B6" w:rsidRPr="00013B1B">
        <w:t>and investment in deterrence</w:t>
      </w:r>
      <w:r w:rsidR="0042725B" w:rsidRPr="00013B1B">
        <w:t>.</w:t>
      </w:r>
    </w:p>
    <w:p w14:paraId="511976AC" w14:textId="43E517F9" w:rsidR="00136F91" w:rsidRPr="00013B1B" w:rsidRDefault="002779E1" w:rsidP="008C2738">
      <w:pPr>
        <w:pStyle w:val="Heading2"/>
      </w:pPr>
      <w:bookmarkStart w:id="1" w:name="_Toc197769131"/>
      <w:r w:rsidRPr="00013B1B">
        <w:t>Building r</w:t>
      </w:r>
      <w:r w:rsidR="00826BB5" w:rsidRPr="00013B1B">
        <w:t>esilience</w:t>
      </w:r>
      <w:bookmarkEnd w:id="1"/>
    </w:p>
    <w:p w14:paraId="4608A817" w14:textId="10DE904E" w:rsidR="00BB6F87" w:rsidRDefault="00826AA3" w:rsidP="00B41F91">
      <w:r>
        <w:t xml:space="preserve">The most effective strategy to build resilience is to raise the productive capacity </w:t>
      </w:r>
      <w:r w:rsidR="000D2495">
        <w:t>of the economy through reforms.</w:t>
      </w:r>
    </w:p>
    <w:p w14:paraId="0A6BB51E" w14:textId="1B9E4EB2" w:rsidR="00A61918" w:rsidRPr="00013B1B" w:rsidRDefault="00DC78E2" w:rsidP="00B41F91">
      <w:r w:rsidRPr="00013B1B">
        <w:t>In Europe</w:t>
      </w:r>
      <w:r w:rsidR="00853E06" w:rsidRPr="00013B1B">
        <w:t>,</w:t>
      </w:r>
      <w:r w:rsidR="001306A7" w:rsidRPr="00013B1B">
        <w:t xml:space="preserve"> </w:t>
      </w:r>
      <w:r w:rsidR="00516456" w:rsidRPr="00013B1B">
        <w:t>l</w:t>
      </w:r>
      <w:r w:rsidR="001306A7" w:rsidRPr="00013B1B">
        <w:t>ast September</w:t>
      </w:r>
      <w:r w:rsidR="006E556F" w:rsidRPr="00013B1B">
        <w:t xml:space="preserve">, Mario Draghi presented a report to the European Commission </w:t>
      </w:r>
      <w:r w:rsidR="009B4EB7">
        <w:t xml:space="preserve">aiming to build </w:t>
      </w:r>
      <w:r w:rsidR="00516456" w:rsidRPr="00013B1B">
        <w:t>economic resilience</w:t>
      </w:r>
      <w:r w:rsidR="009B4EB7">
        <w:t xml:space="preserve"> by removing barriers to their internal market</w:t>
      </w:r>
      <w:r w:rsidR="00516456" w:rsidRPr="00013B1B">
        <w:t>.</w:t>
      </w:r>
      <w:r w:rsidR="00F300C4" w:rsidRPr="00013B1B">
        <w:rPr>
          <w:rStyle w:val="FootnoteReference"/>
        </w:rPr>
        <w:footnoteReference w:id="12"/>
      </w:r>
    </w:p>
    <w:p w14:paraId="72851917" w14:textId="7FEC02FD" w:rsidR="00CA099E" w:rsidRPr="00013B1B" w:rsidRDefault="000D2495" w:rsidP="00B41F91">
      <w:r>
        <w:t xml:space="preserve">In </w:t>
      </w:r>
      <w:r w:rsidR="00A27F90" w:rsidRPr="00013B1B">
        <w:t>Canada</w:t>
      </w:r>
      <w:r>
        <w:t>,</w:t>
      </w:r>
      <w:r w:rsidR="00A27F90" w:rsidRPr="00013B1B">
        <w:t xml:space="preserve"> </w:t>
      </w:r>
      <w:r>
        <w:t>a</w:t>
      </w:r>
      <w:r w:rsidR="00F10945" w:rsidRPr="00013B1B">
        <w:t xml:space="preserve"> key focus is on removing all federal barriers to interprovincial trade</w:t>
      </w:r>
      <w:r w:rsidR="00E9076D">
        <w:t>,</w:t>
      </w:r>
      <w:r w:rsidR="007011AF">
        <w:t xml:space="preserve"> </w:t>
      </w:r>
      <w:r w:rsidR="00A107B3" w:rsidRPr="00013B1B">
        <w:t>which</w:t>
      </w:r>
      <w:r w:rsidR="00F10945" w:rsidRPr="00013B1B">
        <w:t xml:space="preserve"> could </w:t>
      </w:r>
      <w:r w:rsidR="00A107B3" w:rsidRPr="00013B1B">
        <w:t>lower prices by</w:t>
      </w:r>
      <w:r w:rsidR="00F10945" w:rsidRPr="00013B1B">
        <w:t xml:space="preserve"> up to 15 per cent.  </w:t>
      </w:r>
    </w:p>
    <w:p w14:paraId="772A2841" w14:textId="25B316B8" w:rsidR="00F10945" w:rsidRPr="00013B1B" w:rsidRDefault="00F10945" w:rsidP="00B41F91">
      <w:r w:rsidRPr="00013B1B">
        <w:lastRenderedPageBreak/>
        <w:t xml:space="preserve">To support investment, the </w:t>
      </w:r>
      <w:r w:rsidR="00CA099E" w:rsidRPr="00013B1B">
        <w:t xml:space="preserve">Canadian </w:t>
      </w:r>
      <w:r w:rsidRPr="00013B1B">
        <w:t xml:space="preserve">Government has also committed to </w:t>
      </w:r>
      <w:r w:rsidR="008B2C6E">
        <w:t>‘</w:t>
      </w:r>
      <w:r w:rsidRPr="00013B1B">
        <w:t>one project, one review</w:t>
      </w:r>
      <w:r w:rsidR="008B2C6E">
        <w:t>’</w:t>
      </w:r>
      <w:r w:rsidRPr="00013B1B">
        <w:t xml:space="preserve"> by eliminating duplicate federal requirements for projects of national significance, already assessed by provincial governments.</w:t>
      </w:r>
    </w:p>
    <w:p w14:paraId="22FB7B1D" w14:textId="3317947D" w:rsidR="00A8345C" w:rsidRPr="00013B1B" w:rsidRDefault="001052E3" w:rsidP="00A8345C">
      <w:r w:rsidRPr="00013B1B">
        <w:t xml:space="preserve">The UK </w:t>
      </w:r>
      <w:r w:rsidR="008B2C6E">
        <w:t>G</w:t>
      </w:r>
      <w:r w:rsidRPr="00013B1B">
        <w:t xml:space="preserve">overnment has </w:t>
      </w:r>
      <w:r w:rsidR="00A8345C" w:rsidRPr="00013B1B">
        <w:t>accelerate</w:t>
      </w:r>
      <w:r w:rsidRPr="00013B1B">
        <w:t>d</w:t>
      </w:r>
      <w:r w:rsidR="00A8345C" w:rsidRPr="00013B1B">
        <w:t xml:space="preserve"> their growth mission to move ‘faster and further’ on domestic reforms.  </w:t>
      </w:r>
      <w:r w:rsidR="003A04A4" w:rsidRPr="00013B1B">
        <w:t>Recently introduced r</w:t>
      </w:r>
      <w:r w:rsidR="00A8345C" w:rsidRPr="00013B1B">
        <w:t xml:space="preserve">eforms to planning and infrastructure </w:t>
      </w:r>
      <w:r w:rsidR="003A04A4" w:rsidRPr="00013B1B">
        <w:t xml:space="preserve">such as </w:t>
      </w:r>
      <w:r w:rsidR="00A8345C" w:rsidRPr="00013B1B">
        <w:t xml:space="preserve">accelerated environmental approvals, incentives to support new electricity connections and reducing </w:t>
      </w:r>
      <w:r w:rsidR="00CE44F9" w:rsidRPr="00013B1B">
        <w:t xml:space="preserve">consultations </w:t>
      </w:r>
      <w:r w:rsidR="00A8345C" w:rsidRPr="00013B1B">
        <w:t>required for planning approvals</w:t>
      </w:r>
      <w:r w:rsidR="003A04A4" w:rsidRPr="00013B1B">
        <w:t xml:space="preserve"> have the potential to be</w:t>
      </w:r>
      <w:r w:rsidR="0054232B">
        <w:t xml:space="preserve"> </w:t>
      </w:r>
      <w:r w:rsidR="00A8345C" w:rsidRPr="00013B1B">
        <w:t xml:space="preserve">significant. </w:t>
      </w:r>
    </w:p>
    <w:p w14:paraId="05932E49" w14:textId="6B8E6991" w:rsidR="008C2738" w:rsidRPr="00013B1B" w:rsidRDefault="001A0D91" w:rsidP="0042725B">
      <w:pPr>
        <w:pStyle w:val="Heading2"/>
      </w:pPr>
      <w:bookmarkStart w:id="2" w:name="_Toc197769132"/>
      <w:r w:rsidRPr="00013B1B">
        <w:t>Trade and economic d</w:t>
      </w:r>
      <w:r w:rsidR="0042725B" w:rsidRPr="00013B1B">
        <w:t>iversification</w:t>
      </w:r>
      <w:bookmarkEnd w:id="2"/>
    </w:p>
    <w:p w14:paraId="10289A10" w14:textId="39A2E5A1" w:rsidR="001B5C4D" w:rsidRPr="00013B1B" w:rsidRDefault="001B5C4D" w:rsidP="001B5C4D">
      <w:r w:rsidRPr="00013B1B">
        <w:t>Larger countries can, even if inefficiently and imperfectly, pursue a strategy of self</w:t>
      </w:r>
      <w:r>
        <w:noBreakHyphen/>
      </w:r>
      <w:r w:rsidRPr="00013B1B">
        <w:t xml:space="preserve">reliance and strategic autonomy. For </w:t>
      </w:r>
      <w:r>
        <w:t xml:space="preserve">most other countries, </w:t>
      </w:r>
      <w:r w:rsidRPr="00013B1B">
        <w:t xml:space="preserve">when </w:t>
      </w:r>
      <w:r>
        <w:t xml:space="preserve">large </w:t>
      </w:r>
      <w:r w:rsidRPr="00013B1B">
        <w:t xml:space="preserve">countries raise barriers, </w:t>
      </w:r>
      <w:r>
        <w:t xml:space="preserve">it is not in our self-interest to respond by also raising barriers. </w:t>
      </w:r>
    </w:p>
    <w:p w14:paraId="7C5A2EE8" w14:textId="1F03C95F" w:rsidR="006E711E" w:rsidRPr="00013B1B" w:rsidRDefault="00BB6F87" w:rsidP="00B41F91">
      <w:r>
        <w:t>Instead</w:t>
      </w:r>
      <w:r w:rsidR="004C31A0" w:rsidRPr="00013B1B">
        <w:t xml:space="preserve">, strength will be found in </w:t>
      </w:r>
      <w:r w:rsidR="00280398">
        <w:t xml:space="preserve">removing barriers to </w:t>
      </w:r>
      <w:r w:rsidR="00D3663D">
        <w:t xml:space="preserve">trade and increasing </w:t>
      </w:r>
      <w:r w:rsidR="004C31A0" w:rsidRPr="00013B1B">
        <w:t xml:space="preserve">diversification. </w:t>
      </w:r>
    </w:p>
    <w:p w14:paraId="724F6AD3" w14:textId="415DB921" w:rsidR="00085D77" w:rsidRPr="00013B1B" w:rsidRDefault="00F5341C" w:rsidP="00B41F91">
      <w:r w:rsidRPr="00013B1B">
        <w:t>C</w:t>
      </w:r>
      <w:r w:rsidR="009B7A9F" w:rsidRPr="00013B1B">
        <w:t xml:space="preserve">ountries and trading blocks </w:t>
      </w:r>
      <w:r w:rsidR="00B94575" w:rsidRPr="00013B1B">
        <w:t xml:space="preserve">are </w:t>
      </w:r>
      <w:r w:rsidR="00085D77" w:rsidRPr="00013B1B">
        <w:t xml:space="preserve">moving </w:t>
      </w:r>
      <w:r w:rsidR="00B94575" w:rsidRPr="00013B1B">
        <w:t xml:space="preserve">quickly </w:t>
      </w:r>
      <w:r w:rsidR="00085D77" w:rsidRPr="00013B1B">
        <w:t xml:space="preserve">to enhance and strike new trade </w:t>
      </w:r>
      <w:r w:rsidR="00861D01" w:rsidRPr="00013B1B">
        <w:t>agreements.</w:t>
      </w:r>
      <w:r w:rsidRPr="00013B1B">
        <w:t xml:space="preserve"> In recent months Canada, the EU, </w:t>
      </w:r>
      <w:proofErr w:type="gramStart"/>
      <w:r w:rsidRPr="00013B1B">
        <w:t>Germany</w:t>
      </w:r>
      <w:proofErr w:type="gramEnd"/>
      <w:r w:rsidRPr="00013B1B">
        <w:t xml:space="preserve"> and the UK have all announced renewed efforts to </w:t>
      </w:r>
      <w:r w:rsidR="00B37A87" w:rsidRPr="00013B1B">
        <w:t xml:space="preserve">seek new trade partnerships, </w:t>
      </w:r>
      <w:r w:rsidR="001E6937">
        <w:t xml:space="preserve">in </w:t>
      </w:r>
      <w:r w:rsidR="00B37A87" w:rsidRPr="00013B1B">
        <w:t>particular with those in our region.</w:t>
      </w:r>
    </w:p>
    <w:p w14:paraId="6D623FC3" w14:textId="6D98F777" w:rsidR="006337DE" w:rsidRPr="00013B1B" w:rsidRDefault="006337DE" w:rsidP="006337DE">
      <w:r w:rsidRPr="00013B1B">
        <w:t>The EU has committed to eliminating its dependency on Russian gas by 2027</w:t>
      </w:r>
      <w:r w:rsidR="00F3053A" w:rsidRPr="00013B1B">
        <w:t>. Already dependence is down fr</w:t>
      </w:r>
      <w:r w:rsidR="009B5926" w:rsidRPr="00EE3034">
        <w:t>o</w:t>
      </w:r>
      <w:r w:rsidR="00F3053A" w:rsidRPr="00013B1B">
        <w:t>m</w:t>
      </w:r>
      <w:r w:rsidRPr="00013B1B">
        <w:t xml:space="preserve"> 45 per cent of imports in 2021 to a projected 13 per cent this year.  </w:t>
      </w:r>
    </w:p>
    <w:p w14:paraId="71A45886" w14:textId="40A3D1FA" w:rsidR="00136F91" w:rsidRPr="00013B1B" w:rsidRDefault="00136F91" w:rsidP="00B41F91">
      <w:r w:rsidRPr="00013B1B">
        <w:t>Japan is securing critical mineral supplies through agreements with Australia and India to mitigate semiconductor supply chain risks.</w:t>
      </w:r>
    </w:p>
    <w:p w14:paraId="12876D1C" w14:textId="502628A3" w:rsidR="0042725B" w:rsidRPr="00013B1B" w:rsidRDefault="007C0B51" w:rsidP="0042725B">
      <w:pPr>
        <w:pStyle w:val="Heading2"/>
      </w:pPr>
      <w:bookmarkStart w:id="3" w:name="_Toc197769133"/>
      <w:r>
        <w:t>Investment in d</w:t>
      </w:r>
      <w:r w:rsidR="006E217A" w:rsidRPr="00013B1B">
        <w:t>eterrence</w:t>
      </w:r>
      <w:bookmarkEnd w:id="3"/>
    </w:p>
    <w:p w14:paraId="75616262" w14:textId="7D8FA931" w:rsidR="0042725B" w:rsidRPr="00013B1B" w:rsidRDefault="00136F91" w:rsidP="00B41F91">
      <w:r w:rsidRPr="00013B1B">
        <w:t xml:space="preserve">The </w:t>
      </w:r>
      <w:r w:rsidR="0042725B" w:rsidRPr="00013B1B">
        <w:t xml:space="preserve">third </w:t>
      </w:r>
      <w:r w:rsidR="001870CC" w:rsidRPr="00013B1B">
        <w:t xml:space="preserve">response </w:t>
      </w:r>
      <w:r w:rsidR="002F2E3F">
        <w:t>is in support of deterrence and includes</w:t>
      </w:r>
      <w:r w:rsidRPr="00013B1B">
        <w:t xml:space="preserve"> defence </w:t>
      </w:r>
      <w:r w:rsidR="0042725B" w:rsidRPr="00013B1B">
        <w:t>investment</w:t>
      </w:r>
      <w:r w:rsidR="004E51F8" w:rsidRPr="00013B1B">
        <w:t xml:space="preserve"> and national security agreements</w:t>
      </w:r>
      <w:r w:rsidR="00A35D2E" w:rsidRPr="00013B1B">
        <w:t xml:space="preserve"> and policy</w:t>
      </w:r>
      <w:r w:rsidR="00AC06FF" w:rsidRPr="00013B1B">
        <w:t>.</w:t>
      </w:r>
    </w:p>
    <w:p w14:paraId="34CC4D32" w14:textId="1E24AB62" w:rsidR="002F2E3F" w:rsidRDefault="002F2E3F" w:rsidP="00F83F4E">
      <w:r>
        <w:t>There have been commitment</w:t>
      </w:r>
      <w:r w:rsidR="00A83516">
        <w:t>s</w:t>
      </w:r>
      <w:r>
        <w:t xml:space="preserve"> </w:t>
      </w:r>
      <w:r w:rsidR="00923A26">
        <w:t>t</w:t>
      </w:r>
      <w:r>
        <w:t xml:space="preserve">o increase defence investment around the world including </w:t>
      </w:r>
      <w:r w:rsidR="00FF6F2B">
        <w:t xml:space="preserve">from </w:t>
      </w:r>
      <w:r w:rsidR="00652041" w:rsidRPr="00013B1B">
        <w:t>Japan</w:t>
      </w:r>
      <w:r>
        <w:t>, Canada, the UK, Sweden</w:t>
      </w:r>
      <w:r w:rsidR="00652041" w:rsidRPr="00013B1B">
        <w:t xml:space="preserve"> </w:t>
      </w:r>
      <w:r w:rsidR="00A62D38">
        <w:t>and New Zealand</w:t>
      </w:r>
      <w:r w:rsidR="001E6937">
        <w:t>.</w:t>
      </w:r>
      <w:r w:rsidR="00E234ED">
        <w:rPr>
          <w:rStyle w:val="FootnoteReference"/>
        </w:rPr>
        <w:footnoteReference w:id="13"/>
      </w:r>
    </w:p>
    <w:p w14:paraId="5FD1716B" w14:textId="245A34DC" w:rsidR="00A62D38" w:rsidRDefault="00A62D38" w:rsidP="00F83F4E">
      <w:r>
        <w:t>Japan, Canada and New Zealand have all committed to increase spending to 2 per cent of GDP over the coming years while the UK and Sweden have gone further.</w:t>
      </w:r>
    </w:p>
    <w:p w14:paraId="797F7F93" w14:textId="5F0BB3EC" w:rsidR="006C3508" w:rsidRPr="00013B1B" w:rsidRDefault="006C3508" w:rsidP="006C3508">
      <w:r w:rsidRPr="00013B1B">
        <w:lastRenderedPageBreak/>
        <w:t>In 2024, German spending on defence had risen to nearly 2 per cent of GDP</w:t>
      </w:r>
      <w:r w:rsidR="00AE1731">
        <w:t xml:space="preserve"> </w:t>
      </w:r>
      <w:r w:rsidRPr="00AE1731">
        <w:t>for the first time in three decades</w:t>
      </w:r>
      <w:r w:rsidRPr="00013B1B">
        <w:t>. This is set to increase further with new</w:t>
      </w:r>
      <w:r w:rsidR="0073591B" w:rsidRPr="00013B1B">
        <w:t xml:space="preserve"> European</w:t>
      </w:r>
      <w:r w:rsidR="0073591B" w:rsidRPr="00013B1B">
        <w:rPr>
          <w:rStyle w:val="FootnoteReference"/>
        </w:rPr>
        <w:footnoteReference w:id="14"/>
      </w:r>
      <w:r w:rsidR="0073591B" w:rsidRPr="00013B1B">
        <w:t xml:space="preserve"> and domestic</w:t>
      </w:r>
      <w:r w:rsidRPr="00013B1B">
        <w:t xml:space="preserve"> laws that </w:t>
      </w:r>
      <w:r w:rsidR="008F1E1C">
        <w:t>relax</w:t>
      </w:r>
      <w:r w:rsidRPr="00013B1B">
        <w:t xml:space="preserve"> fiscal rules to exempt spending on defence and security from borrowing constraints</w:t>
      </w:r>
      <w:r w:rsidR="0092477C" w:rsidRPr="00013B1B">
        <w:t>.</w:t>
      </w:r>
    </w:p>
    <w:p w14:paraId="6D029327" w14:textId="23D46A13" w:rsidR="00400311" w:rsidRPr="00013B1B" w:rsidRDefault="00B270FC" w:rsidP="00B41F91">
      <w:r w:rsidRPr="00013B1B">
        <w:t>In addition to increases in defence expenditure</w:t>
      </w:r>
      <w:r w:rsidR="00336492">
        <w:t>,</w:t>
      </w:r>
      <w:r w:rsidRPr="00013B1B">
        <w:t xml:space="preserve"> countries are moving to strengthen defence agreements</w:t>
      </w:r>
      <w:r w:rsidR="008F3BB6" w:rsidRPr="00013B1B">
        <w:t xml:space="preserve"> around cooperation, weapons production and other security arrangements.</w:t>
      </w:r>
    </w:p>
    <w:p w14:paraId="099E77AC" w14:textId="0F94D024" w:rsidR="002A08BA" w:rsidRPr="000F7B51" w:rsidRDefault="004D5640" w:rsidP="00124376">
      <w:pPr>
        <w:pStyle w:val="Heading1"/>
        <w:rPr>
          <w:sz w:val="28"/>
          <w:szCs w:val="28"/>
        </w:rPr>
      </w:pPr>
      <w:bookmarkStart w:id="4" w:name="_Toc197769134"/>
      <w:r w:rsidRPr="000F7B51">
        <w:rPr>
          <w:sz w:val="28"/>
          <w:szCs w:val="28"/>
        </w:rPr>
        <w:t>Austra</w:t>
      </w:r>
      <w:r w:rsidR="002A08BA" w:rsidRPr="000F7B51">
        <w:rPr>
          <w:sz w:val="28"/>
          <w:szCs w:val="28"/>
        </w:rPr>
        <w:t xml:space="preserve">lia’s </w:t>
      </w:r>
      <w:r w:rsidR="00597A0C" w:rsidRPr="000F7B51">
        <w:rPr>
          <w:sz w:val="28"/>
          <w:szCs w:val="28"/>
        </w:rPr>
        <w:t>r</w:t>
      </w:r>
      <w:r w:rsidR="002A08BA" w:rsidRPr="000F7B51">
        <w:rPr>
          <w:sz w:val="28"/>
          <w:szCs w:val="28"/>
        </w:rPr>
        <w:t>esponse</w:t>
      </w:r>
      <w:bookmarkEnd w:id="4"/>
      <w:r w:rsidR="00597A0C" w:rsidRPr="000F7B51">
        <w:rPr>
          <w:sz w:val="28"/>
          <w:szCs w:val="28"/>
        </w:rPr>
        <w:t xml:space="preserve"> </w:t>
      </w:r>
    </w:p>
    <w:p w14:paraId="48D50ECA" w14:textId="0B794989" w:rsidR="0023607C" w:rsidRPr="00013B1B" w:rsidRDefault="006F21EB">
      <w:r w:rsidRPr="00013B1B">
        <w:t>Australia</w:t>
      </w:r>
      <w:r w:rsidR="00B92E69" w:rsidRPr="00013B1B">
        <w:t xml:space="preserve"> has also been responding </w:t>
      </w:r>
      <w:r w:rsidR="004979DC" w:rsidRPr="00013B1B">
        <w:t xml:space="preserve">to global developments. </w:t>
      </w:r>
    </w:p>
    <w:p w14:paraId="73CC9177" w14:textId="2C8F7EC5" w:rsidR="00301E57" w:rsidRPr="00013B1B" w:rsidRDefault="008937B2" w:rsidP="00720832">
      <w:pPr>
        <w:pStyle w:val="Heading2"/>
      </w:pPr>
      <w:r w:rsidRPr="00013B1B">
        <w:t>R</w:t>
      </w:r>
      <w:r w:rsidR="00925C0D" w:rsidRPr="00013B1B">
        <w:t>esilience</w:t>
      </w:r>
    </w:p>
    <w:p w14:paraId="14F090CA" w14:textId="40162FF9" w:rsidR="00462F01" w:rsidRPr="00013B1B" w:rsidRDefault="00872DF1" w:rsidP="00480201">
      <w:pPr>
        <w:pStyle w:val="Bullet"/>
        <w:numPr>
          <w:ilvl w:val="0"/>
          <w:numId w:val="0"/>
        </w:numPr>
      </w:pPr>
      <w:r w:rsidRPr="00013B1B">
        <w:t xml:space="preserve">Lifting </w:t>
      </w:r>
      <w:r w:rsidR="003D0B57">
        <w:t xml:space="preserve">both the rate and stability of </w:t>
      </w:r>
      <w:r w:rsidRPr="00013B1B">
        <w:t>p</w:t>
      </w:r>
      <w:r w:rsidR="00462F01" w:rsidRPr="00013B1B">
        <w:t xml:space="preserve">roductivity </w:t>
      </w:r>
      <w:r w:rsidRPr="00013B1B">
        <w:t xml:space="preserve">growth </w:t>
      </w:r>
      <w:r w:rsidR="000D4DA1" w:rsidRPr="00013B1B">
        <w:t xml:space="preserve">is </w:t>
      </w:r>
      <w:r w:rsidR="00462F01" w:rsidRPr="00013B1B">
        <w:t>the most</w:t>
      </w:r>
      <w:r w:rsidRPr="00013B1B">
        <w:t xml:space="preserve"> salient way we can build </w:t>
      </w:r>
      <w:r w:rsidR="000D4DA1" w:rsidRPr="00013B1B">
        <w:t>resilience</w:t>
      </w:r>
      <w:r w:rsidRPr="00013B1B">
        <w:t>.</w:t>
      </w:r>
      <w:r w:rsidR="00462F01" w:rsidRPr="00013B1B">
        <w:t xml:space="preserve"> </w:t>
      </w:r>
      <w:r w:rsidR="00A22D1D" w:rsidRPr="00013B1B">
        <w:t xml:space="preserve">I will shortly return to this </w:t>
      </w:r>
      <w:r w:rsidR="0095502E" w:rsidRPr="00013B1B">
        <w:t>topic.</w:t>
      </w:r>
    </w:p>
    <w:p w14:paraId="6FABE865" w14:textId="076301D8" w:rsidR="00480201" w:rsidRPr="00013B1B" w:rsidRDefault="00A5148F" w:rsidP="009D2CC6">
      <w:pPr>
        <w:pStyle w:val="Bullet"/>
        <w:numPr>
          <w:ilvl w:val="0"/>
          <w:numId w:val="0"/>
        </w:numPr>
      </w:pPr>
      <w:r w:rsidRPr="00013B1B">
        <w:t>T</w:t>
      </w:r>
      <w:r w:rsidR="00AA2E10" w:rsidRPr="00013B1B">
        <w:t xml:space="preserve">he National Interest Framework </w:t>
      </w:r>
      <w:r w:rsidR="0004678C" w:rsidRPr="00013B1B">
        <w:t>and the Economic Resilience and Security Stream</w:t>
      </w:r>
      <w:r w:rsidR="00DC1BB6" w:rsidRPr="00013B1B">
        <w:t xml:space="preserve"> in particular, aim to </w:t>
      </w:r>
      <w:r w:rsidR="002872A6" w:rsidRPr="00013B1B">
        <w:t xml:space="preserve">ensure the deployment of limited public resources are </w:t>
      </w:r>
      <w:r w:rsidR="00384987" w:rsidRPr="00013B1B">
        <w:t>evidence</w:t>
      </w:r>
      <w:r w:rsidR="00384987">
        <w:t>-</w:t>
      </w:r>
      <w:r w:rsidR="002872A6" w:rsidRPr="00013B1B">
        <w:t>based and focused on those areas where the</w:t>
      </w:r>
      <w:r w:rsidR="00E20E3B" w:rsidRPr="00013B1B">
        <w:t xml:space="preserve"> </w:t>
      </w:r>
      <w:r w:rsidR="00A34357" w:rsidRPr="00013B1B">
        <w:t>sector</w:t>
      </w:r>
      <w:r w:rsidR="00E20E3B" w:rsidRPr="00013B1B">
        <w:t xml:space="preserve"> is critical</w:t>
      </w:r>
      <w:r w:rsidR="00A34357" w:rsidRPr="00013B1B">
        <w:t>, the supply chain is vulnerable and there are limits on the ability of the sector to self-insure.</w:t>
      </w:r>
      <w:r w:rsidR="00E20E3B" w:rsidRPr="00013B1B">
        <w:t xml:space="preserve"> </w:t>
      </w:r>
    </w:p>
    <w:p w14:paraId="27884F68" w14:textId="326E60AA" w:rsidR="00A54160" w:rsidRPr="00013B1B" w:rsidRDefault="00A34357" w:rsidP="00A54160">
      <w:r w:rsidRPr="00A83516">
        <w:t>Importantly, s</w:t>
      </w:r>
      <w:r w:rsidR="00A54160" w:rsidRPr="00A83516">
        <w:t xml:space="preserve">uccessful </w:t>
      </w:r>
      <w:r w:rsidR="00F90D12" w:rsidRPr="00A83516">
        <w:t xml:space="preserve">economic security </w:t>
      </w:r>
      <w:r w:rsidR="00A54160" w:rsidRPr="00A83516">
        <w:t>policy needs to combine strategic government investment with market-based mechanisms, to ensure economic growth and public trust.</w:t>
      </w:r>
      <w:r w:rsidR="00A54160" w:rsidRPr="00A83516">
        <w:rPr>
          <w:rStyle w:val="FootnoteReference"/>
        </w:rPr>
        <w:footnoteReference w:id="15"/>
      </w:r>
    </w:p>
    <w:p w14:paraId="00508079" w14:textId="7128F069" w:rsidR="00720832" w:rsidRPr="00013B1B" w:rsidRDefault="00EA133A" w:rsidP="009F09B9">
      <w:pPr>
        <w:pStyle w:val="Heading2"/>
      </w:pPr>
      <w:r w:rsidRPr="00013B1B">
        <w:t>Diversification</w:t>
      </w:r>
    </w:p>
    <w:p w14:paraId="1DD3EB15" w14:textId="76BDC322" w:rsidR="00434A14" w:rsidRPr="00013B1B" w:rsidRDefault="00434A14" w:rsidP="00434A14">
      <w:r w:rsidRPr="00013B1B">
        <w:t xml:space="preserve">Responding to tariffs or trade restrictions with similar measures will only make matters worse. </w:t>
      </w:r>
      <w:r w:rsidR="00DC1BB6" w:rsidRPr="00013B1B">
        <w:t xml:space="preserve"> </w:t>
      </w:r>
      <w:r w:rsidR="00230AB8">
        <w:t>We need to make it easier for business to find new markets</w:t>
      </w:r>
      <w:r w:rsidR="00335A46">
        <w:t xml:space="preserve">. </w:t>
      </w:r>
    </w:p>
    <w:p w14:paraId="65EE34F5" w14:textId="79DDB33C" w:rsidR="00434A14" w:rsidRPr="00013B1B" w:rsidRDefault="00C42550" w:rsidP="00434A14">
      <w:r w:rsidRPr="00013B1B">
        <w:t>The</w:t>
      </w:r>
      <w:r w:rsidR="00434A14" w:rsidRPr="00013B1B">
        <w:t xml:space="preserve"> Government has committed to recommencing negotiations with </w:t>
      </w:r>
      <w:r w:rsidR="006B147D">
        <w:t xml:space="preserve">the </w:t>
      </w:r>
      <w:r w:rsidR="00434A14" w:rsidRPr="00013B1B">
        <w:t>Europe</w:t>
      </w:r>
      <w:r w:rsidR="006B147D">
        <w:t>an Union</w:t>
      </w:r>
      <w:r w:rsidR="00434A14" w:rsidRPr="00013B1B">
        <w:t xml:space="preserve"> on a Free Trade Agreement and is looking at ways to reinforce and expand the existing architecture such as the </w:t>
      </w:r>
      <w:r w:rsidR="00434A14" w:rsidRPr="00FA43DD">
        <w:t>C</w:t>
      </w:r>
      <w:r w:rsidR="005E0390" w:rsidRPr="00FA43DD">
        <w:t xml:space="preserve">omprehensive and </w:t>
      </w:r>
      <w:r w:rsidR="00434A14" w:rsidRPr="00710263">
        <w:t>P</w:t>
      </w:r>
      <w:r w:rsidR="005E0390" w:rsidRPr="00710263">
        <w:t>rogressive</w:t>
      </w:r>
      <w:r w:rsidR="00B44F46" w:rsidRPr="00710263">
        <w:t xml:space="preserve"> Agreement for Trans</w:t>
      </w:r>
      <w:r w:rsidR="00CD08FA">
        <w:noBreakHyphen/>
      </w:r>
      <w:r w:rsidR="00B44F46" w:rsidRPr="00710263">
        <w:t>Pacific Partnership</w:t>
      </w:r>
      <w:r w:rsidR="00023F8F">
        <w:t xml:space="preserve">. </w:t>
      </w:r>
    </w:p>
    <w:p w14:paraId="7E727AE9" w14:textId="77732980" w:rsidR="00434A14" w:rsidRPr="002B5CEB" w:rsidRDefault="00434A14" w:rsidP="00434A14">
      <w:r w:rsidRPr="002B5CEB">
        <w:t xml:space="preserve">Through Treasury’s stakeholder engagement we have already heard of firms finding new markets to mitigate tariff exposure. We have seen </w:t>
      </w:r>
      <w:r w:rsidR="006A00AE" w:rsidRPr="002B5CEB">
        <w:t xml:space="preserve">during trade tensions with China </w:t>
      </w:r>
      <w:r w:rsidRPr="002B5CEB">
        <w:t xml:space="preserve">that firms </w:t>
      </w:r>
      <w:r w:rsidR="006A00AE" w:rsidRPr="002B5CEB">
        <w:t xml:space="preserve">were able to </w:t>
      </w:r>
      <w:r w:rsidRPr="002B5CEB">
        <w:t>reorient their exports although not with</w:t>
      </w:r>
      <w:r w:rsidR="005349C2" w:rsidRPr="002B5CEB">
        <w:t>out</w:t>
      </w:r>
      <w:r w:rsidRPr="002B5CEB">
        <w:t xml:space="preserve"> impacts on some suppliers and communities</w:t>
      </w:r>
      <w:r w:rsidR="00CD08FA">
        <w:t xml:space="preserve">. </w:t>
      </w:r>
      <w:r w:rsidRPr="002B5CEB">
        <w:t xml:space="preserve"> </w:t>
      </w:r>
    </w:p>
    <w:p w14:paraId="676543AF" w14:textId="07041C40" w:rsidR="00434A14" w:rsidRDefault="004D290B" w:rsidP="00434A14">
      <w:r>
        <w:lastRenderedPageBreak/>
        <w:t>There is also the potential to benefit, a</w:t>
      </w:r>
      <w:r w:rsidR="00F146A4">
        <w:t>s risks mount in other markets</w:t>
      </w:r>
      <w:r w:rsidR="00494BDA">
        <w:t>,</w:t>
      </w:r>
      <w:r w:rsidR="00F146A4">
        <w:t xml:space="preserve"> </w:t>
      </w:r>
      <w:r w:rsidR="00434A14" w:rsidRPr="002B5CEB">
        <w:t>there may be a premium for markets such as Australia with</w:t>
      </w:r>
      <w:r w:rsidR="00A62D38" w:rsidRPr="002B5CEB">
        <w:t xml:space="preserve"> its</w:t>
      </w:r>
      <w:r w:rsidR="00434A14" w:rsidRPr="002B5CEB">
        <w:t xml:space="preserve"> stable policy settings</w:t>
      </w:r>
      <w:r w:rsidR="005349C2" w:rsidRPr="002B5CEB">
        <w:t>.</w:t>
      </w:r>
    </w:p>
    <w:p w14:paraId="7C9148CC" w14:textId="77777777" w:rsidR="00211871" w:rsidRPr="00013B1B" w:rsidRDefault="00211871" w:rsidP="00211871">
      <w:pPr>
        <w:pStyle w:val="Heading2"/>
      </w:pPr>
      <w:r w:rsidRPr="00013B1B">
        <w:t>Deterrence</w:t>
      </w:r>
    </w:p>
    <w:p w14:paraId="6CA2B883" w14:textId="77777777" w:rsidR="00211871" w:rsidRPr="00013B1B" w:rsidRDefault="00211871" w:rsidP="00211871">
      <w:r w:rsidRPr="00013B1B">
        <w:t xml:space="preserve">Deterrence requires both capability and a strong commitment to readiness and resilience in concert with our partners in the region. </w:t>
      </w:r>
    </w:p>
    <w:p w14:paraId="398D63EA" w14:textId="7142E440" w:rsidR="00211871" w:rsidRPr="00013B1B" w:rsidRDefault="00211871" w:rsidP="00211871">
      <w:r w:rsidRPr="002B5CEB">
        <w:t>Defence expenditure is</w:t>
      </w:r>
      <w:r w:rsidR="00A62D38" w:rsidRPr="002B5CEB">
        <w:t xml:space="preserve"> current</w:t>
      </w:r>
      <w:r w:rsidR="002B5CEB" w:rsidRPr="002B5CEB">
        <w:t>ly</w:t>
      </w:r>
      <w:r w:rsidR="00A62D38" w:rsidRPr="002B5CEB">
        <w:t xml:space="preserve"> </w:t>
      </w:r>
      <w:r w:rsidR="00385BCA" w:rsidRPr="00385BCA">
        <w:t>2</w:t>
      </w:r>
      <w:r w:rsidR="00A62D38" w:rsidRPr="002B5CEB">
        <w:t xml:space="preserve"> per cent of GDP</w:t>
      </w:r>
      <w:r w:rsidR="007E2AFE">
        <w:t>. The Governmen</w:t>
      </w:r>
      <w:r w:rsidR="00887607">
        <w:t xml:space="preserve">t will increase defence spending which is set to </w:t>
      </w:r>
      <w:r w:rsidRPr="002B5CEB">
        <w:t>exceed $100 billion annually and 2.4 per cent of GDP by 2033-34.</w:t>
      </w:r>
    </w:p>
    <w:p w14:paraId="003ED843" w14:textId="487F1ED0" w:rsidR="00211871" w:rsidRPr="00013B1B" w:rsidRDefault="00211871" w:rsidP="00211871">
      <w:r w:rsidRPr="00013B1B">
        <w:t xml:space="preserve">Investment in defence in Australia needs to continue to adapt </w:t>
      </w:r>
      <w:r w:rsidR="00AC1DB3">
        <w:t xml:space="preserve">to </w:t>
      </w:r>
      <w:r w:rsidRPr="00013B1B">
        <w:t xml:space="preserve">Australia’s economic structure. Compared to some countries our industrial base is narrow, representing the strength of resources, agriculture and services sectors. </w:t>
      </w:r>
    </w:p>
    <w:p w14:paraId="05FB2410" w14:textId="0816ABC2" w:rsidR="00211871" w:rsidRDefault="00211871" w:rsidP="00211871">
      <w:r w:rsidRPr="00013B1B">
        <w:t xml:space="preserve">These sectors are crucial to our economic strength and resilience, and </w:t>
      </w:r>
      <w:r w:rsidR="008461C5">
        <w:t xml:space="preserve">unnecessarily </w:t>
      </w:r>
      <w:r w:rsidRPr="00013B1B">
        <w:t>diverting resources away from them to sectors where our comparative advantage is weak would only degrade our resilience</w:t>
      </w:r>
      <w:r w:rsidR="00200798">
        <w:t xml:space="preserve"> and productivity</w:t>
      </w:r>
      <w:r w:rsidRPr="00013B1B">
        <w:t>. Especially in an economy near full employment.</w:t>
      </w:r>
    </w:p>
    <w:p w14:paraId="0EA32341" w14:textId="00D8EE5A" w:rsidR="00211871" w:rsidRPr="00013B1B" w:rsidRDefault="00211871" w:rsidP="00211871">
      <w:r w:rsidRPr="00013B1B">
        <w:t xml:space="preserve">The mix of procurement, sovereign capability and sustainment </w:t>
      </w:r>
      <w:proofErr w:type="gramStart"/>
      <w:r w:rsidRPr="00013B1B">
        <w:t>has to</w:t>
      </w:r>
      <w:proofErr w:type="gramEnd"/>
      <w:r w:rsidRPr="00013B1B">
        <w:t xml:space="preserve"> be considered carefully in Australia. The 2026 National Defence Statement will need to grapple with the</w:t>
      </w:r>
      <w:r w:rsidR="00100F75">
        <w:t>se</w:t>
      </w:r>
      <w:r w:rsidRPr="00013B1B">
        <w:t xml:space="preserve"> challenges. </w:t>
      </w:r>
    </w:p>
    <w:p w14:paraId="7A96C496" w14:textId="1F6C5C51" w:rsidR="00372AE0" w:rsidRPr="000F7B51" w:rsidRDefault="00612CC9" w:rsidP="00612CC9">
      <w:pPr>
        <w:pStyle w:val="Heading1"/>
        <w:rPr>
          <w:sz w:val="28"/>
          <w:szCs w:val="28"/>
        </w:rPr>
      </w:pPr>
      <w:r w:rsidRPr="000F7B51">
        <w:rPr>
          <w:sz w:val="28"/>
          <w:szCs w:val="28"/>
        </w:rPr>
        <w:t xml:space="preserve">Resilience through </w:t>
      </w:r>
      <w:r w:rsidR="001C605A">
        <w:rPr>
          <w:sz w:val="28"/>
          <w:szCs w:val="28"/>
        </w:rPr>
        <w:t>p</w:t>
      </w:r>
      <w:r w:rsidR="00372AE0" w:rsidRPr="000F7B51">
        <w:rPr>
          <w:sz w:val="28"/>
          <w:szCs w:val="28"/>
        </w:rPr>
        <w:t xml:space="preserve">roductivity </w:t>
      </w:r>
    </w:p>
    <w:p w14:paraId="1D70B174" w14:textId="4FCDE8A1" w:rsidR="00470C11" w:rsidRPr="00013B1B" w:rsidRDefault="00857E1D" w:rsidP="00372AE0">
      <w:r>
        <w:t xml:space="preserve">When we think about the goals of macroeconomic policy, we tend to focus on </w:t>
      </w:r>
      <w:r w:rsidR="0072546A">
        <w:t xml:space="preserve">three </w:t>
      </w:r>
      <w:r w:rsidR="00AF2E20">
        <w:t>objectives</w:t>
      </w:r>
      <w:r w:rsidR="0072546A">
        <w:t xml:space="preserve">: </w:t>
      </w:r>
      <w:r w:rsidR="00710DE0" w:rsidRPr="00013B1B">
        <w:t>full employmen</w:t>
      </w:r>
      <w:r w:rsidR="00AF2E20">
        <w:t>t</w:t>
      </w:r>
      <w:r w:rsidR="00AC1DB3">
        <w:t>,</w:t>
      </w:r>
      <w:r w:rsidR="002C7A2F" w:rsidRPr="00013B1B">
        <w:t xml:space="preserve"> low and stable inflation</w:t>
      </w:r>
      <w:r w:rsidR="00AF2E20">
        <w:t xml:space="preserve"> and </w:t>
      </w:r>
      <w:r w:rsidR="008702C1">
        <w:t xml:space="preserve">higher </w:t>
      </w:r>
      <w:r w:rsidR="00AF2E20">
        <w:t>living standards through productivity growth</w:t>
      </w:r>
      <w:r w:rsidR="002C7A2F" w:rsidRPr="00013B1B">
        <w:t>.</w:t>
      </w:r>
    </w:p>
    <w:p w14:paraId="0295DCA8" w14:textId="3DFEC302" w:rsidR="008E432C" w:rsidRPr="00013B1B" w:rsidRDefault="00304941" w:rsidP="00372AE0">
      <w:r>
        <w:t>Over the past 3 decades</w:t>
      </w:r>
      <w:r w:rsidR="00366679">
        <w:t>, w</w:t>
      </w:r>
      <w:r w:rsidR="002802AE" w:rsidRPr="00013B1B">
        <w:t>e have made substantial progress in maintaining low and stable inflation through the institutional arrangements that underpin the RBA</w:t>
      </w:r>
      <w:r w:rsidR="00366679">
        <w:t xml:space="preserve">. </w:t>
      </w:r>
      <w:r w:rsidR="007E21EC">
        <w:t xml:space="preserve">Recent </w:t>
      </w:r>
      <w:r w:rsidR="001126AB">
        <w:t xml:space="preserve">Government reforms will further strengthen these arrangements. </w:t>
      </w:r>
      <w:r w:rsidR="00366679">
        <w:t xml:space="preserve">More recently </w:t>
      </w:r>
      <w:r w:rsidR="00725E3E" w:rsidRPr="00013B1B">
        <w:t xml:space="preserve">we have made </w:t>
      </w:r>
      <w:r w:rsidR="001C605A">
        <w:t xml:space="preserve">a </w:t>
      </w:r>
      <w:r w:rsidR="00725E3E" w:rsidRPr="00013B1B">
        <w:t xml:space="preserve">significant step forward in moving </w:t>
      </w:r>
      <w:r w:rsidR="003F4E6B" w:rsidRPr="00013B1B">
        <w:t xml:space="preserve">toward </w:t>
      </w:r>
      <w:r w:rsidR="00725E3E" w:rsidRPr="00013B1B">
        <w:t>and sustaining the economy at full employment.</w:t>
      </w:r>
      <w:r w:rsidR="00782FC8" w:rsidRPr="00013B1B">
        <w:t xml:space="preserve"> </w:t>
      </w:r>
    </w:p>
    <w:p w14:paraId="746EB1BC" w14:textId="77619006" w:rsidR="00A22D1D" w:rsidRPr="00013B1B" w:rsidRDefault="00857E1D" w:rsidP="00A22D1D">
      <w:r w:rsidRPr="00013B1B">
        <w:t xml:space="preserve">But finding ways to improve productivity growth has proved elusive over the past two decades. </w:t>
      </w:r>
      <w:r w:rsidR="00A22D1D" w:rsidRPr="00013B1B">
        <w:t xml:space="preserve">Australia’s 20-year average productivity growth has declined from 1.8 per cent to 0.8 per cent over that period. </w:t>
      </w:r>
    </w:p>
    <w:p w14:paraId="36DC936E" w14:textId="77777777" w:rsidR="00A22D1D" w:rsidRPr="00013B1B" w:rsidRDefault="00A22D1D" w:rsidP="00A22D1D">
      <w:r w:rsidRPr="00013B1B">
        <w:t xml:space="preserve">Australia is not alone in facing these challenges. Nor the challenges posed by demographic shifts, the cost of the energy transition, increased pressure on defence spending, and diminishing returns to existing technologies. These all make it more difficult to generate more outputs with the same stock of inputs. </w:t>
      </w:r>
    </w:p>
    <w:p w14:paraId="44F0C109" w14:textId="3E2BFE95" w:rsidR="008348D7" w:rsidRPr="00013B1B" w:rsidRDefault="008348D7" w:rsidP="008348D7">
      <w:r w:rsidRPr="00013B1B">
        <w:lastRenderedPageBreak/>
        <w:t xml:space="preserve">Thirty years ago, the </w:t>
      </w:r>
      <w:proofErr w:type="spellStart"/>
      <w:r w:rsidRPr="00013B1B">
        <w:t>Hilmer</w:t>
      </w:r>
      <w:proofErr w:type="spellEnd"/>
      <w:r w:rsidRPr="00013B1B">
        <w:t xml:space="preserve"> reforms aimed to boost the productivity of our non-traded sector </w:t>
      </w:r>
      <w:r w:rsidR="00AC4172">
        <w:t>–</w:t>
      </w:r>
      <w:r w:rsidRPr="00013B1B">
        <w:t xml:space="preserve"> electricity, telecommunications and gas </w:t>
      </w:r>
      <w:r w:rsidR="00AC4172">
        <w:t>–</w:t>
      </w:r>
      <w:r w:rsidRPr="00013B1B">
        <w:t xml:space="preserve"> that were often dominated by government and holding back the newly exposed traded sector that needed them as inputs. </w:t>
      </w:r>
    </w:p>
    <w:p w14:paraId="2BAF5579" w14:textId="5D6EB575" w:rsidR="008348D7" w:rsidRPr="00013B1B" w:rsidRDefault="008348D7" w:rsidP="008348D7">
      <w:r w:rsidRPr="00013B1B">
        <w:t xml:space="preserve">Improving competition and the operation of markets drove productivity growth and lifted real wages. </w:t>
      </w:r>
    </w:p>
    <w:p w14:paraId="23188396" w14:textId="4F0E81A2" w:rsidR="00372AE0" w:rsidRPr="00013B1B" w:rsidRDefault="008348D7" w:rsidP="008348D7">
      <w:r w:rsidRPr="00013B1B">
        <w:t xml:space="preserve">Yet the core goal of the </w:t>
      </w:r>
      <w:proofErr w:type="spellStart"/>
      <w:r w:rsidRPr="00013B1B">
        <w:t>Hilmer</w:t>
      </w:r>
      <w:proofErr w:type="spellEnd"/>
      <w:r w:rsidRPr="00013B1B">
        <w:t xml:space="preserve"> reforms, developing a single national market to allow Australia to compete in the world, remains unfinished. </w:t>
      </w:r>
    </w:p>
    <w:p w14:paraId="4F891B18" w14:textId="48B52F2D" w:rsidR="00857E1D" w:rsidRDefault="00857E1D" w:rsidP="00857E1D">
      <w:r>
        <w:t>Even though the context has changed, s</w:t>
      </w:r>
      <w:r w:rsidRPr="00013B1B">
        <w:t>uch</w:t>
      </w:r>
      <w:r w:rsidR="00372AE0" w:rsidRPr="00013B1B">
        <w:t xml:space="preserve"> reforms are still needed today. </w:t>
      </w:r>
    </w:p>
    <w:p w14:paraId="38C8B905" w14:textId="2818DBD3" w:rsidR="00372AE0" w:rsidRPr="00013B1B" w:rsidRDefault="00857E1D" w:rsidP="00372AE0">
      <w:r w:rsidRPr="00013B1B">
        <w:t>T</w:t>
      </w:r>
      <w:r>
        <w:t>o this end, t</w:t>
      </w:r>
      <w:r w:rsidRPr="00013B1B">
        <w:t>he</w:t>
      </w:r>
      <w:r w:rsidR="00372AE0" w:rsidRPr="00013B1B">
        <w:t xml:space="preserve"> Government has </w:t>
      </w:r>
      <w:r w:rsidR="00BA54BE" w:rsidRPr="00013B1B">
        <w:t xml:space="preserve">asked the Productivity Commission </w:t>
      </w:r>
      <w:r w:rsidR="00AC1DB3">
        <w:t xml:space="preserve">(PC) </w:t>
      </w:r>
      <w:r w:rsidR="00BA54BE" w:rsidRPr="00013B1B">
        <w:t xml:space="preserve">to map out potential reforms </w:t>
      </w:r>
      <w:r w:rsidR="008A2A7F" w:rsidRPr="00013B1B">
        <w:t>to boost</w:t>
      </w:r>
      <w:r w:rsidR="00A03BB8" w:rsidRPr="00EE3034">
        <w:t xml:space="preserve"> </w:t>
      </w:r>
      <w:r w:rsidR="00372AE0" w:rsidRPr="00013B1B">
        <w:t>productivity</w:t>
      </w:r>
      <w:r w:rsidR="008A2A7F" w:rsidRPr="00013B1B">
        <w:t xml:space="preserve"> under the following five pillars</w:t>
      </w:r>
      <w:r w:rsidR="00372AE0" w:rsidRPr="00013B1B">
        <w:t>:</w:t>
      </w:r>
    </w:p>
    <w:p w14:paraId="076ECBD0" w14:textId="7E4106FB" w:rsidR="00372AE0" w:rsidRPr="00013B1B" w:rsidRDefault="00372AE0" w:rsidP="00372AE0">
      <w:pPr>
        <w:pStyle w:val="Bullet"/>
        <w:tabs>
          <w:tab w:val="clear" w:pos="567"/>
          <w:tab w:val="num" w:pos="520"/>
        </w:tabs>
        <w:spacing w:line="259" w:lineRule="auto"/>
        <w:ind w:left="520" w:hanging="520"/>
      </w:pPr>
      <w:r w:rsidRPr="00013B1B">
        <w:t>Creating a more dynamic and resilient economy</w:t>
      </w:r>
      <w:r w:rsidR="00A06373">
        <w:t>.</w:t>
      </w:r>
    </w:p>
    <w:p w14:paraId="0A13A7FB" w14:textId="77CC8E8D" w:rsidR="0019712C" w:rsidRPr="00013B1B" w:rsidRDefault="0019712C" w:rsidP="0019712C">
      <w:pPr>
        <w:pStyle w:val="Bullet"/>
        <w:tabs>
          <w:tab w:val="clear" w:pos="567"/>
          <w:tab w:val="num" w:pos="520"/>
        </w:tabs>
        <w:spacing w:line="259" w:lineRule="auto"/>
        <w:ind w:left="520" w:hanging="520"/>
      </w:pPr>
      <w:r w:rsidRPr="00013B1B">
        <w:t>Investing in cheaper, cleaner energy and the net zero transformation</w:t>
      </w:r>
      <w:r w:rsidR="00A06373">
        <w:t>.</w:t>
      </w:r>
    </w:p>
    <w:p w14:paraId="408D999E" w14:textId="74B6F09B" w:rsidR="00372AE0" w:rsidRPr="00013B1B" w:rsidRDefault="00372AE0" w:rsidP="00372AE0">
      <w:pPr>
        <w:pStyle w:val="Bullet"/>
        <w:tabs>
          <w:tab w:val="clear" w:pos="567"/>
          <w:tab w:val="num" w:pos="520"/>
        </w:tabs>
        <w:spacing w:line="259" w:lineRule="auto"/>
        <w:ind w:left="520" w:hanging="520"/>
      </w:pPr>
      <w:r w:rsidRPr="00013B1B">
        <w:t>Building a skilled and adaptable workforce</w:t>
      </w:r>
      <w:r w:rsidR="00A06373">
        <w:t>.</w:t>
      </w:r>
    </w:p>
    <w:p w14:paraId="134B1EF0" w14:textId="6847F9A3" w:rsidR="00372AE0" w:rsidRPr="00013B1B" w:rsidRDefault="00372AE0" w:rsidP="00372AE0">
      <w:pPr>
        <w:pStyle w:val="Bullet"/>
        <w:tabs>
          <w:tab w:val="clear" w:pos="567"/>
          <w:tab w:val="num" w:pos="520"/>
        </w:tabs>
        <w:spacing w:line="259" w:lineRule="auto"/>
        <w:ind w:left="520" w:hanging="520"/>
      </w:pPr>
      <w:r w:rsidRPr="00013B1B">
        <w:t>Harnessing data and digital technology</w:t>
      </w:r>
      <w:r w:rsidR="00A06373">
        <w:t>.</w:t>
      </w:r>
    </w:p>
    <w:p w14:paraId="43EE9D2D" w14:textId="526367EF" w:rsidR="00372AE0" w:rsidRPr="00013B1B" w:rsidRDefault="00372AE0" w:rsidP="00372AE0">
      <w:pPr>
        <w:pStyle w:val="Bullet"/>
        <w:tabs>
          <w:tab w:val="clear" w:pos="567"/>
          <w:tab w:val="num" w:pos="520"/>
        </w:tabs>
        <w:spacing w:line="259" w:lineRule="auto"/>
        <w:ind w:left="520" w:hanging="520"/>
      </w:pPr>
      <w:r w:rsidRPr="00013B1B">
        <w:t>Delivering quality care more efficiently</w:t>
      </w:r>
      <w:r w:rsidR="00A06373">
        <w:t>.</w:t>
      </w:r>
    </w:p>
    <w:p w14:paraId="7FA7C708" w14:textId="6286662C" w:rsidR="00857E1D" w:rsidRPr="00013B1B" w:rsidRDefault="00857E1D" w:rsidP="00857E1D">
      <w:r w:rsidRPr="00013B1B">
        <w:t xml:space="preserve">The PC recently </w:t>
      </w:r>
      <w:r>
        <w:t xml:space="preserve">opened </w:t>
      </w:r>
      <w:r w:rsidRPr="00013B1B">
        <w:t xml:space="preserve">a consultation </w:t>
      </w:r>
      <w:r>
        <w:t xml:space="preserve">portal on its website </w:t>
      </w:r>
      <w:r w:rsidRPr="00013B1B">
        <w:t xml:space="preserve">which I encourage you all to </w:t>
      </w:r>
      <w:r w:rsidR="0057714D">
        <w:t>use and provide feedback</w:t>
      </w:r>
      <w:r w:rsidRPr="00013B1B">
        <w:t>.</w:t>
      </w:r>
    </w:p>
    <w:p w14:paraId="2BB93FA3" w14:textId="73182A2E" w:rsidR="00372AE0" w:rsidRPr="00013B1B" w:rsidRDefault="00372AE0" w:rsidP="00372AE0">
      <w:r w:rsidRPr="00013B1B">
        <w:t>But it’s also worth</w:t>
      </w:r>
      <w:r w:rsidR="00B6385B" w:rsidRPr="00013B1B">
        <w:t xml:space="preserve"> considering </w:t>
      </w:r>
      <w:r w:rsidR="00224782">
        <w:t xml:space="preserve">some of the </w:t>
      </w:r>
      <w:r w:rsidR="00B6385B" w:rsidRPr="00013B1B">
        <w:t>reforms already underway</w:t>
      </w:r>
      <w:r w:rsidR="00DB682F" w:rsidRPr="00013B1B">
        <w:t xml:space="preserve"> in these five areas</w:t>
      </w:r>
      <w:r w:rsidRPr="00013B1B">
        <w:t xml:space="preserve">. </w:t>
      </w:r>
    </w:p>
    <w:p w14:paraId="7CCB0C87" w14:textId="659DDA93" w:rsidR="00372AE0" w:rsidRPr="00013B1B" w:rsidRDefault="00372AE0" w:rsidP="00372AE0">
      <w:pPr>
        <w:pStyle w:val="Heading2"/>
      </w:pPr>
      <w:r w:rsidRPr="00013B1B">
        <w:t xml:space="preserve">Dynamic </w:t>
      </w:r>
      <w:r w:rsidR="00AC4EC6">
        <w:t>m</w:t>
      </w:r>
      <w:r w:rsidRPr="00013B1B">
        <w:t>arkets</w:t>
      </w:r>
    </w:p>
    <w:p w14:paraId="14AC9FB7" w14:textId="77777777" w:rsidR="00372AE0" w:rsidRPr="002B069A" w:rsidRDefault="00372AE0" w:rsidP="00372AE0">
      <w:pPr>
        <w:pStyle w:val="Heading3"/>
        <w:rPr>
          <w:u w:val="none"/>
        </w:rPr>
      </w:pPr>
      <w:r w:rsidRPr="002B069A">
        <w:rPr>
          <w:u w:val="none"/>
        </w:rPr>
        <w:t>The role for competition</w:t>
      </w:r>
    </w:p>
    <w:p w14:paraId="2551CEBF" w14:textId="5339AF0C" w:rsidR="00372AE0" w:rsidRPr="00013B1B" w:rsidRDefault="00372AE0" w:rsidP="00372AE0">
      <w:r w:rsidRPr="00013B1B">
        <w:t xml:space="preserve">Competition is the main way of lifting productivity over time, by spurring businesses to make more with less. </w:t>
      </w:r>
    </w:p>
    <w:p w14:paraId="4E7532D4" w14:textId="7BFA48CB" w:rsidR="00372AE0" w:rsidRPr="00013B1B" w:rsidRDefault="00372AE0" w:rsidP="00372AE0">
      <w:r w:rsidRPr="00013B1B">
        <w:t xml:space="preserve">Professor Carl Shapiro defines </w:t>
      </w:r>
      <w:r w:rsidRPr="00E61B25">
        <w:t xml:space="preserve">competition as </w:t>
      </w:r>
      <w:r w:rsidR="00AC4EC6" w:rsidRPr="00E61B25">
        <w:t>‘</w:t>
      </w:r>
      <w:r w:rsidRPr="00E61B25">
        <w:t>a process of rivalry that incentivizes businesses to offer lower prices, improve wages and working conditions, enhance quality and resiliency, innovate, and expand choice, among many other benefits.</w:t>
      </w:r>
      <w:r w:rsidR="00AC4EC6" w:rsidRPr="00E61B25">
        <w:t>’</w:t>
      </w:r>
      <w:r w:rsidR="00C97883">
        <w:rPr>
          <w:rStyle w:val="FootnoteReference"/>
        </w:rPr>
        <w:footnoteReference w:id="16"/>
      </w:r>
    </w:p>
    <w:p w14:paraId="0774CEDB" w14:textId="77777777" w:rsidR="00372AE0" w:rsidRPr="00013B1B" w:rsidRDefault="00372AE0" w:rsidP="00372AE0">
      <w:r w:rsidRPr="00013B1B">
        <w:t xml:space="preserve">Competitive markets help ensure that productivity gains – when they do occur – are passed on to workers as higher wages and to consumers through lower prices and better quality and service. </w:t>
      </w:r>
    </w:p>
    <w:p w14:paraId="27305AE3" w14:textId="3310589A" w:rsidR="00372AE0" w:rsidRPr="00013B1B" w:rsidRDefault="003E7FA0" w:rsidP="00372AE0">
      <w:r w:rsidRPr="00013B1B">
        <w:lastRenderedPageBreak/>
        <w:t>C</w:t>
      </w:r>
      <w:r w:rsidR="00372AE0" w:rsidRPr="00013B1B">
        <w:t>ompetition also unpicks economic rent and privilege ensuring a fairer distribution of resources. This means the gains from economic growth are shared more widely – and more quickly – across the community.</w:t>
      </w:r>
    </w:p>
    <w:p w14:paraId="0BE51450" w14:textId="5995BB3F" w:rsidR="00372AE0" w:rsidRPr="00013B1B" w:rsidRDefault="00372AE0" w:rsidP="00372AE0">
      <w:r w:rsidRPr="00013B1B">
        <w:t xml:space="preserve">Unlike boosting productivity by spending more on capital or education </w:t>
      </w:r>
      <w:r w:rsidR="001F62D8">
        <w:t xml:space="preserve">and </w:t>
      </w:r>
      <w:r w:rsidRPr="00013B1B">
        <w:t xml:space="preserve">training, enhancing competition </w:t>
      </w:r>
      <w:r w:rsidR="007759B4">
        <w:t xml:space="preserve">shouldn’t </w:t>
      </w:r>
      <w:r w:rsidRPr="00013B1B">
        <w:t xml:space="preserve">cost the budget. </w:t>
      </w:r>
    </w:p>
    <w:p w14:paraId="6E48E896" w14:textId="77777777" w:rsidR="00372AE0" w:rsidRPr="00013B1B" w:rsidRDefault="00372AE0" w:rsidP="00372AE0">
      <w:r w:rsidRPr="00013B1B">
        <w:t xml:space="preserve">In fact, competition reforms improve the fiscal position by permanently lifting incomes (boosting tax revenue) without requiring ongoing funding. </w:t>
      </w:r>
    </w:p>
    <w:p w14:paraId="7E0FA86E" w14:textId="77777777" w:rsidR="00372AE0" w:rsidRPr="002B069A" w:rsidRDefault="00372AE0" w:rsidP="00372AE0">
      <w:pPr>
        <w:pStyle w:val="Heading3"/>
        <w:rPr>
          <w:u w:val="none"/>
        </w:rPr>
      </w:pPr>
      <w:r w:rsidRPr="002B069A">
        <w:rPr>
          <w:u w:val="none"/>
        </w:rPr>
        <w:t>National Competition Policy</w:t>
      </w:r>
    </w:p>
    <w:p w14:paraId="39BD75C7" w14:textId="67CC6810" w:rsidR="00372AE0" w:rsidRPr="00013B1B" w:rsidRDefault="00372AE0" w:rsidP="00372AE0">
      <w:r w:rsidRPr="00013B1B">
        <w:t xml:space="preserve">This concept underpins the </w:t>
      </w:r>
      <w:r w:rsidR="00096527">
        <w:t>G</w:t>
      </w:r>
      <w:r w:rsidRPr="00013B1B">
        <w:t>overnment’s $900</w:t>
      </w:r>
      <w:r w:rsidR="00096527">
        <w:t xml:space="preserve"> </w:t>
      </w:r>
      <w:r w:rsidRPr="00013B1B">
        <w:t>m</w:t>
      </w:r>
      <w:r w:rsidR="00096527">
        <w:t>illion</w:t>
      </w:r>
      <w:r w:rsidRPr="00013B1B">
        <w:t xml:space="preserve"> National Productivity Fund. </w:t>
      </w:r>
    </w:p>
    <w:p w14:paraId="345C29D6" w14:textId="04C40B7D" w:rsidR="00372AE0" w:rsidRPr="00013B1B" w:rsidRDefault="00372AE0" w:rsidP="00372AE0">
      <w:r w:rsidRPr="00013B1B">
        <w:t>The states are paid on delivery for reforms that boost the national economy</w:t>
      </w:r>
      <w:r w:rsidR="00624149" w:rsidRPr="00013B1B">
        <w:t xml:space="preserve"> which the Commonwealth benefits from in the form of higher taxes</w:t>
      </w:r>
      <w:r w:rsidR="00DF1AF7" w:rsidRPr="00013B1B">
        <w:t>, offsetting the cost of the Fund</w:t>
      </w:r>
      <w:r w:rsidRPr="00013B1B">
        <w:t>.</w:t>
      </w:r>
    </w:p>
    <w:p w14:paraId="4EBDC8B7" w14:textId="5DBFF4C8" w:rsidR="00372AE0" w:rsidRPr="00013B1B" w:rsidRDefault="00372AE0" w:rsidP="00372AE0">
      <w:r w:rsidRPr="00013B1B">
        <w:t>There are some other unique features that make N</w:t>
      </w:r>
      <w:r w:rsidR="00096527">
        <w:t xml:space="preserve">ational Competition Policy </w:t>
      </w:r>
      <w:r w:rsidRPr="00013B1B">
        <w:t xml:space="preserve">a successful vehicle for the </w:t>
      </w:r>
      <w:r w:rsidR="00877C93">
        <w:t>national</w:t>
      </w:r>
      <w:r w:rsidRPr="00013B1B">
        <w:t xml:space="preserve"> reform </w:t>
      </w:r>
      <w:r w:rsidR="00877C93">
        <w:t xml:space="preserve">effort </w:t>
      </w:r>
      <w:r w:rsidRPr="00013B1B">
        <w:t xml:space="preserve">needed to lift productivity. </w:t>
      </w:r>
    </w:p>
    <w:p w14:paraId="61C9E361" w14:textId="5ABD860C" w:rsidR="00372AE0" w:rsidRPr="00013B1B" w:rsidRDefault="00372AE0" w:rsidP="00372AE0">
      <w:r w:rsidRPr="00013B1B">
        <w:t>Reforms are jointly agreed by Treasurers to ensure they have some political backing. Guidelines reflect lessons learned by the more successful states</w:t>
      </w:r>
      <w:r w:rsidR="00CB479F">
        <w:t xml:space="preserve"> and </w:t>
      </w:r>
      <w:r w:rsidRPr="00013B1B">
        <w:t>previous reviews, so everyone knows what best practice is and</w:t>
      </w:r>
      <w:r w:rsidR="00287979">
        <w:t xml:space="preserve"> how to get there</w:t>
      </w:r>
      <w:r w:rsidRPr="00013B1B">
        <w:t xml:space="preserve">. </w:t>
      </w:r>
    </w:p>
    <w:p w14:paraId="1924E458" w14:textId="77777777" w:rsidR="00372AE0" w:rsidRPr="00013B1B" w:rsidRDefault="00372AE0" w:rsidP="00372AE0">
      <w:r w:rsidRPr="00013B1B">
        <w:t xml:space="preserve">The National Competition Council will also be revived to independently assess and report on state efforts for payment.   </w:t>
      </w:r>
    </w:p>
    <w:p w14:paraId="43345874" w14:textId="6BEE46D6" w:rsidR="00A37B2D" w:rsidRPr="002B069A" w:rsidRDefault="00A37B2D" w:rsidP="00A37B2D">
      <w:pPr>
        <w:pStyle w:val="Heading3"/>
        <w:rPr>
          <w:u w:val="none"/>
        </w:rPr>
      </w:pPr>
      <w:r w:rsidRPr="002B069A">
        <w:rPr>
          <w:u w:val="none"/>
        </w:rPr>
        <w:t xml:space="preserve">Road </w:t>
      </w:r>
      <w:r w:rsidR="00E61B25">
        <w:rPr>
          <w:u w:val="none"/>
        </w:rPr>
        <w:t>u</w:t>
      </w:r>
      <w:r w:rsidRPr="002B069A">
        <w:rPr>
          <w:u w:val="none"/>
        </w:rPr>
        <w:t xml:space="preserve">ser </w:t>
      </w:r>
      <w:r w:rsidR="00E61B25">
        <w:rPr>
          <w:u w:val="none"/>
        </w:rPr>
        <w:t>c</w:t>
      </w:r>
      <w:r w:rsidRPr="002B069A">
        <w:rPr>
          <w:u w:val="none"/>
        </w:rPr>
        <w:t>harging</w:t>
      </w:r>
    </w:p>
    <w:p w14:paraId="70135E61" w14:textId="0AD40E74" w:rsidR="00A37B2D" w:rsidRPr="00013B1B" w:rsidRDefault="00E375D5" w:rsidP="00A37B2D">
      <w:pPr>
        <w:pStyle w:val="Bullet"/>
        <w:numPr>
          <w:ilvl w:val="0"/>
          <w:numId w:val="0"/>
        </w:numPr>
      </w:pPr>
      <w:r w:rsidRPr="00013B1B">
        <w:t>T</w:t>
      </w:r>
      <w:r w:rsidR="00A37B2D" w:rsidRPr="00013B1B">
        <w:t xml:space="preserve">he High Court’s 2023 decision in </w:t>
      </w:r>
      <w:proofErr w:type="spellStart"/>
      <w:r w:rsidR="00A37B2D" w:rsidRPr="006C43A7">
        <w:rPr>
          <w:i/>
        </w:rPr>
        <w:t>Vanderstock</w:t>
      </w:r>
      <w:proofErr w:type="spellEnd"/>
      <w:r w:rsidR="006C43A7" w:rsidRPr="006C43A7">
        <w:rPr>
          <w:rStyle w:val="FootnoteReference"/>
        </w:rPr>
        <w:footnoteReference w:id="17"/>
      </w:r>
      <w:r w:rsidR="00E61B25">
        <w:t xml:space="preserve"> </w:t>
      </w:r>
      <w:r w:rsidR="00A37B2D" w:rsidRPr="00013B1B">
        <w:t xml:space="preserve">raises important questions about our federal </w:t>
      </w:r>
      <w:r w:rsidR="00A62D38">
        <w:t xml:space="preserve">fiscal </w:t>
      </w:r>
      <w:r w:rsidR="00A37B2D" w:rsidRPr="00E61B25">
        <w:t>balance</w:t>
      </w:r>
      <w:r w:rsidRPr="00E61B25">
        <w:t xml:space="preserve"> and</w:t>
      </w:r>
      <w:r w:rsidRPr="00013B1B">
        <w:t xml:space="preserve"> road pricing reform</w:t>
      </w:r>
      <w:r w:rsidR="00A37B2D" w:rsidRPr="00013B1B">
        <w:t xml:space="preserve">. </w:t>
      </w:r>
    </w:p>
    <w:p w14:paraId="3218A51A" w14:textId="6D8E84FB" w:rsidR="00A37B2D" w:rsidRPr="00013B1B" w:rsidRDefault="00836A6F" w:rsidP="00A37B2D">
      <w:pPr>
        <w:pStyle w:val="Bullet"/>
        <w:numPr>
          <w:ilvl w:val="0"/>
          <w:numId w:val="0"/>
        </w:numPr>
      </w:pPr>
      <w:r w:rsidRPr="00013B1B">
        <w:t xml:space="preserve">And </w:t>
      </w:r>
      <w:r w:rsidR="00A37B2D" w:rsidRPr="00013B1B">
        <w:t xml:space="preserve">it </w:t>
      </w:r>
      <w:r w:rsidRPr="00013B1B">
        <w:t xml:space="preserve">is </w:t>
      </w:r>
      <w:r w:rsidR="00A37B2D" w:rsidRPr="00013B1B">
        <w:t>cataly</w:t>
      </w:r>
      <w:r w:rsidRPr="00013B1B">
        <w:t>sing</w:t>
      </w:r>
      <w:r w:rsidR="00A37B2D" w:rsidRPr="00013B1B">
        <w:t xml:space="preserve"> a debate about how the Commonwealth and the </w:t>
      </w:r>
      <w:r w:rsidR="00E61B25">
        <w:t>s</w:t>
      </w:r>
      <w:r w:rsidR="00A37B2D" w:rsidRPr="00013B1B">
        <w:t xml:space="preserve">tates might deliver and maintain road infrastructure into the future. </w:t>
      </w:r>
    </w:p>
    <w:p w14:paraId="7682A5A4" w14:textId="77777777" w:rsidR="00A37B2D" w:rsidRPr="00013B1B" w:rsidRDefault="00A37B2D" w:rsidP="00A37B2D">
      <w:pPr>
        <w:spacing w:before="210" w:after="210"/>
        <w:rPr>
          <w:rFonts w:eastAsiaTheme="minorEastAsia"/>
        </w:rPr>
      </w:pPr>
      <w:r w:rsidRPr="00013B1B">
        <w:rPr>
          <w:rFonts w:eastAsiaTheme="minorEastAsia"/>
        </w:rPr>
        <w:t xml:space="preserve">Since the Harper review recommendations, governments have been trying to deliver reforms that treat roads like an economic asset, where users are charged for the damage they do, and roads are built and maintained where they are most needed. </w:t>
      </w:r>
    </w:p>
    <w:p w14:paraId="0D19848F" w14:textId="4BF46E64" w:rsidR="00A37B2D" w:rsidRPr="00013B1B" w:rsidRDefault="00A37B2D" w:rsidP="00A37B2D">
      <w:pPr>
        <w:spacing w:before="210" w:after="210"/>
        <w:rPr>
          <w:rFonts w:eastAsiaTheme="minorEastAsia"/>
        </w:rPr>
      </w:pPr>
      <w:r w:rsidRPr="00013B1B">
        <w:rPr>
          <w:rFonts w:eastAsiaTheme="minorEastAsia"/>
        </w:rPr>
        <w:t xml:space="preserve">Despite such efforts, road funding and charging today remains largely indistinguishable from how it was done over 30 years ago, despite nearly all other public utilities being subject to </w:t>
      </w:r>
      <w:r w:rsidR="00F97CAA" w:rsidRPr="00013B1B">
        <w:rPr>
          <w:rFonts w:eastAsiaTheme="minorEastAsia"/>
        </w:rPr>
        <w:t xml:space="preserve">efficiency </w:t>
      </w:r>
      <w:r w:rsidRPr="00013B1B">
        <w:rPr>
          <w:rFonts w:eastAsiaTheme="minorEastAsia"/>
        </w:rPr>
        <w:t xml:space="preserve">reforms. </w:t>
      </w:r>
    </w:p>
    <w:p w14:paraId="26FF1EB8" w14:textId="6BABF47E" w:rsidR="00A37B2D" w:rsidRPr="00013B1B" w:rsidRDefault="00EA75AD" w:rsidP="00A37B2D">
      <w:pPr>
        <w:spacing w:before="210" w:after="210"/>
        <w:rPr>
          <w:rFonts w:eastAsiaTheme="minorEastAsia"/>
        </w:rPr>
      </w:pPr>
      <w:r>
        <w:rPr>
          <w:rFonts w:eastAsiaTheme="minorEastAsia"/>
        </w:rPr>
        <w:t>New technologies, t</w:t>
      </w:r>
      <w:r w:rsidRPr="00013B1B">
        <w:rPr>
          <w:rFonts w:eastAsiaTheme="minorEastAsia"/>
        </w:rPr>
        <w:t xml:space="preserve">he </w:t>
      </w:r>
      <w:r w:rsidR="00A37B2D" w:rsidRPr="00013B1B">
        <w:rPr>
          <w:rFonts w:eastAsiaTheme="minorEastAsia"/>
        </w:rPr>
        <w:t>shift away from fossil fuels, and the need for a resilient and productive logistics system, may present us with a</w:t>
      </w:r>
      <w:r w:rsidR="00F635E2" w:rsidRPr="00013B1B">
        <w:rPr>
          <w:rFonts w:eastAsiaTheme="minorEastAsia"/>
        </w:rPr>
        <w:t xml:space="preserve">n </w:t>
      </w:r>
      <w:r w:rsidR="00A37B2D" w:rsidRPr="00013B1B">
        <w:rPr>
          <w:rFonts w:eastAsiaTheme="minorEastAsia"/>
        </w:rPr>
        <w:t xml:space="preserve">opportunity.         </w:t>
      </w:r>
    </w:p>
    <w:p w14:paraId="244A383C" w14:textId="77777777" w:rsidR="00A37B2D" w:rsidRPr="00013B1B" w:rsidRDefault="00A37B2D" w:rsidP="00A37B2D">
      <w:pPr>
        <w:pStyle w:val="Bullet"/>
        <w:numPr>
          <w:ilvl w:val="0"/>
          <w:numId w:val="0"/>
        </w:numPr>
      </w:pPr>
      <w:r w:rsidRPr="00013B1B">
        <w:lastRenderedPageBreak/>
        <w:t>This includes an opportunity to encourage more efficient and productive use of roads, where externalities, such as damage and congestion are appropriately priced.</w:t>
      </w:r>
    </w:p>
    <w:p w14:paraId="4C72F1F8" w14:textId="57EB187C" w:rsidR="00372AE0" w:rsidRPr="00013B1B" w:rsidRDefault="00372AE0" w:rsidP="00372AE0">
      <w:pPr>
        <w:pStyle w:val="Heading2"/>
      </w:pPr>
      <w:r w:rsidRPr="00013B1B">
        <w:t xml:space="preserve">Climate </w:t>
      </w:r>
      <w:r w:rsidR="00564669">
        <w:t xml:space="preserve">and energy </w:t>
      </w:r>
    </w:p>
    <w:p w14:paraId="314C074B" w14:textId="58FDAF0A" w:rsidR="00280DB1" w:rsidRPr="00013B1B" w:rsidRDefault="008C4DE8" w:rsidP="00372AE0">
      <w:r w:rsidRPr="00013B1B">
        <w:t>The climate and energy transition brings both costs and opportunities.</w:t>
      </w:r>
    </w:p>
    <w:p w14:paraId="6BD961CC" w14:textId="77777777" w:rsidR="00F7416C" w:rsidRPr="00013B1B" w:rsidRDefault="00372AE0" w:rsidP="00372AE0">
      <w:r w:rsidRPr="00013B1B">
        <w:t xml:space="preserve">Pursuing a least-cost approach to </w:t>
      </w:r>
      <w:r w:rsidR="006449E2" w:rsidRPr="00013B1B">
        <w:t>reducing</w:t>
      </w:r>
      <w:r w:rsidRPr="00013B1B">
        <w:t xml:space="preserve"> emissions will be a key productivity challenge for Australia.</w:t>
      </w:r>
      <w:r w:rsidR="00D32A22" w:rsidRPr="00013B1B">
        <w:t xml:space="preserve"> </w:t>
      </w:r>
    </w:p>
    <w:p w14:paraId="19564103" w14:textId="12FC15B4" w:rsidR="00372AE0" w:rsidRPr="00013B1B" w:rsidRDefault="00372AE0" w:rsidP="00372AE0">
      <w:r w:rsidRPr="00013B1B">
        <w:t xml:space="preserve">As the Government looks towards setting a 2035 emissions reduction target, we have an opportunity to consider how market mechanisms can help us achieve it in a way that supports strong growth. </w:t>
      </w:r>
    </w:p>
    <w:p w14:paraId="63EEB951" w14:textId="4848F536" w:rsidR="00372AE0" w:rsidRPr="00013B1B" w:rsidRDefault="00C41473" w:rsidP="00372AE0">
      <w:pPr>
        <w:rPr>
          <w:color w:val="000000" w:themeColor="text1"/>
        </w:rPr>
      </w:pPr>
      <w:r w:rsidRPr="00013B1B">
        <w:t>T</w:t>
      </w:r>
      <w:r w:rsidR="00372AE0" w:rsidRPr="00013B1B">
        <w:t>he Safeguard Mechanism</w:t>
      </w:r>
      <w:r w:rsidRPr="00013B1B">
        <w:t xml:space="preserve"> is an efficient market mechanism</w:t>
      </w:r>
      <w:r w:rsidR="00615E93" w:rsidRPr="00013B1B">
        <w:t xml:space="preserve"> with which to reduce emissions. </w:t>
      </w:r>
      <w:r w:rsidR="00372AE0" w:rsidRPr="00013B1B">
        <w:rPr>
          <w:color w:val="000000" w:themeColor="text1"/>
        </w:rPr>
        <w:t xml:space="preserve">The </w:t>
      </w:r>
      <w:r w:rsidR="003A7CB1">
        <w:rPr>
          <w:color w:val="000000" w:themeColor="text1"/>
        </w:rPr>
        <w:t>m</w:t>
      </w:r>
      <w:r w:rsidR="00372AE0" w:rsidRPr="00013B1B">
        <w:rPr>
          <w:color w:val="000000" w:themeColor="text1"/>
        </w:rPr>
        <w:t>echanism is due for review in 2026–27.  As highlighted</w:t>
      </w:r>
      <w:r w:rsidR="00EB34AF" w:rsidRPr="00013B1B">
        <w:rPr>
          <w:color w:val="000000" w:themeColor="text1"/>
        </w:rPr>
        <w:t xml:space="preserve"> by</w:t>
      </w:r>
      <w:r w:rsidR="00372AE0" w:rsidRPr="00013B1B">
        <w:rPr>
          <w:color w:val="000000" w:themeColor="text1"/>
        </w:rPr>
        <w:t xml:space="preserve"> the P</w:t>
      </w:r>
      <w:r w:rsidR="00407DA3">
        <w:rPr>
          <w:color w:val="000000" w:themeColor="text1"/>
        </w:rPr>
        <w:t xml:space="preserve">C </w:t>
      </w:r>
      <w:r w:rsidR="00372AE0" w:rsidRPr="00013B1B">
        <w:rPr>
          <w:color w:val="000000" w:themeColor="text1"/>
        </w:rPr>
        <w:t xml:space="preserve">in its </w:t>
      </w:r>
      <w:r w:rsidR="00EB34AF" w:rsidRPr="00013B1B">
        <w:rPr>
          <w:color w:val="000000" w:themeColor="text1"/>
        </w:rPr>
        <w:t>20</w:t>
      </w:r>
      <w:r w:rsidR="004C4C9B" w:rsidRPr="00013B1B">
        <w:rPr>
          <w:color w:val="000000" w:themeColor="text1"/>
        </w:rPr>
        <w:t>23</w:t>
      </w:r>
      <w:r w:rsidR="001C0794">
        <w:rPr>
          <w:color w:val="000000" w:themeColor="text1"/>
        </w:rPr>
        <w:t>,</w:t>
      </w:r>
      <w:r w:rsidR="004C4C9B" w:rsidRPr="00013B1B">
        <w:rPr>
          <w:color w:val="000000" w:themeColor="text1"/>
        </w:rPr>
        <w:t xml:space="preserve"> </w:t>
      </w:r>
      <w:r w:rsidR="00372AE0" w:rsidRPr="00013B1B">
        <w:rPr>
          <w:color w:val="000000" w:themeColor="text1"/>
        </w:rPr>
        <w:t xml:space="preserve">5-year </w:t>
      </w:r>
      <w:r w:rsidR="00407DA3">
        <w:rPr>
          <w:color w:val="000000" w:themeColor="text1"/>
        </w:rPr>
        <w:t>r</w:t>
      </w:r>
      <w:r w:rsidR="00372AE0" w:rsidRPr="00013B1B">
        <w:rPr>
          <w:color w:val="000000" w:themeColor="text1"/>
        </w:rPr>
        <w:t xml:space="preserve">eview, reform of the </w:t>
      </w:r>
      <w:r w:rsidR="00407DA3">
        <w:rPr>
          <w:color w:val="000000" w:themeColor="text1"/>
        </w:rPr>
        <w:t xml:space="preserve">Safeguard </w:t>
      </w:r>
      <w:r w:rsidR="00372AE0" w:rsidRPr="00013B1B">
        <w:rPr>
          <w:color w:val="000000" w:themeColor="text1"/>
        </w:rPr>
        <w:t>Mechanism presents an opportunity to expand and improve its effectiveness.</w:t>
      </w:r>
    </w:p>
    <w:p w14:paraId="584846F2" w14:textId="73446986" w:rsidR="00372AE0" w:rsidRPr="00013B1B" w:rsidRDefault="00372AE0" w:rsidP="00372AE0">
      <w:r w:rsidRPr="00013B1B">
        <w:t>Given the cost of carbon emissions is undervalued by markets, there will be underinvestment in</w:t>
      </w:r>
      <w:r w:rsidR="00841ACD" w:rsidRPr="00013B1B">
        <w:t xml:space="preserve"> reducing emissions</w:t>
      </w:r>
      <w:r w:rsidRPr="00013B1B">
        <w:t>. But this is not an unmovable constraint.</w:t>
      </w:r>
    </w:p>
    <w:p w14:paraId="67D688AE" w14:textId="7ED76AE2" w:rsidR="00372AE0" w:rsidRPr="00013B1B" w:rsidRDefault="00841ACD" w:rsidP="00372AE0">
      <w:r w:rsidRPr="00013B1B">
        <w:t xml:space="preserve">The </w:t>
      </w:r>
      <w:r w:rsidR="003A7CB1">
        <w:t>G</w:t>
      </w:r>
      <w:r w:rsidR="00372AE0" w:rsidRPr="00013B1B">
        <w:t xml:space="preserve">overnment </w:t>
      </w:r>
      <w:r w:rsidRPr="00013B1B">
        <w:t xml:space="preserve">can support </w:t>
      </w:r>
      <w:r w:rsidR="00372AE0" w:rsidRPr="00013B1B">
        <w:t xml:space="preserve">investments that would </w:t>
      </w:r>
      <w:r w:rsidR="004D2ACF" w:rsidRPr="00013B1B">
        <w:t xml:space="preserve">efficiently reduce emissions consistent with our targets. </w:t>
      </w:r>
    </w:p>
    <w:p w14:paraId="501BB317" w14:textId="5003BAE0" w:rsidR="00372AE0" w:rsidRPr="002B069A" w:rsidRDefault="00372AE0" w:rsidP="00372AE0">
      <w:pPr>
        <w:pStyle w:val="Heading3"/>
        <w:rPr>
          <w:u w:val="none"/>
        </w:rPr>
      </w:pPr>
      <w:r w:rsidRPr="002B069A">
        <w:rPr>
          <w:u w:val="none"/>
        </w:rPr>
        <w:t xml:space="preserve">Getting regulatory settings right: </w:t>
      </w:r>
      <w:r w:rsidR="002B069A">
        <w:rPr>
          <w:u w:val="none"/>
        </w:rPr>
        <w:t>the National</w:t>
      </w:r>
      <w:r w:rsidR="003E5016">
        <w:rPr>
          <w:u w:val="none"/>
        </w:rPr>
        <w:t xml:space="preserve"> Electricity Market </w:t>
      </w:r>
    </w:p>
    <w:p w14:paraId="44A98EBF" w14:textId="40F99F83" w:rsidR="00372AE0" w:rsidRPr="00013B1B" w:rsidRDefault="00372AE0" w:rsidP="00372AE0">
      <w:pPr>
        <w:rPr>
          <w:rFonts w:ascii="Aptos" w:eastAsia="Aptos" w:hAnsi="Aptos" w:cs="Aptos"/>
        </w:rPr>
      </w:pPr>
      <w:r w:rsidRPr="00013B1B">
        <w:rPr>
          <w:rFonts w:ascii="Aptos" w:eastAsia="Aptos" w:hAnsi="Aptos" w:cs="Aptos"/>
        </w:rPr>
        <w:t xml:space="preserve">Australia’s energy transition is occurring quickly – with renewable generation now making up over 40 per cent of our </w:t>
      </w:r>
      <w:r w:rsidR="00D71840">
        <w:rPr>
          <w:rFonts w:ascii="Aptos" w:eastAsia="Aptos" w:hAnsi="Aptos" w:cs="Aptos"/>
        </w:rPr>
        <w:t>electricity supply in the N</w:t>
      </w:r>
      <w:r w:rsidR="00323D74">
        <w:rPr>
          <w:rFonts w:ascii="Aptos" w:eastAsia="Aptos" w:hAnsi="Aptos" w:cs="Aptos"/>
        </w:rPr>
        <w:t>ational Electricity Market (N</w:t>
      </w:r>
      <w:r w:rsidR="00D71840">
        <w:rPr>
          <w:rFonts w:ascii="Aptos" w:eastAsia="Aptos" w:hAnsi="Aptos" w:cs="Aptos"/>
        </w:rPr>
        <w:t>EM</w:t>
      </w:r>
      <w:r w:rsidR="00323D74">
        <w:rPr>
          <w:rFonts w:ascii="Aptos" w:eastAsia="Aptos" w:hAnsi="Aptos" w:cs="Aptos"/>
        </w:rPr>
        <w:t>)</w:t>
      </w:r>
      <w:r w:rsidRPr="00013B1B">
        <w:rPr>
          <w:rFonts w:ascii="Aptos" w:eastAsia="Aptos" w:hAnsi="Aptos" w:cs="Aptos"/>
        </w:rPr>
        <w:t xml:space="preserve">.  </w:t>
      </w:r>
    </w:p>
    <w:p w14:paraId="37D6033D" w14:textId="75C064A9" w:rsidR="00372AE0" w:rsidRPr="00013B1B" w:rsidRDefault="00D835E1" w:rsidP="00372AE0">
      <w:pPr>
        <w:rPr>
          <w:rFonts w:ascii="Aptos" w:eastAsia="Aptos" w:hAnsi="Aptos" w:cs="Aptos"/>
        </w:rPr>
      </w:pPr>
      <w:r w:rsidRPr="00013B1B">
        <w:rPr>
          <w:rFonts w:ascii="Aptos" w:eastAsia="Aptos" w:hAnsi="Aptos" w:cs="Aptos"/>
        </w:rPr>
        <w:t>P</w:t>
      </w:r>
      <w:r w:rsidR="00372AE0" w:rsidRPr="00013B1B">
        <w:rPr>
          <w:rFonts w:ascii="Aptos" w:eastAsia="Aptos" w:hAnsi="Aptos" w:cs="Aptos"/>
        </w:rPr>
        <w:t>rogress is needed to ensure reliable and affordable energy for consumers and business – ageing and increasingly unreliable coal powered generators need to be replaced with new generation while balancing reliability with the impact on prices.</w:t>
      </w:r>
    </w:p>
    <w:p w14:paraId="28470A70" w14:textId="77777777" w:rsidR="00372AE0" w:rsidRPr="00013B1B" w:rsidRDefault="00372AE0" w:rsidP="00372AE0">
      <w:r w:rsidRPr="00013B1B">
        <w:rPr>
          <w:rFonts w:ascii="Aptos" w:eastAsia="Aptos" w:hAnsi="Aptos" w:cs="Aptos"/>
        </w:rPr>
        <w:t xml:space="preserve">Replacing coal will require a mix of technologies – from variable renewables to provide bulk supply; gas, hydro and battery storage to preserve the reliability and security of our grid; and transmission to </w:t>
      </w:r>
      <w:proofErr w:type="gramStart"/>
      <w:r w:rsidRPr="00013B1B">
        <w:rPr>
          <w:rFonts w:ascii="Aptos" w:eastAsia="Aptos" w:hAnsi="Aptos" w:cs="Aptos"/>
        </w:rPr>
        <w:t>open up</w:t>
      </w:r>
      <w:proofErr w:type="gramEnd"/>
      <w:r w:rsidRPr="00013B1B">
        <w:rPr>
          <w:rFonts w:ascii="Aptos" w:eastAsia="Aptos" w:hAnsi="Aptos" w:cs="Aptos"/>
        </w:rPr>
        <w:t xml:space="preserve"> new sources of generation while increasing resilience through greater interconnection.</w:t>
      </w:r>
    </w:p>
    <w:p w14:paraId="486824E8" w14:textId="5B4EB134" w:rsidR="00372AE0" w:rsidRPr="00013B1B" w:rsidRDefault="00372AE0" w:rsidP="00372AE0">
      <w:r w:rsidRPr="00013B1B">
        <w:rPr>
          <w:rFonts w:ascii="Aptos" w:eastAsia="Aptos" w:hAnsi="Aptos" w:cs="Aptos"/>
        </w:rPr>
        <w:t xml:space="preserve">The NEM was designed for dispatchable, centralised generation. As it transitions towards a variable renewable based grid, stronger incentives </w:t>
      </w:r>
      <w:r w:rsidR="00792A1E" w:rsidRPr="00013B1B">
        <w:rPr>
          <w:rFonts w:ascii="Aptos" w:eastAsia="Aptos" w:hAnsi="Aptos" w:cs="Aptos"/>
        </w:rPr>
        <w:t>will be</w:t>
      </w:r>
      <w:r w:rsidRPr="00013B1B">
        <w:rPr>
          <w:rFonts w:ascii="Aptos" w:eastAsia="Aptos" w:hAnsi="Aptos" w:cs="Aptos"/>
        </w:rPr>
        <w:t xml:space="preserve"> needed for the firm generation, storage and distributed energy resources needed to provide services like inertia, frequency control, and flexible supply and demand. </w:t>
      </w:r>
    </w:p>
    <w:p w14:paraId="1538D4AC" w14:textId="29FA0FCE" w:rsidR="00372AE0" w:rsidRPr="00013B1B" w:rsidRDefault="00372AE0" w:rsidP="00372AE0">
      <w:r w:rsidRPr="00334ECB">
        <w:rPr>
          <w:rFonts w:ascii="Aptos" w:eastAsia="Aptos" w:hAnsi="Aptos" w:cs="Aptos"/>
        </w:rPr>
        <w:t>Designing a framework that provides the long-term signals for this investment is the key objective of the independent review into the NEM wholesale market settings</w:t>
      </w:r>
      <w:r w:rsidR="00D71840">
        <w:rPr>
          <w:rFonts w:ascii="Aptos" w:eastAsia="Aptos" w:hAnsi="Aptos" w:cs="Aptos"/>
        </w:rPr>
        <w:t xml:space="preserve"> due in late 2025. </w:t>
      </w:r>
    </w:p>
    <w:p w14:paraId="40438C32" w14:textId="3AED17CE" w:rsidR="00372AE0" w:rsidRPr="003E5016" w:rsidRDefault="00372AE0" w:rsidP="00372AE0">
      <w:pPr>
        <w:pStyle w:val="Heading3"/>
        <w:rPr>
          <w:u w:val="none"/>
        </w:rPr>
      </w:pPr>
      <w:r w:rsidRPr="003E5016">
        <w:rPr>
          <w:u w:val="none"/>
        </w:rPr>
        <w:lastRenderedPageBreak/>
        <w:t xml:space="preserve">Getting regulatory settings right: </w:t>
      </w:r>
      <w:r w:rsidR="003E5016">
        <w:rPr>
          <w:u w:val="none"/>
        </w:rPr>
        <w:t>e</w:t>
      </w:r>
      <w:r w:rsidRPr="003E5016">
        <w:rPr>
          <w:u w:val="none"/>
        </w:rPr>
        <w:t xml:space="preserve">nvironmental approvals </w:t>
      </w:r>
    </w:p>
    <w:p w14:paraId="7A663F77" w14:textId="7EB5B29D" w:rsidR="00372AE0" w:rsidRPr="00013B1B" w:rsidRDefault="00372AE0" w:rsidP="00372AE0">
      <w:r w:rsidRPr="00013B1B">
        <w:t>The Government ha</w:t>
      </w:r>
      <w:r w:rsidRPr="00013B1B">
        <w:rPr>
          <w:rFonts w:eastAsiaTheme="minorEastAsia"/>
        </w:rPr>
        <w:t xml:space="preserve">s re-committed to reforming Australia’s national environmental law to deliver better environmental protections and faster, clearer decisions for business. </w:t>
      </w:r>
    </w:p>
    <w:p w14:paraId="3F9DA840" w14:textId="6EA89D5F" w:rsidR="00372AE0" w:rsidRPr="00013B1B" w:rsidRDefault="00372AE0" w:rsidP="00372AE0">
      <w:r w:rsidRPr="00013B1B">
        <w:rPr>
          <w:rFonts w:eastAsiaTheme="minorEastAsia"/>
        </w:rPr>
        <w:t xml:space="preserve">Environmental approvals are about managing environmental </w:t>
      </w:r>
      <w:r w:rsidR="00140DE1" w:rsidRPr="00013B1B">
        <w:rPr>
          <w:rFonts w:eastAsiaTheme="minorEastAsia"/>
        </w:rPr>
        <w:t>risks,</w:t>
      </w:r>
      <w:r w:rsidRPr="00013B1B">
        <w:rPr>
          <w:rFonts w:eastAsiaTheme="minorEastAsia"/>
        </w:rPr>
        <w:t xml:space="preserve"> but they also require navigating complex trade-offs across other economic, environmental and social domains. </w:t>
      </w:r>
    </w:p>
    <w:p w14:paraId="1E4C6802" w14:textId="77777777" w:rsidR="00372AE0" w:rsidRPr="00013B1B" w:rsidRDefault="00372AE0" w:rsidP="00372AE0">
      <w:pPr>
        <w:spacing w:line="276" w:lineRule="auto"/>
      </w:pPr>
      <w:r w:rsidRPr="00013B1B">
        <w:rPr>
          <w:rFonts w:eastAsiaTheme="minorEastAsia"/>
        </w:rPr>
        <w:t>This requires good evidence and good frameworks to make sensible decisions.</w:t>
      </w:r>
    </w:p>
    <w:p w14:paraId="743ED683" w14:textId="594910C9" w:rsidR="00372AE0" w:rsidRPr="00013B1B" w:rsidRDefault="007905DC" w:rsidP="00372AE0">
      <w:pPr>
        <w:spacing w:line="276" w:lineRule="auto"/>
      </w:pPr>
      <w:r w:rsidRPr="00013B1B">
        <w:rPr>
          <w:rFonts w:eastAsiaTheme="minorEastAsia"/>
        </w:rPr>
        <w:t>W</w:t>
      </w:r>
      <w:r w:rsidR="00372AE0" w:rsidRPr="00013B1B">
        <w:rPr>
          <w:rFonts w:eastAsiaTheme="minorEastAsia"/>
        </w:rPr>
        <w:t>e must be alert to the trap of letting poor analysis make those trade-offs look simpler than they are.</w:t>
      </w:r>
      <w:r w:rsidR="00372AE0" w:rsidRPr="00013B1B">
        <w:rPr>
          <w:rFonts w:eastAsiaTheme="minorEastAsia"/>
          <w:vertAlign w:val="superscript"/>
        </w:rPr>
        <w:footnoteReference w:id="18"/>
      </w:r>
      <w:r w:rsidR="00372AE0" w:rsidRPr="00013B1B">
        <w:rPr>
          <w:rFonts w:eastAsiaTheme="minorEastAsia"/>
        </w:rPr>
        <w:t xml:space="preserve"> </w:t>
      </w:r>
    </w:p>
    <w:p w14:paraId="56BF0A31" w14:textId="77777777" w:rsidR="00372AE0" w:rsidRPr="00013B1B" w:rsidRDefault="00372AE0" w:rsidP="00372AE0">
      <w:pPr>
        <w:pStyle w:val="Heading2"/>
      </w:pPr>
      <w:r w:rsidRPr="00013B1B">
        <w:t>Skilled workforce</w:t>
      </w:r>
    </w:p>
    <w:p w14:paraId="71F97A80" w14:textId="77777777" w:rsidR="00737EEC" w:rsidRDefault="008201AA" w:rsidP="00372AE0">
      <w:r w:rsidRPr="00013B1B">
        <w:t xml:space="preserve">In recent years </w:t>
      </w:r>
      <w:r w:rsidR="00823FF2" w:rsidRPr="00013B1B">
        <w:t>f</w:t>
      </w:r>
      <w:r w:rsidR="00F06B3A">
        <w:t xml:space="preserve">ive </w:t>
      </w:r>
      <w:r w:rsidR="00823FF2" w:rsidRPr="00013B1B">
        <w:t>factors define the labour market</w:t>
      </w:r>
      <w:r w:rsidR="00363BC5">
        <w:t>:</w:t>
      </w:r>
      <w:r w:rsidR="00363BC5" w:rsidRPr="00013B1B">
        <w:t xml:space="preserve"> </w:t>
      </w:r>
    </w:p>
    <w:p w14:paraId="421B1744" w14:textId="732C6D3C" w:rsidR="00737EEC" w:rsidRDefault="00EA52AB" w:rsidP="00737EEC">
      <w:pPr>
        <w:pStyle w:val="Bullet"/>
      </w:pPr>
      <w:r>
        <w:t>R</w:t>
      </w:r>
      <w:r w:rsidR="00823FF2" w:rsidRPr="00013B1B">
        <w:t>ecord participation</w:t>
      </w:r>
      <w:r>
        <w:t>.</w:t>
      </w:r>
    </w:p>
    <w:p w14:paraId="67967ABD" w14:textId="0A677E34" w:rsidR="00737EEC" w:rsidRDefault="00EA52AB" w:rsidP="00737EEC">
      <w:pPr>
        <w:pStyle w:val="Bullet"/>
      </w:pPr>
      <w:r>
        <w:t>L</w:t>
      </w:r>
      <w:r w:rsidR="00823FF2" w:rsidRPr="00013B1B">
        <w:t>ow unemploymen</w:t>
      </w:r>
      <w:r w:rsidR="00737EEC">
        <w:t>t</w:t>
      </w:r>
      <w:r>
        <w:t>.</w:t>
      </w:r>
    </w:p>
    <w:p w14:paraId="2A8EAC1A" w14:textId="297F7B7C" w:rsidR="00737EEC" w:rsidRDefault="00EA52AB" w:rsidP="00737EEC">
      <w:pPr>
        <w:pStyle w:val="Bullet"/>
      </w:pPr>
      <w:r>
        <w:t>A</w:t>
      </w:r>
      <w:r w:rsidR="00F80606">
        <w:t xml:space="preserve">ddressing </w:t>
      </w:r>
      <w:r w:rsidR="00540517" w:rsidRPr="00013B1B">
        <w:t>wage relativities for feminised industries</w:t>
      </w:r>
      <w:r>
        <w:t>.</w:t>
      </w:r>
    </w:p>
    <w:p w14:paraId="34D86F10" w14:textId="29CC541F" w:rsidR="00EA52AB" w:rsidRDefault="00EA52AB" w:rsidP="00737EEC">
      <w:pPr>
        <w:pStyle w:val="Bullet"/>
      </w:pPr>
      <w:r>
        <w:t>H</w:t>
      </w:r>
      <w:r w:rsidR="00E233CA" w:rsidRPr="00013B1B">
        <w:t>igh migration</w:t>
      </w:r>
      <w:r>
        <w:t>.</w:t>
      </w:r>
    </w:p>
    <w:p w14:paraId="0F1E71C7" w14:textId="5D758EEC" w:rsidR="00264EF7" w:rsidRPr="00013B1B" w:rsidRDefault="00EA52AB" w:rsidP="00737EEC">
      <w:pPr>
        <w:pStyle w:val="Bullet"/>
      </w:pPr>
      <w:r>
        <w:t>S</w:t>
      </w:r>
      <w:r w:rsidR="00F260E2" w:rsidRPr="00013B1B">
        <w:t>lowing dynamism or job matching.</w:t>
      </w:r>
    </w:p>
    <w:p w14:paraId="3394997E" w14:textId="5490C7AE" w:rsidR="006C519D" w:rsidRPr="00013B1B" w:rsidRDefault="0049526F" w:rsidP="00372AE0">
      <w:pPr>
        <w:pStyle w:val="Heading3"/>
        <w:rPr>
          <w:rFonts w:eastAsiaTheme="minorHAnsi" w:cstheme="minorBidi"/>
          <w:color w:val="auto"/>
          <w:u w:val="none"/>
        </w:rPr>
      </w:pPr>
      <w:r w:rsidRPr="00013B1B">
        <w:rPr>
          <w:rFonts w:eastAsiaTheme="minorHAnsi" w:cstheme="minorBidi"/>
          <w:color w:val="auto"/>
          <w:u w:val="none"/>
        </w:rPr>
        <w:t>I’</w:t>
      </w:r>
      <w:r w:rsidR="000B684B" w:rsidRPr="00013B1B">
        <w:rPr>
          <w:rFonts w:eastAsiaTheme="minorHAnsi" w:cstheme="minorBidi"/>
          <w:color w:val="auto"/>
          <w:u w:val="none"/>
        </w:rPr>
        <w:t>ll focus my discussion today on dynamism and mobility.</w:t>
      </w:r>
    </w:p>
    <w:p w14:paraId="71C40612" w14:textId="77777777" w:rsidR="00372AE0" w:rsidRPr="002B069A" w:rsidRDefault="00372AE0" w:rsidP="00372AE0">
      <w:pPr>
        <w:pStyle w:val="Heading3"/>
        <w:rPr>
          <w:u w:val="none"/>
        </w:rPr>
      </w:pPr>
      <w:r w:rsidRPr="002B069A">
        <w:rPr>
          <w:u w:val="none"/>
        </w:rPr>
        <w:t>Mobility</w:t>
      </w:r>
    </w:p>
    <w:p w14:paraId="0829C7A5" w14:textId="6F905855" w:rsidR="00372AE0" w:rsidRPr="00013B1B" w:rsidRDefault="009C4FFE" w:rsidP="00372AE0">
      <w:r>
        <w:t>N</w:t>
      </w:r>
      <w:r w:rsidR="00372AE0" w:rsidRPr="00013B1B">
        <w:t xml:space="preserve">ational occupational licensing would remove unnecessary barriers to labour mobility by enabling workers to work seamlessly across state and territory borders without reapplying for a separate licence or paying additional fees. </w:t>
      </w:r>
    </w:p>
    <w:p w14:paraId="45DCB605" w14:textId="4D43581E" w:rsidR="00372AE0" w:rsidRPr="00013B1B" w:rsidRDefault="008B7CAC" w:rsidP="00372AE0">
      <w:r>
        <w:t xml:space="preserve">The </w:t>
      </w:r>
      <w:r w:rsidR="00C511FD">
        <w:t xml:space="preserve">Government is committed to implementing </w:t>
      </w:r>
      <w:r w:rsidR="00372AE0" w:rsidRPr="00013B1B">
        <w:t>national licensing for electrical trades</w:t>
      </w:r>
      <w:r w:rsidR="00DD23CE">
        <w:t xml:space="preserve">, which could be addressed through the National Competition Policy </w:t>
      </w:r>
      <w:r w:rsidR="00B70CB1">
        <w:t>framework</w:t>
      </w:r>
      <w:r w:rsidR="002D4E9F">
        <w:t xml:space="preserve">. </w:t>
      </w:r>
      <w:r w:rsidR="00372AE0" w:rsidRPr="00013B1B">
        <w:t>Working with the states,</w:t>
      </w:r>
      <w:r w:rsidR="00B70CB1">
        <w:t xml:space="preserve"> this could mean licensed electricians could work anywhere in the country</w:t>
      </w:r>
      <w:r w:rsidR="00372AE0" w:rsidRPr="00013B1B">
        <w:t xml:space="preserve">. </w:t>
      </w:r>
    </w:p>
    <w:p w14:paraId="3F3FB6AF" w14:textId="094445A0" w:rsidR="00372AE0" w:rsidRDefault="00372AE0" w:rsidP="00372AE0">
      <w:r w:rsidRPr="00013B1B">
        <w:t>If successful, this approach could be a template for other trades to follow. Broader reforms to occupational licensing could boost GDP by up to $10 billion</w:t>
      </w:r>
      <w:r w:rsidR="000053A2">
        <w:t>.</w:t>
      </w:r>
      <w:r w:rsidR="000053A2">
        <w:rPr>
          <w:rStyle w:val="FootnoteReference"/>
        </w:rPr>
        <w:footnoteReference w:id="19"/>
      </w:r>
      <w:r w:rsidR="009C4FFE">
        <w:t xml:space="preserve"> </w:t>
      </w:r>
      <w:r w:rsidRPr="00013B1B">
        <w:t xml:space="preserve"> </w:t>
      </w:r>
    </w:p>
    <w:p w14:paraId="208884FA" w14:textId="30775B48" w:rsidR="000053A2" w:rsidRDefault="00FF4BCE" w:rsidP="00372AE0">
      <w:r>
        <w:t xml:space="preserve">Work is underway </w:t>
      </w:r>
      <w:r w:rsidR="00970751">
        <w:t>to develop a National Screening Check for workers in the care economy to improve labour mobility</w:t>
      </w:r>
      <w:r w:rsidR="00CE46A0">
        <w:t xml:space="preserve">. </w:t>
      </w:r>
    </w:p>
    <w:p w14:paraId="6DF59339" w14:textId="77777777" w:rsidR="000053A2" w:rsidRDefault="000053A2">
      <w:r>
        <w:br w:type="page"/>
      </w:r>
    </w:p>
    <w:p w14:paraId="0C9F42D6" w14:textId="3202606F" w:rsidR="00A37861" w:rsidRPr="00A37861" w:rsidRDefault="00A37861" w:rsidP="00372AE0">
      <w:r w:rsidRPr="00A37861">
        <w:lastRenderedPageBreak/>
        <w:t>The Government has announced an intention to ban non-compete clauses for low</w:t>
      </w:r>
      <w:r w:rsidR="007D42E9">
        <w:noBreakHyphen/>
      </w:r>
      <w:r w:rsidRPr="00A37861">
        <w:t xml:space="preserve"> and middle-income workers beginning 2027. This responds to international and domestic evidence that these clauses are hampering job mobility and constraining the wages of affected workers</w:t>
      </w:r>
      <w:r w:rsidR="00FA0AD6">
        <w:t>. It</w:t>
      </w:r>
      <w:r w:rsidR="00E3444A">
        <w:t xml:space="preserve"> </w:t>
      </w:r>
      <w:r w:rsidR="00551C46">
        <w:t xml:space="preserve">follows </w:t>
      </w:r>
      <w:r w:rsidRPr="00A37861">
        <w:t xml:space="preserve">PC modelling demonstrating a significant productivity gain from reform in this area. </w:t>
      </w:r>
    </w:p>
    <w:p w14:paraId="1912E70F" w14:textId="77777777" w:rsidR="00372AE0" w:rsidRPr="003E5016" w:rsidRDefault="00372AE0" w:rsidP="00372AE0">
      <w:pPr>
        <w:pStyle w:val="Heading3"/>
        <w:rPr>
          <w:u w:val="none"/>
        </w:rPr>
      </w:pPr>
      <w:r w:rsidRPr="003E5016">
        <w:rPr>
          <w:rStyle w:val="Heading3Char"/>
          <w:u w:val="none"/>
        </w:rPr>
        <w:t>Housing</w:t>
      </w:r>
    </w:p>
    <w:p w14:paraId="0536F5E8" w14:textId="5D8758B5" w:rsidR="00372AE0" w:rsidRPr="00013B1B" w:rsidRDefault="00372AE0" w:rsidP="00372AE0">
      <w:r w:rsidRPr="00013B1B">
        <w:t>Australia’s housing shortage has significant implications for productivity and long-term economic growth.</w:t>
      </w:r>
    </w:p>
    <w:p w14:paraId="28847563" w14:textId="5A7AAFD0" w:rsidR="00372AE0" w:rsidRPr="00013B1B" w:rsidRDefault="00372AE0" w:rsidP="00372AE0">
      <w:r w:rsidRPr="00013B1B">
        <w:t xml:space="preserve">Limited supply of affordable and well-located housing </w:t>
      </w:r>
      <w:r w:rsidR="00132D55">
        <w:t>imposes</w:t>
      </w:r>
      <w:r w:rsidR="00132D55" w:rsidRPr="00013B1B">
        <w:t xml:space="preserve"> </w:t>
      </w:r>
      <w:r w:rsidRPr="00013B1B">
        <w:t xml:space="preserve">higher costs on workers and reduces their ability to pursue jobs that are higher paying or that better match their skills. This reduces labour market efficiency and adaptability. </w:t>
      </w:r>
    </w:p>
    <w:p w14:paraId="6D1A0C06" w14:textId="77777777" w:rsidR="009A5312" w:rsidRPr="00013B1B" w:rsidRDefault="00372AE0" w:rsidP="00372AE0">
      <w:r w:rsidRPr="00013B1B">
        <w:t xml:space="preserve">High housing costs also curtail household disposable income and concentrate household capital investment in the housing sector. </w:t>
      </w:r>
    </w:p>
    <w:p w14:paraId="7C9821F7" w14:textId="2C630095" w:rsidR="00372AE0" w:rsidRPr="00013B1B" w:rsidRDefault="00372AE0" w:rsidP="00372AE0">
      <w:r w:rsidRPr="00013B1B">
        <w:t>This reduces Australia’s aggregate productivity growth, as construction productivity remains low and the concentration of capital investment in housing crowds out investment in higher-productivity industries.</w:t>
      </w:r>
    </w:p>
    <w:p w14:paraId="735BFA1D" w14:textId="003E4466" w:rsidR="00372AE0" w:rsidRPr="00013B1B" w:rsidRDefault="00372AE0" w:rsidP="00372AE0">
      <w:r w:rsidRPr="00013B1B">
        <w:t xml:space="preserve">This shortage is driven by </w:t>
      </w:r>
      <w:r w:rsidR="00101882" w:rsidRPr="00013B1B">
        <w:t xml:space="preserve">planning constraints, </w:t>
      </w:r>
      <w:r w:rsidRPr="00013B1B">
        <w:t>input constraints (skilled labour, materials and</w:t>
      </w:r>
      <w:r w:rsidR="00D81C99">
        <w:t xml:space="preserve"> infrastructure ready</w:t>
      </w:r>
      <w:r w:rsidRPr="00013B1B">
        <w:t xml:space="preserve"> land), </w:t>
      </w:r>
      <w:r w:rsidR="00813919">
        <w:t xml:space="preserve">and </w:t>
      </w:r>
      <w:r w:rsidRPr="00013B1B">
        <w:t xml:space="preserve">poor sector productivity. </w:t>
      </w:r>
    </w:p>
    <w:p w14:paraId="74BC6E26" w14:textId="7A80DE7D" w:rsidR="00F10E19" w:rsidRPr="00013B1B" w:rsidRDefault="00D85F81" w:rsidP="00372AE0">
      <w:r>
        <w:t xml:space="preserve">Increasing </w:t>
      </w:r>
      <w:r w:rsidR="00372AE0" w:rsidRPr="00013B1B">
        <w:t xml:space="preserve">housing supply is </w:t>
      </w:r>
      <w:r w:rsidR="00A61997">
        <w:t xml:space="preserve">crucial to </w:t>
      </w:r>
      <w:r w:rsidR="00372AE0" w:rsidRPr="00013B1B">
        <w:t>improv</w:t>
      </w:r>
      <w:r w:rsidR="00A61997">
        <w:t xml:space="preserve">ing </w:t>
      </w:r>
      <w:r w:rsidR="00372AE0" w:rsidRPr="00013B1B">
        <w:t xml:space="preserve">affordability. </w:t>
      </w:r>
    </w:p>
    <w:p w14:paraId="449355B0" w14:textId="77777777" w:rsidR="00372AE0" w:rsidRPr="00013B1B" w:rsidRDefault="00372AE0" w:rsidP="00372AE0">
      <w:pPr>
        <w:pStyle w:val="Heading2"/>
      </w:pPr>
      <w:r w:rsidRPr="00013B1B">
        <w:t>Technology adoption</w:t>
      </w:r>
    </w:p>
    <w:p w14:paraId="5AC480B5" w14:textId="77777777" w:rsidR="00A55AD7" w:rsidRDefault="00A55AD7" w:rsidP="00A55AD7">
      <w:r w:rsidRPr="687FF1C0">
        <w:t>The potential benefits of technology adoption are diverse, including improvements in productivity, economic and social inclusion, and living standards.</w:t>
      </w:r>
    </w:p>
    <w:p w14:paraId="3F8A88E1" w14:textId="5F4AD80E" w:rsidR="00A55AD7" w:rsidRDefault="00A55AD7" w:rsidP="00A55AD7">
      <w:r w:rsidRPr="17155F94">
        <w:t>Several studies have shown that tech adoption and employing tech workers can have a significant positive impact on productivity - enabling automation, improving communication, and fostering a more efficient work environment</w:t>
      </w:r>
      <w:r w:rsidR="00DC54D4">
        <w:t>.</w:t>
      </w:r>
      <w:r>
        <w:rPr>
          <w:rStyle w:val="FootnoteReference"/>
        </w:rPr>
        <w:footnoteReference w:id="20"/>
      </w:r>
      <w:r w:rsidRPr="17155F94">
        <w:t xml:space="preserve"> </w:t>
      </w:r>
    </w:p>
    <w:p w14:paraId="40B1F382" w14:textId="1E4832FD" w:rsidR="003311A6" w:rsidRDefault="00A55AD7" w:rsidP="00A55AD7">
      <w:r w:rsidRPr="77745871">
        <w:t>Some early Treasury analysis supports these findings indicating firms that have recently increased their share of tech workers are more productive, typically paying higher wages to their employees.</w:t>
      </w:r>
    </w:p>
    <w:p w14:paraId="52D8DCF7" w14:textId="77777777" w:rsidR="003311A6" w:rsidRDefault="003311A6">
      <w:r>
        <w:br w:type="page"/>
      </w:r>
    </w:p>
    <w:p w14:paraId="05D79EEB" w14:textId="77777777" w:rsidR="00A55AD7" w:rsidRPr="00013B1B" w:rsidDel="00452F00" w:rsidRDefault="00A55AD7" w:rsidP="00A55AD7">
      <w:pPr>
        <w:pStyle w:val="Heading3"/>
      </w:pPr>
      <w:r w:rsidRPr="00013B1B" w:rsidDel="00452F00">
        <w:lastRenderedPageBreak/>
        <w:t>Innovation</w:t>
      </w:r>
    </w:p>
    <w:p w14:paraId="3BF844EF" w14:textId="2BB35B32" w:rsidR="00A55AD7" w:rsidRDefault="00813919" w:rsidP="00A55AD7">
      <w:r>
        <w:t>M</w:t>
      </w:r>
      <w:r w:rsidR="00A55AD7">
        <w:t>any Australian businesses, particularly small businesses, are falling behind in the adoption of frontier technologies compared</w:t>
      </w:r>
      <w:r w:rsidR="00503B17">
        <w:t xml:space="preserve"> with other countries. </w:t>
      </w:r>
      <w:r w:rsidR="00A55AD7" w:rsidRPr="00807E65">
        <w:t>As an example</w:t>
      </w:r>
      <w:r w:rsidR="00A55AD7">
        <w:t>, Australia ranked in the 15th percentile among OECD countries for A</w:t>
      </w:r>
      <w:r w:rsidR="00DC54D4">
        <w:t>rtificial Intelligence (A</w:t>
      </w:r>
      <w:r w:rsidR="00A55AD7">
        <w:t>I</w:t>
      </w:r>
      <w:r w:rsidR="00DC54D4">
        <w:t>)</w:t>
      </w:r>
      <w:r w:rsidR="00A55AD7">
        <w:t xml:space="preserve"> adoption in 2020. </w:t>
      </w:r>
    </w:p>
    <w:p w14:paraId="3E795B11" w14:textId="014BE189" w:rsidR="00A55AD7" w:rsidRPr="00013B1B" w:rsidRDefault="00926DBE" w:rsidP="00A55AD7">
      <w:r>
        <w:t>G</w:t>
      </w:r>
      <w:r w:rsidR="00A55AD7">
        <w:t>lobally</w:t>
      </w:r>
      <w:r>
        <w:t>,</w:t>
      </w:r>
      <w:r w:rsidR="00A55AD7">
        <w:t xml:space="preserve"> AI</w:t>
      </w:r>
      <w:r w:rsidR="00A55AD7" w:rsidRPr="00013B1B">
        <w:t xml:space="preserve"> </w:t>
      </w:r>
      <w:r w:rsidR="00A55AD7">
        <w:t>is moving</w:t>
      </w:r>
      <w:r w:rsidR="00A55AD7" w:rsidRPr="00013B1B">
        <w:t xml:space="preserve"> more into the mainstream</w:t>
      </w:r>
      <w:r w:rsidR="00A55AD7">
        <w:t xml:space="preserve"> – this brings</w:t>
      </w:r>
      <w:r w:rsidR="00A55AD7" w:rsidRPr="00013B1B">
        <w:t xml:space="preserve"> into sharper focus important questions around the benefits and potential harms. </w:t>
      </w:r>
    </w:p>
    <w:p w14:paraId="50A777A3" w14:textId="4CE88EDE" w:rsidR="00A55AD7" w:rsidRPr="00013B1B" w:rsidRDefault="00A55AD7" w:rsidP="00A55AD7">
      <w:r w:rsidRPr="00013B1B">
        <w:t>While th</w:t>
      </w:r>
      <w:r>
        <w:t>is</w:t>
      </w:r>
      <w:r w:rsidRPr="00013B1B">
        <w:t xml:space="preserve"> technology comes with risks, it also comes with immense opportunities - and it</w:t>
      </w:r>
      <w:r w:rsidR="00DC54D4">
        <w:t>’</w:t>
      </w:r>
      <w:r w:rsidRPr="00013B1B">
        <w:t>s important Australia is not left behind.</w:t>
      </w:r>
    </w:p>
    <w:p w14:paraId="43A58799" w14:textId="68777F9D" w:rsidR="00A55AD7" w:rsidRDefault="00A55AD7" w:rsidP="00A55AD7">
      <w:r>
        <w:t xml:space="preserve">There are </w:t>
      </w:r>
      <w:proofErr w:type="gramStart"/>
      <w:r>
        <w:t>a number of</w:t>
      </w:r>
      <w:proofErr w:type="gramEnd"/>
      <w:r>
        <w:t xml:space="preserve"> policy settings </w:t>
      </w:r>
      <w:r w:rsidR="00D720EF">
        <w:t xml:space="preserve">that </w:t>
      </w:r>
      <w:r>
        <w:t xml:space="preserve">can help households and businesses overcome challenges to adopting new technologies. </w:t>
      </w:r>
    </w:p>
    <w:p w14:paraId="404FDB30" w14:textId="154D4352" w:rsidR="00A55AD7" w:rsidRDefault="00A55AD7" w:rsidP="00A55AD7">
      <w:r>
        <w:t xml:space="preserve">Improving competition will be key. As will be ensuring our regulatory settings are fit-for-purpose. </w:t>
      </w:r>
    </w:p>
    <w:p w14:paraId="52989BC6" w14:textId="036E4219" w:rsidR="00A55AD7" w:rsidRPr="00013B1B" w:rsidRDefault="00A55AD7" w:rsidP="00A55AD7">
      <w:pPr>
        <w:pStyle w:val="Bullet"/>
        <w:numPr>
          <w:ilvl w:val="0"/>
          <w:numId w:val="0"/>
        </w:numPr>
        <w:rPr>
          <w:rStyle w:val="BulletChar"/>
        </w:rPr>
      </w:pPr>
      <w:r w:rsidRPr="03A2EC67">
        <w:rPr>
          <w:rStyle w:val="BulletChar"/>
        </w:rPr>
        <w:t>In this regard, it will be important that</w:t>
      </w:r>
      <w:r w:rsidR="005D7548">
        <w:rPr>
          <w:rStyle w:val="BulletChar"/>
        </w:rPr>
        <w:t>,</w:t>
      </w:r>
      <w:r w:rsidRPr="03A2EC67">
        <w:rPr>
          <w:rStyle w:val="BulletChar"/>
        </w:rPr>
        <w:t xml:space="preserve"> </w:t>
      </w:r>
      <w:r w:rsidRPr="00013B1B">
        <w:rPr>
          <w:rStyle w:val="BulletChar"/>
        </w:rPr>
        <w:t>wherever possible</w:t>
      </w:r>
      <w:r w:rsidR="005D7548">
        <w:rPr>
          <w:rStyle w:val="BulletChar"/>
        </w:rPr>
        <w:t>,</w:t>
      </w:r>
      <w:r w:rsidRPr="00013B1B">
        <w:rPr>
          <w:rStyle w:val="BulletChar"/>
        </w:rPr>
        <w:t xml:space="preserve"> we leverage existing </w:t>
      </w:r>
      <w:r w:rsidR="005D7548" w:rsidRPr="00013B1B">
        <w:rPr>
          <w:rStyle w:val="BulletChar"/>
        </w:rPr>
        <w:t>technology</w:t>
      </w:r>
      <w:r w:rsidR="005D7548">
        <w:rPr>
          <w:rStyle w:val="BulletChar"/>
        </w:rPr>
        <w:t>-</w:t>
      </w:r>
      <w:r w:rsidRPr="00013B1B">
        <w:rPr>
          <w:rStyle w:val="BulletChar"/>
        </w:rPr>
        <w:t>neutral laws and regulations to protect consumers and address clear harms – this provides certainty which will support innovation and more rapid adoption.</w:t>
      </w:r>
    </w:p>
    <w:p w14:paraId="27F1A972" w14:textId="1CC1DBC2" w:rsidR="00372AE0" w:rsidRPr="00013B1B" w:rsidRDefault="00372AE0" w:rsidP="00372AE0">
      <w:pPr>
        <w:pStyle w:val="Heading2"/>
      </w:pPr>
      <w:r w:rsidRPr="00013B1B">
        <w:t xml:space="preserve">Care </w:t>
      </w:r>
      <w:r w:rsidR="00413E1D">
        <w:t>e</w:t>
      </w:r>
      <w:r w:rsidRPr="00013B1B">
        <w:t>conomy</w:t>
      </w:r>
    </w:p>
    <w:p w14:paraId="617BEC5E" w14:textId="67D29EF2" w:rsidR="00372AE0" w:rsidRPr="00013B1B" w:rsidRDefault="00372AE0" w:rsidP="00372AE0">
      <w:r w:rsidRPr="00013B1B">
        <w:t>At the Commonwealth level health care, aged care, disability support</w:t>
      </w:r>
      <w:r w:rsidR="000742AA">
        <w:t>,</w:t>
      </w:r>
      <w:r w:rsidRPr="00013B1B">
        <w:t xml:space="preserve"> and childcare are all growing </w:t>
      </w:r>
      <w:r w:rsidR="00B906F6">
        <w:t xml:space="preserve">faster </w:t>
      </w:r>
      <w:r w:rsidRPr="00013B1B">
        <w:t xml:space="preserve">than GDP </w:t>
      </w:r>
      <w:r w:rsidR="00AC4172">
        <w:t>–</w:t>
      </w:r>
      <w:r w:rsidRPr="00013B1B">
        <w:t xml:space="preserve"> notwithstanding the significant efforts that have already been made to reduce spending growth in NDIS and aged care.</w:t>
      </w:r>
    </w:p>
    <w:p w14:paraId="6A27B880" w14:textId="476B44B0" w:rsidR="00372AE0" w:rsidRPr="00013B1B" w:rsidRDefault="00372AE0" w:rsidP="00372AE0">
      <w:r w:rsidRPr="00013B1B">
        <w:t xml:space="preserve">The </w:t>
      </w:r>
      <w:r w:rsidR="00C64856">
        <w:t>s</w:t>
      </w:r>
      <w:r w:rsidRPr="00013B1B">
        <w:t xml:space="preserve">tate and </w:t>
      </w:r>
      <w:r w:rsidR="00C64856">
        <w:t>t</w:t>
      </w:r>
      <w:r w:rsidRPr="00013B1B">
        <w:t xml:space="preserve">erritory </w:t>
      </w:r>
      <w:r w:rsidR="00413E1D">
        <w:t>g</w:t>
      </w:r>
      <w:r w:rsidRPr="00013B1B">
        <w:t>overnments</w:t>
      </w:r>
      <w:r w:rsidR="00A30229" w:rsidRPr="00013B1B">
        <w:t xml:space="preserve"> face similar cha</w:t>
      </w:r>
      <w:r w:rsidR="00074D5B" w:rsidRPr="00013B1B">
        <w:t>llen</w:t>
      </w:r>
      <w:r w:rsidR="00A30229" w:rsidRPr="00013B1B">
        <w:t>ges especially in health care</w:t>
      </w:r>
      <w:r w:rsidRPr="00013B1B">
        <w:t xml:space="preserve">. </w:t>
      </w:r>
    </w:p>
    <w:p w14:paraId="10DDE4FD" w14:textId="2A95243F" w:rsidR="00372AE0" w:rsidRPr="00013B1B" w:rsidRDefault="00372AE0" w:rsidP="00372AE0">
      <w:r w:rsidRPr="00013B1B">
        <w:t xml:space="preserve">This is a </w:t>
      </w:r>
      <w:r w:rsidR="00C64856">
        <w:t>significant p</w:t>
      </w:r>
      <w:r w:rsidRPr="00013B1B">
        <w:t xml:space="preserve">roductivity challenge. </w:t>
      </w:r>
    </w:p>
    <w:p w14:paraId="153034E4" w14:textId="4BA2F916" w:rsidR="008115BB" w:rsidRPr="00013B1B" w:rsidRDefault="00EE6ABD" w:rsidP="00372AE0">
      <w:r w:rsidRPr="00013B1B">
        <w:t xml:space="preserve">At the outset it is difficult to measure productivity in these sectors but </w:t>
      </w:r>
      <w:r w:rsidR="00413E1D">
        <w:t>t</w:t>
      </w:r>
      <w:r w:rsidRPr="00013B1B">
        <w:t>here have been some valuable insights generate</w:t>
      </w:r>
      <w:r w:rsidR="00413E1D">
        <w:t>d</w:t>
      </w:r>
      <w:r w:rsidRPr="00013B1B">
        <w:t xml:space="preserve"> through careful analysis.</w:t>
      </w:r>
    </w:p>
    <w:p w14:paraId="3F313230" w14:textId="155850DD" w:rsidR="00DA147C" w:rsidRPr="00013B1B" w:rsidRDefault="00372AE0" w:rsidP="00372AE0">
      <w:r w:rsidRPr="00013B1B">
        <w:t>The P</w:t>
      </w:r>
      <w:r w:rsidR="0075322B">
        <w:t xml:space="preserve">C </w:t>
      </w:r>
      <w:r w:rsidRPr="00013B1B">
        <w:t xml:space="preserve">has looked at measuring patient outcomes, rather than delivery of care outputs, as a better way of capturing how value is created in the health and care sectors. </w:t>
      </w:r>
    </w:p>
    <w:p w14:paraId="71401BAE" w14:textId="580D401F" w:rsidR="004C60CB" w:rsidRDefault="00372AE0" w:rsidP="00372AE0">
      <w:r w:rsidRPr="00013B1B">
        <w:t xml:space="preserve">On this basis, </w:t>
      </w:r>
      <w:r w:rsidR="004C60CB">
        <w:t>p</w:t>
      </w:r>
      <w:r w:rsidRPr="00013B1B">
        <w:t>roductivity in the sector grew at 3 per cent per annum over the period 2011</w:t>
      </w:r>
      <w:r w:rsidR="00352DBA">
        <w:t>–</w:t>
      </w:r>
      <w:r w:rsidRPr="00013B1B">
        <w:t>12 to 2017</w:t>
      </w:r>
      <w:r w:rsidR="00352DBA">
        <w:t>–</w:t>
      </w:r>
      <w:r w:rsidRPr="00013B1B">
        <w:t>18</w:t>
      </w:r>
      <w:r w:rsidR="004C60CB">
        <w:t xml:space="preserve"> and </w:t>
      </w:r>
      <w:r w:rsidR="004C60CB" w:rsidRPr="00013B1B">
        <w:t>Australia’s healthcare sector is one of the most productive in the world</w:t>
      </w:r>
      <w:r w:rsidRPr="00013B1B">
        <w:t>. </w:t>
      </w:r>
    </w:p>
    <w:p w14:paraId="47FE2A51" w14:textId="470436F5" w:rsidR="00372AE0" w:rsidRPr="00013B1B" w:rsidRDefault="00372AE0" w:rsidP="00372AE0">
      <w:r w:rsidRPr="00013B1B">
        <w:t>But these productivity gains were not universal. Big gains were made from advances in saving lives but fewer in improving quality of life.</w:t>
      </w:r>
    </w:p>
    <w:p w14:paraId="0FC6A7CD" w14:textId="0A52F49C" w:rsidR="00372AE0" w:rsidRPr="00013B1B" w:rsidRDefault="0019241F" w:rsidP="00CC5FB5">
      <w:r w:rsidRPr="00013B1B">
        <w:t>Some of o</w:t>
      </w:r>
      <w:r w:rsidR="00372AE0" w:rsidRPr="00013B1B">
        <w:t xml:space="preserve">ur current funding models </w:t>
      </w:r>
      <w:r w:rsidRPr="00013B1B">
        <w:t>may</w:t>
      </w:r>
      <w:r w:rsidR="00372AE0" w:rsidRPr="00013B1B">
        <w:t xml:space="preserve"> create barriers to productivity growth.</w:t>
      </w:r>
    </w:p>
    <w:p w14:paraId="53201154" w14:textId="7C783206" w:rsidR="00372AE0" w:rsidRPr="00013B1B" w:rsidRDefault="00372AE0" w:rsidP="00CC5FB5">
      <w:r w:rsidRPr="00013B1B">
        <w:lastRenderedPageBreak/>
        <w:t xml:space="preserve">For example, many government services are funded on a fee for service model. Providers are therefore paid based on the amount of activity they perform – such as amount of time spent with a patient </w:t>
      </w:r>
      <w:r w:rsidR="00AC4172">
        <w:t>–</w:t>
      </w:r>
      <w:r w:rsidRPr="00013B1B">
        <w:t xml:space="preserve"> not on outcomes, or prevention.</w:t>
      </w:r>
    </w:p>
    <w:p w14:paraId="1045A3A7" w14:textId="327D66EE" w:rsidR="00372AE0" w:rsidRPr="00013B1B" w:rsidRDefault="00372AE0" w:rsidP="00CC5FB5">
      <w:r w:rsidRPr="00A0482B">
        <w:t xml:space="preserve">We also need to </w:t>
      </w:r>
      <w:r w:rsidR="00261045" w:rsidRPr="00A0482B">
        <w:t xml:space="preserve">make sure </w:t>
      </w:r>
      <w:r w:rsidRPr="00A0482B">
        <w:t xml:space="preserve">contributions </w:t>
      </w:r>
      <w:r w:rsidR="0006572F" w:rsidRPr="00A0482B">
        <w:t xml:space="preserve">to the cost of care, from those who can afford to </w:t>
      </w:r>
      <w:proofErr w:type="gramStart"/>
      <w:r w:rsidR="0006572F" w:rsidRPr="00A0482B">
        <w:t>make a contribution</w:t>
      </w:r>
      <w:proofErr w:type="gramEnd"/>
      <w:r w:rsidR="0006572F" w:rsidRPr="00A0482B">
        <w:t xml:space="preserve">, </w:t>
      </w:r>
      <w:r w:rsidRPr="00A0482B">
        <w:t>are appropriate</w:t>
      </w:r>
      <w:r w:rsidR="00C2411A" w:rsidRPr="00A0482B">
        <w:t xml:space="preserve"> whilst still maintaining the principle of universal access</w:t>
      </w:r>
      <w:r w:rsidRPr="00A0482B">
        <w:t>.</w:t>
      </w:r>
      <w:r w:rsidRPr="00013B1B">
        <w:t xml:space="preserve"> </w:t>
      </w:r>
    </w:p>
    <w:p w14:paraId="5AA3F2DE" w14:textId="42ACA755" w:rsidR="00372AE0" w:rsidRPr="00013B1B" w:rsidRDefault="00372AE0" w:rsidP="00CC5FB5">
      <w:r w:rsidRPr="00013B1B">
        <w:t>The Government</w:t>
      </w:r>
      <w:r w:rsidR="00AC4172">
        <w:t>’</w:t>
      </w:r>
      <w:r w:rsidRPr="00013B1B">
        <w:t>s reforms in aged care are a good example.</w:t>
      </w:r>
    </w:p>
    <w:p w14:paraId="23BCAF0B" w14:textId="77777777" w:rsidR="0081685C" w:rsidRPr="00013B1B" w:rsidRDefault="00372AE0" w:rsidP="00CC5FB5">
      <w:r w:rsidRPr="00013B1B">
        <w:t xml:space="preserve">These reforms have improved the operation of the market by introducing price signals and user pays. Packages are better targeted with proportional funding, visible prices and modest co-payments. </w:t>
      </w:r>
    </w:p>
    <w:p w14:paraId="5EA90723" w14:textId="4ED385B1" w:rsidR="00372AE0" w:rsidRPr="00013B1B" w:rsidRDefault="00372AE0" w:rsidP="00CC5FB5">
      <w:r w:rsidRPr="00013B1B">
        <w:t>This sends strong signals that direct effort, labour and taxpayer dollars to the people and services that generate the most value.</w:t>
      </w:r>
    </w:p>
    <w:p w14:paraId="1583B76A" w14:textId="77777777" w:rsidR="00372AE0" w:rsidRPr="00013B1B" w:rsidRDefault="00372AE0" w:rsidP="00372AE0">
      <w:pPr>
        <w:spacing w:before="240" w:after="240"/>
        <w:rPr>
          <w:rFonts w:ascii="Aptos" w:eastAsia="Aptos" w:hAnsi="Aptos" w:cs="Aptos"/>
        </w:rPr>
      </w:pPr>
      <w:r w:rsidRPr="00013B1B">
        <w:rPr>
          <w:rFonts w:ascii="Aptos" w:eastAsia="Aptos" w:hAnsi="Aptos" w:cs="Aptos"/>
        </w:rPr>
        <w:t xml:space="preserve">The reforms also go some way to easing intergenerational inequities. Because some costs are now means-tested against income, assets and growing super balances, older Australians who can afford it shoulder more of their own expenses; those without means still receive the full safety-net.  </w:t>
      </w:r>
    </w:p>
    <w:p w14:paraId="79200DFC" w14:textId="3E411279" w:rsidR="00372AE0" w:rsidRPr="00013B1B" w:rsidRDefault="00372AE0" w:rsidP="00372AE0">
      <w:pPr>
        <w:spacing w:before="240" w:after="240"/>
        <w:rPr>
          <w:rFonts w:ascii="Aptos" w:eastAsia="Aptos" w:hAnsi="Aptos" w:cs="Aptos"/>
        </w:rPr>
      </w:pPr>
      <w:r w:rsidRPr="00013B1B">
        <w:rPr>
          <w:rFonts w:ascii="Aptos" w:eastAsia="Aptos" w:hAnsi="Aptos" w:cs="Aptos"/>
        </w:rPr>
        <w:t>That reduces the subsidy the next generation would otherwise carry, easing inter</w:t>
      </w:r>
      <w:r w:rsidR="00B52590">
        <w:rPr>
          <w:rFonts w:ascii="Aptos" w:eastAsia="Aptos" w:hAnsi="Aptos" w:cs="Aptos"/>
        </w:rPr>
        <w:noBreakHyphen/>
      </w:r>
      <w:r w:rsidRPr="00013B1B">
        <w:rPr>
          <w:rFonts w:ascii="Aptos" w:eastAsia="Aptos" w:hAnsi="Aptos" w:cs="Aptos"/>
        </w:rPr>
        <w:t>generational inequity while keeping universal, high-quality care within reach of everyone.</w:t>
      </w:r>
    </w:p>
    <w:p w14:paraId="449E477A" w14:textId="533C0CA2" w:rsidR="00372AE0" w:rsidRPr="00013B1B" w:rsidRDefault="00372AE0" w:rsidP="00372AE0">
      <w:pPr>
        <w:pStyle w:val="Heading2"/>
      </w:pPr>
      <w:r w:rsidRPr="00013B1B">
        <w:t xml:space="preserve">Fiscal </w:t>
      </w:r>
      <w:r w:rsidR="0075322B">
        <w:t>o</w:t>
      </w:r>
      <w:r w:rsidR="00FE5E57" w:rsidRPr="00013B1B">
        <w:t>utlook</w:t>
      </w:r>
    </w:p>
    <w:p w14:paraId="7A073251" w14:textId="73922E96" w:rsidR="003930A5" w:rsidRPr="003E5016" w:rsidRDefault="00FF4B4C" w:rsidP="00FF4B4C">
      <w:pPr>
        <w:spacing w:before="240" w:after="240"/>
        <w:rPr>
          <w:rFonts w:eastAsia="Aptos" w:cs="Aptos"/>
        </w:rPr>
      </w:pPr>
      <w:r w:rsidRPr="003E5016">
        <w:rPr>
          <w:rFonts w:eastAsia="Aptos" w:cs="Aptos"/>
        </w:rPr>
        <w:t>Budgets are about priorities</w:t>
      </w:r>
      <w:r w:rsidR="0075322B">
        <w:rPr>
          <w:rFonts w:eastAsia="Aptos" w:cs="Aptos"/>
        </w:rPr>
        <w:t xml:space="preserve">. </w:t>
      </w:r>
      <w:r w:rsidRPr="003E5016">
        <w:rPr>
          <w:rFonts w:eastAsia="Aptos" w:cs="Aptos"/>
        </w:rPr>
        <w:t xml:space="preserve">The need for additional insurance against global risks will necessarily require careful prioritisation, and maybe reprioritisation, of areas </w:t>
      </w:r>
      <w:r w:rsidR="00A619FC">
        <w:rPr>
          <w:rFonts w:eastAsia="Aptos" w:cs="Aptos"/>
        </w:rPr>
        <w:t xml:space="preserve">of </w:t>
      </w:r>
      <w:r w:rsidRPr="003E5016">
        <w:rPr>
          <w:rFonts w:eastAsia="Aptos" w:cs="Aptos"/>
        </w:rPr>
        <w:t xml:space="preserve">expenditure that are growing. </w:t>
      </w:r>
    </w:p>
    <w:p w14:paraId="1565E040" w14:textId="09B24E3D" w:rsidR="00FF4B4C" w:rsidRPr="003E5016" w:rsidRDefault="00627DF8" w:rsidP="00FF4B4C">
      <w:pPr>
        <w:spacing w:before="240" w:after="240"/>
        <w:rPr>
          <w:rFonts w:eastAsia="Aptos" w:cs="Aptos"/>
        </w:rPr>
      </w:pPr>
      <w:r>
        <w:rPr>
          <w:rFonts w:eastAsia="Aptos" w:cs="Aptos"/>
        </w:rPr>
        <w:t>Next</w:t>
      </w:r>
      <w:r w:rsidR="00FF4B4C" w:rsidRPr="003E5016">
        <w:rPr>
          <w:rFonts w:eastAsia="Aptos" w:cs="Aptos"/>
        </w:rPr>
        <w:t xml:space="preserve"> year, for the first time, expenditure on the NDIS is expected to exceed expenditure on defence. And in a world of increased uncertainty, we want a budget that maintains flexibility to implement policy responses to mitigate the effects on our people of possible negative outcomes. </w:t>
      </w:r>
    </w:p>
    <w:p w14:paraId="0058BC1D" w14:textId="19BE9D16" w:rsidR="00FF4B4C" w:rsidRPr="003E5016" w:rsidRDefault="00FF4B4C" w:rsidP="00FF4B4C">
      <w:pPr>
        <w:spacing w:before="240" w:after="240"/>
        <w:rPr>
          <w:rFonts w:eastAsia="Aptos" w:cs="Aptos"/>
        </w:rPr>
      </w:pPr>
      <w:r w:rsidRPr="003E5016">
        <w:rPr>
          <w:rFonts w:eastAsia="Aptos" w:cs="Aptos"/>
        </w:rPr>
        <w:t xml:space="preserve">During its first term, the Government achieved two consecutive budget surpluses </w:t>
      </w:r>
      <w:r w:rsidR="00662035" w:rsidRPr="003E5016">
        <w:rPr>
          <w:rFonts w:eastAsia="Aptos" w:cs="Aptos"/>
        </w:rPr>
        <w:t>while delivering on a range of policy priorities.</w:t>
      </w:r>
    </w:p>
    <w:p w14:paraId="3698252F" w14:textId="725FA49A" w:rsidR="009D0801" w:rsidRPr="003E5016" w:rsidRDefault="009D0801" w:rsidP="00FF4B4C">
      <w:pPr>
        <w:spacing w:before="240" w:after="240"/>
        <w:rPr>
          <w:rFonts w:eastAsia="Aptos" w:cs="Aptos"/>
        </w:rPr>
      </w:pPr>
      <w:r w:rsidRPr="003E5016">
        <w:rPr>
          <w:rFonts w:eastAsia="Aptos" w:cs="Aptos"/>
        </w:rPr>
        <w:t>Surpluses were achieved by returning a substantial majority of revenue upgrades</w:t>
      </w:r>
      <w:r w:rsidR="00E4165C" w:rsidRPr="003E5016">
        <w:rPr>
          <w:rFonts w:eastAsia="Aptos" w:cs="Aptos"/>
        </w:rPr>
        <w:t xml:space="preserve">. </w:t>
      </w:r>
    </w:p>
    <w:p w14:paraId="4809F2BB" w14:textId="77777777" w:rsidR="003E11AE" w:rsidRDefault="003E11AE" w:rsidP="003E11AE">
      <w:pPr>
        <w:spacing w:before="240" w:after="240"/>
        <w:rPr>
          <w:rFonts w:eastAsia="Aptos" w:cs="Aptos"/>
        </w:rPr>
      </w:pPr>
      <w:r w:rsidRPr="003E5016">
        <w:rPr>
          <w:rFonts w:eastAsia="Aptos" w:cs="Aptos"/>
        </w:rPr>
        <w:t xml:space="preserve">All three major ratings agencies continue to rate the Government’s debt at AAA, which is </w:t>
      </w:r>
      <w:proofErr w:type="gramStart"/>
      <w:r w:rsidRPr="003E5016">
        <w:rPr>
          <w:rFonts w:eastAsia="Aptos" w:cs="Aptos"/>
        </w:rPr>
        <w:t>a valuable asset</w:t>
      </w:r>
      <w:proofErr w:type="gramEnd"/>
      <w:r w:rsidRPr="003E5016">
        <w:rPr>
          <w:rFonts w:eastAsia="Aptos" w:cs="Aptos"/>
        </w:rPr>
        <w:t xml:space="preserve"> when financial markets are volatile. And minimises the borrowing costs that we </w:t>
      </w:r>
      <w:proofErr w:type="gramStart"/>
      <w:r w:rsidRPr="003E5016">
        <w:rPr>
          <w:rFonts w:eastAsia="Aptos" w:cs="Aptos"/>
        </w:rPr>
        <w:t>have to</w:t>
      </w:r>
      <w:proofErr w:type="gramEnd"/>
      <w:r w:rsidRPr="003E5016">
        <w:rPr>
          <w:rFonts w:eastAsia="Aptos" w:cs="Aptos"/>
        </w:rPr>
        <w:t xml:space="preserve"> pay.</w:t>
      </w:r>
    </w:p>
    <w:p w14:paraId="5AACD44C" w14:textId="77777777" w:rsidR="00437A38" w:rsidRDefault="00A227A2" w:rsidP="00437A38">
      <w:pPr>
        <w:spacing w:before="240" w:after="240"/>
        <w:rPr>
          <w:rFonts w:eastAsia="Aptos" w:cs="Aptos"/>
          <w:lang w:val="en-US"/>
        </w:rPr>
      </w:pPr>
      <w:r w:rsidRPr="003E5016">
        <w:rPr>
          <w:rFonts w:eastAsia="Aptos" w:cs="Aptos"/>
          <w:lang w:val="en-US"/>
        </w:rPr>
        <w:lastRenderedPageBreak/>
        <w:t>But some of the strength in the budget position, f</w:t>
      </w:r>
      <w:r w:rsidR="007632D2">
        <w:rPr>
          <w:rFonts w:eastAsia="Aptos" w:cs="Aptos"/>
          <w:lang w:val="en-US"/>
        </w:rPr>
        <w:t xml:space="preserve">or example from a </w:t>
      </w:r>
      <w:proofErr w:type="gramStart"/>
      <w:r w:rsidRPr="003E5016">
        <w:rPr>
          <w:rFonts w:eastAsia="Aptos" w:cs="Aptos"/>
          <w:lang w:val="en-US"/>
        </w:rPr>
        <w:t>high terms of trade</w:t>
      </w:r>
      <w:proofErr w:type="gramEnd"/>
      <w:r w:rsidR="002D51BD">
        <w:rPr>
          <w:rFonts w:eastAsia="Aptos" w:cs="Aptos"/>
          <w:lang w:val="en-US"/>
        </w:rPr>
        <w:t>,</w:t>
      </w:r>
      <w:r w:rsidRPr="003E5016">
        <w:rPr>
          <w:rFonts w:ascii="Arial" w:eastAsia="Aptos" w:hAnsi="Arial" w:cs="Arial"/>
          <w:lang w:val="en-US"/>
        </w:rPr>
        <w:t> </w:t>
      </w:r>
      <w:r w:rsidRPr="003E5016">
        <w:rPr>
          <w:rFonts w:eastAsia="Aptos" w:cs="Aptos"/>
          <w:lang w:val="en-US"/>
        </w:rPr>
        <w:t xml:space="preserve">is temporary. </w:t>
      </w:r>
      <w:r w:rsidR="00013B1B" w:rsidRPr="003E5016">
        <w:rPr>
          <w:rFonts w:eastAsia="Aptos" w:cs="Aptos"/>
          <w:lang w:val="en-US"/>
        </w:rPr>
        <w:t>This can be seen in the strong cyclical factors reported in the Budget.</w:t>
      </w:r>
      <w:r w:rsidR="00013B1B" w:rsidRPr="003E5016">
        <w:rPr>
          <w:rFonts w:eastAsia="Aptos" w:cs="Aptos"/>
        </w:rPr>
        <w:t> </w:t>
      </w:r>
      <w:r w:rsidRPr="003E5016">
        <w:rPr>
          <w:rFonts w:eastAsia="Aptos" w:cs="Aptos"/>
          <w:lang w:val="en-US"/>
        </w:rPr>
        <w:t>The structural budget position, is in deficit, expected to be at around 1½</w:t>
      </w:r>
      <w:r w:rsidR="00517D34">
        <w:rPr>
          <w:rFonts w:eastAsia="Aptos" w:cs="Aptos"/>
          <w:lang w:val="en-US"/>
        </w:rPr>
        <w:t> </w:t>
      </w:r>
      <w:r w:rsidRPr="003E5016">
        <w:rPr>
          <w:rFonts w:eastAsia="Aptos" w:cs="Aptos"/>
          <w:lang w:val="en-US"/>
        </w:rPr>
        <w:t>per cent of GDP in 2025</w:t>
      </w:r>
      <w:r w:rsidR="002D51BD">
        <w:t>–</w:t>
      </w:r>
      <w:r w:rsidRPr="003E5016">
        <w:rPr>
          <w:rFonts w:eastAsia="Aptos" w:cs="Aptos"/>
          <w:lang w:val="en-US"/>
        </w:rPr>
        <w:t>26</w:t>
      </w:r>
      <w:r w:rsidR="00B52590">
        <w:rPr>
          <w:rFonts w:eastAsia="Aptos" w:cs="Aptos"/>
          <w:lang w:val="en-US"/>
        </w:rPr>
        <w:t xml:space="preserve"> (see Chart 8)</w:t>
      </w:r>
      <w:r w:rsidRPr="003E5016">
        <w:rPr>
          <w:rFonts w:eastAsia="Aptos" w:cs="Aptos"/>
          <w:lang w:val="en-US"/>
        </w:rPr>
        <w:t>. </w:t>
      </w:r>
    </w:p>
    <w:p w14:paraId="38E6D87D" w14:textId="785E749E" w:rsidR="005B18AA" w:rsidRPr="00013B1B" w:rsidRDefault="005B18AA" w:rsidP="00437A38">
      <w:pPr>
        <w:spacing w:before="240" w:after="240"/>
        <w:rPr>
          <w:color w:val="0E2740"/>
        </w:rPr>
      </w:pPr>
      <w:r w:rsidRPr="00EE3034">
        <w:rPr>
          <w:b/>
          <w:bCs/>
          <w:color w:val="0E2740"/>
        </w:rPr>
        <w:t xml:space="preserve">Chart </w:t>
      </w:r>
      <w:r w:rsidR="00FC6333">
        <w:rPr>
          <w:b/>
          <w:bCs/>
          <w:color w:val="0E2740"/>
        </w:rPr>
        <w:t>8</w:t>
      </w:r>
      <w:r w:rsidRPr="00EC7105">
        <w:rPr>
          <w:b/>
          <w:bCs/>
          <w:color w:val="0E2740"/>
        </w:rPr>
        <w:t xml:space="preserve">: </w:t>
      </w:r>
      <w:r>
        <w:rPr>
          <w:b/>
          <w:bCs/>
          <w:color w:val="0E2740"/>
        </w:rPr>
        <w:t xml:space="preserve">Structural </w:t>
      </w:r>
      <w:r w:rsidR="00FC6333">
        <w:rPr>
          <w:b/>
          <w:bCs/>
          <w:color w:val="0E2740"/>
        </w:rPr>
        <w:t>b</w:t>
      </w:r>
      <w:r>
        <w:rPr>
          <w:b/>
          <w:bCs/>
          <w:color w:val="0E2740"/>
        </w:rPr>
        <w:t xml:space="preserve">udget </w:t>
      </w:r>
      <w:r w:rsidR="00FC6333">
        <w:rPr>
          <w:b/>
          <w:bCs/>
          <w:color w:val="0E2740"/>
        </w:rPr>
        <w:t>b</w:t>
      </w:r>
      <w:r>
        <w:rPr>
          <w:b/>
          <w:bCs/>
          <w:color w:val="0E2740"/>
        </w:rPr>
        <w:t>alance</w:t>
      </w:r>
    </w:p>
    <w:p w14:paraId="41477714" w14:textId="36ABA36A" w:rsidR="000D49D5" w:rsidRPr="00EC7105" w:rsidRDefault="0049253A" w:rsidP="00D37F4B">
      <w:pPr>
        <w:spacing w:before="240" w:after="240"/>
        <w:rPr>
          <w:rFonts w:ascii="Aptos" w:eastAsia="Aptos" w:hAnsi="Aptos" w:cs="Aptos"/>
          <w:sz w:val="20"/>
          <w:szCs w:val="20"/>
        </w:rPr>
      </w:pPr>
      <w:r w:rsidRPr="0049253A">
        <w:rPr>
          <w:noProof/>
        </w:rPr>
        <w:drawing>
          <wp:inline distT="0" distB="0" distL="0" distR="0" wp14:anchorId="4C4FB78E" wp14:editId="7BA0D38D">
            <wp:extent cx="5627370" cy="3195320"/>
            <wp:effectExtent l="0" t="0" r="0" b="0"/>
            <wp:docPr id="1338766530" name="Picture 6" descr="This chart shows the structural budget balance, cyclical factors, and temporary fiscal measures. Together, these sum up to the underlying cash balance. The structural and cyclical balances are forecast to deteriorate in the near term. The structural budget deficit is expected to reach around 1½ per cent of GDP in 2025–26, and averages 1.0 per cent of GDP over the forward estimates. It gradually improves towards balance over the medium t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66530" name="Picture 6" descr="This chart shows the structural budget balance, cyclical factors, and temporary fiscal measures. Together, these sum up to the underlying cash balance. The structural and cyclical balances are forecast to deteriorate in the near term. The structural budget deficit is expected to reach around 1½ per cent of GDP in 2025–26, and averages 1.0 per cent of GDP over the forward estimates. It gradually improves towards balance over the medium ter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27370" cy="3195320"/>
                    </a:xfrm>
                    <a:prstGeom prst="rect">
                      <a:avLst/>
                    </a:prstGeom>
                    <a:noFill/>
                    <a:ln>
                      <a:noFill/>
                    </a:ln>
                  </pic:spPr>
                </pic:pic>
              </a:graphicData>
            </a:graphic>
          </wp:inline>
        </w:drawing>
      </w:r>
      <w:r w:rsidR="00AC4172" w:rsidRPr="00EC7105">
        <w:rPr>
          <w:rFonts w:ascii="Aptos" w:eastAsia="Aptos" w:hAnsi="Aptos" w:cs="Aptos"/>
          <w:sz w:val="20"/>
          <w:szCs w:val="20"/>
        </w:rPr>
        <w:t xml:space="preserve">Source: </w:t>
      </w:r>
      <w:r w:rsidR="000669E1" w:rsidRPr="00EC7105">
        <w:rPr>
          <w:rFonts w:ascii="Aptos" w:eastAsia="Aptos" w:hAnsi="Aptos" w:cs="Aptos"/>
          <w:sz w:val="20"/>
          <w:szCs w:val="20"/>
        </w:rPr>
        <w:t xml:space="preserve">2025-26 </w:t>
      </w:r>
      <w:r w:rsidR="006005A5" w:rsidRPr="00EC7105">
        <w:rPr>
          <w:rFonts w:ascii="Aptos" w:eastAsia="Aptos" w:hAnsi="Aptos" w:cs="Aptos"/>
          <w:sz w:val="20"/>
          <w:szCs w:val="20"/>
        </w:rPr>
        <w:t xml:space="preserve">Budget </w:t>
      </w:r>
    </w:p>
    <w:p w14:paraId="539CDA57" w14:textId="3B674001" w:rsidR="002D034C" w:rsidRPr="003E5016" w:rsidRDefault="002D034C" w:rsidP="002D034C">
      <w:pPr>
        <w:spacing w:before="240" w:after="240"/>
        <w:rPr>
          <w:rFonts w:eastAsia="Aptos" w:cs="Aptos"/>
          <w:lang w:val="en-US"/>
        </w:rPr>
      </w:pPr>
      <w:r w:rsidRPr="003E5016">
        <w:rPr>
          <w:rFonts w:eastAsia="Aptos" w:cs="Aptos"/>
          <w:lang w:val="en-US"/>
        </w:rPr>
        <w:t>The states and territories are also contributing to a deterioration in the aggregate fiscal position of all Australian governments. </w:t>
      </w:r>
    </w:p>
    <w:p w14:paraId="63031716" w14:textId="22E692BA" w:rsidR="002D034C" w:rsidRPr="003E5016" w:rsidRDefault="002D034C" w:rsidP="002D034C">
      <w:pPr>
        <w:spacing w:before="240" w:after="240"/>
        <w:rPr>
          <w:rFonts w:eastAsia="Aptos" w:cs="Aptos"/>
          <w:lang w:val="en-US"/>
        </w:rPr>
      </w:pPr>
      <w:r w:rsidRPr="003E5016">
        <w:rPr>
          <w:rFonts w:eastAsia="Aptos" w:cs="Aptos"/>
          <w:lang w:val="en-US"/>
        </w:rPr>
        <w:t>Combined state and territory government debt is 18.9 per cent of GDP for 2024–25, the highest level since states assumed sole responsibility for managing their debt in the early 1990s. </w:t>
      </w:r>
    </w:p>
    <w:p w14:paraId="08999212" w14:textId="11EAFCEA" w:rsidR="002D034C" w:rsidRPr="003E5016" w:rsidRDefault="002D034C" w:rsidP="002D034C">
      <w:pPr>
        <w:spacing w:before="240" w:after="240"/>
        <w:rPr>
          <w:rFonts w:eastAsia="Aptos" w:cs="Aptos"/>
          <w:lang w:val="en-US"/>
        </w:rPr>
      </w:pPr>
      <w:r w:rsidRPr="003E5016">
        <w:rPr>
          <w:rFonts w:eastAsia="Aptos" w:cs="Aptos"/>
          <w:lang w:val="en-US"/>
        </w:rPr>
        <w:t xml:space="preserve">The aggregate state fiscal deficit of 1.8 per cent of GDP for 2024–25 is 1.5 percentage points higher than </w:t>
      </w:r>
      <w:r w:rsidR="00437A38">
        <w:rPr>
          <w:rFonts w:eastAsia="Aptos" w:cs="Aptos"/>
          <w:lang w:val="en-US"/>
        </w:rPr>
        <w:t xml:space="preserve">the </w:t>
      </w:r>
      <w:r w:rsidR="002D4680">
        <w:rPr>
          <w:rFonts w:eastAsia="Aptos" w:cs="Aptos"/>
          <w:lang w:val="en-US"/>
        </w:rPr>
        <w:t>pre-pandemic</w:t>
      </w:r>
      <w:r w:rsidRPr="003E5016">
        <w:rPr>
          <w:rFonts w:eastAsia="Aptos" w:cs="Aptos"/>
          <w:lang w:val="en-US"/>
        </w:rPr>
        <w:t xml:space="preserve"> long-run average. </w:t>
      </w:r>
    </w:p>
    <w:p w14:paraId="77CB637F" w14:textId="68CC6D41" w:rsidR="00D13606" w:rsidRPr="003E5016" w:rsidRDefault="006C4869" w:rsidP="00DF2538">
      <w:pPr>
        <w:pStyle w:val="Heading1"/>
        <w:rPr>
          <w:sz w:val="28"/>
          <w:szCs w:val="28"/>
        </w:rPr>
      </w:pPr>
      <w:r>
        <w:rPr>
          <w:sz w:val="28"/>
          <w:szCs w:val="28"/>
        </w:rPr>
        <w:t>Conclusion</w:t>
      </w:r>
    </w:p>
    <w:p w14:paraId="61A011A5" w14:textId="4AB80EBA" w:rsidR="00881B52" w:rsidRPr="00013B1B" w:rsidRDefault="00881B52" w:rsidP="00881B52">
      <w:r w:rsidRPr="00013B1B">
        <w:t xml:space="preserve">Australia has handled the </w:t>
      </w:r>
      <w:r w:rsidR="00A0550C" w:rsidRPr="00013B1B">
        <w:t>post</w:t>
      </w:r>
      <w:r w:rsidR="00A0550C">
        <w:t>-</w:t>
      </w:r>
      <w:r w:rsidRPr="00013B1B">
        <w:t xml:space="preserve">pandemic </w:t>
      </w:r>
      <w:r w:rsidR="00DD41CA" w:rsidRPr="00013B1B">
        <w:t xml:space="preserve">and </w:t>
      </w:r>
      <w:r w:rsidR="00A0550C" w:rsidRPr="00013B1B">
        <w:t>war</w:t>
      </w:r>
      <w:r w:rsidR="00A0550C">
        <w:t>-</w:t>
      </w:r>
      <w:r w:rsidRPr="00013B1B">
        <w:t>generated inflation shock well</w:t>
      </w:r>
      <w:r w:rsidR="00766F31">
        <w:t>.</w:t>
      </w:r>
      <w:r w:rsidRPr="00013B1B">
        <w:t xml:space="preserve"> </w:t>
      </w:r>
      <w:r w:rsidR="00766F31">
        <w:t>I</w:t>
      </w:r>
      <w:r w:rsidRPr="00013B1B">
        <w:t>nflation is within</w:t>
      </w:r>
      <w:r w:rsidR="005D5FE2">
        <w:t xml:space="preserve"> the</w:t>
      </w:r>
      <w:r w:rsidRPr="00013B1B">
        <w:t xml:space="preserve"> target</w:t>
      </w:r>
      <w:r w:rsidR="005D5FE2">
        <w:t xml:space="preserve"> band</w:t>
      </w:r>
      <w:r w:rsidRPr="00013B1B">
        <w:t xml:space="preserve"> and easing, growth is beginning to </w:t>
      </w:r>
      <w:r w:rsidR="005D5FE2">
        <w:t xml:space="preserve">gradually </w:t>
      </w:r>
      <w:r w:rsidRPr="00013B1B">
        <w:t xml:space="preserve">strengthen, and unemployment remains at historic lows. </w:t>
      </w:r>
    </w:p>
    <w:p w14:paraId="24745F4C" w14:textId="50E1CA44" w:rsidR="00AA4D15" w:rsidRPr="00013B1B" w:rsidRDefault="00712E43" w:rsidP="00881B52">
      <w:r>
        <w:t>One of the areas the Government has invested in over</w:t>
      </w:r>
      <w:r w:rsidR="005A415F">
        <w:t xml:space="preserve"> the past 3 years is the </w:t>
      </w:r>
      <w:r w:rsidR="00B66744" w:rsidRPr="00013B1B">
        <w:t xml:space="preserve">social </w:t>
      </w:r>
      <w:r w:rsidR="00AA4D15" w:rsidRPr="00013B1B">
        <w:t>compact</w:t>
      </w:r>
      <w:r w:rsidR="00097539" w:rsidRPr="00013B1B">
        <w:t xml:space="preserve"> including</w:t>
      </w:r>
      <w:r w:rsidR="00B66744" w:rsidRPr="00013B1B">
        <w:t xml:space="preserve"> </w:t>
      </w:r>
      <w:r w:rsidR="00097539" w:rsidRPr="00013B1B">
        <w:t>addressing pay inequities in feminised industries and health and education outcomes</w:t>
      </w:r>
      <w:r w:rsidR="00AA4D15" w:rsidRPr="00013B1B">
        <w:t>.</w:t>
      </w:r>
      <w:r w:rsidR="00C2411A">
        <w:t xml:space="preserve"> It has also eased cost of living pressures.</w:t>
      </w:r>
    </w:p>
    <w:p w14:paraId="14802326" w14:textId="23AF497C" w:rsidR="0092743F" w:rsidRDefault="00AA7ECA" w:rsidP="00881B52">
      <w:r w:rsidRPr="00013B1B">
        <w:lastRenderedPageBreak/>
        <w:t xml:space="preserve">In </w:t>
      </w:r>
      <w:r w:rsidR="0053644E">
        <w:t xml:space="preserve">the </w:t>
      </w:r>
      <w:r w:rsidRPr="00013B1B">
        <w:t xml:space="preserve">period </w:t>
      </w:r>
      <w:r w:rsidR="00EE3C9C" w:rsidRPr="00013B1B">
        <w:t xml:space="preserve">ahead </w:t>
      </w:r>
      <w:r w:rsidRPr="00013B1B">
        <w:t xml:space="preserve">the </w:t>
      </w:r>
      <w:r w:rsidR="00C2411A">
        <w:t>policy focus shifts to responding to the</w:t>
      </w:r>
      <w:r w:rsidR="00CF764B">
        <w:t xml:space="preserve"> Government’s </w:t>
      </w:r>
      <w:r w:rsidR="00C2411A">
        <w:t xml:space="preserve">five policy </w:t>
      </w:r>
      <w:r w:rsidR="00CF764B">
        <w:t>pillars</w:t>
      </w:r>
      <w:r w:rsidR="00C2411A">
        <w:t xml:space="preserve"> with the primary focus being on productivity and resilience. </w:t>
      </w:r>
    </w:p>
    <w:p w14:paraId="45804556" w14:textId="77777777" w:rsidR="0092743F" w:rsidRDefault="00C2411A" w:rsidP="00881B52">
      <w:r>
        <w:t>The PC’s</w:t>
      </w:r>
      <w:r w:rsidR="0092743F">
        <w:t xml:space="preserve"> upcoming </w:t>
      </w:r>
      <w:r>
        <w:t xml:space="preserve">report will </w:t>
      </w:r>
      <w:r w:rsidR="0092743F">
        <w:t xml:space="preserve">undoubtedly </w:t>
      </w:r>
      <w:r>
        <w:t xml:space="preserve">provide the Government with </w:t>
      </w:r>
      <w:r w:rsidR="0092743F">
        <w:t xml:space="preserve">valuable </w:t>
      </w:r>
      <w:r>
        <w:t>opportunities to pursue th</w:t>
      </w:r>
      <w:r w:rsidR="0092743F">
        <w:t>ese</w:t>
      </w:r>
      <w:r>
        <w:t xml:space="preserve"> challenges </w:t>
      </w:r>
    </w:p>
    <w:p w14:paraId="3A7CC049" w14:textId="0BD10BBE" w:rsidR="00C2411A" w:rsidRDefault="0092743F" w:rsidP="00881B52">
      <w:r>
        <w:t>However,</w:t>
      </w:r>
      <w:r w:rsidR="00C2411A">
        <w:t xml:space="preserve"> there is already a substantial set of policies in front of government now that are material and will need to be delivered</w:t>
      </w:r>
      <w:r w:rsidR="007056DC">
        <w:t xml:space="preserve">. </w:t>
      </w:r>
      <w:r>
        <w:t xml:space="preserve">The quality of decision making in </w:t>
      </w:r>
      <w:r w:rsidR="00F35C29">
        <w:t xml:space="preserve">responding to </w:t>
      </w:r>
      <w:r w:rsidR="00886756">
        <w:t xml:space="preserve">these </w:t>
      </w:r>
      <w:r w:rsidR="00F35C29">
        <w:t>reviews and policy</w:t>
      </w:r>
      <w:r w:rsidR="00886756">
        <w:t xml:space="preserve"> challenges</w:t>
      </w:r>
      <w:r w:rsidR="00F35C29">
        <w:t xml:space="preserve"> </w:t>
      </w:r>
      <w:r>
        <w:t>will be crucial to driving productivity.</w:t>
      </w:r>
      <w:r w:rsidR="00C2411A">
        <w:t xml:space="preserve">  </w:t>
      </w:r>
    </w:p>
    <w:p w14:paraId="54D1D5C2" w14:textId="23DEED49" w:rsidR="00881B52" w:rsidRPr="00013B1B" w:rsidRDefault="0092743F" w:rsidP="00881B52">
      <w:r>
        <w:t>This will need to be done while international risks remain high.</w:t>
      </w:r>
    </w:p>
    <w:p w14:paraId="7F32BD50" w14:textId="77777777" w:rsidR="00E712D1" w:rsidRPr="00013B1B" w:rsidRDefault="00881B52" w:rsidP="00881B52">
      <w:r w:rsidRPr="00013B1B">
        <w:t xml:space="preserve">International economic and political fragmentation is accelerating, rules and norms are being cast aside, the interplay of nation size and power will dominate in the decades ahead. </w:t>
      </w:r>
    </w:p>
    <w:p w14:paraId="7EFE9D1F" w14:textId="32BA14BE" w:rsidR="00E712D1" w:rsidRPr="00013B1B" w:rsidRDefault="00881B52" w:rsidP="00881B52">
      <w:r w:rsidRPr="00013B1B">
        <w:t xml:space="preserve">This is not a new </w:t>
      </w:r>
      <w:proofErr w:type="gramStart"/>
      <w:r w:rsidRPr="00013B1B">
        <w:t>trend</w:t>
      </w:r>
      <w:r w:rsidR="00D664CB">
        <w:t>,</w:t>
      </w:r>
      <w:proofErr w:type="gramEnd"/>
      <w:r w:rsidR="00D664CB">
        <w:t xml:space="preserve"> i</w:t>
      </w:r>
      <w:r w:rsidRPr="00013B1B">
        <w:t xml:space="preserve">t is an existing trend that has dramatically accelerated. </w:t>
      </w:r>
    </w:p>
    <w:p w14:paraId="2414634B" w14:textId="097C1DE6" w:rsidR="00881B52" w:rsidRPr="00013B1B" w:rsidRDefault="00881B52" w:rsidP="00881B52">
      <w:r w:rsidRPr="00013B1B">
        <w:t xml:space="preserve">Nor is it a new world. We have seen this world before. It is one where missteps are more likely, and consequences more severe. A riskier </w:t>
      </w:r>
      <w:r w:rsidR="00A3058B">
        <w:t xml:space="preserve">and less predictable </w:t>
      </w:r>
      <w:r w:rsidRPr="00013B1B">
        <w:t xml:space="preserve">world. </w:t>
      </w:r>
    </w:p>
    <w:p w14:paraId="45C88D18" w14:textId="4CFBF4ED" w:rsidR="00367D6B" w:rsidRPr="00013B1B" w:rsidRDefault="00367D6B" w:rsidP="00F54EC0">
      <w:r w:rsidRPr="00013B1B">
        <w:t xml:space="preserve">But we can </w:t>
      </w:r>
      <w:r w:rsidR="00EE3C9C" w:rsidRPr="00013B1B">
        <w:t>mitigate</w:t>
      </w:r>
      <w:r w:rsidRPr="00013B1B">
        <w:t xml:space="preserve"> these risks through investing in our </w:t>
      </w:r>
      <w:r w:rsidR="00881B52" w:rsidRPr="00013B1B">
        <w:t>democratic capitalist</w:t>
      </w:r>
      <w:r w:rsidR="00DA1959" w:rsidRPr="00013B1B">
        <w:t xml:space="preserve"> econo</w:t>
      </w:r>
      <w:r w:rsidRPr="00013B1B">
        <w:t>my</w:t>
      </w:r>
      <w:r w:rsidR="00DA1959" w:rsidRPr="00013B1B">
        <w:t>.</w:t>
      </w:r>
      <w:r w:rsidR="00881B52" w:rsidRPr="00013B1B">
        <w:t xml:space="preserve"> </w:t>
      </w:r>
    </w:p>
    <w:p w14:paraId="49792A5D" w14:textId="1D354D5A" w:rsidR="00367D6B" w:rsidRPr="00013B1B" w:rsidRDefault="00DA1959" w:rsidP="00F54EC0">
      <w:r w:rsidRPr="00013B1B">
        <w:t>This</w:t>
      </w:r>
      <w:r w:rsidR="00881B52" w:rsidRPr="00013B1B">
        <w:t xml:space="preserve"> </w:t>
      </w:r>
      <w:r w:rsidRPr="00013B1B">
        <w:t xml:space="preserve">is the </w:t>
      </w:r>
      <w:r w:rsidR="00881B52" w:rsidRPr="00013B1B">
        <w:t xml:space="preserve">model </w:t>
      </w:r>
      <w:r w:rsidR="004228DA" w:rsidRPr="00013B1B">
        <w:t xml:space="preserve">of economic and social progress </w:t>
      </w:r>
      <w:r w:rsidR="00881B52" w:rsidRPr="00013B1B">
        <w:t>that Australian</w:t>
      </w:r>
      <w:r w:rsidR="003A6A76" w:rsidRPr="00013B1B">
        <w:t xml:space="preserve"> governments</w:t>
      </w:r>
      <w:r w:rsidR="00881B52" w:rsidRPr="00013B1B">
        <w:t xml:space="preserve"> ha</w:t>
      </w:r>
      <w:r w:rsidR="003A6A76" w:rsidRPr="00013B1B">
        <w:t>ve</w:t>
      </w:r>
      <w:r w:rsidR="00881B52" w:rsidRPr="00013B1B">
        <w:t xml:space="preserve"> championed</w:t>
      </w:r>
      <w:r w:rsidR="004228DA" w:rsidRPr="00013B1B">
        <w:t xml:space="preserve"> in the past</w:t>
      </w:r>
      <w:r w:rsidR="00881B52" w:rsidRPr="00013B1B">
        <w:t xml:space="preserve"> and is as relevant today as it was the</w:t>
      </w:r>
      <w:r w:rsidR="004228DA" w:rsidRPr="00013B1B">
        <w:t>n</w:t>
      </w:r>
      <w:r w:rsidR="00881B52" w:rsidRPr="00013B1B">
        <w:t xml:space="preserve">. </w:t>
      </w:r>
    </w:p>
    <w:p w14:paraId="2401B103" w14:textId="2AFFD0F6" w:rsidR="00B96DCA" w:rsidRPr="00B96DCA" w:rsidRDefault="002978BC" w:rsidP="00B96DCA">
      <w:pPr>
        <w:rPr>
          <w:highlight w:val="green"/>
        </w:rPr>
      </w:pPr>
      <w:r w:rsidRPr="00013B1B">
        <w:t>It does need to be adapted to new challenges</w:t>
      </w:r>
      <w:r w:rsidR="00676651" w:rsidRPr="00013B1B">
        <w:t>,</w:t>
      </w:r>
      <w:r w:rsidRPr="00013B1B">
        <w:t xml:space="preserve"> </w:t>
      </w:r>
      <w:r w:rsidR="008421A9">
        <w:t xml:space="preserve">such as the interplay </w:t>
      </w:r>
      <w:r w:rsidR="002F410B">
        <w:t xml:space="preserve">of economic and national security, </w:t>
      </w:r>
      <w:r w:rsidR="00F54EC0" w:rsidRPr="00013B1B">
        <w:t xml:space="preserve">but </w:t>
      </w:r>
      <w:r w:rsidR="00676651" w:rsidRPr="00013B1B">
        <w:t xml:space="preserve">it also </w:t>
      </w:r>
      <w:r w:rsidR="00F54EC0" w:rsidRPr="00013B1B">
        <w:t>need</w:t>
      </w:r>
      <w:r w:rsidR="005C008B" w:rsidRPr="00013B1B">
        <w:t>s</w:t>
      </w:r>
      <w:r w:rsidR="00F54EC0" w:rsidRPr="00013B1B">
        <w:t xml:space="preserve"> to maintain</w:t>
      </w:r>
      <w:r w:rsidR="00881B52" w:rsidRPr="00013B1B">
        <w:t xml:space="preserve"> </w:t>
      </w:r>
      <w:r w:rsidR="00CA75A5">
        <w:t xml:space="preserve">the </w:t>
      </w:r>
      <w:r w:rsidR="00881B52" w:rsidRPr="00013B1B">
        <w:t>conventional economic considerations of budget constraints, trade-offs and cost benefit analysis</w:t>
      </w:r>
      <w:r w:rsidR="00DC3EFE" w:rsidRPr="00DC3EFE">
        <w:t>.</w:t>
      </w:r>
      <w:r w:rsidR="00B96DCA" w:rsidRPr="00DC3EFE">
        <w:rPr>
          <w:vertAlign w:val="superscript"/>
        </w:rPr>
        <w:footnoteReference w:id="21"/>
      </w:r>
      <w:r w:rsidR="00B96DCA" w:rsidRPr="00DC3EFE">
        <w:t xml:space="preserve"> </w:t>
      </w:r>
    </w:p>
    <w:p w14:paraId="410EB94C" w14:textId="6FF073B6" w:rsidR="00881B52" w:rsidRDefault="00881B52" w:rsidP="00F54EC0"/>
    <w:p w14:paraId="78C4FA7A" w14:textId="3EDFA791" w:rsidR="00512A1C" w:rsidRDefault="00512A1C" w:rsidP="007E0920"/>
    <w:sectPr w:rsidR="00512A1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375AA" w14:textId="77777777" w:rsidR="00DE011E" w:rsidRDefault="00DE011E" w:rsidP="00073F77">
      <w:pPr>
        <w:spacing w:after="0" w:line="240" w:lineRule="auto"/>
      </w:pPr>
      <w:r>
        <w:separator/>
      </w:r>
    </w:p>
  </w:endnote>
  <w:endnote w:type="continuationSeparator" w:id="0">
    <w:p w14:paraId="132878B8" w14:textId="77777777" w:rsidR="00DE011E" w:rsidRDefault="00DE011E" w:rsidP="00073F77">
      <w:pPr>
        <w:spacing w:after="0" w:line="240" w:lineRule="auto"/>
      </w:pPr>
      <w:r>
        <w:continuationSeparator/>
      </w:r>
    </w:p>
  </w:endnote>
  <w:endnote w:type="continuationNotice" w:id="1">
    <w:p w14:paraId="66828133" w14:textId="77777777" w:rsidR="00DE011E" w:rsidRDefault="00DE01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785189"/>
      <w:docPartObj>
        <w:docPartGallery w:val="Page Numbers (Bottom of Page)"/>
        <w:docPartUnique/>
      </w:docPartObj>
    </w:sdtPr>
    <w:sdtEndPr/>
    <w:sdtContent>
      <w:sdt>
        <w:sdtPr>
          <w:id w:val="-1769616900"/>
          <w:docPartObj>
            <w:docPartGallery w:val="Page Numbers (Top of Page)"/>
            <w:docPartUnique/>
          </w:docPartObj>
        </w:sdtPr>
        <w:sdtEndPr/>
        <w:sdtContent>
          <w:p w14:paraId="5D282A2D" w14:textId="3EDE23DF" w:rsidR="00EC7105" w:rsidRDefault="00EC710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07B228" w14:textId="430717D4" w:rsidR="00073F77" w:rsidRPr="00022C56" w:rsidRDefault="00073F77" w:rsidP="00022C56">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03495" w14:textId="77777777" w:rsidR="00DE011E" w:rsidRDefault="00DE011E" w:rsidP="00073F77">
      <w:pPr>
        <w:spacing w:after="0" w:line="240" w:lineRule="auto"/>
      </w:pPr>
      <w:r>
        <w:separator/>
      </w:r>
    </w:p>
  </w:footnote>
  <w:footnote w:type="continuationSeparator" w:id="0">
    <w:p w14:paraId="3F17A55C" w14:textId="77777777" w:rsidR="00DE011E" w:rsidRDefault="00DE011E" w:rsidP="00073F77">
      <w:pPr>
        <w:spacing w:after="0" w:line="240" w:lineRule="auto"/>
      </w:pPr>
      <w:r>
        <w:continuationSeparator/>
      </w:r>
    </w:p>
  </w:footnote>
  <w:footnote w:type="continuationNotice" w:id="1">
    <w:p w14:paraId="0129A216" w14:textId="77777777" w:rsidR="00DE011E" w:rsidRDefault="00DE011E">
      <w:pPr>
        <w:spacing w:after="0" w:line="240" w:lineRule="auto"/>
      </w:pPr>
    </w:p>
  </w:footnote>
  <w:footnote w:id="2">
    <w:p w14:paraId="118DF334" w14:textId="40956B01" w:rsidR="004402C9" w:rsidRDefault="004402C9" w:rsidP="004402C9">
      <w:pPr>
        <w:pStyle w:val="FootnoteText"/>
        <w:rPr>
          <w:rStyle w:val="FootnoteReference"/>
        </w:rPr>
      </w:pPr>
      <w:r>
        <w:rPr>
          <w:rStyle w:val="FootnoteReference"/>
          <w:rFonts w:ascii="Symbol" w:eastAsia="Symbol" w:hAnsi="Symbol" w:cs="Symbol"/>
        </w:rPr>
        <w:t>*</w:t>
      </w:r>
      <w:r>
        <w:t xml:space="preserve"> I would like to express my appreciation to</w:t>
      </w:r>
      <w:r w:rsidR="009D64F0">
        <w:t xml:space="preserve"> Katrina Di Marco, Shane Johnson and Matthew Rudd </w:t>
      </w:r>
      <w:r w:rsidRPr="00A20E26">
        <w:t>for their assistance</w:t>
      </w:r>
      <w:r>
        <w:t xml:space="preserve"> in preparing this address.</w:t>
      </w:r>
    </w:p>
  </w:footnote>
  <w:footnote w:id="3">
    <w:p w14:paraId="648F1B19" w14:textId="77777777" w:rsidR="00280A83" w:rsidRDefault="00280A83" w:rsidP="00280A83">
      <w:pPr>
        <w:pStyle w:val="FootnoteText"/>
      </w:pPr>
      <w:r>
        <w:rPr>
          <w:rStyle w:val="FootnoteReference"/>
        </w:rPr>
        <w:footnoteRef/>
      </w:r>
      <w:r>
        <w:t xml:space="preserve"> On 12 May, US tariffs were reduced from 145 per cent to 30 per cent (on top of sectoral tariffs and fentanyl related tariffs) and Chinese tariffs on US goods were reduced to 10 per cent.</w:t>
      </w:r>
    </w:p>
  </w:footnote>
  <w:footnote w:id="4">
    <w:p w14:paraId="7D3786C1" w14:textId="7942A0E3" w:rsidR="001B22AA" w:rsidRDefault="001B22AA" w:rsidP="00502CD1">
      <w:pPr>
        <w:pStyle w:val="FootnoteText"/>
      </w:pPr>
      <w:r>
        <w:rPr>
          <w:rStyle w:val="FootnoteReference"/>
        </w:rPr>
        <w:footnoteRef/>
      </w:r>
      <w:r>
        <w:t xml:space="preserve"> </w:t>
      </w:r>
      <w:r w:rsidR="0079433E">
        <w:t>Ya</w:t>
      </w:r>
      <w:r w:rsidR="00B20308">
        <w:t>ng and Chen</w:t>
      </w:r>
      <w:r w:rsidR="001B4D10">
        <w:t xml:space="preserve"> (2025)</w:t>
      </w:r>
      <w:r w:rsidR="00502CD1">
        <w:t xml:space="preserve"> </w:t>
      </w:r>
      <w:r w:rsidR="002E7643">
        <w:t>Goldman Sachs Economics Research</w:t>
      </w:r>
      <w:r w:rsidR="00C970D2">
        <w:t xml:space="preserve"> - </w:t>
      </w:r>
      <w:r w:rsidR="00502CD1">
        <w:t>China</w:t>
      </w:r>
      <w:r w:rsidR="00502CD1" w:rsidRPr="00502CD1">
        <w:t>: Labor market implications from heightened US tariffs</w:t>
      </w:r>
      <w:r w:rsidR="00B20308">
        <w:t>.</w:t>
      </w:r>
    </w:p>
  </w:footnote>
  <w:footnote w:id="5">
    <w:p w14:paraId="58B2C9F9" w14:textId="3CFEFEB5" w:rsidR="00D006BA" w:rsidRDefault="00D006BA" w:rsidP="00D006BA">
      <w:pPr>
        <w:pStyle w:val="FootnoteText"/>
      </w:pPr>
      <w:r>
        <w:rPr>
          <w:rStyle w:val="FootnoteReference"/>
        </w:rPr>
        <w:footnoteRef/>
      </w:r>
      <w:r>
        <w:t xml:space="preserve"> Posen (2025) </w:t>
      </w:r>
      <w:hyperlink r:id="rId1" w:history="1">
        <w:r w:rsidRPr="002D5ADC">
          <w:rPr>
            <w:rStyle w:val="Hyperlink"/>
          </w:rPr>
          <w:t>Trade Wars Are Easy to Lose: Beijing Has Escalation Dominance in the U.S.</w:t>
        </w:r>
        <w:r w:rsidR="00E36A50">
          <w:rPr>
            <w:rStyle w:val="Hyperlink"/>
          </w:rPr>
          <w:t xml:space="preserve"> </w:t>
        </w:r>
        <w:r w:rsidRPr="002D5ADC">
          <w:rPr>
            <w:rStyle w:val="Hyperlink"/>
          </w:rPr>
          <w:t>China Tariff Fight</w:t>
        </w:r>
      </w:hyperlink>
      <w:r w:rsidR="00E36A50">
        <w:rPr>
          <w:rStyle w:val="Hyperlink"/>
        </w:rPr>
        <w:t>.</w:t>
      </w:r>
    </w:p>
  </w:footnote>
  <w:footnote w:id="6">
    <w:p w14:paraId="60D757B7" w14:textId="77777777" w:rsidR="00E278C7" w:rsidRDefault="00E278C7" w:rsidP="00E278C7">
      <w:pPr>
        <w:pStyle w:val="FootnoteText"/>
      </w:pPr>
      <w:r>
        <w:rPr>
          <w:rStyle w:val="FootnoteReference"/>
        </w:rPr>
        <w:footnoteRef/>
      </w:r>
      <w:r>
        <w:t xml:space="preserve"> Treasury (2025) </w:t>
      </w:r>
      <w:hyperlink r:id="rId2" w:history="1">
        <w:r w:rsidRPr="009A472A">
          <w:rPr>
            <w:rStyle w:val="Hyperlink"/>
          </w:rPr>
          <w:t>Budget Paper No. 1</w:t>
        </w:r>
      </w:hyperlink>
      <w:r>
        <w:t>, pp.38-39</w:t>
      </w:r>
    </w:p>
  </w:footnote>
  <w:footnote w:id="7">
    <w:p w14:paraId="64DFF1D4" w14:textId="3935EAE3" w:rsidR="3F4A430F" w:rsidRDefault="3F4A430F" w:rsidP="008932DC">
      <w:pPr>
        <w:pStyle w:val="FootnoteText"/>
      </w:pPr>
      <w:r w:rsidRPr="3F4A430F">
        <w:rPr>
          <w:rStyle w:val="FootnoteReference"/>
        </w:rPr>
        <w:footnoteRef/>
      </w:r>
      <w:r w:rsidR="39787159">
        <w:t xml:space="preserve"> An increase in uncertainty leads to a decline in </w:t>
      </w:r>
      <w:r w:rsidR="4011A4AE">
        <w:t xml:space="preserve">business investment as investors seek safer </w:t>
      </w:r>
      <w:r w:rsidR="7B41684A">
        <w:t xml:space="preserve">alternatives. </w:t>
      </w:r>
      <w:r w:rsidR="4D15F90E">
        <w:t>This in turn reduces demand for investment goods, such as machinery and</w:t>
      </w:r>
      <w:r w:rsidR="44FB55FF">
        <w:t xml:space="preserve"> equipment, which are often </w:t>
      </w:r>
      <w:r w:rsidR="42500974">
        <w:t xml:space="preserve">imported. </w:t>
      </w:r>
      <w:r w:rsidR="01ACF5FC">
        <w:t xml:space="preserve">The aggregate economic impact of rising uncertainty and tariffs </w:t>
      </w:r>
      <w:r w:rsidR="002D05BC">
        <w:t>varies across countries</w:t>
      </w:r>
      <w:r w:rsidR="136994FF">
        <w:t xml:space="preserve">, largely due to </w:t>
      </w:r>
      <w:r w:rsidR="57372356">
        <w:t xml:space="preserve">differences in the shares of </w:t>
      </w:r>
      <w:r w:rsidR="4CC27BCB">
        <w:t>investment goods</w:t>
      </w:r>
      <w:r w:rsidR="73988D52">
        <w:t xml:space="preserve"> </w:t>
      </w:r>
      <w:r w:rsidR="2722D509">
        <w:t xml:space="preserve">in GDP. </w:t>
      </w:r>
      <w:r w:rsidR="72599893">
        <w:t>Australia’s GDP declines relative to that of the US for</w:t>
      </w:r>
      <w:r w:rsidR="21AA9768">
        <w:t xml:space="preserve"> a combination of factors including the direct effect </w:t>
      </w:r>
      <w:r w:rsidR="5C741AAC">
        <w:t xml:space="preserve">of lower investment, the spillover </w:t>
      </w:r>
      <w:r w:rsidR="4688B645">
        <w:t>effects of lower demand for investment good exports from</w:t>
      </w:r>
      <w:r w:rsidR="3ED4ADD0">
        <w:t xml:space="preserve"> some of our largest trading partners, and the </w:t>
      </w:r>
      <w:r w:rsidR="025DE199">
        <w:t xml:space="preserve">economy’s relatively rapid </w:t>
      </w:r>
      <w:r w:rsidR="7ABCEC1A">
        <w:t>adjustment to the increased uncertainty.</w:t>
      </w:r>
    </w:p>
  </w:footnote>
  <w:footnote w:id="8">
    <w:p w14:paraId="07CCEED8" w14:textId="1EED879E" w:rsidR="0022019C" w:rsidRDefault="0022019C">
      <w:pPr>
        <w:pStyle w:val="FootnoteText"/>
      </w:pPr>
      <w:r>
        <w:rPr>
          <w:rStyle w:val="FootnoteReference"/>
        </w:rPr>
        <w:footnoteRef/>
      </w:r>
      <w:r>
        <w:t xml:space="preserve"> </w:t>
      </w:r>
      <w:r w:rsidR="00BE2652">
        <w:t xml:space="preserve">Hadley Ed (2016) Hand-off: The Foreign Policy George W Bush passed to </w:t>
      </w:r>
      <w:r w:rsidR="000B39FB">
        <w:t>Barack Obama</w:t>
      </w:r>
    </w:p>
  </w:footnote>
  <w:footnote w:id="9">
    <w:p w14:paraId="5AF7C411" w14:textId="6DFEBB5E" w:rsidR="00AB479B" w:rsidRDefault="00AB479B">
      <w:pPr>
        <w:pStyle w:val="FootnoteText"/>
      </w:pPr>
      <w:r w:rsidRPr="00EE3034">
        <w:rPr>
          <w:rStyle w:val="FootnoteReference"/>
          <w:color w:val="000000" w:themeColor="text1"/>
        </w:rPr>
        <w:footnoteRef/>
      </w:r>
      <w:r w:rsidRPr="00EE3034">
        <w:rPr>
          <w:color w:val="000000" w:themeColor="text1"/>
        </w:rPr>
        <w:t xml:space="preserve"> Obama (2016)</w:t>
      </w:r>
      <w:hyperlink r:id="rId3" w:history="1">
        <w:r w:rsidRPr="00EE3034">
          <w:rPr>
            <w:rStyle w:val="Hyperlink"/>
          </w:rPr>
          <w:t xml:space="preserve"> </w:t>
        </w:r>
        <w:r w:rsidRPr="00AB479B">
          <w:rPr>
            <w:rStyle w:val="Hyperlink"/>
          </w:rPr>
          <w:t>President Obama: The TPP would let America, not China, lead the way on global trade</w:t>
        </w:r>
      </w:hyperlink>
    </w:p>
  </w:footnote>
  <w:footnote w:id="10">
    <w:p w14:paraId="3AF48F44" w14:textId="549D0276" w:rsidR="00632D60" w:rsidRPr="00746A51" w:rsidRDefault="00732AB6" w:rsidP="00732AB6">
      <w:pPr>
        <w:pStyle w:val="FootnoteText"/>
        <w:rPr>
          <w:color w:val="467886" w:themeColor="hyperlink"/>
          <w:u w:val="single"/>
        </w:rPr>
      </w:pPr>
      <w:r>
        <w:rPr>
          <w:rStyle w:val="FootnoteReference"/>
        </w:rPr>
        <w:footnoteRef/>
      </w:r>
      <w:r>
        <w:t xml:space="preserve"> </w:t>
      </w:r>
      <w:r w:rsidR="00541942">
        <w:t xml:space="preserve">See </w:t>
      </w:r>
      <w:proofErr w:type="spellStart"/>
      <w:r>
        <w:t>Vinjamuri</w:t>
      </w:r>
      <w:proofErr w:type="spellEnd"/>
      <w:r>
        <w:t xml:space="preserve"> </w:t>
      </w:r>
      <w:r w:rsidR="00541942">
        <w:t>in Chatham House</w:t>
      </w:r>
      <w:r>
        <w:t xml:space="preserve"> (2025), </w:t>
      </w:r>
      <w:hyperlink r:id="rId4" w:history="1">
        <w:r w:rsidRPr="006D3340">
          <w:rPr>
            <w:rStyle w:val="Hyperlink"/>
          </w:rPr>
          <w:t>The fracturing of the US-led liberal international order</w:t>
        </w:r>
      </w:hyperlink>
    </w:p>
  </w:footnote>
  <w:footnote w:id="11">
    <w:p w14:paraId="50D5CB96" w14:textId="5660A9F6" w:rsidR="00706847" w:rsidRDefault="00706847">
      <w:pPr>
        <w:pStyle w:val="FootnoteText"/>
      </w:pPr>
      <w:r>
        <w:rPr>
          <w:rStyle w:val="FootnoteReference"/>
        </w:rPr>
        <w:footnoteRef/>
      </w:r>
      <w:r>
        <w:t xml:space="preserve"> </w:t>
      </w:r>
      <w:r w:rsidR="00746A51">
        <w:t xml:space="preserve">Australian Strategic Policy Institute (2025), </w:t>
      </w:r>
      <w:hyperlink r:id="rId5" w:history="1">
        <w:r w:rsidR="00746A51" w:rsidRPr="00485505">
          <w:rPr>
            <w:rStyle w:val="Hyperlink"/>
          </w:rPr>
          <w:t>In 2024, a global anti-incumbent election wave | The Strategist</w:t>
        </w:r>
      </w:hyperlink>
      <w:r w:rsidR="00746A51">
        <w:t xml:space="preserve">; IPSOS (2025) </w:t>
      </w:r>
      <w:hyperlink r:id="rId6" w:history="1">
        <w:r w:rsidR="00746A51" w:rsidRPr="007753AF">
          <w:rPr>
            <w:rStyle w:val="Hyperlink"/>
          </w:rPr>
          <w:t>The factors driving anti-incumbent anger</w:t>
        </w:r>
      </w:hyperlink>
    </w:p>
  </w:footnote>
  <w:footnote w:id="12">
    <w:p w14:paraId="0C2C6272" w14:textId="6E462323" w:rsidR="00F300C4" w:rsidRDefault="00F300C4">
      <w:pPr>
        <w:pStyle w:val="FootnoteText"/>
      </w:pPr>
      <w:r>
        <w:rPr>
          <w:rStyle w:val="FootnoteReference"/>
        </w:rPr>
        <w:footnoteRef/>
      </w:r>
      <w:r>
        <w:t xml:space="preserve"> </w:t>
      </w:r>
      <w:r w:rsidR="00922EA5">
        <w:t xml:space="preserve">This identified three priorities: closing the innovation gap, a comprehensive plan for decarbonisation and competitiveness, and increasing security and reducing dependencies see </w:t>
      </w:r>
      <w:r>
        <w:t xml:space="preserve">European Commission (2024) </w:t>
      </w:r>
      <w:hyperlink r:id="rId7" w:history="1">
        <w:r w:rsidRPr="00F300C4">
          <w:rPr>
            <w:rStyle w:val="Hyperlink"/>
          </w:rPr>
          <w:t>The Draghi report on EU competitiveness</w:t>
        </w:r>
      </w:hyperlink>
    </w:p>
  </w:footnote>
  <w:footnote w:id="13">
    <w:p w14:paraId="0F561E65" w14:textId="36FAD9AA" w:rsidR="00E234ED" w:rsidRDefault="00E234ED">
      <w:pPr>
        <w:pStyle w:val="FootnoteText"/>
      </w:pPr>
      <w:r>
        <w:rPr>
          <w:rStyle w:val="FootnoteReference"/>
        </w:rPr>
        <w:footnoteRef/>
      </w:r>
      <w:r>
        <w:t xml:space="preserve"> </w:t>
      </w:r>
      <w:hyperlink r:id="rId8" w:history="1">
        <w:r w:rsidR="007427C3" w:rsidRPr="00973FEF">
          <w:rPr>
            <w:rStyle w:val="Hyperlink"/>
          </w:rPr>
          <w:t>Japan</w:t>
        </w:r>
      </w:hyperlink>
      <w:r w:rsidR="00973FEF">
        <w:t xml:space="preserve">, </w:t>
      </w:r>
      <w:hyperlink r:id="rId9" w:history="1">
        <w:r w:rsidR="00973FEF" w:rsidRPr="000E07B8">
          <w:rPr>
            <w:rStyle w:val="Hyperlink"/>
          </w:rPr>
          <w:t>Canada</w:t>
        </w:r>
      </w:hyperlink>
      <w:r w:rsidR="000E07B8">
        <w:t xml:space="preserve">, </w:t>
      </w:r>
      <w:hyperlink r:id="rId10" w:history="1">
        <w:r w:rsidR="000E07B8" w:rsidRPr="000E07B8">
          <w:rPr>
            <w:rStyle w:val="Hyperlink"/>
          </w:rPr>
          <w:t>United Kingdom</w:t>
        </w:r>
      </w:hyperlink>
      <w:r w:rsidR="000E07B8">
        <w:t xml:space="preserve">, </w:t>
      </w:r>
      <w:hyperlink r:id="rId11" w:anchor=":~:text=In%20the%20coming%20months%2C%20NATO,to%20a%20balance%20from%202035." w:history="1">
        <w:r w:rsidR="000E07B8" w:rsidRPr="00374EAA">
          <w:rPr>
            <w:rStyle w:val="Hyperlink"/>
          </w:rPr>
          <w:t>Sweden</w:t>
        </w:r>
      </w:hyperlink>
      <w:r w:rsidR="00374EAA">
        <w:t xml:space="preserve"> and </w:t>
      </w:r>
      <w:hyperlink r:id="rId12" w:anchor=":~:text=%E2%80%9CThis%20new%20Defence%20Capability%20Plan,in%20the%20next%20eight%20years." w:history="1">
        <w:r w:rsidR="00374EAA" w:rsidRPr="00E52798">
          <w:rPr>
            <w:rStyle w:val="Hyperlink"/>
          </w:rPr>
          <w:t>New Zealand</w:t>
        </w:r>
      </w:hyperlink>
      <w:r w:rsidR="00374EAA">
        <w:t>.</w:t>
      </w:r>
    </w:p>
  </w:footnote>
  <w:footnote w:id="14">
    <w:p w14:paraId="66994989" w14:textId="02F1530F" w:rsidR="0073591B" w:rsidRDefault="0073591B" w:rsidP="00EE3034">
      <w:r w:rsidRPr="00A249BD">
        <w:rPr>
          <w:rStyle w:val="FootnoteReference"/>
          <w:sz w:val="20"/>
          <w:szCs w:val="20"/>
        </w:rPr>
        <w:footnoteRef/>
      </w:r>
      <w:r w:rsidRPr="00EE3034">
        <w:rPr>
          <w:rStyle w:val="FootnoteReference"/>
        </w:rPr>
        <w:t xml:space="preserve"> </w:t>
      </w:r>
      <w:r w:rsidRPr="0073591B">
        <w:rPr>
          <w:sz w:val="20"/>
          <w:szCs w:val="20"/>
        </w:rPr>
        <w:t>The recently launched</w:t>
      </w:r>
      <w:r w:rsidR="00C760E7">
        <w:rPr>
          <w:sz w:val="20"/>
          <w:szCs w:val="20"/>
        </w:rPr>
        <w:t xml:space="preserve"> White Paper</w:t>
      </w:r>
      <w:r w:rsidR="00797A5C">
        <w:rPr>
          <w:sz w:val="20"/>
          <w:szCs w:val="20"/>
        </w:rPr>
        <w:t xml:space="preserve"> </w:t>
      </w:r>
      <w:hyperlink r:id="rId13" w:history="1">
        <w:proofErr w:type="spellStart"/>
        <w:r w:rsidR="00797A5C" w:rsidRPr="00797A5C">
          <w:rPr>
            <w:rStyle w:val="Hyperlink"/>
            <w:sz w:val="20"/>
            <w:szCs w:val="20"/>
          </w:rPr>
          <w:t>ReArm</w:t>
        </w:r>
        <w:proofErr w:type="spellEnd"/>
        <w:r w:rsidR="00797A5C" w:rsidRPr="00797A5C">
          <w:rPr>
            <w:rStyle w:val="Hyperlink"/>
            <w:sz w:val="20"/>
            <w:szCs w:val="20"/>
          </w:rPr>
          <w:t xml:space="preserve"> Europe/Readiness 2030</w:t>
        </w:r>
      </w:hyperlink>
      <w:r w:rsidRPr="0073591B">
        <w:rPr>
          <w:sz w:val="20"/>
          <w:szCs w:val="20"/>
        </w:rPr>
        <w:t xml:space="preserve"> has sought to boost defence spending by around 800 million euros</w:t>
      </w:r>
      <w:r>
        <w:rPr>
          <w:sz w:val="20"/>
          <w:szCs w:val="20"/>
        </w:rPr>
        <w:t xml:space="preserve"> in EU member states</w:t>
      </w:r>
      <w:r w:rsidRPr="0073591B">
        <w:rPr>
          <w:sz w:val="20"/>
          <w:szCs w:val="20"/>
        </w:rPr>
        <w:t xml:space="preserve">, largely by allowing member states to activate a </w:t>
      </w:r>
      <w:r w:rsidR="00FF6F2B">
        <w:rPr>
          <w:sz w:val="20"/>
          <w:szCs w:val="20"/>
        </w:rPr>
        <w:t>‘</w:t>
      </w:r>
      <w:r w:rsidRPr="0073591B">
        <w:rPr>
          <w:sz w:val="20"/>
          <w:szCs w:val="20"/>
        </w:rPr>
        <w:t>national escape clause</w:t>
      </w:r>
      <w:r w:rsidR="00FF6F2B">
        <w:rPr>
          <w:sz w:val="20"/>
          <w:szCs w:val="20"/>
        </w:rPr>
        <w:t>’</w:t>
      </w:r>
      <w:r w:rsidRPr="0073591B">
        <w:rPr>
          <w:sz w:val="20"/>
          <w:szCs w:val="20"/>
        </w:rPr>
        <w:t xml:space="preserve"> to allow them to increase spending on defence and not breach EU fiscal rules</w:t>
      </w:r>
      <w:r>
        <w:rPr>
          <w:sz w:val="20"/>
          <w:szCs w:val="20"/>
        </w:rPr>
        <w:t xml:space="preserve">. </w:t>
      </w:r>
    </w:p>
  </w:footnote>
  <w:footnote w:id="15">
    <w:p w14:paraId="335B0C5E" w14:textId="77777777" w:rsidR="00A54160" w:rsidRDefault="00A54160" w:rsidP="00A54160">
      <w:pPr>
        <w:pStyle w:val="FootnoteText"/>
      </w:pPr>
      <w:r>
        <w:rPr>
          <w:rStyle w:val="FootnoteReference"/>
        </w:rPr>
        <w:footnoteRef/>
      </w:r>
      <w:r>
        <w:t xml:space="preserve"> Furman (2025), </w:t>
      </w:r>
      <w:hyperlink r:id="rId14" w:history="1">
        <w:r w:rsidRPr="00DA3022">
          <w:rPr>
            <w:rStyle w:val="Hyperlink"/>
          </w:rPr>
          <w:t>The Post-Neoliberal Delusion | Foreign Affairs</w:t>
        </w:r>
      </w:hyperlink>
    </w:p>
  </w:footnote>
  <w:footnote w:id="16">
    <w:p w14:paraId="77AD5EDD" w14:textId="2E1373F9" w:rsidR="00C97883" w:rsidRDefault="00C97883">
      <w:pPr>
        <w:pStyle w:val="FootnoteText"/>
      </w:pPr>
      <w:r>
        <w:rPr>
          <w:rStyle w:val="FootnoteReference"/>
        </w:rPr>
        <w:footnoteRef/>
      </w:r>
      <w:r>
        <w:t xml:space="preserve"> Shapiro (2024)</w:t>
      </w:r>
      <w:r w:rsidR="007E606C">
        <w:t xml:space="preserve">, </w:t>
      </w:r>
      <w:hyperlink r:id="rId15" w:history="1">
        <w:r w:rsidR="003506B3" w:rsidRPr="00041B71">
          <w:rPr>
            <w:rStyle w:val="Hyperlink"/>
            <w:i/>
            <w:iCs/>
          </w:rPr>
          <w:t>Using Economics To Diagnose a Lessening of Competition</w:t>
        </w:r>
      </w:hyperlink>
    </w:p>
  </w:footnote>
  <w:footnote w:id="17">
    <w:p w14:paraId="71615C1E" w14:textId="0C7EFBAB" w:rsidR="006C43A7" w:rsidRDefault="006C43A7">
      <w:pPr>
        <w:pStyle w:val="FootnoteText"/>
      </w:pPr>
      <w:r>
        <w:rPr>
          <w:rStyle w:val="FootnoteReference"/>
        </w:rPr>
        <w:footnoteRef/>
      </w:r>
      <w:r>
        <w:t xml:space="preserve"> </w:t>
      </w:r>
      <w:proofErr w:type="spellStart"/>
      <w:r w:rsidRPr="006C43A7">
        <w:t>Vanderstock</w:t>
      </w:r>
      <w:proofErr w:type="spellEnd"/>
      <w:r w:rsidRPr="006C43A7">
        <w:t xml:space="preserve"> v Victoria </w:t>
      </w:r>
      <w:r w:rsidR="009655F2">
        <w:t>(</w:t>
      </w:r>
      <w:r w:rsidRPr="006C43A7">
        <w:t>2023</w:t>
      </w:r>
      <w:r w:rsidR="009655F2">
        <w:t>)</w:t>
      </w:r>
      <w:r w:rsidRPr="006C43A7">
        <w:t xml:space="preserve"> HCA 30</w:t>
      </w:r>
    </w:p>
  </w:footnote>
  <w:footnote w:id="18">
    <w:p w14:paraId="54D11A77" w14:textId="77777777" w:rsidR="00372AE0" w:rsidRDefault="00372AE0" w:rsidP="00372AE0">
      <w:pPr>
        <w:pStyle w:val="FootnoteText"/>
      </w:pPr>
      <w:r w:rsidRPr="0BEEADF9">
        <w:rPr>
          <w:rStyle w:val="FootnoteReference"/>
        </w:rPr>
        <w:footnoteRef/>
      </w:r>
      <w:r>
        <w:t xml:space="preserve"> </w:t>
      </w:r>
      <w:hyperlink r:id="rId16">
        <w:r w:rsidRPr="0BEEADF9">
          <w:rPr>
            <w:rStyle w:val="Hyperlink"/>
          </w:rPr>
          <w:t>https://www.piie.com/sites/default/files/2024-09/furman2024-09-27.pdf</w:t>
        </w:r>
      </w:hyperlink>
      <w:r>
        <w:t xml:space="preserve"> </w:t>
      </w:r>
    </w:p>
  </w:footnote>
  <w:footnote w:id="19">
    <w:p w14:paraId="11C89D26" w14:textId="05D5218A" w:rsidR="000053A2" w:rsidRDefault="000053A2">
      <w:pPr>
        <w:pStyle w:val="FootnoteText"/>
      </w:pPr>
      <w:r>
        <w:rPr>
          <w:rStyle w:val="FootnoteReference"/>
        </w:rPr>
        <w:footnoteRef/>
      </w:r>
      <w:r>
        <w:t xml:space="preserve"> </w:t>
      </w:r>
      <w:r w:rsidRPr="000053A2">
        <w:t>Productivity Commission (2024)</w:t>
      </w:r>
      <w:r w:rsidRPr="000053A2">
        <w:rPr>
          <w:i/>
          <w:iCs/>
        </w:rPr>
        <w:t xml:space="preserve"> </w:t>
      </w:r>
      <w:hyperlink r:id="rId17" w:tgtFrame="_blank" w:tooltip="https://www.pc.gov.au/inquiries/completed/competition-analysis/report/competition-analysis.pdf" w:history="1">
        <w:r w:rsidRPr="000053A2">
          <w:rPr>
            <w:rStyle w:val="Hyperlink"/>
            <w:i/>
            <w:iCs/>
          </w:rPr>
          <w:t>National Competition Policy: modelling proposed reforms</w:t>
        </w:r>
      </w:hyperlink>
    </w:p>
  </w:footnote>
  <w:footnote w:id="20">
    <w:p w14:paraId="36457271" w14:textId="03F2FF31" w:rsidR="00A55AD7" w:rsidRPr="0040579B" w:rsidRDefault="00A55AD7">
      <w:pPr>
        <w:pStyle w:val="FootnoteText"/>
      </w:pPr>
      <w:r>
        <w:rPr>
          <w:rStyle w:val="FootnoteReference"/>
        </w:rPr>
        <w:footnoteRef/>
      </w:r>
      <w:r>
        <w:t xml:space="preserve"> </w:t>
      </w:r>
      <w:r w:rsidR="00A739F5">
        <w:t xml:space="preserve">See for example </w:t>
      </w:r>
      <w:proofErr w:type="spellStart"/>
      <w:r w:rsidR="00AF49B0">
        <w:t>Bartel</w:t>
      </w:r>
      <w:proofErr w:type="spellEnd"/>
      <w:r w:rsidR="00AF49B0">
        <w:t xml:space="preserve"> et al (2007) </w:t>
      </w:r>
      <w:r w:rsidR="0040579B">
        <w:rPr>
          <w:i/>
          <w:iCs/>
        </w:rPr>
        <w:t>How Does Information Technology Affect Productivity</w:t>
      </w:r>
      <w:r w:rsidR="0040579B">
        <w:t xml:space="preserve">, </w:t>
      </w:r>
      <w:r w:rsidR="00AD0CF3">
        <w:t>Borland</w:t>
      </w:r>
      <w:r w:rsidR="0070407B">
        <w:t xml:space="preserve"> and </w:t>
      </w:r>
      <w:proofErr w:type="spellStart"/>
      <w:r w:rsidR="0070407B">
        <w:t>Coelli</w:t>
      </w:r>
      <w:proofErr w:type="spellEnd"/>
      <w:r w:rsidR="0070407B">
        <w:t xml:space="preserve"> </w:t>
      </w:r>
      <w:r w:rsidR="00AD0CF3">
        <w:t>(20</w:t>
      </w:r>
      <w:r w:rsidR="0070407B">
        <w:t>23</w:t>
      </w:r>
      <w:r w:rsidR="00AD0CF3">
        <w:t>)</w:t>
      </w:r>
      <w:r w:rsidR="0070407B">
        <w:t xml:space="preserve"> </w:t>
      </w:r>
      <w:r w:rsidR="0070407B">
        <w:rPr>
          <w:i/>
          <w:iCs/>
        </w:rPr>
        <w:t>The Australian labour market and IT-enabled technological change</w:t>
      </w:r>
      <w:r w:rsidR="00AD0CF3">
        <w:t xml:space="preserve"> </w:t>
      </w:r>
    </w:p>
  </w:footnote>
  <w:footnote w:id="21">
    <w:p w14:paraId="76941316" w14:textId="77777777" w:rsidR="00B96DCA" w:rsidRDefault="00B96DCA" w:rsidP="00B96DCA">
      <w:pPr>
        <w:pStyle w:val="FootnoteText"/>
      </w:pPr>
      <w:r>
        <w:rPr>
          <w:rStyle w:val="FootnoteReference"/>
        </w:rPr>
        <w:footnoteRef/>
      </w:r>
      <w:r>
        <w:t xml:space="preserve"> See Furman (2024), </w:t>
      </w:r>
      <w:r>
        <w:rPr>
          <w:i/>
          <w:iCs/>
        </w:rPr>
        <w:t>Richard Cooper Lecture:</w:t>
      </w:r>
      <w:r>
        <w:t xml:space="preserve"> </w:t>
      </w:r>
      <w:r>
        <w:rPr>
          <w:i/>
          <w:iCs/>
        </w:rPr>
        <w:t xml:space="preserve">In </w:t>
      </w:r>
      <w:proofErr w:type="spellStart"/>
      <w:r>
        <w:rPr>
          <w:i/>
          <w:iCs/>
        </w:rPr>
        <w:t>Defense</w:t>
      </w:r>
      <w:proofErr w:type="spellEnd"/>
      <w:r>
        <w:rPr>
          <w:i/>
          <w:iCs/>
        </w:rPr>
        <w:t xml:space="preserve"> of the Dismal Science, </w:t>
      </w:r>
      <w:hyperlink r:id="rId18" w:history="1">
        <w:r>
          <w:rPr>
            <w:rStyle w:val="Hyperlink"/>
          </w:rPr>
          <w:t>https://www.piie.com/sites/default/files/2024-09/furman2024-09-27.pdf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4B7"/>
    <w:multiLevelType w:val="multilevel"/>
    <w:tmpl w:val="0C28A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23526A"/>
    <w:multiLevelType w:val="multilevel"/>
    <w:tmpl w:val="5A0273A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3C7F5F"/>
    <w:multiLevelType w:val="multilevel"/>
    <w:tmpl w:val="61C42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C17D8"/>
    <w:multiLevelType w:val="multilevel"/>
    <w:tmpl w:val="C01452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E36099D"/>
    <w:multiLevelType w:val="multilevel"/>
    <w:tmpl w:val="110E8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CA2D93"/>
    <w:multiLevelType w:val="multilevel"/>
    <w:tmpl w:val="36A8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4A2B5C"/>
    <w:multiLevelType w:val="hybridMultilevel"/>
    <w:tmpl w:val="43A465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83A2033"/>
    <w:multiLevelType w:val="multilevel"/>
    <w:tmpl w:val="1C8E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831539"/>
    <w:multiLevelType w:val="multilevel"/>
    <w:tmpl w:val="C66E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0339BD"/>
    <w:multiLevelType w:val="hybridMultilevel"/>
    <w:tmpl w:val="12F813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FA5155D"/>
    <w:multiLevelType w:val="hybridMultilevel"/>
    <w:tmpl w:val="2AEE44AC"/>
    <w:lvl w:ilvl="0" w:tplc="77AED1B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65484272"/>
    <w:multiLevelType w:val="multilevel"/>
    <w:tmpl w:val="C23631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9EF55C5"/>
    <w:multiLevelType w:val="hybridMultilevel"/>
    <w:tmpl w:val="D6B67D2E"/>
    <w:lvl w:ilvl="0" w:tplc="ACAA93DC">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033A9E"/>
    <w:multiLevelType w:val="hybridMultilevel"/>
    <w:tmpl w:val="80B65080"/>
    <w:lvl w:ilvl="0" w:tplc="1062F83A">
      <w:start w:val="202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357A21"/>
    <w:multiLevelType w:val="multilevel"/>
    <w:tmpl w:val="1A3A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13409">
    <w:abstractNumId w:val="12"/>
  </w:num>
  <w:num w:numId="2" w16cid:durableId="691957140">
    <w:abstractNumId w:val="13"/>
  </w:num>
  <w:num w:numId="3" w16cid:durableId="890847529">
    <w:abstractNumId w:val="1"/>
  </w:num>
  <w:num w:numId="4" w16cid:durableId="1975409337">
    <w:abstractNumId w:val="9"/>
  </w:num>
  <w:num w:numId="5" w16cid:durableId="1389768177">
    <w:abstractNumId w:val="1"/>
  </w:num>
  <w:num w:numId="6" w16cid:durableId="270867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8918345">
    <w:abstractNumId w:val="6"/>
  </w:num>
  <w:num w:numId="8" w16cid:durableId="1618561550">
    <w:abstractNumId w:val="7"/>
  </w:num>
  <w:num w:numId="9" w16cid:durableId="145174310">
    <w:abstractNumId w:val="3"/>
  </w:num>
  <w:num w:numId="10" w16cid:durableId="1471285370">
    <w:abstractNumId w:val="14"/>
  </w:num>
  <w:num w:numId="11" w16cid:durableId="1830827257">
    <w:abstractNumId w:val="8"/>
  </w:num>
  <w:num w:numId="12" w16cid:durableId="128137007">
    <w:abstractNumId w:val="11"/>
  </w:num>
  <w:num w:numId="13" w16cid:durableId="2147355624">
    <w:abstractNumId w:val="5"/>
  </w:num>
  <w:num w:numId="14" w16cid:durableId="622267949">
    <w:abstractNumId w:val="0"/>
  </w:num>
  <w:num w:numId="15" w16cid:durableId="1161316848">
    <w:abstractNumId w:val="2"/>
  </w:num>
  <w:num w:numId="16" w16cid:durableId="249627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E5"/>
    <w:rsid w:val="0000070B"/>
    <w:rsid w:val="000014A6"/>
    <w:rsid w:val="00001A35"/>
    <w:rsid w:val="00001E24"/>
    <w:rsid w:val="000020A9"/>
    <w:rsid w:val="000020EF"/>
    <w:rsid w:val="000022AE"/>
    <w:rsid w:val="00003622"/>
    <w:rsid w:val="000038D4"/>
    <w:rsid w:val="00003995"/>
    <w:rsid w:val="00004405"/>
    <w:rsid w:val="0000459B"/>
    <w:rsid w:val="000053A2"/>
    <w:rsid w:val="00005A61"/>
    <w:rsid w:val="00006013"/>
    <w:rsid w:val="00006247"/>
    <w:rsid w:val="00007AAD"/>
    <w:rsid w:val="00007F71"/>
    <w:rsid w:val="00010797"/>
    <w:rsid w:val="00010D17"/>
    <w:rsid w:val="0001177E"/>
    <w:rsid w:val="00012301"/>
    <w:rsid w:val="00012616"/>
    <w:rsid w:val="0001322A"/>
    <w:rsid w:val="00013744"/>
    <w:rsid w:val="00013B1B"/>
    <w:rsid w:val="00014418"/>
    <w:rsid w:val="0001484B"/>
    <w:rsid w:val="00014C4E"/>
    <w:rsid w:val="0001560E"/>
    <w:rsid w:val="00015A92"/>
    <w:rsid w:val="00015D64"/>
    <w:rsid w:val="00016343"/>
    <w:rsid w:val="00016698"/>
    <w:rsid w:val="000168A0"/>
    <w:rsid w:val="00016AF7"/>
    <w:rsid w:val="00016D59"/>
    <w:rsid w:val="0001710E"/>
    <w:rsid w:val="0001747D"/>
    <w:rsid w:val="000204C0"/>
    <w:rsid w:val="000207A4"/>
    <w:rsid w:val="000213A4"/>
    <w:rsid w:val="0002144F"/>
    <w:rsid w:val="000217C0"/>
    <w:rsid w:val="000222C9"/>
    <w:rsid w:val="00022BFB"/>
    <w:rsid w:val="00022C56"/>
    <w:rsid w:val="00022D30"/>
    <w:rsid w:val="0002347B"/>
    <w:rsid w:val="00023604"/>
    <w:rsid w:val="00023F8F"/>
    <w:rsid w:val="000243D2"/>
    <w:rsid w:val="00024A5D"/>
    <w:rsid w:val="00024F46"/>
    <w:rsid w:val="0002537B"/>
    <w:rsid w:val="000265A2"/>
    <w:rsid w:val="000300E5"/>
    <w:rsid w:val="0003022F"/>
    <w:rsid w:val="00030E3E"/>
    <w:rsid w:val="00030F4A"/>
    <w:rsid w:val="00031CDE"/>
    <w:rsid w:val="00032D52"/>
    <w:rsid w:val="00032E63"/>
    <w:rsid w:val="00034850"/>
    <w:rsid w:val="00034BF5"/>
    <w:rsid w:val="00034D24"/>
    <w:rsid w:val="00036942"/>
    <w:rsid w:val="00037377"/>
    <w:rsid w:val="00037CD2"/>
    <w:rsid w:val="00040B6B"/>
    <w:rsid w:val="00040C06"/>
    <w:rsid w:val="00040E1E"/>
    <w:rsid w:val="00041487"/>
    <w:rsid w:val="00041A4C"/>
    <w:rsid w:val="00041B71"/>
    <w:rsid w:val="00041F8C"/>
    <w:rsid w:val="00042BDF"/>
    <w:rsid w:val="00042D69"/>
    <w:rsid w:val="00043083"/>
    <w:rsid w:val="00044130"/>
    <w:rsid w:val="00044349"/>
    <w:rsid w:val="000447AA"/>
    <w:rsid w:val="000454BC"/>
    <w:rsid w:val="0004678C"/>
    <w:rsid w:val="00046FC1"/>
    <w:rsid w:val="00047341"/>
    <w:rsid w:val="00047A58"/>
    <w:rsid w:val="00050399"/>
    <w:rsid w:val="000508D4"/>
    <w:rsid w:val="00050AA1"/>
    <w:rsid w:val="00050CBD"/>
    <w:rsid w:val="000511F3"/>
    <w:rsid w:val="000524D2"/>
    <w:rsid w:val="00052B25"/>
    <w:rsid w:val="0005441C"/>
    <w:rsid w:val="000544A9"/>
    <w:rsid w:val="00055333"/>
    <w:rsid w:val="000558D4"/>
    <w:rsid w:val="00055D92"/>
    <w:rsid w:val="00056297"/>
    <w:rsid w:val="000564C7"/>
    <w:rsid w:val="00056A67"/>
    <w:rsid w:val="00056AC1"/>
    <w:rsid w:val="00056E55"/>
    <w:rsid w:val="000571E0"/>
    <w:rsid w:val="00057BA5"/>
    <w:rsid w:val="00060DBC"/>
    <w:rsid w:val="000611EB"/>
    <w:rsid w:val="0006195D"/>
    <w:rsid w:val="00061BD4"/>
    <w:rsid w:val="00062036"/>
    <w:rsid w:val="00062294"/>
    <w:rsid w:val="00062D2F"/>
    <w:rsid w:val="000634E7"/>
    <w:rsid w:val="0006572F"/>
    <w:rsid w:val="000669E1"/>
    <w:rsid w:val="00066A32"/>
    <w:rsid w:val="00066ABC"/>
    <w:rsid w:val="00067325"/>
    <w:rsid w:val="00067D68"/>
    <w:rsid w:val="00071787"/>
    <w:rsid w:val="00072065"/>
    <w:rsid w:val="00072AAE"/>
    <w:rsid w:val="000738A7"/>
    <w:rsid w:val="00073D6F"/>
    <w:rsid w:val="00073E64"/>
    <w:rsid w:val="00073F77"/>
    <w:rsid w:val="000742AA"/>
    <w:rsid w:val="00074324"/>
    <w:rsid w:val="00074D5B"/>
    <w:rsid w:val="000752A6"/>
    <w:rsid w:val="000755F0"/>
    <w:rsid w:val="00075BEB"/>
    <w:rsid w:val="0007665B"/>
    <w:rsid w:val="00076D1C"/>
    <w:rsid w:val="000802D8"/>
    <w:rsid w:val="0008036C"/>
    <w:rsid w:val="0008074F"/>
    <w:rsid w:val="00080FF5"/>
    <w:rsid w:val="0008124A"/>
    <w:rsid w:val="00081B04"/>
    <w:rsid w:val="00081B36"/>
    <w:rsid w:val="00081C89"/>
    <w:rsid w:val="00082269"/>
    <w:rsid w:val="00082311"/>
    <w:rsid w:val="00082E13"/>
    <w:rsid w:val="00082FC1"/>
    <w:rsid w:val="00083111"/>
    <w:rsid w:val="000835A8"/>
    <w:rsid w:val="00084050"/>
    <w:rsid w:val="00084087"/>
    <w:rsid w:val="000843BE"/>
    <w:rsid w:val="00084E4E"/>
    <w:rsid w:val="0008523A"/>
    <w:rsid w:val="0008524B"/>
    <w:rsid w:val="00085D77"/>
    <w:rsid w:val="00085F76"/>
    <w:rsid w:val="0008607F"/>
    <w:rsid w:val="000867EC"/>
    <w:rsid w:val="00087543"/>
    <w:rsid w:val="00087C3C"/>
    <w:rsid w:val="000903AB"/>
    <w:rsid w:val="000907DB"/>
    <w:rsid w:val="00091839"/>
    <w:rsid w:val="00093BB0"/>
    <w:rsid w:val="0009460B"/>
    <w:rsid w:val="00094940"/>
    <w:rsid w:val="00094C29"/>
    <w:rsid w:val="00094DEE"/>
    <w:rsid w:val="00095254"/>
    <w:rsid w:val="000956E6"/>
    <w:rsid w:val="00095C80"/>
    <w:rsid w:val="000961E3"/>
    <w:rsid w:val="00096527"/>
    <w:rsid w:val="000967FF"/>
    <w:rsid w:val="00097539"/>
    <w:rsid w:val="0009790C"/>
    <w:rsid w:val="000A037C"/>
    <w:rsid w:val="000A03EA"/>
    <w:rsid w:val="000A0971"/>
    <w:rsid w:val="000A13EC"/>
    <w:rsid w:val="000A18FC"/>
    <w:rsid w:val="000A1E60"/>
    <w:rsid w:val="000A31A0"/>
    <w:rsid w:val="000A35E3"/>
    <w:rsid w:val="000A3A93"/>
    <w:rsid w:val="000A3B44"/>
    <w:rsid w:val="000A4533"/>
    <w:rsid w:val="000A654F"/>
    <w:rsid w:val="000A6559"/>
    <w:rsid w:val="000A69AF"/>
    <w:rsid w:val="000A73B2"/>
    <w:rsid w:val="000B00FD"/>
    <w:rsid w:val="000B0932"/>
    <w:rsid w:val="000B24D6"/>
    <w:rsid w:val="000B38A6"/>
    <w:rsid w:val="000B39FB"/>
    <w:rsid w:val="000B5131"/>
    <w:rsid w:val="000B550B"/>
    <w:rsid w:val="000B56DB"/>
    <w:rsid w:val="000B5C40"/>
    <w:rsid w:val="000B5D83"/>
    <w:rsid w:val="000B5DF0"/>
    <w:rsid w:val="000B64C8"/>
    <w:rsid w:val="000B684B"/>
    <w:rsid w:val="000B6A4A"/>
    <w:rsid w:val="000B6CFC"/>
    <w:rsid w:val="000B7917"/>
    <w:rsid w:val="000C07A2"/>
    <w:rsid w:val="000C0F79"/>
    <w:rsid w:val="000C0FD3"/>
    <w:rsid w:val="000C1749"/>
    <w:rsid w:val="000C1B28"/>
    <w:rsid w:val="000C2247"/>
    <w:rsid w:val="000C2775"/>
    <w:rsid w:val="000C2A78"/>
    <w:rsid w:val="000C3547"/>
    <w:rsid w:val="000C4154"/>
    <w:rsid w:val="000C43B7"/>
    <w:rsid w:val="000C460C"/>
    <w:rsid w:val="000C5A58"/>
    <w:rsid w:val="000C5D2B"/>
    <w:rsid w:val="000C7349"/>
    <w:rsid w:val="000C73DF"/>
    <w:rsid w:val="000C7FD2"/>
    <w:rsid w:val="000D10A2"/>
    <w:rsid w:val="000D116C"/>
    <w:rsid w:val="000D22AC"/>
    <w:rsid w:val="000D2469"/>
    <w:rsid w:val="000D2495"/>
    <w:rsid w:val="000D2851"/>
    <w:rsid w:val="000D3DB2"/>
    <w:rsid w:val="000D4679"/>
    <w:rsid w:val="000D49D5"/>
    <w:rsid w:val="000D4DA1"/>
    <w:rsid w:val="000D5B0D"/>
    <w:rsid w:val="000D6338"/>
    <w:rsid w:val="000D6A03"/>
    <w:rsid w:val="000D6D85"/>
    <w:rsid w:val="000D700E"/>
    <w:rsid w:val="000E07B8"/>
    <w:rsid w:val="000E087D"/>
    <w:rsid w:val="000E0B1F"/>
    <w:rsid w:val="000E0C09"/>
    <w:rsid w:val="000E1310"/>
    <w:rsid w:val="000E14CD"/>
    <w:rsid w:val="000E1851"/>
    <w:rsid w:val="000E1C89"/>
    <w:rsid w:val="000E1E81"/>
    <w:rsid w:val="000E28DE"/>
    <w:rsid w:val="000E29BB"/>
    <w:rsid w:val="000E2C86"/>
    <w:rsid w:val="000E2D30"/>
    <w:rsid w:val="000E30E6"/>
    <w:rsid w:val="000E31ED"/>
    <w:rsid w:val="000E3B62"/>
    <w:rsid w:val="000E3DDB"/>
    <w:rsid w:val="000E4AE2"/>
    <w:rsid w:val="000E4C5B"/>
    <w:rsid w:val="000E5202"/>
    <w:rsid w:val="000E60DE"/>
    <w:rsid w:val="000E6775"/>
    <w:rsid w:val="000E69D0"/>
    <w:rsid w:val="000E791E"/>
    <w:rsid w:val="000F0B3C"/>
    <w:rsid w:val="000F22EA"/>
    <w:rsid w:val="000F2580"/>
    <w:rsid w:val="000F320E"/>
    <w:rsid w:val="000F336F"/>
    <w:rsid w:val="000F3ABB"/>
    <w:rsid w:val="000F4819"/>
    <w:rsid w:val="000F49C7"/>
    <w:rsid w:val="000F4AB0"/>
    <w:rsid w:val="000F4C12"/>
    <w:rsid w:val="000F5260"/>
    <w:rsid w:val="000F54E7"/>
    <w:rsid w:val="000F5DA7"/>
    <w:rsid w:val="000F62EC"/>
    <w:rsid w:val="000F645E"/>
    <w:rsid w:val="000F692A"/>
    <w:rsid w:val="000F6A1D"/>
    <w:rsid w:val="000F704E"/>
    <w:rsid w:val="000F7B51"/>
    <w:rsid w:val="000F7B8F"/>
    <w:rsid w:val="00100F75"/>
    <w:rsid w:val="00101404"/>
    <w:rsid w:val="00101553"/>
    <w:rsid w:val="00101604"/>
    <w:rsid w:val="00101615"/>
    <w:rsid w:val="0010161E"/>
    <w:rsid w:val="00101882"/>
    <w:rsid w:val="001029BF"/>
    <w:rsid w:val="00103890"/>
    <w:rsid w:val="001038EB"/>
    <w:rsid w:val="00103AE6"/>
    <w:rsid w:val="00103EEE"/>
    <w:rsid w:val="00104790"/>
    <w:rsid w:val="001052E3"/>
    <w:rsid w:val="001054D8"/>
    <w:rsid w:val="00107020"/>
    <w:rsid w:val="00107935"/>
    <w:rsid w:val="00107A9D"/>
    <w:rsid w:val="00107F16"/>
    <w:rsid w:val="001105C0"/>
    <w:rsid w:val="00110922"/>
    <w:rsid w:val="00110AA4"/>
    <w:rsid w:val="00111304"/>
    <w:rsid w:val="00111B0B"/>
    <w:rsid w:val="00112361"/>
    <w:rsid w:val="001126AB"/>
    <w:rsid w:val="00113660"/>
    <w:rsid w:val="00114666"/>
    <w:rsid w:val="001149CC"/>
    <w:rsid w:val="00114DAA"/>
    <w:rsid w:val="00115DE4"/>
    <w:rsid w:val="00116095"/>
    <w:rsid w:val="001166FE"/>
    <w:rsid w:val="00116C5D"/>
    <w:rsid w:val="00116CB0"/>
    <w:rsid w:val="001202BC"/>
    <w:rsid w:val="00120FEE"/>
    <w:rsid w:val="00124376"/>
    <w:rsid w:val="001258C6"/>
    <w:rsid w:val="0012651B"/>
    <w:rsid w:val="00126B18"/>
    <w:rsid w:val="00126E39"/>
    <w:rsid w:val="00127449"/>
    <w:rsid w:val="00127E6C"/>
    <w:rsid w:val="001300A6"/>
    <w:rsid w:val="00130222"/>
    <w:rsid w:val="001306A7"/>
    <w:rsid w:val="001306ED"/>
    <w:rsid w:val="00130914"/>
    <w:rsid w:val="00130BB2"/>
    <w:rsid w:val="0013134C"/>
    <w:rsid w:val="00132591"/>
    <w:rsid w:val="00132D55"/>
    <w:rsid w:val="00133AEC"/>
    <w:rsid w:val="001349C4"/>
    <w:rsid w:val="00134CC5"/>
    <w:rsid w:val="00134FEB"/>
    <w:rsid w:val="0013569D"/>
    <w:rsid w:val="001362DE"/>
    <w:rsid w:val="00136357"/>
    <w:rsid w:val="00136455"/>
    <w:rsid w:val="001367D4"/>
    <w:rsid w:val="00136F91"/>
    <w:rsid w:val="001375FC"/>
    <w:rsid w:val="00137840"/>
    <w:rsid w:val="001379B8"/>
    <w:rsid w:val="00137DE0"/>
    <w:rsid w:val="00140659"/>
    <w:rsid w:val="00140717"/>
    <w:rsid w:val="00140DE1"/>
    <w:rsid w:val="00141076"/>
    <w:rsid w:val="001413B0"/>
    <w:rsid w:val="001420F2"/>
    <w:rsid w:val="00142614"/>
    <w:rsid w:val="00143572"/>
    <w:rsid w:val="001435C6"/>
    <w:rsid w:val="00143702"/>
    <w:rsid w:val="00143FDA"/>
    <w:rsid w:val="0014417B"/>
    <w:rsid w:val="001443F6"/>
    <w:rsid w:val="00145239"/>
    <w:rsid w:val="00145353"/>
    <w:rsid w:val="001454E7"/>
    <w:rsid w:val="001476B5"/>
    <w:rsid w:val="001479AB"/>
    <w:rsid w:val="00147FEA"/>
    <w:rsid w:val="001503DF"/>
    <w:rsid w:val="00150D19"/>
    <w:rsid w:val="00150EAD"/>
    <w:rsid w:val="00151A39"/>
    <w:rsid w:val="00151DAD"/>
    <w:rsid w:val="00152240"/>
    <w:rsid w:val="00152CF1"/>
    <w:rsid w:val="00153268"/>
    <w:rsid w:val="0015329B"/>
    <w:rsid w:val="00153A01"/>
    <w:rsid w:val="001542B1"/>
    <w:rsid w:val="00154569"/>
    <w:rsid w:val="00154BFD"/>
    <w:rsid w:val="001555A9"/>
    <w:rsid w:val="001555C5"/>
    <w:rsid w:val="0015567B"/>
    <w:rsid w:val="00155787"/>
    <w:rsid w:val="00155B85"/>
    <w:rsid w:val="001561D2"/>
    <w:rsid w:val="00156292"/>
    <w:rsid w:val="001563F1"/>
    <w:rsid w:val="001570A2"/>
    <w:rsid w:val="0015768D"/>
    <w:rsid w:val="00160E5C"/>
    <w:rsid w:val="00160F5A"/>
    <w:rsid w:val="00161444"/>
    <w:rsid w:val="001614A9"/>
    <w:rsid w:val="00162B10"/>
    <w:rsid w:val="001633CE"/>
    <w:rsid w:val="00163599"/>
    <w:rsid w:val="0016383B"/>
    <w:rsid w:val="00163C8D"/>
    <w:rsid w:val="00163F82"/>
    <w:rsid w:val="001642D1"/>
    <w:rsid w:val="00164611"/>
    <w:rsid w:val="001651BC"/>
    <w:rsid w:val="0016526D"/>
    <w:rsid w:val="001659B8"/>
    <w:rsid w:val="00165DA6"/>
    <w:rsid w:val="00166346"/>
    <w:rsid w:val="00166559"/>
    <w:rsid w:val="001666F1"/>
    <w:rsid w:val="00166D34"/>
    <w:rsid w:val="0017015F"/>
    <w:rsid w:val="00171108"/>
    <w:rsid w:val="0017117C"/>
    <w:rsid w:val="0017150F"/>
    <w:rsid w:val="00171BCC"/>
    <w:rsid w:val="00171CDE"/>
    <w:rsid w:val="00172046"/>
    <w:rsid w:val="0017258A"/>
    <w:rsid w:val="0017388D"/>
    <w:rsid w:val="00173D5B"/>
    <w:rsid w:val="0017425F"/>
    <w:rsid w:val="00174756"/>
    <w:rsid w:val="00175DB2"/>
    <w:rsid w:val="00176236"/>
    <w:rsid w:val="001765E8"/>
    <w:rsid w:val="00177105"/>
    <w:rsid w:val="001773AE"/>
    <w:rsid w:val="00177A31"/>
    <w:rsid w:val="00180C9E"/>
    <w:rsid w:val="001813B3"/>
    <w:rsid w:val="00182B31"/>
    <w:rsid w:val="00183F2F"/>
    <w:rsid w:val="00184118"/>
    <w:rsid w:val="001848AB"/>
    <w:rsid w:val="00185258"/>
    <w:rsid w:val="00185768"/>
    <w:rsid w:val="001858EB"/>
    <w:rsid w:val="00185BA8"/>
    <w:rsid w:val="00186474"/>
    <w:rsid w:val="00186579"/>
    <w:rsid w:val="001870CC"/>
    <w:rsid w:val="0018714F"/>
    <w:rsid w:val="00187961"/>
    <w:rsid w:val="00187C91"/>
    <w:rsid w:val="00187FC7"/>
    <w:rsid w:val="0019018E"/>
    <w:rsid w:val="001914B2"/>
    <w:rsid w:val="001917F1"/>
    <w:rsid w:val="0019241F"/>
    <w:rsid w:val="0019249C"/>
    <w:rsid w:val="00192958"/>
    <w:rsid w:val="00192A79"/>
    <w:rsid w:val="00192C2A"/>
    <w:rsid w:val="00193264"/>
    <w:rsid w:val="001934FE"/>
    <w:rsid w:val="00193E3B"/>
    <w:rsid w:val="0019475C"/>
    <w:rsid w:val="0019482B"/>
    <w:rsid w:val="001952BF"/>
    <w:rsid w:val="001953C7"/>
    <w:rsid w:val="00196F60"/>
    <w:rsid w:val="0019712C"/>
    <w:rsid w:val="001979F1"/>
    <w:rsid w:val="00197A83"/>
    <w:rsid w:val="001A0D91"/>
    <w:rsid w:val="001A1B57"/>
    <w:rsid w:val="001A365E"/>
    <w:rsid w:val="001A3C35"/>
    <w:rsid w:val="001A3D32"/>
    <w:rsid w:val="001A61D1"/>
    <w:rsid w:val="001A6228"/>
    <w:rsid w:val="001A6862"/>
    <w:rsid w:val="001A7F72"/>
    <w:rsid w:val="001B0547"/>
    <w:rsid w:val="001B1194"/>
    <w:rsid w:val="001B22AA"/>
    <w:rsid w:val="001B29A4"/>
    <w:rsid w:val="001B2ECC"/>
    <w:rsid w:val="001B2FA1"/>
    <w:rsid w:val="001B352B"/>
    <w:rsid w:val="001B4037"/>
    <w:rsid w:val="001B4450"/>
    <w:rsid w:val="001B46AD"/>
    <w:rsid w:val="001B4D10"/>
    <w:rsid w:val="001B5111"/>
    <w:rsid w:val="001B5468"/>
    <w:rsid w:val="001B57C7"/>
    <w:rsid w:val="001B5C4D"/>
    <w:rsid w:val="001B5F52"/>
    <w:rsid w:val="001B6763"/>
    <w:rsid w:val="001B749F"/>
    <w:rsid w:val="001B759E"/>
    <w:rsid w:val="001B7BCC"/>
    <w:rsid w:val="001C0323"/>
    <w:rsid w:val="001C06B5"/>
    <w:rsid w:val="001C0794"/>
    <w:rsid w:val="001C25EE"/>
    <w:rsid w:val="001C2DA7"/>
    <w:rsid w:val="001C3242"/>
    <w:rsid w:val="001C37E9"/>
    <w:rsid w:val="001C3A20"/>
    <w:rsid w:val="001C3B86"/>
    <w:rsid w:val="001C3C18"/>
    <w:rsid w:val="001C4BBA"/>
    <w:rsid w:val="001C4BC3"/>
    <w:rsid w:val="001C52C0"/>
    <w:rsid w:val="001C578A"/>
    <w:rsid w:val="001C5B8C"/>
    <w:rsid w:val="001C605A"/>
    <w:rsid w:val="001C614F"/>
    <w:rsid w:val="001C6187"/>
    <w:rsid w:val="001C6492"/>
    <w:rsid w:val="001C697A"/>
    <w:rsid w:val="001C78CC"/>
    <w:rsid w:val="001C79C4"/>
    <w:rsid w:val="001D035B"/>
    <w:rsid w:val="001D258F"/>
    <w:rsid w:val="001D4531"/>
    <w:rsid w:val="001D46B3"/>
    <w:rsid w:val="001D4980"/>
    <w:rsid w:val="001D5297"/>
    <w:rsid w:val="001D7931"/>
    <w:rsid w:val="001E17DD"/>
    <w:rsid w:val="001E1F7E"/>
    <w:rsid w:val="001E2060"/>
    <w:rsid w:val="001E266A"/>
    <w:rsid w:val="001E2E63"/>
    <w:rsid w:val="001E38F4"/>
    <w:rsid w:val="001E423A"/>
    <w:rsid w:val="001E44E3"/>
    <w:rsid w:val="001E459C"/>
    <w:rsid w:val="001E4A92"/>
    <w:rsid w:val="001E4F5B"/>
    <w:rsid w:val="001E54CE"/>
    <w:rsid w:val="001E5541"/>
    <w:rsid w:val="001E5684"/>
    <w:rsid w:val="001E5868"/>
    <w:rsid w:val="001E5996"/>
    <w:rsid w:val="001E5A8C"/>
    <w:rsid w:val="001E633C"/>
    <w:rsid w:val="001E6937"/>
    <w:rsid w:val="001E6EE8"/>
    <w:rsid w:val="001E6F30"/>
    <w:rsid w:val="001E7909"/>
    <w:rsid w:val="001E7B43"/>
    <w:rsid w:val="001F0340"/>
    <w:rsid w:val="001F1A08"/>
    <w:rsid w:val="001F2213"/>
    <w:rsid w:val="001F2291"/>
    <w:rsid w:val="001F2894"/>
    <w:rsid w:val="001F2D6A"/>
    <w:rsid w:val="001F2DB6"/>
    <w:rsid w:val="001F34C1"/>
    <w:rsid w:val="001F355B"/>
    <w:rsid w:val="001F3789"/>
    <w:rsid w:val="001F3B50"/>
    <w:rsid w:val="001F42AD"/>
    <w:rsid w:val="001F50FD"/>
    <w:rsid w:val="001F56D3"/>
    <w:rsid w:val="001F612C"/>
    <w:rsid w:val="001F62D8"/>
    <w:rsid w:val="001F7637"/>
    <w:rsid w:val="001F7846"/>
    <w:rsid w:val="00200798"/>
    <w:rsid w:val="00201B02"/>
    <w:rsid w:val="002021A8"/>
    <w:rsid w:val="00203026"/>
    <w:rsid w:val="00203A1F"/>
    <w:rsid w:val="00203BC0"/>
    <w:rsid w:val="00204992"/>
    <w:rsid w:val="002050D3"/>
    <w:rsid w:val="00205558"/>
    <w:rsid w:val="0020559E"/>
    <w:rsid w:val="00205A62"/>
    <w:rsid w:val="00205F79"/>
    <w:rsid w:val="00205FEB"/>
    <w:rsid w:val="00207B65"/>
    <w:rsid w:val="002101EE"/>
    <w:rsid w:val="00210ECB"/>
    <w:rsid w:val="002112C8"/>
    <w:rsid w:val="00211871"/>
    <w:rsid w:val="00212BE6"/>
    <w:rsid w:val="00213220"/>
    <w:rsid w:val="00213225"/>
    <w:rsid w:val="0021354B"/>
    <w:rsid w:val="00214672"/>
    <w:rsid w:val="002149B2"/>
    <w:rsid w:val="00214B26"/>
    <w:rsid w:val="00214E00"/>
    <w:rsid w:val="002151BD"/>
    <w:rsid w:val="00216067"/>
    <w:rsid w:val="00216261"/>
    <w:rsid w:val="002168FD"/>
    <w:rsid w:val="002169B0"/>
    <w:rsid w:val="00217AB7"/>
    <w:rsid w:val="00217BBD"/>
    <w:rsid w:val="0022019C"/>
    <w:rsid w:val="00220A59"/>
    <w:rsid w:val="00222436"/>
    <w:rsid w:val="00222C45"/>
    <w:rsid w:val="00224566"/>
    <w:rsid w:val="002245FA"/>
    <w:rsid w:val="00224782"/>
    <w:rsid w:val="0022492A"/>
    <w:rsid w:val="002260F9"/>
    <w:rsid w:val="00226B61"/>
    <w:rsid w:val="00227BBD"/>
    <w:rsid w:val="00230229"/>
    <w:rsid w:val="00230884"/>
    <w:rsid w:val="00230AB8"/>
    <w:rsid w:val="0023146A"/>
    <w:rsid w:val="0023197B"/>
    <w:rsid w:val="00231B7E"/>
    <w:rsid w:val="002330C0"/>
    <w:rsid w:val="0023330B"/>
    <w:rsid w:val="00233DEB"/>
    <w:rsid w:val="0023432B"/>
    <w:rsid w:val="002346D4"/>
    <w:rsid w:val="00234F98"/>
    <w:rsid w:val="00235229"/>
    <w:rsid w:val="0023531B"/>
    <w:rsid w:val="00235627"/>
    <w:rsid w:val="0023607C"/>
    <w:rsid w:val="002360AE"/>
    <w:rsid w:val="002368E6"/>
    <w:rsid w:val="0023725C"/>
    <w:rsid w:val="00237715"/>
    <w:rsid w:val="002401C4"/>
    <w:rsid w:val="0024140A"/>
    <w:rsid w:val="00241B43"/>
    <w:rsid w:val="0024249A"/>
    <w:rsid w:val="0024345C"/>
    <w:rsid w:val="00243D78"/>
    <w:rsid w:val="0024441D"/>
    <w:rsid w:val="00244FF2"/>
    <w:rsid w:val="002453C1"/>
    <w:rsid w:val="0024598A"/>
    <w:rsid w:val="00247574"/>
    <w:rsid w:val="00247F88"/>
    <w:rsid w:val="00250803"/>
    <w:rsid w:val="002509BF"/>
    <w:rsid w:val="00251928"/>
    <w:rsid w:val="00251BBB"/>
    <w:rsid w:val="00251E13"/>
    <w:rsid w:val="00252670"/>
    <w:rsid w:val="002538CB"/>
    <w:rsid w:val="00253A05"/>
    <w:rsid w:val="002544D0"/>
    <w:rsid w:val="002548A1"/>
    <w:rsid w:val="00254E3F"/>
    <w:rsid w:val="00254EBE"/>
    <w:rsid w:val="00254F59"/>
    <w:rsid w:val="00255CFB"/>
    <w:rsid w:val="00257D15"/>
    <w:rsid w:val="002602DE"/>
    <w:rsid w:val="002606AF"/>
    <w:rsid w:val="00260FAC"/>
    <w:rsid w:val="00261045"/>
    <w:rsid w:val="00261460"/>
    <w:rsid w:val="002616E3"/>
    <w:rsid w:val="00262A01"/>
    <w:rsid w:val="00263D0E"/>
    <w:rsid w:val="002647FF"/>
    <w:rsid w:val="00264EF7"/>
    <w:rsid w:val="002650F9"/>
    <w:rsid w:val="00265DFF"/>
    <w:rsid w:val="0026622C"/>
    <w:rsid w:val="00266905"/>
    <w:rsid w:val="0026717E"/>
    <w:rsid w:val="0026772A"/>
    <w:rsid w:val="00267C37"/>
    <w:rsid w:val="0027007F"/>
    <w:rsid w:val="00270518"/>
    <w:rsid w:val="0027089F"/>
    <w:rsid w:val="00270A90"/>
    <w:rsid w:val="002712D6"/>
    <w:rsid w:val="00271E1A"/>
    <w:rsid w:val="00272021"/>
    <w:rsid w:val="002745DF"/>
    <w:rsid w:val="00275702"/>
    <w:rsid w:val="002758B6"/>
    <w:rsid w:val="0027695E"/>
    <w:rsid w:val="002779E1"/>
    <w:rsid w:val="002802AE"/>
    <w:rsid w:val="00280398"/>
    <w:rsid w:val="00280A83"/>
    <w:rsid w:val="00280DB1"/>
    <w:rsid w:val="00281028"/>
    <w:rsid w:val="00281372"/>
    <w:rsid w:val="00281643"/>
    <w:rsid w:val="00281FBA"/>
    <w:rsid w:val="002821BB"/>
    <w:rsid w:val="002826B1"/>
    <w:rsid w:val="00282A4E"/>
    <w:rsid w:val="00283942"/>
    <w:rsid w:val="00283AF7"/>
    <w:rsid w:val="00284EFF"/>
    <w:rsid w:val="00285028"/>
    <w:rsid w:val="00285A87"/>
    <w:rsid w:val="0028691A"/>
    <w:rsid w:val="00286E9A"/>
    <w:rsid w:val="0028702A"/>
    <w:rsid w:val="00287052"/>
    <w:rsid w:val="002872A6"/>
    <w:rsid w:val="00287812"/>
    <w:rsid w:val="00287979"/>
    <w:rsid w:val="00291C60"/>
    <w:rsid w:val="002920E3"/>
    <w:rsid w:val="00292F12"/>
    <w:rsid w:val="0029329D"/>
    <w:rsid w:val="00293598"/>
    <w:rsid w:val="00293602"/>
    <w:rsid w:val="002938E9"/>
    <w:rsid w:val="002945EF"/>
    <w:rsid w:val="00294ADB"/>
    <w:rsid w:val="002951A5"/>
    <w:rsid w:val="00295CE2"/>
    <w:rsid w:val="002962CA"/>
    <w:rsid w:val="00296497"/>
    <w:rsid w:val="0029696A"/>
    <w:rsid w:val="00296A29"/>
    <w:rsid w:val="002978BC"/>
    <w:rsid w:val="002A04D7"/>
    <w:rsid w:val="002A08BA"/>
    <w:rsid w:val="002A2014"/>
    <w:rsid w:val="002A2251"/>
    <w:rsid w:val="002A26DE"/>
    <w:rsid w:val="002A2D18"/>
    <w:rsid w:val="002A337B"/>
    <w:rsid w:val="002A358A"/>
    <w:rsid w:val="002A3640"/>
    <w:rsid w:val="002A40B1"/>
    <w:rsid w:val="002A491C"/>
    <w:rsid w:val="002A4C39"/>
    <w:rsid w:val="002A5DB4"/>
    <w:rsid w:val="002A6405"/>
    <w:rsid w:val="002A684B"/>
    <w:rsid w:val="002A71B3"/>
    <w:rsid w:val="002B0579"/>
    <w:rsid w:val="002B069A"/>
    <w:rsid w:val="002B076F"/>
    <w:rsid w:val="002B0AF5"/>
    <w:rsid w:val="002B0F35"/>
    <w:rsid w:val="002B1409"/>
    <w:rsid w:val="002B1577"/>
    <w:rsid w:val="002B161B"/>
    <w:rsid w:val="002B2BE6"/>
    <w:rsid w:val="002B2D08"/>
    <w:rsid w:val="002B2D8D"/>
    <w:rsid w:val="002B3453"/>
    <w:rsid w:val="002B38E9"/>
    <w:rsid w:val="002B4836"/>
    <w:rsid w:val="002B5068"/>
    <w:rsid w:val="002B539C"/>
    <w:rsid w:val="002B5486"/>
    <w:rsid w:val="002B5AC6"/>
    <w:rsid w:val="002B5CEB"/>
    <w:rsid w:val="002B5DC3"/>
    <w:rsid w:val="002B6431"/>
    <w:rsid w:val="002B70F0"/>
    <w:rsid w:val="002B75BC"/>
    <w:rsid w:val="002B7B16"/>
    <w:rsid w:val="002C1A75"/>
    <w:rsid w:val="002C2056"/>
    <w:rsid w:val="002C25E5"/>
    <w:rsid w:val="002C3127"/>
    <w:rsid w:val="002C3544"/>
    <w:rsid w:val="002C3DAB"/>
    <w:rsid w:val="002C46FB"/>
    <w:rsid w:val="002C5623"/>
    <w:rsid w:val="002C676C"/>
    <w:rsid w:val="002C7A2F"/>
    <w:rsid w:val="002C7E48"/>
    <w:rsid w:val="002D0213"/>
    <w:rsid w:val="002D034C"/>
    <w:rsid w:val="002D04EE"/>
    <w:rsid w:val="002D05BC"/>
    <w:rsid w:val="002D1A87"/>
    <w:rsid w:val="002D1C7F"/>
    <w:rsid w:val="002D2335"/>
    <w:rsid w:val="002D241D"/>
    <w:rsid w:val="002D2967"/>
    <w:rsid w:val="002D3D8D"/>
    <w:rsid w:val="002D4680"/>
    <w:rsid w:val="002D4D53"/>
    <w:rsid w:val="002D4E9F"/>
    <w:rsid w:val="002D51BD"/>
    <w:rsid w:val="002D5735"/>
    <w:rsid w:val="002D5ADC"/>
    <w:rsid w:val="002D5FB2"/>
    <w:rsid w:val="002E0DA5"/>
    <w:rsid w:val="002E0FEC"/>
    <w:rsid w:val="002E1025"/>
    <w:rsid w:val="002E166B"/>
    <w:rsid w:val="002E22C0"/>
    <w:rsid w:val="002E314E"/>
    <w:rsid w:val="002E332A"/>
    <w:rsid w:val="002E38E9"/>
    <w:rsid w:val="002E412C"/>
    <w:rsid w:val="002E4292"/>
    <w:rsid w:val="002E434F"/>
    <w:rsid w:val="002E44DC"/>
    <w:rsid w:val="002E52D5"/>
    <w:rsid w:val="002E53A7"/>
    <w:rsid w:val="002E591B"/>
    <w:rsid w:val="002E600B"/>
    <w:rsid w:val="002E603B"/>
    <w:rsid w:val="002E6C1A"/>
    <w:rsid w:val="002E72EC"/>
    <w:rsid w:val="002E7643"/>
    <w:rsid w:val="002F05F4"/>
    <w:rsid w:val="002F13E1"/>
    <w:rsid w:val="002F1487"/>
    <w:rsid w:val="002F1503"/>
    <w:rsid w:val="002F1FE7"/>
    <w:rsid w:val="002F234C"/>
    <w:rsid w:val="002F2D4B"/>
    <w:rsid w:val="002F2E3F"/>
    <w:rsid w:val="002F30A3"/>
    <w:rsid w:val="002F3DB7"/>
    <w:rsid w:val="002F410B"/>
    <w:rsid w:val="002F41FB"/>
    <w:rsid w:val="002F50F9"/>
    <w:rsid w:val="002F543A"/>
    <w:rsid w:val="002F61FC"/>
    <w:rsid w:val="002F63E9"/>
    <w:rsid w:val="002F76D3"/>
    <w:rsid w:val="002F7A9E"/>
    <w:rsid w:val="00300AF7"/>
    <w:rsid w:val="0030109A"/>
    <w:rsid w:val="00301622"/>
    <w:rsid w:val="00301809"/>
    <w:rsid w:val="00301E57"/>
    <w:rsid w:val="0030315B"/>
    <w:rsid w:val="0030488F"/>
    <w:rsid w:val="00304941"/>
    <w:rsid w:val="00305C91"/>
    <w:rsid w:val="00305D31"/>
    <w:rsid w:val="00305F84"/>
    <w:rsid w:val="00306F8E"/>
    <w:rsid w:val="00307865"/>
    <w:rsid w:val="00310793"/>
    <w:rsid w:val="00311821"/>
    <w:rsid w:val="003118B6"/>
    <w:rsid w:val="00311AD7"/>
    <w:rsid w:val="00312507"/>
    <w:rsid w:val="00315814"/>
    <w:rsid w:val="00315AE2"/>
    <w:rsid w:val="00316043"/>
    <w:rsid w:val="0031695E"/>
    <w:rsid w:val="00317C39"/>
    <w:rsid w:val="003201A5"/>
    <w:rsid w:val="00320E0C"/>
    <w:rsid w:val="003219CE"/>
    <w:rsid w:val="003220FC"/>
    <w:rsid w:val="00322AA8"/>
    <w:rsid w:val="003233DB"/>
    <w:rsid w:val="0032379E"/>
    <w:rsid w:val="00323890"/>
    <w:rsid w:val="00323D74"/>
    <w:rsid w:val="0032405C"/>
    <w:rsid w:val="0032411B"/>
    <w:rsid w:val="00324190"/>
    <w:rsid w:val="0032439B"/>
    <w:rsid w:val="00324D01"/>
    <w:rsid w:val="00325543"/>
    <w:rsid w:val="00325DE4"/>
    <w:rsid w:val="003260B9"/>
    <w:rsid w:val="00326833"/>
    <w:rsid w:val="00326C3D"/>
    <w:rsid w:val="003271A6"/>
    <w:rsid w:val="00327244"/>
    <w:rsid w:val="00327B62"/>
    <w:rsid w:val="00327CF9"/>
    <w:rsid w:val="00330721"/>
    <w:rsid w:val="00330E4A"/>
    <w:rsid w:val="003311A6"/>
    <w:rsid w:val="0033155B"/>
    <w:rsid w:val="00331A90"/>
    <w:rsid w:val="00331D77"/>
    <w:rsid w:val="00331F4B"/>
    <w:rsid w:val="00332180"/>
    <w:rsid w:val="003322B7"/>
    <w:rsid w:val="0033287D"/>
    <w:rsid w:val="0033370A"/>
    <w:rsid w:val="00334ECB"/>
    <w:rsid w:val="003354D7"/>
    <w:rsid w:val="00335A46"/>
    <w:rsid w:val="00336492"/>
    <w:rsid w:val="0034003D"/>
    <w:rsid w:val="00340FD3"/>
    <w:rsid w:val="00341175"/>
    <w:rsid w:val="00341AF4"/>
    <w:rsid w:val="00341C58"/>
    <w:rsid w:val="003423B7"/>
    <w:rsid w:val="00343225"/>
    <w:rsid w:val="00343414"/>
    <w:rsid w:val="00343D30"/>
    <w:rsid w:val="003443C7"/>
    <w:rsid w:val="0034488D"/>
    <w:rsid w:val="00344A6C"/>
    <w:rsid w:val="00345202"/>
    <w:rsid w:val="003455F8"/>
    <w:rsid w:val="00345856"/>
    <w:rsid w:val="003466C8"/>
    <w:rsid w:val="0034724F"/>
    <w:rsid w:val="003475B3"/>
    <w:rsid w:val="003477A2"/>
    <w:rsid w:val="00347A15"/>
    <w:rsid w:val="00350320"/>
    <w:rsid w:val="003506B3"/>
    <w:rsid w:val="003508A3"/>
    <w:rsid w:val="00352653"/>
    <w:rsid w:val="00352932"/>
    <w:rsid w:val="00352DBA"/>
    <w:rsid w:val="00354EC8"/>
    <w:rsid w:val="00354EC9"/>
    <w:rsid w:val="00355EE7"/>
    <w:rsid w:val="00355F79"/>
    <w:rsid w:val="0035746C"/>
    <w:rsid w:val="0036060A"/>
    <w:rsid w:val="0036063F"/>
    <w:rsid w:val="003616F6"/>
    <w:rsid w:val="00361943"/>
    <w:rsid w:val="00361F1F"/>
    <w:rsid w:val="003627BD"/>
    <w:rsid w:val="00363206"/>
    <w:rsid w:val="003637BE"/>
    <w:rsid w:val="00363910"/>
    <w:rsid w:val="00363BC5"/>
    <w:rsid w:val="00363DBD"/>
    <w:rsid w:val="00364A72"/>
    <w:rsid w:val="00364F66"/>
    <w:rsid w:val="00365F2C"/>
    <w:rsid w:val="00366459"/>
    <w:rsid w:val="00366679"/>
    <w:rsid w:val="00366C4D"/>
    <w:rsid w:val="0036713D"/>
    <w:rsid w:val="00367338"/>
    <w:rsid w:val="0036758F"/>
    <w:rsid w:val="00367D6B"/>
    <w:rsid w:val="00371AF9"/>
    <w:rsid w:val="003728E9"/>
    <w:rsid w:val="00372AE0"/>
    <w:rsid w:val="00372E7F"/>
    <w:rsid w:val="00373316"/>
    <w:rsid w:val="00373649"/>
    <w:rsid w:val="00374180"/>
    <w:rsid w:val="00374349"/>
    <w:rsid w:val="00374814"/>
    <w:rsid w:val="00374C6A"/>
    <w:rsid w:val="00374CE1"/>
    <w:rsid w:val="00374EAA"/>
    <w:rsid w:val="00376912"/>
    <w:rsid w:val="00376AF7"/>
    <w:rsid w:val="00377F7F"/>
    <w:rsid w:val="0038078E"/>
    <w:rsid w:val="00380CF6"/>
    <w:rsid w:val="00381190"/>
    <w:rsid w:val="003831C0"/>
    <w:rsid w:val="00384987"/>
    <w:rsid w:val="00384CCF"/>
    <w:rsid w:val="003855B4"/>
    <w:rsid w:val="003858E9"/>
    <w:rsid w:val="00385BCA"/>
    <w:rsid w:val="00385DB8"/>
    <w:rsid w:val="00387D0A"/>
    <w:rsid w:val="00391397"/>
    <w:rsid w:val="00392504"/>
    <w:rsid w:val="00392626"/>
    <w:rsid w:val="003930A5"/>
    <w:rsid w:val="003933E0"/>
    <w:rsid w:val="00394044"/>
    <w:rsid w:val="00394AE1"/>
    <w:rsid w:val="00394EF0"/>
    <w:rsid w:val="00396A3E"/>
    <w:rsid w:val="003973B8"/>
    <w:rsid w:val="0039753C"/>
    <w:rsid w:val="003A04A4"/>
    <w:rsid w:val="003A07BE"/>
    <w:rsid w:val="003A0DE5"/>
    <w:rsid w:val="003A0EE4"/>
    <w:rsid w:val="003A1477"/>
    <w:rsid w:val="003A263C"/>
    <w:rsid w:val="003A482C"/>
    <w:rsid w:val="003A4F24"/>
    <w:rsid w:val="003A5C71"/>
    <w:rsid w:val="003A6227"/>
    <w:rsid w:val="003A679E"/>
    <w:rsid w:val="003A6A76"/>
    <w:rsid w:val="003A6BFD"/>
    <w:rsid w:val="003A76D7"/>
    <w:rsid w:val="003A7CB1"/>
    <w:rsid w:val="003B0061"/>
    <w:rsid w:val="003B0FA4"/>
    <w:rsid w:val="003B11E5"/>
    <w:rsid w:val="003B154C"/>
    <w:rsid w:val="003B1555"/>
    <w:rsid w:val="003B1BDF"/>
    <w:rsid w:val="003B2412"/>
    <w:rsid w:val="003B2D24"/>
    <w:rsid w:val="003B3CE9"/>
    <w:rsid w:val="003B413B"/>
    <w:rsid w:val="003B4308"/>
    <w:rsid w:val="003B510C"/>
    <w:rsid w:val="003B5700"/>
    <w:rsid w:val="003B5982"/>
    <w:rsid w:val="003B6079"/>
    <w:rsid w:val="003B6097"/>
    <w:rsid w:val="003B6D24"/>
    <w:rsid w:val="003B798D"/>
    <w:rsid w:val="003B7F26"/>
    <w:rsid w:val="003C00BB"/>
    <w:rsid w:val="003C04DB"/>
    <w:rsid w:val="003C13DB"/>
    <w:rsid w:val="003C3200"/>
    <w:rsid w:val="003C37F4"/>
    <w:rsid w:val="003C6223"/>
    <w:rsid w:val="003C67CA"/>
    <w:rsid w:val="003C70BA"/>
    <w:rsid w:val="003C762E"/>
    <w:rsid w:val="003C7F81"/>
    <w:rsid w:val="003D000A"/>
    <w:rsid w:val="003D03C0"/>
    <w:rsid w:val="003D0B57"/>
    <w:rsid w:val="003D1024"/>
    <w:rsid w:val="003D13CF"/>
    <w:rsid w:val="003D2AC9"/>
    <w:rsid w:val="003D47B7"/>
    <w:rsid w:val="003D4A8A"/>
    <w:rsid w:val="003D549B"/>
    <w:rsid w:val="003D58C7"/>
    <w:rsid w:val="003D5903"/>
    <w:rsid w:val="003D672B"/>
    <w:rsid w:val="003D6934"/>
    <w:rsid w:val="003D6DA9"/>
    <w:rsid w:val="003D6EEB"/>
    <w:rsid w:val="003D7256"/>
    <w:rsid w:val="003D75FB"/>
    <w:rsid w:val="003E0141"/>
    <w:rsid w:val="003E04C8"/>
    <w:rsid w:val="003E05E0"/>
    <w:rsid w:val="003E0D0B"/>
    <w:rsid w:val="003E11AE"/>
    <w:rsid w:val="003E129C"/>
    <w:rsid w:val="003E2241"/>
    <w:rsid w:val="003E23C1"/>
    <w:rsid w:val="003E2E5D"/>
    <w:rsid w:val="003E3873"/>
    <w:rsid w:val="003E4BA1"/>
    <w:rsid w:val="003E5016"/>
    <w:rsid w:val="003E52E4"/>
    <w:rsid w:val="003E57FA"/>
    <w:rsid w:val="003E5D86"/>
    <w:rsid w:val="003E6503"/>
    <w:rsid w:val="003E6558"/>
    <w:rsid w:val="003E677B"/>
    <w:rsid w:val="003E68BD"/>
    <w:rsid w:val="003E69D5"/>
    <w:rsid w:val="003E72CA"/>
    <w:rsid w:val="003E72E3"/>
    <w:rsid w:val="003E7766"/>
    <w:rsid w:val="003E7FA0"/>
    <w:rsid w:val="003F2FC0"/>
    <w:rsid w:val="003F2FF5"/>
    <w:rsid w:val="003F357A"/>
    <w:rsid w:val="003F461C"/>
    <w:rsid w:val="003F4B64"/>
    <w:rsid w:val="003F4E6B"/>
    <w:rsid w:val="003F4F98"/>
    <w:rsid w:val="003F53A5"/>
    <w:rsid w:val="003F53E2"/>
    <w:rsid w:val="003F5812"/>
    <w:rsid w:val="003F587D"/>
    <w:rsid w:val="003F5E30"/>
    <w:rsid w:val="003F62E0"/>
    <w:rsid w:val="003F69F7"/>
    <w:rsid w:val="003F768E"/>
    <w:rsid w:val="003F796C"/>
    <w:rsid w:val="00400311"/>
    <w:rsid w:val="004011E0"/>
    <w:rsid w:val="0040319F"/>
    <w:rsid w:val="00403964"/>
    <w:rsid w:val="00403F3C"/>
    <w:rsid w:val="00404D00"/>
    <w:rsid w:val="004050CD"/>
    <w:rsid w:val="004050E0"/>
    <w:rsid w:val="004051E8"/>
    <w:rsid w:val="0040579B"/>
    <w:rsid w:val="00405CAC"/>
    <w:rsid w:val="00406AA6"/>
    <w:rsid w:val="00407DA3"/>
    <w:rsid w:val="00407DBB"/>
    <w:rsid w:val="00410C5E"/>
    <w:rsid w:val="00413E1D"/>
    <w:rsid w:val="00414481"/>
    <w:rsid w:val="004145D5"/>
    <w:rsid w:val="00414850"/>
    <w:rsid w:val="004168E5"/>
    <w:rsid w:val="00416950"/>
    <w:rsid w:val="00417A2C"/>
    <w:rsid w:val="0042119D"/>
    <w:rsid w:val="00421401"/>
    <w:rsid w:val="00422446"/>
    <w:rsid w:val="004228DA"/>
    <w:rsid w:val="00422D3E"/>
    <w:rsid w:val="00423025"/>
    <w:rsid w:val="004238C6"/>
    <w:rsid w:val="00423A21"/>
    <w:rsid w:val="00423B34"/>
    <w:rsid w:val="00423C91"/>
    <w:rsid w:val="004243F2"/>
    <w:rsid w:val="00424AE5"/>
    <w:rsid w:val="00424AF0"/>
    <w:rsid w:val="00424FBD"/>
    <w:rsid w:val="00425387"/>
    <w:rsid w:val="00425600"/>
    <w:rsid w:val="004257D5"/>
    <w:rsid w:val="00425864"/>
    <w:rsid w:val="00425958"/>
    <w:rsid w:val="00425CD7"/>
    <w:rsid w:val="0042725B"/>
    <w:rsid w:val="00427644"/>
    <w:rsid w:val="00430155"/>
    <w:rsid w:val="004308BF"/>
    <w:rsid w:val="004313BF"/>
    <w:rsid w:val="00432E5A"/>
    <w:rsid w:val="00432EAF"/>
    <w:rsid w:val="00433511"/>
    <w:rsid w:val="00434A14"/>
    <w:rsid w:val="00434D4D"/>
    <w:rsid w:val="0043575A"/>
    <w:rsid w:val="00435784"/>
    <w:rsid w:val="00436074"/>
    <w:rsid w:val="00437A38"/>
    <w:rsid w:val="00437B9D"/>
    <w:rsid w:val="00437D1B"/>
    <w:rsid w:val="00437E67"/>
    <w:rsid w:val="004402C9"/>
    <w:rsid w:val="00441FA0"/>
    <w:rsid w:val="00442DBF"/>
    <w:rsid w:val="00443364"/>
    <w:rsid w:val="0044355E"/>
    <w:rsid w:val="00443630"/>
    <w:rsid w:val="00443753"/>
    <w:rsid w:val="004437C6"/>
    <w:rsid w:val="00443BA6"/>
    <w:rsid w:val="00443DE3"/>
    <w:rsid w:val="0044433B"/>
    <w:rsid w:val="00444665"/>
    <w:rsid w:val="004446E7"/>
    <w:rsid w:val="00444730"/>
    <w:rsid w:val="00444820"/>
    <w:rsid w:val="0044572B"/>
    <w:rsid w:val="00445837"/>
    <w:rsid w:val="0044752B"/>
    <w:rsid w:val="004478A3"/>
    <w:rsid w:val="00447905"/>
    <w:rsid w:val="00450105"/>
    <w:rsid w:val="00450C85"/>
    <w:rsid w:val="00451522"/>
    <w:rsid w:val="00451582"/>
    <w:rsid w:val="00452F00"/>
    <w:rsid w:val="00452FD3"/>
    <w:rsid w:val="00453CC3"/>
    <w:rsid w:val="0045444D"/>
    <w:rsid w:val="00454E60"/>
    <w:rsid w:val="004553F2"/>
    <w:rsid w:val="00455A13"/>
    <w:rsid w:val="00456BFE"/>
    <w:rsid w:val="00460D40"/>
    <w:rsid w:val="0046192B"/>
    <w:rsid w:val="004625CF"/>
    <w:rsid w:val="00462E9D"/>
    <w:rsid w:val="00462F01"/>
    <w:rsid w:val="00463BB6"/>
    <w:rsid w:val="00463C2D"/>
    <w:rsid w:val="00465112"/>
    <w:rsid w:val="004653D6"/>
    <w:rsid w:val="00465AE7"/>
    <w:rsid w:val="00466011"/>
    <w:rsid w:val="004666B5"/>
    <w:rsid w:val="00466839"/>
    <w:rsid w:val="00466B1C"/>
    <w:rsid w:val="00466C5C"/>
    <w:rsid w:val="0046708F"/>
    <w:rsid w:val="00467781"/>
    <w:rsid w:val="00470490"/>
    <w:rsid w:val="00470C11"/>
    <w:rsid w:val="0047106F"/>
    <w:rsid w:val="00471314"/>
    <w:rsid w:val="00471741"/>
    <w:rsid w:val="00471AB4"/>
    <w:rsid w:val="00472279"/>
    <w:rsid w:val="00472633"/>
    <w:rsid w:val="004728BF"/>
    <w:rsid w:val="00472A6C"/>
    <w:rsid w:val="00472C0A"/>
    <w:rsid w:val="00473A44"/>
    <w:rsid w:val="0047460B"/>
    <w:rsid w:val="00475AF6"/>
    <w:rsid w:val="00475B18"/>
    <w:rsid w:val="00475FA5"/>
    <w:rsid w:val="00476924"/>
    <w:rsid w:val="004776CB"/>
    <w:rsid w:val="004777F6"/>
    <w:rsid w:val="0047794C"/>
    <w:rsid w:val="00477B08"/>
    <w:rsid w:val="00477F9F"/>
    <w:rsid w:val="004800B9"/>
    <w:rsid w:val="00480201"/>
    <w:rsid w:val="0048062B"/>
    <w:rsid w:val="004809EE"/>
    <w:rsid w:val="0048193E"/>
    <w:rsid w:val="00481A37"/>
    <w:rsid w:val="00482D22"/>
    <w:rsid w:val="004838BD"/>
    <w:rsid w:val="00483953"/>
    <w:rsid w:val="00483C83"/>
    <w:rsid w:val="00483D26"/>
    <w:rsid w:val="00483DD8"/>
    <w:rsid w:val="004841AF"/>
    <w:rsid w:val="00485505"/>
    <w:rsid w:val="004857CC"/>
    <w:rsid w:val="00485BE2"/>
    <w:rsid w:val="00485CC0"/>
    <w:rsid w:val="0048622D"/>
    <w:rsid w:val="004862E3"/>
    <w:rsid w:val="00486A02"/>
    <w:rsid w:val="00487841"/>
    <w:rsid w:val="00487DB5"/>
    <w:rsid w:val="00490DC1"/>
    <w:rsid w:val="00490ECC"/>
    <w:rsid w:val="00491370"/>
    <w:rsid w:val="004914DE"/>
    <w:rsid w:val="00491587"/>
    <w:rsid w:val="0049253A"/>
    <w:rsid w:val="0049358B"/>
    <w:rsid w:val="00493779"/>
    <w:rsid w:val="004938BF"/>
    <w:rsid w:val="00493A53"/>
    <w:rsid w:val="00494AFA"/>
    <w:rsid w:val="00494BDA"/>
    <w:rsid w:val="0049526F"/>
    <w:rsid w:val="00495838"/>
    <w:rsid w:val="0049606F"/>
    <w:rsid w:val="00496F88"/>
    <w:rsid w:val="004979DC"/>
    <w:rsid w:val="00497E23"/>
    <w:rsid w:val="00497EDE"/>
    <w:rsid w:val="004A02F0"/>
    <w:rsid w:val="004A08BA"/>
    <w:rsid w:val="004A0BED"/>
    <w:rsid w:val="004A1754"/>
    <w:rsid w:val="004A1C03"/>
    <w:rsid w:val="004A1DA9"/>
    <w:rsid w:val="004A2094"/>
    <w:rsid w:val="004A21FC"/>
    <w:rsid w:val="004A244B"/>
    <w:rsid w:val="004A2C41"/>
    <w:rsid w:val="004A3546"/>
    <w:rsid w:val="004A375C"/>
    <w:rsid w:val="004A3AAE"/>
    <w:rsid w:val="004A4282"/>
    <w:rsid w:val="004A4E98"/>
    <w:rsid w:val="004A5615"/>
    <w:rsid w:val="004A56CB"/>
    <w:rsid w:val="004A5CC2"/>
    <w:rsid w:val="004A63F6"/>
    <w:rsid w:val="004A64B9"/>
    <w:rsid w:val="004B020C"/>
    <w:rsid w:val="004B0767"/>
    <w:rsid w:val="004B0DCB"/>
    <w:rsid w:val="004B0E4E"/>
    <w:rsid w:val="004B0EBA"/>
    <w:rsid w:val="004B1338"/>
    <w:rsid w:val="004B18A7"/>
    <w:rsid w:val="004B1961"/>
    <w:rsid w:val="004B2AE2"/>
    <w:rsid w:val="004B2CF0"/>
    <w:rsid w:val="004B3ED3"/>
    <w:rsid w:val="004B45C1"/>
    <w:rsid w:val="004B4BA9"/>
    <w:rsid w:val="004B55EB"/>
    <w:rsid w:val="004B5FA9"/>
    <w:rsid w:val="004B6602"/>
    <w:rsid w:val="004B66DD"/>
    <w:rsid w:val="004B6DF2"/>
    <w:rsid w:val="004B7F7F"/>
    <w:rsid w:val="004C0020"/>
    <w:rsid w:val="004C05F4"/>
    <w:rsid w:val="004C1430"/>
    <w:rsid w:val="004C1CC3"/>
    <w:rsid w:val="004C21DE"/>
    <w:rsid w:val="004C2A01"/>
    <w:rsid w:val="004C2B24"/>
    <w:rsid w:val="004C31A0"/>
    <w:rsid w:val="004C32C4"/>
    <w:rsid w:val="004C34B3"/>
    <w:rsid w:val="004C3755"/>
    <w:rsid w:val="004C4500"/>
    <w:rsid w:val="004C4B2E"/>
    <w:rsid w:val="004C4C9B"/>
    <w:rsid w:val="004C5CF7"/>
    <w:rsid w:val="004C60CB"/>
    <w:rsid w:val="004C6163"/>
    <w:rsid w:val="004C6396"/>
    <w:rsid w:val="004C63FC"/>
    <w:rsid w:val="004C670E"/>
    <w:rsid w:val="004C71EB"/>
    <w:rsid w:val="004C7AC9"/>
    <w:rsid w:val="004D0928"/>
    <w:rsid w:val="004D11FC"/>
    <w:rsid w:val="004D14CB"/>
    <w:rsid w:val="004D16D7"/>
    <w:rsid w:val="004D1EBF"/>
    <w:rsid w:val="004D28C8"/>
    <w:rsid w:val="004D290B"/>
    <w:rsid w:val="004D2ACF"/>
    <w:rsid w:val="004D315E"/>
    <w:rsid w:val="004D3D13"/>
    <w:rsid w:val="004D553D"/>
    <w:rsid w:val="004D5640"/>
    <w:rsid w:val="004D6B1D"/>
    <w:rsid w:val="004E09C4"/>
    <w:rsid w:val="004E0AB4"/>
    <w:rsid w:val="004E0CD9"/>
    <w:rsid w:val="004E14F8"/>
    <w:rsid w:val="004E1F5A"/>
    <w:rsid w:val="004E22FE"/>
    <w:rsid w:val="004E23F0"/>
    <w:rsid w:val="004E2985"/>
    <w:rsid w:val="004E307B"/>
    <w:rsid w:val="004E334A"/>
    <w:rsid w:val="004E41BC"/>
    <w:rsid w:val="004E46B7"/>
    <w:rsid w:val="004E51F8"/>
    <w:rsid w:val="004E5B14"/>
    <w:rsid w:val="004E5DEF"/>
    <w:rsid w:val="004E5FEB"/>
    <w:rsid w:val="004E712F"/>
    <w:rsid w:val="004E7DD3"/>
    <w:rsid w:val="004F0AC0"/>
    <w:rsid w:val="004F0D79"/>
    <w:rsid w:val="004F17E9"/>
    <w:rsid w:val="004F3464"/>
    <w:rsid w:val="004F3511"/>
    <w:rsid w:val="004F38B6"/>
    <w:rsid w:val="004F3980"/>
    <w:rsid w:val="004F4713"/>
    <w:rsid w:val="004F4DCE"/>
    <w:rsid w:val="004F5956"/>
    <w:rsid w:val="004F6B81"/>
    <w:rsid w:val="004F7E22"/>
    <w:rsid w:val="00500AF1"/>
    <w:rsid w:val="005012B2"/>
    <w:rsid w:val="00501903"/>
    <w:rsid w:val="00502CD1"/>
    <w:rsid w:val="005030AC"/>
    <w:rsid w:val="00503B17"/>
    <w:rsid w:val="005044DD"/>
    <w:rsid w:val="00504F8B"/>
    <w:rsid w:val="00506370"/>
    <w:rsid w:val="00506EBA"/>
    <w:rsid w:val="0050755A"/>
    <w:rsid w:val="005075D4"/>
    <w:rsid w:val="00507EBE"/>
    <w:rsid w:val="00510592"/>
    <w:rsid w:val="00510D44"/>
    <w:rsid w:val="0051126D"/>
    <w:rsid w:val="0051183B"/>
    <w:rsid w:val="00511A05"/>
    <w:rsid w:val="00512207"/>
    <w:rsid w:val="005124F6"/>
    <w:rsid w:val="00512512"/>
    <w:rsid w:val="00512921"/>
    <w:rsid w:val="00512A1C"/>
    <w:rsid w:val="00512B3C"/>
    <w:rsid w:val="00513A5F"/>
    <w:rsid w:val="005140FE"/>
    <w:rsid w:val="00514283"/>
    <w:rsid w:val="005142D8"/>
    <w:rsid w:val="0051452D"/>
    <w:rsid w:val="00514AFF"/>
    <w:rsid w:val="00515BE8"/>
    <w:rsid w:val="00515DF4"/>
    <w:rsid w:val="005161E5"/>
    <w:rsid w:val="00516456"/>
    <w:rsid w:val="00517368"/>
    <w:rsid w:val="00517843"/>
    <w:rsid w:val="00517922"/>
    <w:rsid w:val="00517BD8"/>
    <w:rsid w:val="00517D34"/>
    <w:rsid w:val="005203D1"/>
    <w:rsid w:val="00520696"/>
    <w:rsid w:val="00520EF2"/>
    <w:rsid w:val="00521C69"/>
    <w:rsid w:val="00522A1F"/>
    <w:rsid w:val="00523EE2"/>
    <w:rsid w:val="0052420C"/>
    <w:rsid w:val="0052645D"/>
    <w:rsid w:val="00526486"/>
    <w:rsid w:val="005264BD"/>
    <w:rsid w:val="00526A23"/>
    <w:rsid w:val="00526D2B"/>
    <w:rsid w:val="00526EB1"/>
    <w:rsid w:val="0053164A"/>
    <w:rsid w:val="00531991"/>
    <w:rsid w:val="00531B22"/>
    <w:rsid w:val="00532189"/>
    <w:rsid w:val="0053258D"/>
    <w:rsid w:val="00532882"/>
    <w:rsid w:val="00532F83"/>
    <w:rsid w:val="00533540"/>
    <w:rsid w:val="00533DFA"/>
    <w:rsid w:val="0053424E"/>
    <w:rsid w:val="00534597"/>
    <w:rsid w:val="005349C2"/>
    <w:rsid w:val="00534F72"/>
    <w:rsid w:val="00535CF5"/>
    <w:rsid w:val="00535D11"/>
    <w:rsid w:val="0053644E"/>
    <w:rsid w:val="005368CA"/>
    <w:rsid w:val="00536FB9"/>
    <w:rsid w:val="00537A2A"/>
    <w:rsid w:val="00540517"/>
    <w:rsid w:val="00540EEA"/>
    <w:rsid w:val="00541727"/>
    <w:rsid w:val="00541942"/>
    <w:rsid w:val="00541B5A"/>
    <w:rsid w:val="00541D3C"/>
    <w:rsid w:val="0054232B"/>
    <w:rsid w:val="00542D1A"/>
    <w:rsid w:val="00542DBD"/>
    <w:rsid w:val="00542E76"/>
    <w:rsid w:val="00543849"/>
    <w:rsid w:val="00543911"/>
    <w:rsid w:val="00544BAD"/>
    <w:rsid w:val="00544D12"/>
    <w:rsid w:val="0054747D"/>
    <w:rsid w:val="00547BCD"/>
    <w:rsid w:val="005512D1"/>
    <w:rsid w:val="00551C46"/>
    <w:rsid w:val="00551C69"/>
    <w:rsid w:val="00551E57"/>
    <w:rsid w:val="005539F4"/>
    <w:rsid w:val="0055478E"/>
    <w:rsid w:val="00555094"/>
    <w:rsid w:val="00555665"/>
    <w:rsid w:val="0055571D"/>
    <w:rsid w:val="00555879"/>
    <w:rsid w:val="005566F1"/>
    <w:rsid w:val="00556C82"/>
    <w:rsid w:val="005607DF"/>
    <w:rsid w:val="0056198C"/>
    <w:rsid w:val="005620B6"/>
    <w:rsid w:val="00564119"/>
    <w:rsid w:val="00564639"/>
    <w:rsid w:val="00564669"/>
    <w:rsid w:val="00564AC6"/>
    <w:rsid w:val="00564F25"/>
    <w:rsid w:val="00566BB8"/>
    <w:rsid w:val="00566BC1"/>
    <w:rsid w:val="0056776F"/>
    <w:rsid w:val="0057039C"/>
    <w:rsid w:val="005704D1"/>
    <w:rsid w:val="005706E6"/>
    <w:rsid w:val="00570DE2"/>
    <w:rsid w:val="005714F3"/>
    <w:rsid w:val="00572371"/>
    <w:rsid w:val="00573CE3"/>
    <w:rsid w:val="00574A8F"/>
    <w:rsid w:val="005750CF"/>
    <w:rsid w:val="00575301"/>
    <w:rsid w:val="00575415"/>
    <w:rsid w:val="00575DAE"/>
    <w:rsid w:val="00576424"/>
    <w:rsid w:val="00576A7D"/>
    <w:rsid w:val="0057714D"/>
    <w:rsid w:val="00581032"/>
    <w:rsid w:val="00581525"/>
    <w:rsid w:val="00582FAC"/>
    <w:rsid w:val="005837F1"/>
    <w:rsid w:val="00584566"/>
    <w:rsid w:val="0058456D"/>
    <w:rsid w:val="0058482B"/>
    <w:rsid w:val="00584D7C"/>
    <w:rsid w:val="00585F88"/>
    <w:rsid w:val="00587806"/>
    <w:rsid w:val="00590081"/>
    <w:rsid w:val="005904D6"/>
    <w:rsid w:val="00591A03"/>
    <w:rsid w:val="00592CC9"/>
    <w:rsid w:val="005932EC"/>
    <w:rsid w:val="005935BD"/>
    <w:rsid w:val="0059379C"/>
    <w:rsid w:val="00593CD5"/>
    <w:rsid w:val="005951CD"/>
    <w:rsid w:val="00596347"/>
    <w:rsid w:val="005966A7"/>
    <w:rsid w:val="00597A0C"/>
    <w:rsid w:val="00597E2B"/>
    <w:rsid w:val="005A0368"/>
    <w:rsid w:val="005A0CC1"/>
    <w:rsid w:val="005A1403"/>
    <w:rsid w:val="005A15B0"/>
    <w:rsid w:val="005A17C1"/>
    <w:rsid w:val="005A2A0A"/>
    <w:rsid w:val="005A2ED9"/>
    <w:rsid w:val="005A32D9"/>
    <w:rsid w:val="005A334D"/>
    <w:rsid w:val="005A3D7B"/>
    <w:rsid w:val="005A415F"/>
    <w:rsid w:val="005A4AE5"/>
    <w:rsid w:val="005A5B23"/>
    <w:rsid w:val="005A5FAA"/>
    <w:rsid w:val="005A60F6"/>
    <w:rsid w:val="005A6A32"/>
    <w:rsid w:val="005A6D35"/>
    <w:rsid w:val="005A7546"/>
    <w:rsid w:val="005A7866"/>
    <w:rsid w:val="005A7C6F"/>
    <w:rsid w:val="005B0471"/>
    <w:rsid w:val="005B07B0"/>
    <w:rsid w:val="005B10DF"/>
    <w:rsid w:val="005B18AA"/>
    <w:rsid w:val="005B2155"/>
    <w:rsid w:val="005B383A"/>
    <w:rsid w:val="005B3B60"/>
    <w:rsid w:val="005B49CC"/>
    <w:rsid w:val="005B66F9"/>
    <w:rsid w:val="005C008B"/>
    <w:rsid w:val="005C0149"/>
    <w:rsid w:val="005C0F11"/>
    <w:rsid w:val="005C125A"/>
    <w:rsid w:val="005C1B02"/>
    <w:rsid w:val="005C1EF4"/>
    <w:rsid w:val="005C20D6"/>
    <w:rsid w:val="005C2AA9"/>
    <w:rsid w:val="005C2C2A"/>
    <w:rsid w:val="005C43CE"/>
    <w:rsid w:val="005C44EF"/>
    <w:rsid w:val="005C49E6"/>
    <w:rsid w:val="005C574A"/>
    <w:rsid w:val="005C58F2"/>
    <w:rsid w:val="005C5B1E"/>
    <w:rsid w:val="005C5F0D"/>
    <w:rsid w:val="005C5FA4"/>
    <w:rsid w:val="005C62A3"/>
    <w:rsid w:val="005C64A3"/>
    <w:rsid w:val="005C77D8"/>
    <w:rsid w:val="005D0D81"/>
    <w:rsid w:val="005D1905"/>
    <w:rsid w:val="005D19CE"/>
    <w:rsid w:val="005D1C7A"/>
    <w:rsid w:val="005D2379"/>
    <w:rsid w:val="005D2F60"/>
    <w:rsid w:val="005D3AEB"/>
    <w:rsid w:val="005D41CB"/>
    <w:rsid w:val="005D5AF6"/>
    <w:rsid w:val="005D5C88"/>
    <w:rsid w:val="005D5FE2"/>
    <w:rsid w:val="005D7213"/>
    <w:rsid w:val="005D7548"/>
    <w:rsid w:val="005D76EF"/>
    <w:rsid w:val="005D78CB"/>
    <w:rsid w:val="005E00CC"/>
    <w:rsid w:val="005E0249"/>
    <w:rsid w:val="005E0390"/>
    <w:rsid w:val="005E0A2B"/>
    <w:rsid w:val="005E134C"/>
    <w:rsid w:val="005E175E"/>
    <w:rsid w:val="005E1891"/>
    <w:rsid w:val="005E1FF3"/>
    <w:rsid w:val="005E204A"/>
    <w:rsid w:val="005E2894"/>
    <w:rsid w:val="005E32C2"/>
    <w:rsid w:val="005E33ED"/>
    <w:rsid w:val="005E37B7"/>
    <w:rsid w:val="005E3B7E"/>
    <w:rsid w:val="005E4257"/>
    <w:rsid w:val="005E4727"/>
    <w:rsid w:val="005E4C14"/>
    <w:rsid w:val="005E4DA9"/>
    <w:rsid w:val="005E5929"/>
    <w:rsid w:val="005E651C"/>
    <w:rsid w:val="005F06E5"/>
    <w:rsid w:val="005F139A"/>
    <w:rsid w:val="005F1C62"/>
    <w:rsid w:val="005F4278"/>
    <w:rsid w:val="005F47E8"/>
    <w:rsid w:val="005F4B10"/>
    <w:rsid w:val="005F4E08"/>
    <w:rsid w:val="005F58D5"/>
    <w:rsid w:val="005F5C65"/>
    <w:rsid w:val="005F5CD4"/>
    <w:rsid w:val="005F638E"/>
    <w:rsid w:val="005F7C53"/>
    <w:rsid w:val="006005A5"/>
    <w:rsid w:val="006005C9"/>
    <w:rsid w:val="006006FD"/>
    <w:rsid w:val="00600A13"/>
    <w:rsid w:val="00600E61"/>
    <w:rsid w:val="006028E0"/>
    <w:rsid w:val="00602EB5"/>
    <w:rsid w:val="00602FEE"/>
    <w:rsid w:val="006030C8"/>
    <w:rsid w:val="00603BBF"/>
    <w:rsid w:val="00603DAE"/>
    <w:rsid w:val="00603E2F"/>
    <w:rsid w:val="00604735"/>
    <w:rsid w:val="00604A0D"/>
    <w:rsid w:val="00605B1E"/>
    <w:rsid w:val="00607944"/>
    <w:rsid w:val="00607E06"/>
    <w:rsid w:val="006103C9"/>
    <w:rsid w:val="00610C81"/>
    <w:rsid w:val="0061189C"/>
    <w:rsid w:val="0061197C"/>
    <w:rsid w:val="006121CF"/>
    <w:rsid w:val="00612CC9"/>
    <w:rsid w:val="00613AD2"/>
    <w:rsid w:val="00613F5A"/>
    <w:rsid w:val="00615E93"/>
    <w:rsid w:val="006167C3"/>
    <w:rsid w:val="006178CD"/>
    <w:rsid w:val="00620813"/>
    <w:rsid w:val="00620AD9"/>
    <w:rsid w:val="00620E36"/>
    <w:rsid w:val="006210C7"/>
    <w:rsid w:val="0062142E"/>
    <w:rsid w:val="00621459"/>
    <w:rsid w:val="006220E6"/>
    <w:rsid w:val="0062248D"/>
    <w:rsid w:val="006227A8"/>
    <w:rsid w:val="0062293B"/>
    <w:rsid w:val="00622A8B"/>
    <w:rsid w:val="00622B34"/>
    <w:rsid w:val="00622D38"/>
    <w:rsid w:val="00622F6C"/>
    <w:rsid w:val="006237C8"/>
    <w:rsid w:val="00623C92"/>
    <w:rsid w:val="00624149"/>
    <w:rsid w:val="00624212"/>
    <w:rsid w:val="0062431A"/>
    <w:rsid w:val="0062440D"/>
    <w:rsid w:val="00625220"/>
    <w:rsid w:val="00625362"/>
    <w:rsid w:val="00625799"/>
    <w:rsid w:val="00625AFD"/>
    <w:rsid w:val="006266E0"/>
    <w:rsid w:val="00626C6F"/>
    <w:rsid w:val="00627DF8"/>
    <w:rsid w:val="00630799"/>
    <w:rsid w:val="006320B0"/>
    <w:rsid w:val="006325F2"/>
    <w:rsid w:val="00632D60"/>
    <w:rsid w:val="00632EFB"/>
    <w:rsid w:val="006337DE"/>
    <w:rsid w:val="006337EE"/>
    <w:rsid w:val="00634671"/>
    <w:rsid w:val="00634FEB"/>
    <w:rsid w:val="006358AB"/>
    <w:rsid w:val="0063713C"/>
    <w:rsid w:val="006372D7"/>
    <w:rsid w:val="00637D19"/>
    <w:rsid w:val="00640E6E"/>
    <w:rsid w:val="00641150"/>
    <w:rsid w:val="006413D1"/>
    <w:rsid w:val="00641624"/>
    <w:rsid w:val="006449E2"/>
    <w:rsid w:val="00644D45"/>
    <w:rsid w:val="00644F28"/>
    <w:rsid w:val="00645911"/>
    <w:rsid w:val="00645AE9"/>
    <w:rsid w:val="00645D3E"/>
    <w:rsid w:val="00646117"/>
    <w:rsid w:val="00647C0F"/>
    <w:rsid w:val="00650180"/>
    <w:rsid w:val="006509A6"/>
    <w:rsid w:val="00651073"/>
    <w:rsid w:val="00651389"/>
    <w:rsid w:val="00651D99"/>
    <w:rsid w:val="00651F0F"/>
    <w:rsid w:val="00652041"/>
    <w:rsid w:val="00652532"/>
    <w:rsid w:val="00652796"/>
    <w:rsid w:val="00653EE4"/>
    <w:rsid w:val="0065412D"/>
    <w:rsid w:val="00654CA0"/>
    <w:rsid w:val="0065528C"/>
    <w:rsid w:val="0065599B"/>
    <w:rsid w:val="00656000"/>
    <w:rsid w:val="0065639A"/>
    <w:rsid w:val="006575C0"/>
    <w:rsid w:val="0066005B"/>
    <w:rsid w:val="006605B0"/>
    <w:rsid w:val="00660A13"/>
    <w:rsid w:val="00660DD5"/>
    <w:rsid w:val="00661523"/>
    <w:rsid w:val="00661B6D"/>
    <w:rsid w:val="00661BA9"/>
    <w:rsid w:val="00662035"/>
    <w:rsid w:val="0066253B"/>
    <w:rsid w:val="00662E44"/>
    <w:rsid w:val="0066320F"/>
    <w:rsid w:val="00663515"/>
    <w:rsid w:val="00663DFF"/>
    <w:rsid w:val="00664C92"/>
    <w:rsid w:val="006654FA"/>
    <w:rsid w:val="00665C54"/>
    <w:rsid w:val="00665F2F"/>
    <w:rsid w:val="006666F2"/>
    <w:rsid w:val="006669EA"/>
    <w:rsid w:val="00666BDA"/>
    <w:rsid w:val="00666D72"/>
    <w:rsid w:val="006700EA"/>
    <w:rsid w:val="00671343"/>
    <w:rsid w:val="00671E12"/>
    <w:rsid w:val="00671FF9"/>
    <w:rsid w:val="00672815"/>
    <w:rsid w:val="00673FAD"/>
    <w:rsid w:val="0067422B"/>
    <w:rsid w:val="00674519"/>
    <w:rsid w:val="006746E7"/>
    <w:rsid w:val="006754C6"/>
    <w:rsid w:val="00675EDC"/>
    <w:rsid w:val="00676651"/>
    <w:rsid w:val="00676814"/>
    <w:rsid w:val="00676DA7"/>
    <w:rsid w:val="006803DE"/>
    <w:rsid w:val="0068104C"/>
    <w:rsid w:val="00681291"/>
    <w:rsid w:val="00681736"/>
    <w:rsid w:val="00682169"/>
    <w:rsid w:val="00683580"/>
    <w:rsid w:val="00685B68"/>
    <w:rsid w:val="00685F31"/>
    <w:rsid w:val="006861E5"/>
    <w:rsid w:val="0068672F"/>
    <w:rsid w:val="00686BC3"/>
    <w:rsid w:val="00687352"/>
    <w:rsid w:val="00687677"/>
    <w:rsid w:val="006876F2"/>
    <w:rsid w:val="006901B6"/>
    <w:rsid w:val="00690226"/>
    <w:rsid w:val="00691006"/>
    <w:rsid w:val="00691E65"/>
    <w:rsid w:val="00691F1D"/>
    <w:rsid w:val="006924A0"/>
    <w:rsid w:val="006934C9"/>
    <w:rsid w:val="00693681"/>
    <w:rsid w:val="006974E2"/>
    <w:rsid w:val="006A00AE"/>
    <w:rsid w:val="006A0C75"/>
    <w:rsid w:val="006A187D"/>
    <w:rsid w:val="006A2312"/>
    <w:rsid w:val="006A238D"/>
    <w:rsid w:val="006A258B"/>
    <w:rsid w:val="006A4543"/>
    <w:rsid w:val="006A5317"/>
    <w:rsid w:val="006A5CE5"/>
    <w:rsid w:val="006A60CB"/>
    <w:rsid w:val="006A6423"/>
    <w:rsid w:val="006A6826"/>
    <w:rsid w:val="006A6947"/>
    <w:rsid w:val="006A6B7D"/>
    <w:rsid w:val="006A7024"/>
    <w:rsid w:val="006A714C"/>
    <w:rsid w:val="006A7BB3"/>
    <w:rsid w:val="006B0059"/>
    <w:rsid w:val="006B03F3"/>
    <w:rsid w:val="006B0F1A"/>
    <w:rsid w:val="006B103B"/>
    <w:rsid w:val="006B147D"/>
    <w:rsid w:val="006B17A6"/>
    <w:rsid w:val="006B1F1F"/>
    <w:rsid w:val="006B1F46"/>
    <w:rsid w:val="006B23D3"/>
    <w:rsid w:val="006B24AE"/>
    <w:rsid w:val="006B32DF"/>
    <w:rsid w:val="006B37A9"/>
    <w:rsid w:val="006B4396"/>
    <w:rsid w:val="006B4653"/>
    <w:rsid w:val="006B48C3"/>
    <w:rsid w:val="006B496F"/>
    <w:rsid w:val="006B4FDC"/>
    <w:rsid w:val="006B592E"/>
    <w:rsid w:val="006B6044"/>
    <w:rsid w:val="006B62BF"/>
    <w:rsid w:val="006B76B0"/>
    <w:rsid w:val="006C0C45"/>
    <w:rsid w:val="006C28AF"/>
    <w:rsid w:val="006C3508"/>
    <w:rsid w:val="006C43A7"/>
    <w:rsid w:val="006C46C5"/>
    <w:rsid w:val="006C4869"/>
    <w:rsid w:val="006C48A4"/>
    <w:rsid w:val="006C512A"/>
    <w:rsid w:val="006C519D"/>
    <w:rsid w:val="006C5C61"/>
    <w:rsid w:val="006C6A8A"/>
    <w:rsid w:val="006C74F9"/>
    <w:rsid w:val="006D1725"/>
    <w:rsid w:val="006D1CEF"/>
    <w:rsid w:val="006D2953"/>
    <w:rsid w:val="006D29BA"/>
    <w:rsid w:val="006D2ED0"/>
    <w:rsid w:val="006D2F9D"/>
    <w:rsid w:val="006D3340"/>
    <w:rsid w:val="006D3419"/>
    <w:rsid w:val="006D4233"/>
    <w:rsid w:val="006D47BF"/>
    <w:rsid w:val="006D4EF2"/>
    <w:rsid w:val="006D56B4"/>
    <w:rsid w:val="006D6330"/>
    <w:rsid w:val="006D739A"/>
    <w:rsid w:val="006E008F"/>
    <w:rsid w:val="006E0D50"/>
    <w:rsid w:val="006E17F1"/>
    <w:rsid w:val="006E217A"/>
    <w:rsid w:val="006E2CBD"/>
    <w:rsid w:val="006E2DC1"/>
    <w:rsid w:val="006E2F24"/>
    <w:rsid w:val="006E4218"/>
    <w:rsid w:val="006E42A2"/>
    <w:rsid w:val="006E4316"/>
    <w:rsid w:val="006E509D"/>
    <w:rsid w:val="006E51D5"/>
    <w:rsid w:val="006E556F"/>
    <w:rsid w:val="006E632C"/>
    <w:rsid w:val="006E66DB"/>
    <w:rsid w:val="006E6958"/>
    <w:rsid w:val="006E705C"/>
    <w:rsid w:val="006E711E"/>
    <w:rsid w:val="006E729A"/>
    <w:rsid w:val="006E7A4F"/>
    <w:rsid w:val="006F0D22"/>
    <w:rsid w:val="006F0DA2"/>
    <w:rsid w:val="006F21EB"/>
    <w:rsid w:val="006F3061"/>
    <w:rsid w:val="006F307D"/>
    <w:rsid w:val="006F3356"/>
    <w:rsid w:val="006F3572"/>
    <w:rsid w:val="006F441F"/>
    <w:rsid w:val="006F4773"/>
    <w:rsid w:val="006F55B7"/>
    <w:rsid w:val="006F59EE"/>
    <w:rsid w:val="006F621E"/>
    <w:rsid w:val="006F694B"/>
    <w:rsid w:val="006F69DC"/>
    <w:rsid w:val="006F6DA7"/>
    <w:rsid w:val="006F7CFE"/>
    <w:rsid w:val="006F7EA3"/>
    <w:rsid w:val="00700115"/>
    <w:rsid w:val="00701198"/>
    <w:rsid w:val="007011AF"/>
    <w:rsid w:val="007012FD"/>
    <w:rsid w:val="007027B9"/>
    <w:rsid w:val="00703CEA"/>
    <w:rsid w:val="0070407B"/>
    <w:rsid w:val="0070482D"/>
    <w:rsid w:val="00704B80"/>
    <w:rsid w:val="00704ECF"/>
    <w:rsid w:val="007056DC"/>
    <w:rsid w:val="0070572E"/>
    <w:rsid w:val="00705AE8"/>
    <w:rsid w:val="007062B3"/>
    <w:rsid w:val="00706847"/>
    <w:rsid w:val="00706D82"/>
    <w:rsid w:val="00706DD1"/>
    <w:rsid w:val="007078B4"/>
    <w:rsid w:val="00710149"/>
    <w:rsid w:val="00710263"/>
    <w:rsid w:val="00710DE0"/>
    <w:rsid w:val="00711937"/>
    <w:rsid w:val="00711E92"/>
    <w:rsid w:val="00712006"/>
    <w:rsid w:val="007120C8"/>
    <w:rsid w:val="007124B1"/>
    <w:rsid w:val="00712CA9"/>
    <w:rsid w:val="00712DBD"/>
    <w:rsid w:val="00712E43"/>
    <w:rsid w:val="00714540"/>
    <w:rsid w:val="00714B3C"/>
    <w:rsid w:val="00714BA9"/>
    <w:rsid w:val="00715496"/>
    <w:rsid w:val="007156CB"/>
    <w:rsid w:val="00715F26"/>
    <w:rsid w:val="00715FD5"/>
    <w:rsid w:val="007165AB"/>
    <w:rsid w:val="00716AEE"/>
    <w:rsid w:val="007205D0"/>
    <w:rsid w:val="00720832"/>
    <w:rsid w:val="007213B3"/>
    <w:rsid w:val="00721528"/>
    <w:rsid w:val="00721655"/>
    <w:rsid w:val="007217DD"/>
    <w:rsid w:val="00721C16"/>
    <w:rsid w:val="0072203E"/>
    <w:rsid w:val="00722D98"/>
    <w:rsid w:val="007240D1"/>
    <w:rsid w:val="00724FA8"/>
    <w:rsid w:val="0072546A"/>
    <w:rsid w:val="007259A6"/>
    <w:rsid w:val="00725E3E"/>
    <w:rsid w:val="007265DD"/>
    <w:rsid w:val="00726751"/>
    <w:rsid w:val="00726AD9"/>
    <w:rsid w:val="00727282"/>
    <w:rsid w:val="0072794C"/>
    <w:rsid w:val="00727D75"/>
    <w:rsid w:val="00727E83"/>
    <w:rsid w:val="007304F6"/>
    <w:rsid w:val="0073126B"/>
    <w:rsid w:val="007315AD"/>
    <w:rsid w:val="007320B6"/>
    <w:rsid w:val="007320CF"/>
    <w:rsid w:val="00732488"/>
    <w:rsid w:val="007324BA"/>
    <w:rsid w:val="0073258E"/>
    <w:rsid w:val="00732AB6"/>
    <w:rsid w:val="00732C81"/>
    <w:rsid w:val="00732DA4"/>
    <w:rsid w:val="007339A3"/>
    <w:rsid w:val="00733EC1"/>
    <w:rsid w:val="0073485C"/>
    <w:rsid w:val="00734DE8"/>
    <w:rsid w:val="00735592"/>
    <w:rsid w:val="00735909"/>
    <w:rsid w:val="0073591B"/>
    <w:rsid w:val="00735B29"/>
    <w:rsid w:val="00736105"/>
    <w:rsid w:val="007362D6"/>
    <w:rsid w:val="007364A9"/>
    <w:rsid w:val="00736563"/>
    <w:rsid w:val="00736D78"/>
    <w:rsid w:val="00737CF0"/>
    <w:rsid w:val="00737EEC"/>
    <w:rsid w:val="00740850"/>
    <w:rsid w:val="007413B9"/>
    <w:rsid w:val="007413FB"/>
    <w:rsid w:val="007418EC"/>
    <w:rsid w:val="00741D28"/>
    <w:rsid w:val="007420D2"/>
    <w:rsid w:val="007427C3"/>
    <w:rsid w:val="0074314A"/>
    <w:rsid w:val="007431FF"/>
    <w:rsid w:val="00743B0D"/>
    <w:rsid w:val="007445C3"/>
    <w:rsid w:val="00744A40"/>
    <w:rsid w:val="007455B9"/>
    <w:rsid w:val="007455DB"/>
    <w:rsid w:val="007460C4"/>
    <w:rsid w:val="00746776"/>
    <w:rsid w:val="00746A51"/>
    <w:rsid w:val="00746FEC"/>
    <w:rsid w:val="00747B8D"/>
    <w:rsid w:val="00750748"/>
    <w:rsid w:val="00750900"/>
    <w:rsid w:val="00750982"/>
    <w:rsid w:val="0075154C"/>
    <w:rsid w:val="007516E8"/>
    <w:rsid w:val="00751D7F"/>
    <w:rsid w:val="00752A00"/>
    <w:rsid w:val="00752B22"/>
    <w:rsid w:val="00752D10"/>
    <w:rsid w:val="0075322B"/>
    <w:rsid w:val="00753F9B"/>
    <w:rsid w:val="00754838"/>
    <w:rsid w:val="00757132"/>
    <w:rsid w:val="0075724D"/>
    <w:rsid w:val="00757C72"/>
    <w:rsid w:val="00757CE8"/>
    <w:rsid w:val="00757E85"/>
    <w:rsid w:val="00757F06"/>
    <w:rsid w:val="00760E3F"/>
    <w:rsid w:val="007614A9"/>
    <w:rsid w:val="007625E7"/>
    <w:rsid w:val="007626E1"/>
    <w:rsid w:val="00762D2A"/>
    <w:rsid w:val="007632D2"/>
    <w:rsid w:val="00763301"/>
    <w:rsid w:val="0076410F"/>
    <w:rsid w:val="0076456A"/>
    <w:rsid w:val="00764705"/>
    <w:rsid w:val="0076562F"/>
    <w:rsid w:val="00765649"/>
    <w:rsid w:val="00765D89"/>
    <w:rsid w:val="00765F9A"/>
    <w:rsid w:val="0076656A"/>
    <w:rsid w:val="0076686B"/>
    <w:rsid w:val="00766F31"/>
    <w:rsid w:val="00766F8F"/>
    <w:rsid w:val="00767906"/>
    <w:rsid w:val="00767E95"/>
    <w:rsid w:val="00770147"/>
    <w:rsid w:val="00770F20"/>
    <w:rsid w:val="0077130E"/>
    <w:rsid w:val="007721F0"/>
    <w:rsid w:val="00772401"/>
    <w:rsid w:val="00772540"/>
    <w:rsid w:val="007727D1"/>
    <w:rsid w:val="0077291D"/>
    <w:rsid w:val="007734A4"/>
    <w:rsid w:val="007739D2"/>
    <w:rsid w:val="00773B7C"/>
    <w:rsid w:val="00773D54"/>
    <w:rsid w:val="00774732"/>
    <w:rsid w:val="00774888"/>
    <w:rsid w:val="00774E15"/>
    <w:rsid w:val="007753AF"/>
    <w:rsid w:val="007759B4"/>
    <w:rsid w:val="00776365"/>
    <w:rsid w:val="007767DC"/>
    <w:rsid w:val="00776BDB"/>
    <w:rsid w:val="00776E3E"/>
    <w:rsid w:val="007773F9"/>
    <w:rsid w:val="007777A6"/>
    <w:rsid w:val="00777AEB"/>
    <w:rsid w:val="00777DAE"/>
    <w:rsid w:val="007804E9"/>
    <w:rsid w:val="0078068B"/>
    <w:rsid w:val="007806E5"/>
    <w:rsid w:val="00780E07"/>
    <w:rsid w:val="00781927"/>
    <w:rsid w:val="007819F9"/>
    <w:rsid w:val="007825BB"/>
    <w:rsid w:val="00782651"/>
    <w:rsid w:val="00782D0C"/>
    <w:rsid w:val="00782FC8"/>
    <w:rsid w:val="00782FF1"/>
    <w:rsid w:val="00783458"/>
    <w:rsid w:val="007834C8"/>
    <w:rsid w:val="007838C2"/>
    <w:rsid w:val="00783B8B"/>
    <w:rsid w:val="00785425"/>
    <w:rsid w:val="007855DF"/>
    <w:rsid w:val="00785FF6"/>
    <w:rsid w:val="007862E9"/>
    <w:rsid w:val="0078638B"/>
    <w:rsid w:val="007872AC"/>
    <w:rsid w:val="00790375"/>
    <w:rsid w:val="007905DC"/>
    <w:rsid w:val="00790869"/>
    <w:rsid w:val="00791E2C"/>
    <w:rsid w:val="00792A1E"/>
    <w:rsid w:val="007933A1"/>
    <w:rsid w:val="00793573"/>
    <w:rsid w:val="007938C2"/>
    <w:rsid w:val="00793D58"/>
    <w:rsid w:val="0079433E"/>
    <w:rsid w:val="00794D3B"/>
    <w:rsid w:val="00794ED3"/>
    <w:rsid w:val="0079546C"/>
    <w:rsid w:val="00795523"/>
    <w:rsid w:val="007959AA"/>
    <w:rsid w:val="00795BF5"/>
    <w:rsid w:val="00795D26"/>
    <w:rsid w:val="00796730"/>
    <w:rsid w:val="00796D19"/>
    <w:rsid w:val="007976A3"/>
    <w:rsid w:val="00797860"/>
    <w:rsid w:val="00797A5C"/>
    <w:rsid w:val="007A04FD"/>
    <w:rsid w:val="007A122A"/>
    <w:rsid w:val="007A13D9"/>
    <w:rsid w:val="007A18C7"/>
    <w:rsid w:val="007A2BBC"/>
    <w:rsid w:val="007A2F2E"/>
    <w:rsid w:val="007A3686"/>
    <w:rsid w:val="007A4F1A"/>
    <w:rsid w:val="007A5136"/>
    <w:rsid w:val="007A7400"/>
    <w:rsid w:val="007A752E"/>
    <w:rsid w:val="007A76C7"/>
    <w:rsid w:val="007A7C6A"/>
    <w:rsid w:val="007A7DF2"/>
    <w:rsid w:val="007B0D96"/>
    <w:rsid w:val="007B0E62"/>
    <w:rsid w:val="007B37B0"/>
    <w:rsid w:val="007B38BE"/>
    <w:rsid w:val="007B3BF6"/>
    <w:rsid w:val="007B6501"/>
    <w:rsid w:val="007B6AF0"/>
    <w:rsid w:val="007B7C52"/>
    <w:rsid w:val="007C06B7"/>
    <w:rsid w:val="007C0B1A"/>
    <w:rsid w:val="007C0B51"/>
    <w:rsid w:val="007C0F34"/>
    <w:rsid w:val="007C121D"/>
    <w:rsid w:val="007C13EA"/>
    <w:rsid w:val="007C182B"/>
    <w:rsid w:val="007C19F7"/>
    <w:rsid w:val="007C1BE1"/>
    <w:rsid w:val="007C20B3"/>
    <w:rsid w:val="007C20CE"/>
    <w:rsid w:val="007C47E2"/>
    <w:rsid w:val="007C49D8"/>
    <w:rsid w:val="007C4A45"/>
    <w:rsid w:val="007C4DA8"/>
    <w:rsid w:val="007C597F"/>
    <w:rsid w:val="007C60EA"/>
    <w:rsid w:val="007C6716"/>
    <w:rsid w:val="007C6E7D"/>
    <w:rsid w:val="007C7B34"/>
    <w:rsid w:val="007D0882"/>
    <w:rsid w:val="007D1039"/>
    <w:rsid w:val="007D16F8"/>
    <w:rsid w:val="007D1DE8"/>
    <w:rsid w:val="007D2EA5"/>
    <w:rsid w:val="007D38D9"/>
    <w:rsid w:val="007D42E9"/>
    <w:rsid w:val="007D4664"/>
    <w:rsid w:val="007D58E9"/>
    <w:rsid w:val="007D5B55"/>
    <w:rsid w:val="007D60A6"/>
    <w:rsid w:val="007D6344"/>
    <w:rsid w:val="007D7C49"/>
    <w:rsid w:val="007E0920"/>
    <w:rsid w:val="007E09FA"/>
    <w:rsid w:val="007E124B"/>
    <w:rsid w:val="007E1881"/>
    <w:rsid w:val="007E1BC1"/>
    <w:rsid w:val="007E1DC2"/>
    <w:rsid w:val="007E21EC"/>
    <w:rsid w:val="007E22B0"/>
    <w:rsid w:val="007E2327"/>
    <w:rsid w:val="007E2502"/>
    <w:rsid w:val="007E2811"/>
    <w:rsid w:val="007E2961"/>
    <w:rsid w:val="007E2AFE"/>
    <w:rsid w:val="007E3F97"/>
    <w:rsid w:val="007E4215"/>
    <w:rsid w:val="007E42E3"/>
    <w:rsid w:val="007E444B"/>
    <w:rsid w:val="007E471F"/>
    <w:rsid w:val="007E4D22"/>
    <w:rsid w:val="007E520F"/>
    <w:rsid w:val="007E5FCC"/>
    <w:rsid w:val="007E606C"/>
    <w:rsid w:val="007E62E1"/>
    <w:rsid w:val="007E63B8"/>
    <w:rsid w:val="007E6959"/>
    <w:rsid w:val="007E79A5"/>
    <w:rsid w:val="007F0282"/>
    <w:rsid w:val="007F0CEA"/>
    <w:rsid w:val="007F1395"/>
    <w:rsid w:val="007F1858"/>
    <w:rsid w:val="007F3136"/>
    <w:rsid w:val="007F4D2E"/>
    <w:rsid w:val="007F5B27"/>
    <w:rsid w:val="007F5FC6"/>
    <w:rsid w:val="00800444"/>
    <w:rsid w:val="00800AF4"/>
    <w:rsid w:val="008012F1"/>
    <w:rsid w:val="00801861"/>
    <w:rsid w:val="00801D57"/>
    <w:rsid w:val="00802284"/>
    <w:rsid w:val="00802B8F"/>
    <w:rsid w:val="00803104"/>
    <w:rsid w:val="008049DE"/>
    <w:rsid w:val="0080537F"/>
    <w:rsid w:val="00805B56"/>
    <w:rsid w:val="008061E9"/>
    <w:rsid w:val="00806CFA"/>
    <w:rsid w:val="00807AEF"/>
    <w:rsid w:val="00807E65"/>
    <w:rsid w:val="008101E6"/>
    <w:rsid w:val="008115BB"/>
    <w:rsid w:val="00811D3E"/>
    <w:rsid w:val="00811D7E"/>
    <w:rsid w:val="00811FA2"/>
    <w:rsid w:val="0081261F"/>
    <w:rsid w:val="00813919"/>
    <w:rsid w:val="00813B53"/>
    <w:rsid w:val="00813BC0"/>
    <w:rsid w:val="00813DA2"/>
    <w:rsid w:val="0081437C"/>
    <w:rsid w:val="00814683"/>
    <w:rsid w:val="00815C6C"/>
    <w:rsid w:val="00815F82"/>
    <w:rsid w:val="008160B9"/>
    <w:rsid w:val="0081685C"/>
    <w:rsid w:val="008171E3"/>
    <w:rsid w:val="008201AA"/>
    <w:rsid w:val="00821EA2"/>
    <w:rsid w:val="00822370"/>
    <w:rsid w:val="008224E0"/>
    <w:rsid w:val="00822A41"/>
    <w:rsid w:val="0082322F"/>
    <w:rsid w:val="00823319"/>
    <w:rsid w:val="00823502"/>
    <w:rsid w:val="00823CF2"/>
    <w:rsid w:val="00823FF2"/>
    <w:rsid w:val="00824A60"/>
    <w:rsid w:val="00824F6F"/>
    <w:rsid w:val="00825350"/>
    <w:rsid w:val="00825F8B"/>
    <w:rsid w:val="0082609B"/>
    <w:rsid w:val="00826AA3"/>
    <w:rsid w:val="00826BB5"/>
    <w:rsid w:val="00827FBB"/>
    <w:rsid w:val="008302EE"/>
    <w:rsid w:val="00830C3D"/>
    <w:rsid w:val="008310E0"/>
    <w:rsid w:val="00831118"/>
    <w:rsid w:val="00831173"/>
    <w:rsid w:val="0083126C"/>
    <w:rsid w:val="008323BC"/>
    <w:rsid w:val="0083268A"/>
    <w:rsid w:val="008327F0"/>
    <w:rsid w:val="00832AA5"/>
    <w:rsid w:val="008331AD"/>
    <w:rsid w:val="00833F3E"/>
    <w:rsid w:val="008348D7"/>
    <w:rsid w:val="00834AB2"/>
    <w:rsid w:val="00834D82"/>
    <w:rsid w:val="00834E09"/>
    <w:rsid w:val="00835076"/>
    <w:rsid w:val="008350FF"/>
    <w:rsid w:val="008353E8"/>
    <w:rsid w:val="00835D62"/>
    <w:rsid w:val="00835FE4"/>
    <w:rsid w:val="0083663C"/>
    <w:rsid w:val="00836871"/>
    <w:rsid w:val="00836A6F"/>
    <w:rsid w:val="00837C42"/>
    <w:rsid w:val="00837E60"/>
    <w:rsid w:val="00840B75"/>
    <w:rsid w:val="008411EC"/>
    <w:rsid w:val="0084123C"/>
    <w:rsid w:val="00841ACD"/>
    <w:rsid w:val="00841FDF"/>
    <w:rsid w:val="008421A9"/>
    <w:rsid w:val="00843170"/>
    <w:rsid w:val="00844DB4"/>
    <w:rsid w:val="008450E2"/>
    <w:rsid w:val="0084534D"/>
    <w:rsid w:val="00845D6A"/>
    <w:rsid w:val="008461C5"/>
    <w:rsid w:val="00846469"/>
    <w:rsid w:val="00846848"/>
    <w:rsid w:val="00846DD2"/>
    <w:rsid w:val="00846F5E"/>
    <w:rsid w:val="00847445"/>
    <w:rsid w:val="0084751B"/>
    <w:rsid w:val="00847782"/>
    <w:rsid w:val="00847B42"/>
    <w:rsid w:val="008502BE"/>
    <w:rsid w:val="008507B5"/>
    <w:rsid w:val="00850C2B"/>
    <w:rsid w:val="00850E2B"/>
    <w:rsid w:val="00851A66"/>
    <w:rsid w:val="00851F75"/>
    <w:rsid w:val="008535CB"/>
    <w:rsid w:val="00853E06"/>
    <w:rsid w:val="008547DE"/>
    <w:rsid w:val="00854FD8"/>
    <w:rsid w:val="008556BD"/>
    <w:rsid w:val="008556E3"/>
    <w:rsid w:val="00855D28"/>
    <w:rsid w:val="00856328"/>
    <w:rsid w:val="008575C6"/>
    <w:rsid w:val="00857E1D"/>
    <w:rsid w:val="00860289"/>
    <w:rsid w:val="00860476"/>
    <w:rsid w:val="00860A81"/>
    <w:rsid w:val="00860AF1"/>
    <w:rsid w:val="00861D01"/>
    <w:rsid w:val="008620A6"/>
    <w:rsid w:val="00862314"/>
    <w:rsid w:val="00862600"/>
    <w:rsid w:val="00863034"/>
    <w:rsid w:val="008638CF"/>
    <w:rsid w:val="0086418C"/>
    <w:rsid w:val="008645EA"/>
    <w:rsid w:val="0086468E"/>
    <w:rsid w:val="008647FF"/>
    <w:rsid w:val="00865DC1"/>
    <w:rsid w:val="00866C29"/>
    <w:rsid w:val="0086706C"/>
    <w:rsid w:val="008672D1"/>
    <w:rsid w:val="008675D1"/>
    <w:rsid w:val="008702C1"/>
    <w:rsid w:val="0087090F"/>
    <w:rsid w:val="00870B9A"/>
    <w:rsid w:val="00871601"/>
    <w:rsid w:val="008716BE"/>
    <w:rsid w:val="00871936"/>
    <w:rsid w:val="008719DC"/>
    <w:rsid w:val="0087215E"/>
    <w:rsid w:val="00872DF1"/>
    <w:rsid w:val="00872EE8"/>
    <w:rsid w:val="00873AFF"/>
    <w:rsid w:val="0087406E"/>
    <w:rsid w:val="008743B3"/>
    <w:rsid w:val="0087452D"/>
    <w:rsid w:val="0087527F"/>
    <w:rsid w:val="0087528B"/>
    <w:rsid w:val="00876154"/>
    <w:rsid w:val="00876F6C"/>
    <w:rsid w:val="008777CB"/>
    <w:rsid w:val="00877C93"/>
    <w:rsid w:val="008801FB"/>
    <w:rsid w:val="00880290"/>
    <w:rsid w:val="00880A0B"/>
    <w:rsid w:val="0088188F"/>
    <w:rsid w:val="00881909"/>
    <w:rsid w:val="00881B52"/>
    <w:rsid w:val="00882484"/>
    <w:rsid w:val="00884706"/>
    <w:rsid w:val="00885062"/>
    <w:rsid w:val="0088599E"/>
    <w:rsid w:val="00885BCE"/>
    <w:rsid w:val="008863AE"/>
    <w:rsid w:val="00886756"/>
    <w:rsid w:val="00886A57"/>
    <w:rsid w:val="00886FE5"/>
    <w:rsid w:val="00887607"/>
    <w:rsid w:val="00887E0C"/>
    <w:rsid w:val="00887EA4"/>
    <w:rsid w:val="00890806"/>
    <w:rsid w:val="00890EF7"/>
    <w:rsid w:val="00891054"/>
    <w:rsid w:val="00891B09"/>
    <w:rsid w:val="008932DC"/>
    <w:rsid w:val="00893534"/>
    <w:rsid w:val="0089356A"/>
    <w:rsid w:val="008937B2"/>
    <w:rsid w:val="00893D91"/>
    <w:rsid w:val="008944C6"/>
    <w:rsid w:val="008A010B"/>
    <w:rsid w:val="008A085E"/>
    <w:rsid w:val="008A0BF5"/>
    <w:rsid w:val="008A1762"/>
    <w:rsid w:val="008A1DC6"/>
    <w:rsid w:val="008A23AE"/>
    <w:rsid w:val="008A2A7F"/>
    <w:rsid w:val="008A405D"/>
    <w:rsid w:val="008A4D5A"/>
    <w:rsid w:val="008A5FC8"/>
    <w:rsid w:val="008A695C"/>
    <w:rsid w:val="008A72C5"/>
    <w:rsid w:val="008B0206"/>
    <w:rsid w:val="008B125A"/>
    <w:rsid w:val="008B1C10"/>
    <w:rsid w:val="008B1D01"/>
    <w:rsid w:val="008B2A8E"/>
    <w:rsid w:val="008B2C6E"/>
    <w:rsid w:val="008B322B"/>
    <w:rsid w:val="008B3319"/>
    <w:rsid w:val="008B36EC"/>
    <w:rsid w:val="008B4D98"/>
    <w:rsid w:val="008B6120"/>
    <w:rsid w:val="008B63B1"/>
    <w:rsid w:val="008B7A2B"/>
    <w:rsid w:val="008B7CAC"/>
    <w:rsid w:val="008C0B4B"/>
    <w:rsid w:val="008C119C"/>
    <w:rsid w:val="008C1B36"/>
    <w:rsid w:val="008C2253"/>
    <w:rsid w:val="008C23BC"/>
    <w:rsid w:val="008C2738"/>
    <w:rsid w:val="008C2ECD"/>
    <w:rsid w:val="008C3617"/>
    <w:rsid w:val="008C3DC4"/>
    <w:rsid w:val="008C47F7"/>
    <w:rsid w:val="008C4DE8"/>
    <w:rsid w:val="008C67FF"/>
    <w:rsid w:val="008C6A5B"/>
    <w:rsid w:val="008C6F12"/>
    <w:rsid w:val="008C72DC"/>
    <w:rsid w:val="008C7BB3"/>
    <w:rsid w:val="008D0175"/>
    <w:rsid w:val="008D1128"/>
    <w:rsid w:val="008D12D4"/>
    <w:rsid w:val="008D1D57"/>
    <w:rsid w:val="008D251A"/>
    <w:rsid w:val="008D33B3"/>
    <w:rsid w:val="008D3439"/>
    <w:rsid w:val="008D4710"/>
    <w:rsid w:val="008D4F9B"/>
    <w:rsid w:val="008D5064"/>
    <w:rsid w:val="008D557E"/>
    <w:rsid w:val="008D57F6"/>
    <w:rsid w:val="008D5E14"/>
    <w:rsid w:val="008D5F83"/>
    <w:rsid w:val="008D6971"/>
    <w:rsid w:val="008D6C86"/>
    <w:rsid w:val="008D7094"/>
    <w:rsid w:val="008E0539"/>
    <w:rsid w:val="008E0988"/>
    <w:rsid w:val="008E12FF"/>
    <w:rsid w:val="008E1842"/>
    <w:rsid w:val="008E1A13"/>
    <w:rsid w:val="008E1ED9"/>
    <w:rsid w:val="008E35F8"/>
    <w:rsid w:val="008E419A"/>
    <w:rsid w:val="008E432C"/>
    <w:rsid w:val="008E4DB0"/>
    <w:rsid w:val="008E4FDF"/>
    <w:rsid w:val="008E5504"/>
    <w:rsid w:val="008E5898"/>
    <w:rsid w:val="008E65AC"/>
    <w:rsid w:val="008E6685"/>
    <w:rsid w:val="008E6DA0"/>
    <w:rsid w:val="008E7E87"/>
    <w:rsid w:val="008F0CEF"/>
    <w:rsid w:val="008F199F"/>
    <w:rsid w:val="008F19FB"/>
    <w:rsid w:val="008F1E1C"/>
    <w:rsid w:val="008F2064"/>
    <w:rsid w:val="008F2ABB"/>
    <w:rsid w:val="008F30E7"/>
    <w:rsid w:val="008F33C3"/>
    <w:rsid w:val="008F35E9"/>
    <w:rsid w:val="008F3BB6"/>
    <w:rsid w:val="008F45A4"/>
    <w:rsid w:val="008F5511"/>
    <w:rsid w:val="008F5FE3"/>
    <w:rsid w:val="008F600B"/>
    <w:rsid w:val="008F6C75"/>
    <w:rsid w:val="008F6E02"/>
    <w:rsid w:val="008F7381"/>
    <w:rsid w:val="008F7A85"/>
    <w:rsid w:val="008F7F91"/>
    <w:rsid w:val="00900C50"/>
    <w:rsid w:val="00901232"/>
    <w:rsid w:val="00901C29"/>
    <w:rsid w:val="00901D7D"/>
    <w:rsid w:val="00903D6C"/>
    <w:rsid w:val="00903EBC"/>
    <w:rsid w:val="009043E5"/>
    <w:rsid w:val="00904578"/>
    <w:rsid w:val="00904857"/>
    <w:rsid w:val="0090610D"/>
    <w:rsid w:val="00907834"/>
    <w:rsid w:val="00907C38"/>
    <w:rsid w:val="009100AA"/>
    <w:rsid w:val="0091170B"/>
    <w:rsid w:val="0091219A"/>
    <w:rsid w:val="009123B7"/>
    <w:rsid w:val="009125CF"/>
    <w:rsid w:val="00912C62"/>
    <w:rsid w:val="00913938"/>
    <w:rsid w:val="00913B70"/>
    <w:rsid w:val="00914032"/>
    <w:rsid w:val="009148D6"/>
    <w:rsid w:val="00915A47"/>
    <w:rsid w:val="00916BD3"/>
    <w:rsid w:val="00916F5F"/>
    <w:rsid w:val="0091733F"/>
    <w:rsid w:val="009178FA"/>
    <w:rsid w:val="00917A8D"/>
    <w:rsid w:val="009202A5"/>
    <w:rsid w:val="00920BBB"/>
    <w:rsid w:val="00921741"/>
    <w:rsid w:val="0092211B"/>
    <w:rsid w:val="0092263D"/>
    <w:rsid w:val="00922EA5"/>
    <w:rsid w:val="00923A26"/>
    <w:rsid w:val="00923E25"/>
    <w:rsid w:val="00923F0D"/>
    <w:rsid w:val="00924224"/>
    <w:rsid w:val="0092477C"/>
    <w:rsid w:val="009259F2"/>
    <w:rsid w:val="00925C0D"/>
    <w:rsid w:val="00925C24"/>
    <w:rsid w:val="00925D2A"/>
    <w:rsid w:val="00926187"/>
    <w:rsid w:val="00926DBE"/>
    <w:rsid w:val="009272F6"/>
    <w:rsid w:val="0092738C"/>
    <w:rsid w:val="0092743F"/>
    <w:rsid w:val="009274BA"/>
    <w:rsid w:val="00927A48"/>
    <w:rsid w:val="00931479"/>
    <w:rsid w:val="009315A2"/>
    <w:rsid w:val="00931707"/>
    <w:rsid w:val="00931D61"/>
    <w:rsid w:val="00931FD5"/>
    <w:rsid w:val="00932E26"/>
    <w:rsid w:val="0093308D"/>
    <w:rsid w:val="0093380D"/>
    <w:rsid w:val="00933E75"/>
    <w:rsid w:val="00934420"/>
    <w:rsid w:val="00934878"/>
    <w:rsid w:val="00934A47"/>
    <w:rsid w:val="00934B3B"/>
    <w:rsid w:val="00934CA0"/>
    <w:rsid w:val="00935602"/>
    <w:rsid w:val="00935946"/>
    <w:rsid w:val="00937B7D"/>
    <w:rsid w:val="009405B9"/>
    <w:rsid w:val="00941ECE"/>
    <w:rsid w:val="00942AE1"/>
    <w:rsid w:val="009432AB"/>
    <w:rsid w:val="00943B05"/>
    <w:rsid w:val="00944136"/>
    <w:rsid w:val="00944174"/>
    <w:rsid w:val="00944E61"/>
    <w:rsid w:val="00945926"/>
    <w:rsid w:val="0094613D"/>
    <w:rsid w:val="009475AC"/>
    <w:rsid w:val="0095003B"/>
    <w:rsid w:val="00950FB8"/>
    <w:rsid w:val="009515C0"/>
    <w:rsid w:val="009523B8"/>
    <w:rsid w:val="00952B07"/>
    <w:rsid w:val="00952D79"/>
    <w:rsid w:val="00952E21"/>
    <w:rsid w:val="00952FDF"/>
    <w:rsid w:val="00953034"/>
    <w:rsid w:val="009535A0"/>
    <w:rsid w:val="009543E0"/>
    <w:rsid w:val="00954871"/>
    <w:rsid w:val="00954A65"/>
    <w:rsid w:val="00954A6A"/>
    <w:rsid w:val="00954F5E"/>
    <w:rsid w:val="0095502E"/>
    <w:rsid w:val="00955393"/>
    <w:rsid w:val="00955A64"/>
    <w:rsid w:val="00955BA7"/>
    <w:rsid w:val="009577A9"/>
    <w:rsid w:val="00957C98"/>
    <w:rsid w:val="00957D1B"/>
    <w:rsid w:val="009613A9"/>
    <w:rsid w:val="00961EF4"/>
    <w:rsid w:val="00962DD3"/>
    <w:rsid w:val="00963323"/>
    <w:rsid w:val="0096357E"/>
    <w:rsid w:val="00963D8B"/>
    <w:rsid w:val="00964057"/>
    <w:rsid w:val="009655F2"/>
    <w:rsid w:val="00965C49"/>
    <w:rsid w:val="00966DAA"/>
    <w:rsid w:val="00967C12"/>
    <w:rsid w:val="00967DCF"/>
    <w:rsid w:val="0097026B"/>
    <w:rsid w:val="00970751"/>
    <w:rsid w:val="00970D2C"/>
    <w:rsid w:val="00970FBF"/>
    <w:rsid w:val="009710EF"/>
    <w:rsid w:val="009722B7"/>
    <w:rsid w:val="00972EF0"/>
    <w:rsid w:val="009730CF"/>
    <w:rsid w:val="009731C4"/>
    <w:rsid w:val="00973311"/>
    <w:rsid w:val="00973599"/>
    <w:rsid w:val="00973AFD"/>
    <w:rsid w:val="00973FEA"/>
    <w:rsid w:val="00973FEF"/>
    <w:rsid w:val="00974A86"/>
    <w:rsid w:val="00974D7C"/>
    <w:rsid w:val="00974EC8"/>
    <w:rsid w:val="00974FD1"/>
    <w:rsid w:val="009751BB"/>
    <w:rsid w:val="00975AF0"/>
    <w:rsid w:val="00976017"/>
    <w:rsid w:val="009760D2"/>
    <w:rsid w:val="0097749D"/>
    <w:rsid w:val="00980033"/>
    <w:rsid w:val="0098098F"/>
    <w:rsid w:val="00980E34"/>
    <w:rsid w:val="0098141E"/>
    <w:rsid w:val="00981B0D"/>
    <w:rsid w:val="009820D3"/>
    <w:rsid w:val="0098213A"/>
    <w:rsid w:val="00983A1E"/>
    <w:rsid w:val="00983B9F"/>
    <w:rsid w:val="00984628"/>
    <w:rsid w:val="009849AE"/>
    <w:rsid w:val="00985470"/>
    <w:rsid w:val="00986871"/>
    <w:rsid w:val="009873B2"/>
    <w:rsid w:val="009878D9"/>
    <w:rsid w:val="00987E24"/>
    <w:rsid w:val="00990CAB"/>
    <w:rsid w:val="00991142"/>
    <w:rsid w:val="00991450"/>
    <w:rsid w:val="00991CDB"/>
    <w:rsid w:val="009924AE"/>
    <w:rsid w:val="009930BF"/>
    <w:rsid w:val="00996F51"/>
    <w:rsid w:val="00997B93"/>
    <w:rsid w:val="009A02A9"/>
    <w:rsid w:val="009A08A8"/>
    <w:rsid w:val="009A08AC"/>
    <w:rsid w:val="009A155B"/>
    <w:rsid w:val="009A198D"/>
    <w:rsid w:val="009A1B3B"/>
    <w:rsid w:val="009A2028"/>
    <w:rsid w:val="009A20B2"/>
    <w:rsid w:val="009A24CA"/>
    <w:rsid w:val="009A26B7"/>
    <w:rsid w:val="009A2916"/>
    <w:rsid w:val="009A30D3"/>
    <w:rsid w:val="009A3574"/>
    <w:rsid w:val="009A3859"/>
    <w:rsid w:val="009A3D4D"/>
    <w:rsid w:val="009A41A4"/>
    <w:rsid w:val="009A472A"/>
    <w:rsid w:val="009A491F"/>
    <w:rsid w:val="009A5312"/>
    <w:rsid w:val="009A5D0D"/>
    <w:rsid w:val="009A5E4B"/>
    <w:rsid w:val="009A641F"/>
    <w:rsid w:val="009A6584"/>
    <w:rsid w:val="009A78AE"/>
    <w:rsid w:val="009B12B7"/>
    <w:rsid w:val="009B13A2"/>
    <w:rsid w:val="009B2504"/>
    <w:rsid w:val="009B2975"/>
    <w:rsid w:val="009B39DD"/>
    <w:rsid w:val="009B3CCF"/>
    <w:rsid w:val="009B3EF7"/>
    <w:rsid w:val="009B4EB7"/>
    <w:rsid w:val="009B5926"/>
    <w:rsid w:val="009B769F"/>
    <w:rsid w:val="009B77C7"/>
    <w:rsid w:val="009B7A9F"/>
    <w:rsid w:val="009C0D25"/>
    <w:rsid w:val="009C1793"/>
    <w:rsid w:val="009C244B"/>
    <w:rsid w:val="009C2CA7"/>
    <w:rsid w:val="009C2CF8"/>
    <w:rsid w:val="009C31E9"/>
    <w:rsid w:val="009C3D66"/>
    <w:rsid w:val="009C45CF"/>
    <w:rsid w:val="009C4FFE"/>
    <w:rsid w:val="009C5137"/>
    <w:rsid w:val="009C5168"/>
    <w:rsid w:val="009C67BA"/>
    <w:rsid w:val="009C6AC9"/>
    <w:rsid w:val="009C6B69"/>
    <w:rsid w:val="009D0801"/>
    <w:rsid w:val="009D1638"/>
    <w:rsid w:val="009D1FB7"/>
    <w:rsid w:val="009D2574"/>
    <w:rsid w:val="009D273F"/>
    <w:rsid w:val="009D2CC6"/>
    <w:rsid w:val="009D3712"/>
    <w:rsid w:val="009D3E17"/>
    <w:rsid w:val="009D5631"/>
    <w:rsid w:val="009D6163"/>
    <w:rsid w:val="009D6418"/>
    <w:rsid w:val="009D64F0"/>
    <w:rsid w:val="009D653B"/>
    <w:rsid w:val="009D6F3A"/>
    <w:rsid w:val="009D7013"/>
    <w:rsid w:val="009D78C2"/>
    <w:rsid w:val="009E06B2"/>
    <w:rsid w:val="009E08EA"/>
    <w:rsid w:val="009E0B33"/>
    <w:rsid w:val="009E1975"/>
    <w:rsid w:val="009E1F4E"/>
    <w:rsid w:val="009E2173"/>
    <w:rsid w:val="009E31C8"/>
    <w:rsid w:val="009E43CF"/>
    <w:rsid w:val="009E45E5"/>
    <w:rsid w:val="009E4C40"/>
    <w:rsid w:val="009E5026"/>
    <w:rsid w:val="009E54E6"/>
    <w:rsid w:val="009E6BD8"/>
    <w:rsid w:val="009E6CDE"/>
    <w:rsid w:val="009E74BD"/>
    <w:rsid w:val="009E7F5A"/>
    <w:rsid w:val="009F0567"/>
    <w:rsid w:val="009F081E"/>
    <w:rsid w:val="009F09B9"/>
    <w:rsid w:val="009F15B6"/>
    <w:rsid w:val="009F1885"/>
    <w:rsid w:val="009F207D"/>
    <w:rsid w:val="009F2718"/>
    <w:rsid w:val="009F2905"/>
    <w:rsid w:val="009F36D1"/>
    <w:rsid w:val="009F3C5F"/>
    <w:rsid w:val="009F3F98"/>
    <w:rsid w:val="009F4E18"/>
    <w:rsid w:val="009F5215"/>
    <w:rsid w:val="009F5B65"/>
    <w:rsid w:val="009F61A4"/>
    <w:rsid w:val="009F6747"/>
    <w:rsid w:val="009F79AC"/>
    <w:rsid w:val="009F7B13"/>
    <w:rsid w:val="009F7C8A"/>
    <w:rsid w:val="00A0033E"/>
    <w:rsid w:val="00A00D6E"/>
    <w:rsid w:val="00A00FD3"/>
    <w:rsid w:val="00A01E71"/>
    <w:rsid w:val="00A026C3"/>
    <w:rsid w:val="00A02E7F"/>
    <w:rsid w:val="00A03B26"/>
    <w:rsid w:val="00A03BB8"/>
    <w:rsid w:val="00A04362"/>
    <w:rsid w:val="00A04424"/>
    <w:rsid w:val="00A0482B"/>
    <w:rsid w:val="00A0550C"/>
    <w:rsid w:val="00A0578B"/>
    <w:rsid w:val="00A05F30"/>
    <w:rsid w:val="00A06373"/>
    <w:rsid w:val="00A07595"/>
    <w:rsid w:val="00A07BCB"/>
    <w:rsid w:val="00A10094"/>
    <w:rsid w:val="00A107B3"/>
    <w:rsid w:val="00A1205F"/>
    <w:rsid w:val="00A126A3"/>
    <w:rsid w:val="00A12DE2"/>
    <w:rsid w:val="00A131B8"/>
    <w:rsid w:val="00A1325E"/>
    <w:rsid w:val="00A13500"/>
    <w:rsid w:val="00A14074"/>
    <w:rsid w:val="00A14C49"/>
    <w:rsid w:val="00A15740"/>
    <w:rsid w:val="00A15881"/>
    <w:rsid w:val="00A158DB"/>
    <w:rsid w:val="00A15993"/>
    <w:rsid w:val="00A16617"/>
    <w:rsid w:val="00A17B35"/>
    <w:rsid w:val="00A201B8"/>
    <w:rsid w:val="00A20551"/>
    <w:rsid w:val="00A20750"/>
    <w:rsid w:val="00A20DC9"/>
    <w:rsid w:val="00A20E26"/>
    <w:rsid w:val="00A225F2"/>
    <w:rsid w:val="00A227A2"/>
    <w:rsid w:val="00A229E0"/>
    <w:rsid w:val="00A22A8C"/>
    <w:rsid w:val="00A22D1D"/>
    <w:rsid w:val="00A23E9B"/>
    <w:rsid w:val="00A240EC"/>
    <w:rsid w:val="00A24274"/>
    <w:rsid w:val="00A249BD"/>
    <w:rsid w:val="00A24A71"/>
    <w:rsid w:val="00A267B0"/>
    <w:rsid w:val="00A2702C"/>
    <w:rsid w:val="00A27C1F"/>
    <w:rsid w:val="00A27F90"/>
    <w:rsid w:val="00A30229"/>
    <w:rsid w:val="00A30237"/>
    <w:rsid w:val="00A3058B"/>
    <w:rsid w:val="00A3074B"/>
    <w:rsid w:val="00A30AA4"/>
    <w:rsid w:val="00A321C4"/>
    <w:rsid w:val="00A324E0"/>
    <w:rsid w:val="00A32AAD"/>
    <w:rsid w:val="00A34357"/>
    <w:rsid w:val="00A35279"/>
    <w:rsid w:val="00A35366"/>
    <w:rsid w:val="00A359B3"/>
    <w:rsid w:val="00A35D2E"/>
    <w:rsid w:val="00A3710B"/>
    <w:rsid w:val="00A3711A"/>
    <w:rsid w:val="00A37860"/>
    <w:rsid w:val="00A37861"/>
    <w:rsid w:val="00A379BC"/>
    <w:rsid w:val="00A37B2D"/>
    <w:rsid w:val="00A41E2E"/>
    <w:rsid w:val="00A42D60"/>
    <w:rsid w:val="00A43F54"/>
    <w:rsid w:val="00A457BF"/>
    <w:rsid w:val="00A458E6"/>
    <w:rsid w:val="00A4723E"/>
    <w:rsid w:val="00A47F14"/>
    <w:rsid w:val="00A5002B"/>
    <w:rsid w:val="00A5030C"/>
    <w:rsid w:val="00A50587"/>
    <w:rsid w:val="00A5094B"/>
    <w:rsid w:val="00A512EA"/>
    <w:rsid w:val="00A5148F"/>
    <w:rsid w:val="00A51F6C"/>
    <w:rsid w:val="00A5230D"/>
    <w:rsid w:val="00A5301E"/>
    <w:rsid w:val="00A530E4"/>
    <w:rsid w:val="00A53AA4"/>
    <w:rsid w:val="00A53D97"/>
    <w:rsid w:val="00A54160"/>
    <w:rsid w:val="00A542E5"/>
    <w:rsid w:val="00A550C6"/>
    <w:rsid w:val="00A558BA"/>
    <w:rsid w:val="00A55AD7"/>
    <w:rsid w:val="00A56040"/>
    <w:rsid w:val="00A56421"/>
    <w:rsid w:val="00A57366"/>
    <w:rsid w:val="00A579B7"/>
    <w:rsid w:val="00A608DA"/>
    <w:rsid w:val="00A60A95"/>
    <w:rsid w:val="00A60FDC"/>
    <w:rsid w:val="00A610E1"/>
    <w:rsid w:val="00A6189C"/>
    <w:rsid w:val="00A61918"/>
    <w:rsid w:val="00A61997"/>
    <w:rsid w:val="00A619FC"/>
    <w:rsid w:val="00A62350"/>
    <w:rsid w:val="00A62D38"/>
    <w:rsid w:val="00A63508"/>
    <w:rsid w:val="00A6360D"/>
    <w:rsid w:val="00A63779"/>
    <w:rsid w:val="00A64952"/>
    <w:rsid w:val="00A64FCE"/>
    <w:rsid w:val="00A6567D"/>
    <w:rsid w:val="00A658D8"/>
    <w:rsid w:val="00A65E8C"/>
    <w:rsid w:val="00A66452"/>
    <w:rsid w:val="00A6651F"/>
    <w:rsid w:val="00A66895"/>
    <w:rsid w:val="00A70889"/>
    <w:rsid w:val="00A713EF"/>
    <w:rsid w:val="00A7225B"/>
    <w:rsid w:val="00A7266F"/>
    <w:rsid w:val="00A72B50"/>
    <w:rsid w:val="00A72C61"/>
    <w:rsid w:val="00A734CC"/>
    <w:rsid w:val="00A739F5"/>
    <w:rsid w:val="00A75578"/>
    <w:rsid w:val="00A76ADD"/>
    <w:rsid w:val="00A76BE0"/>
    <w:rsid w:val="00A7777C"/>
    <w:rsid w:val="00A77E8A"/>
    <w:rsid w:val="00A80062"/>
    <w:rsid w:val="00A803C2"/>
    <w:rsid w:val="00A80D2F"/>
    <w:rsid w:val="00A8312D"/>
    <w:rsid w:val="00A8345C"/>
    <w:rsid w:val="00A83516"/>
    <w:rsid w:val="00A84825"/>
    <w:rsid w:val="00A8491A"/>
    <w:rsid w:val="00A84FD1"/>
    <w:rsid w:val="00A85198"/>
    <w:rsid w:val="00A859FB"/>
    <w:rsid w:val="00A85AD4"/>
    <w:rsid w:val="00A86FDA"/>
    <w:rsid w:val="00A87027"/>
    <w:rsid w:val="00A87847"/>
    <w:rsid w:val="00A87C11"/>
    <w:rsid w:val="00A87F2C"/>
    <w:rsid w:val="00A90A74"/>
    <w:rsid w:val="00A90BF3"/>
    <w:rsid w:val="00A90EA3"/>
    <w:rsid w:val="00A91133"/>
    <w:rsid w:val="00A91160"/>
    <w:rsid w:val="00A9116D"/>
    <w:rsid w:val="00A917CA"/>
    <w:rsid w:val="00A919B6"/>
    <w:rsid w:val="00A91C20"/>
    <w:rsid w:val="00A91CEC"/>
    <w:rsid w:val="00A9541F"/>
    <w:rsid w:val="00A9587E"/>
    <w:rsid w:val="00A967D5"/>
    <w:rsid w:val="00A9691D"/>
    <w:rsid w:val="00A97082"/>
    <w:rsid w:val="00A970D4"/>
    <w:rsid w:val="00A97109"/>
    <w:rsid w:val="00A97771"/>
    <w:rsid w:val="00AA084B"/>
    <w:rsid w:val="00AA0A65"/>
    <w:rsid w:val="00AA0A88"/>
    <w:rsid w:val="00AA0C75"/>
    <w:rsid w:val="00AA0D84"/>
    <w:rsid w:val="00AA140A"/>
    <w:rsid w:val="00AA1A9F"/>
    <w:rsid w:val="00AA2163"/>
    <w:rsid w:val="00AA22B3"/>
    <w:rsid w:val="00AA2986"/>
    <w:rsid w:val="00AA2E10"/>
    <w:rsid w:val="00AA30A9"/>
    <w:rsid w:val="00AA30BF"/>
    <w:rsid w:val="00AA3D56"/>
    <w:rsid w:val="00AA4D15"/>
    <w:rsid w:val="00AA4ECA"/>
    <w:rsid w:val="00AA767F"/>
    <w:rsid w:val="00AA7ECA"/>
    <w:rsid w:val="00AB0364"/>
    <w:rsid w:val="00AB1CB7"/>
    <w:rsid w:val="00AB1EAB"/>
    <w:rsid w:val="00AB2199"/>
    <w:rsid w:val="00AB2D22"/>
    <w:rsid w:val="00AB36E9"/>
    <w:rsid w:val="00AB3E75"/>
    <w:rsid w:val="00AB41E2"/>
    <w:rsid w:val="00AB479B"/>
    <w:rsid w:val="00AB4A47"/>
    <w:rsid w:val="00AB4F0B"/>
    <w:rsid w:val="00AB5685"/>
    <w:rsid w:val="00AB5770"/>
    <w:rsid w:val="00AB5A05"/>
    <w:rsid w:val="00AB5C57"/>
    <w:rsid w:val="00AB7113"/>
    <w:rsid w:val="00AB78C6"/>
    <w:rsid w:val="00AB7B06"/>
    <w:rsid w:val="00AC0031"/>
    <w:rsid w:val="00AC06FF"/>
    <w:rsid w:val="00AC0D64"/>
    <w:rsid w:val="00AC1DB3"/>
    <w:rsid w:val="00AC382F"/>
    <w:rsid w:val="00AC3E1E"/>
    <w:rsid w:val="00AC4172"/>
    <w:rsid w:val="00AC4EC6"/>
    <w:rsid w:val="00AC57E7"/>
    <w:rsid w:val="00AC5CE1"/>
    <w:rsid w:val="00AC6609"/>
    <w:rsid w:val="00AC6AA1"/>
    <w:rsid w:val="00AC6C5C"/>
    <w:rsid w:val="00AC76AA"/>
    <w:rsid w:val="00AD0167"/>
    <w:rsid w:val="00AD0CF3"/>
    <w:rsid w:val="00AD0E94"/>
    <w:rsid w:val="00AD1070"/>
    <w:rsid w:val="00AD170F"/>
    <w:rsid w:val="00AD25EB"/>
    <w:rsid w:val="00AD2779"/>
    <w:rsid w:val="00AD3C36"/>
    <w:rsid w:val="00AD3F55"/>
    <w:rsid w:val="00AD4996"/>
    <w:rsid w:val="00AE022B"/>
    <w:rsid w:val="00AE02DD"/>
    <w:rsid w:val="00AE0410"/>
    <w:rsid w:val="00AE0974"/>
    <w:rsid w:val="00AE1318"/>
    <w:rsid w:val="00AE1731"/>
    <w:rsid w:val="00AE185E"/>
    <w:rsid w:val="00AE2365"/>
    <w:rsid w:val="00AE2399"/>
    <w:rsid w:val="00AE2664"/>
    <w:rsid w:val="00AE2BC3"/>
    <w:rsid w:val="00AE38B3"/>
    <w:rsid w:val="00AE3C7D"/>
    <w:rsid w:val="00AE4392"/>
    <w:rsid w:val="00AE4E37"/>
    <w:rsid w:val="00AE4F05"/>
    <w:rsid w:val="00AE4F4B"/>
    <w:rsid w:val="00AE5B1A"/>
    <w:rsid w:val="00AE5E32"/>
    <w:rsid w:val="00AE64C5"/>
    <w:rsid w:val="00AE65E2"/>
    <w:rsid w:val="00AE6C3C"/>
    <w:rsid w:val="00AE6D16"/>
    <w:rsid w:val="00AE6E1C"/>
    <w:rsid w:val="00AE6E3A"/>
    <w:rsid w:val="00AF0DBF"/>
    <w:rsid w:val="00AF1D49"/>
    <w:rsid w:val="00AF2E20"/>
    <w:rsid w:val="00AF327F"/>
    <w:rsid w:val="00AF3D4D"/>
    <w:rsid w:val="00AF433A"/>
    <w:rsid w:val="00AF49B0"/>
    <w:rsid w:val="00AF59DB"/>
    <w:rsid w:val="00AF70F9"/>
    <w:rsid w:val="00AF714C"/>
    <w:rsid w:val="00AF7F7B"/>
    <w:rsid w:val="00B00711"/>
    <w:rsid w:val="00B00D30"/>
    <w:rsid w:val="00B00DED"/>
    <w:rsid w:val="00B02564"/>
    <w:rsid w:val="00B025CB"/>
    <w:rsid w:val="00B02A6E"/>
    <w:rsid w:val="00B03098"/>
    <w:rsid w:val="00B03EC5"/>
    <w:rsid w:val="00B043BE"/>
    <w:rsid w:val="00B04B1A"/>
    <w:rsid w:val="00B04C2B"/>
    <w:rsid w:val="00B05150"/>
    <w:rsid w:val="00B053C0"/>
    <w:rsid w:val="00B06AF8"/>
    <w:rsid w:val="00B0725A"/>
    <w:rsid w:val="00B0742A"/>
    <w:rsid w:val="00B104BA"/>
    <w:rsid w:val="00B10931"/>
    <w:rsid w:val="00B111AB"/>
    <w:rsid w:val="00B112E1"/>
    <w:rsid w:val="00B11ADA"/>
    <w:rsid w:val="00B12DAD"/>
    <w:rsid w:val="00B13B22"/>
    <w:rsid w:val="00B14903"/>
    <w:rsid w:val="00B1547E"/>
    <w:rsid w:val="00B159B2"/>
    <w:rsid w:val="00B16878"/>
    <w:rsid w:val="00B17498"/>
    <w:rsid w:val="00B17AE5"/>
    <w:rsid w:val="00B17E17"/>
    <w:rsid w:val="00B20308"/>
    <w:rsid w:val="00B20B29"/>
    <w:rsid w:val="00B21D23"/>
    <w:rsid w:val="00B21DCC"/>
    <w:rsid w:val="00B21E89"/>
    <w:rsid w:val="00B234FC"/>
    <w:rsid w:val="00B23623"/>
    <w:rsid w:val="00B23EA2"/>
    <w:rsid w:val="00B248C7"/>
    <w:rsid w:val="00B248CF"/>
    <w:rsid w:val="00B25A4A"/>
    <w:rsid w:val="00B25EA8"/>
    <w:rsid w:val="00B26750"/>
    <w:rsid w:val="00B268B2"/>
    <w:rsid w:val="00B270FC"/>
    <w:rsid w:val="00B27A8A"/>
    <w:rsid w:val="00B27E2C"/>
    <w:rsid w:val="00B30E02"/>
    <w:rsid w:val="00B3148F"/>
    <w:rsid w:val="00B31988"/>
    <w:rsid w:val="00B31CF2"/>
    <w:rsid w:val="00B31ED7"/>
    <w:rsid w:val="00B32795"/>
    <w:rsid w:val="00B332EA"/>
    <w:rsid w:val="00B336A8"/>
    <w:rsid w:val="00B3659C"/>
    <w:rsid w:val="00B3687E"/>
    <w:rsid w:val="00B37A87"/>
    <w:rsid w:val="00B37F75"/>
    <w:rsid w:val="00B4107A"/>
    <w:rsid w:val="00B41C21"/>
    <w:rsid w:val="00B41F91"/>
    <w:rsid w:val="00B42C8E"/>
    <w:rsid w:val="00B43BF3"/>
    <w:rsid w:val="00B4447C"/>
    <w:rsid w:val="00B44F46"/>
    <w:rsid w:val="00B455A6"/>
    <w:rsid w:val="00B45C89"/>
    <w:rsid w:val="00B460D0"/>
    <w:rsid w:val="00B50140"/>
    <w:rsid w:val="00B50180"/>
    <w:rsid w:val="00B50F33"/>
    <w:rsid w:val="00B51294"/>
    <w:rsid w:val="00B51DE5"/>
    <w:rsid w:val="00B52590"/>
    <w:rsid w:val="00B53A56"/>
    <w:rsid w:val="00B53AE6"/>
    <w:rsid w:val="00B54794"/>
    <w:rsid w:val="00B54932"/>
    <w:rsid w:val="00B54A7F"/>
    <w:rsid w:val="00B55215"/>
    <w:rsid w:val="00B5572A"/>
    <w:rsid w:val="00B55E97"/>
    <w:rsid w:val="00B57BF6"/>
    <w:rsid w:val="00B57E61"/>
    <w:rsid w:val="00B60451"/>
    <w:rsid w:val="00B616CC"/>
    <w:rsid w:val="00B61EF7"/>
    <w:rsid w:val="00B61F72"/>
    <w:rsid w:val="00B62727"/>
    <w:rsid w:val="00B6310D"/>
    <w:rsid w:val="00B6385B"/>
    <w:rsid w:val="00B64A67"/>
    <w:rsid w:val="00B64C3B"/>
    <w:rsid w:val="00B65147"/>
    <w:rsid w:val="00B65288"/>
    <w:rsid w:val="00B65975"/>
    <w:rsid w:val="00B66744"/>
    <w:rsid w:val="00B66865"/>
    <w:rsid w:val="00B66CAF"/>
    <w:rsid w:val="00B67178"/>
    <w:rsid w:val="00B67AAD"/>
    <w:rsid w:val="00B67F5E"/>
    <w:rsid w:val="00B700BB"/>
    <w:rsid w:val="00B70311"/>
    <w:rsid w:val="00B70BDA"/>
    <w:rsid w:val="00B70CB1"/>
    <w:rsid w:val="00B70D39"/>
    <w:rsid w:val="00B71678"/>
    <w:rsid w:val="00B71FD2"/>
    <w:rsid w:val="00B737BC"/>
    <w:rsid w:val="00B73FCD"/>
    <w:rsid w:val="00B74B7B"/>
    <w:rsid w:val="00B7513E"/>
    <w:rsid w:val="00B7521D"/>
    <w:rsid w:val="00B76655"/>
    <w:rsid w:val="00B76A92"/>
    <w:rsid w:val="00B7717C"/>
    <w:rsid w:val="00B818F1"/>
    <w:rsid w:val="00B81E27"/>
    <w:rsid w:val="00B82934"/>
    <w:rsid w:val="00B838B9"/>
    <w:rsid w:val="00B83DC4"/>
    <w:rsid w:val="00B8415A"/>
    <w:rsid w:val="00B848E7"/>
    <w:rsid w:val="00B84AFF"/>
    <w:rsid w:val="00B84BA8"/>
    <w:rsid w:val="00B84BF9"/>
    <w:rsid w:val="00B85888"/>
    <w:rsid w:val="00B8631D"/>
    <w:rsid w:val="00B86379"/>
    <w:rsid w:val="00B86B60"/>
    <w:rsid w:val="00B906F6"/>
    <w:rsid w:val="00B908EB"/>
    <w:rsid w:val="00B9180E"/>
    <w:rsid w:val="00B91BF5"/>
    <w:rsid w:val="00B92105"/>
    <w:rsid w:val="00B92DCD"/>
    <w:rsid w:val="00B92E69"/>
    <w:rsid w:val="00B934F1"/>
    <w:rsid w:val="00B93B71"/>
    <w:rsid w:val="00B9444F"/>
    <w:rsid w:val="00B9453E"/>
    <w:rsid w:val="00B94575"/>
    <w:rsid w:val="00B94979"/>
    <w:rsid w:val="00B95233"/>
    <w:rsid w:val="00B958A6"/>
    <w:rsid w:val="00B95AAB"/>
    <w:rsid w:val="00B95B69"/>
    <w:rsid w:val="00B962E3"/>
    <w:rsid w:val="00B96657"/>
    <w:rsid w:val="00B96DCA"/>
    <w:rsid w:val="00B97103"/>
    <w:rsid w:val="00B977BF"/>
    <w:rsid w:val="00BA0B1A"/>
    <w:rsid w:val="00BA1243"/>
    <w:rsid w:val="00BA33D0"/>
    <w:rsid w:val="00BA3EA5"/>
    <w:rsid w:val="00BA48C8"/>
    <w:rsid w:val="00BA54BE"/>
    <w:rsid w:val="00BA6006"/>
    <w:rsid w:val="00BA63D6"/>
    <w:rsid w:val="00BA6D45"/>
    <w:rsid w:val="00BA7BEE"/>
    <w:rsid w:val="00BA7E0D"/>
    <w:rsid w:val="00BB1577"/>
    <w:rsid w:val="00BB1805"/>
    <w:rsid w:val="00BB1890"/>
    <w:rsid w:val="00BB2381"/>
    <w:rsid w:val="00BB2934"/>
    <w:rsid w:val="00BB30E2"/>
    <w:rsid w:val="00BB3332"/>
    <w:rsid w:val="00BB39ED"/>
    <w:rsid w:val="00BB41B3"/>
    <w:rsid w:val="00BB5D3F"/>
    <w:rsid w:val="00BB69D3"/>
    <w:rsid w:val="00BB6F87"/>
    <w:rsid w:val="00BB708A"/>
    <w:rsid w:val="00BB77EA"/>
    <w:rsid w:val="00BB79C0"/>
    <w:rsid w:val="00BC0438"/>
    <w:rsid w:val="00BC06EB"/>
    <w:rsid w:val="00BC1A73"/>
    <w:rsid w:val="00BC1ADB"/>
    <w:rsid w:val="00BC1AE9"/>
    <w:rsid w:val="00BC1E47"/>
    <w:rsid w:val="00BC31E6"/>
    <w:rsid w:val="00BC32BF"/>
    <w:rsid w:val="00BC3323"/>
    <w:rsid w:val="00BC448C"/>
    <w:rsid w:val="00BC4EBB"/>
    <w:rsid w:val="00BC5FFF"/>
    <w:rsid w:val="00BC60D7"/>
    <w:rsid w:val="00BC62D1"/>
    <w:rsid w:val="00BC7B0B"/>
    <w:rsid w:val="00BD0053"/>
    <w:rsid w:val="00BD0860"/>
    <w:rsid w:val="00BD0BB9"/>
    <w:rsid w:val="00BD0E9E"/>
    <w:rsid w:val="00BD126D"/>
    <w:rsid w:val="00BD1C8E"/>
    <w:rsid w:val="00BD36C6"/>
    <w:rsid w:val="00BD3727"/>
    <w:rsid w:val="00BD3DFC"/>
    <w:rsid w:val="00BD3E72"/>
    <w:rsid w:val="00BD40A5"/>
    <w:rsid w:val="00BD44E6"/>
    <w:rsid w:val="00BD49C8"/>
    <w:rsid w:val="00BD60EA"/>
    <w:rsid w:val="00BD6CF9"/>
    <w:rsid w:val="00BD72BE"/>
    <w:rsid w:val="00BE0BEC"/>
    <w:rsid w:val="00BE0C2B"/>
    <w:rsid w:val="00BE1CFD"/>
    <w:rsid w:val="00BE2652"/>
    <w:rsid w:val="00BE2A43"/>
    <w:rsid w:val="00BE31FC"/>
    <w:rsid w:val="00BE347C"/>
    <w:rsid w:val="00BE3EE2"/>
    <w:rsid w:val="00BE45F3"/>
    <w:rsid w:val="00BE4E9E"/>
    <w:rsid w:val="00BE5628"/>
    <w:rsid w:val="00BE6AB0"/>
    <w:rsid w:val="00BE7700"/>
    <w:rsid w:val="00BE7ACC"/>
    <w:rsid w:val="00BE7EFE"/>
    <w:rsid w:val="00BF0332"/>
    <w:rsid w:val="00BF10D3"/>
    <w:rsid w:val="00BF17AC"/>
    <w:rsid w:val="00BF1843"/>
    <w:rsid w:val="00BF1D6A"/>
    <w:rsid w:val="00BF2981"/>
    <w:rsid w:val="00BF4378"/>
    <w:rsid w:val="00BF46FB"/>
    <w:rsid w:val="00BF49FF"/>
    <w:rsid w:val="00BF5A98"/>
    <w:rsid w:val="00BF6601"/>
    <w:rsid w:val="00BF67EB"/>
    <w:rsid w:val="00BF6932"/>
    <w:rsid w:val="00BF6DE2"/>
    <w:rsid w:val="00BF6F81"/>
    <w:rsid w:val="00BF762A"/>
    <w:rsid w:val="00BF76AC"/>
    <w:rsid w:val="00C003CC"/>
    <w:rsid w:val="00C0063A"/>
    <w:rsid w:val="00C00A42"/>
    <w:rsid w:val="00C02100"/>
    <w:rsid w:val="00C02376"/>
    <w:rsid w:val="00C02D94"/>
    <w:rsid w:val="00C03596"/>
    <w:rsid w:val="00C0366D"/>
    <w:rsid w:val="00C040BC"/>
    <w:rsid w:val="00C042CE"/>
    <w:rsid w:val="00C045E0"/>
    <w:rsid w:val="00C04ECD"/>
    <w:rsid w:val="00C054F9"/>
    <w:rsid w:val="00C0676A"/>
    <w:rsid w:val="00C06A5D"/>
    <w:rsid w:val="00C06C47"/>
    <w:rsid w:val="00C06FCA"/>
    <w:rsid w:val="00C07090"/>
    <w:rsid w:val="00C07386"/>
    <w:rsid w:val="00C07448"/>
    <w:rsid w:val="00C0793C"/>
    <w:rsid w:val="00C07B88"/>
    <w:rsid w:val="00C11016"/>
    <w:rsid w:val="00C11037"/>
    <w:rsid w:val="00C11F6B"/>
    <w:rsid w:val="00C1259B"/>
    <w:rsid w:val="00C134D0"/>
    <w:rsid w:val="00C1364A"/>
    <w:rsid w:val="00C13E24"/>
    <w:rsid w:val="00C14B35"/>
    <w:rsid w:val="00C14B5D"/>
    <w:rsid w:val="00C167ED"/>
    <w:rsid w:val="00C16823"/>
    <w:rsid w:val="00C16D60"/>
    <w:rsid w:val="00C20A2E"/>
    <w:rsid w:val="00C20A3F"/>
    <w:rsid w:val="00C20AEB"/>
    <w:rsid w:val="00C20AED"/>
    <w:rsid w:val="00C20C34"/>
    <w:rsid w:val="00C20DD8"/>
    <w:rsid w:val="00C21969"/>
    <w:rsid w:val="00C219C9"/>
    <w:rsid w:val="00C222A5"/>
    <w:rsid w:val="00C227C1"/>
    <w:rsid w:val="00C22E5D"/>
    <w:rsid w:val="00C23B4D"/>
    <w:rsid w:val="00C23FE9"/>
    <w:rsid w:val="00C2411A"/>
    <w:rsid w:val="00C25412"/>
    <w:rsid w:val="00C26A47"/>
    <w:rsid w:val="00C26CAF"/>
    <w:rsid w:val="00C27DE8"/>
    <w:rsid w:val="00C31008"/>
    <w:rsid w:val="00C31D7B"/>
    <w:rsid w:val="00C3279E"/>
    <w:rsid w:val="00C33165"/>
    <w:rsid w:val="00C33C56"/>
    <w:rsid w:val="00C33E19"/>
    <w:rsid w:val="00C34279"/>
    <w:rsid w:val="00C34542"/>
    <w:rsid w:val="00C3460A"/>
    <w:rsid w:val="00C34FB9"/>
    <w:rsid w:val="00C362C7"/>
    <w:rsid w:val="00C363DF"/>
    <w:rsid w:val="00C3646D"/>
    <w:rsid w:val="00C365E2"/>
    <w:rsid w:val="00C36F14"/>
    <w:rsid w:val="00C37322"/>
    <w:rsid w:val="00C37910"/>
    <w:rsid w:val="00C37BD7"/>
    <w:rsid w:val="00C40B9A"/>
    <w:rsid w:val="00C40BDB"/>
    <w:rsid w:val="00C40F36"/>
    <w:rsid w:val="00C411AF"/>
    <w:rsid w:val="00C41473"/>
    <w:rsid w:val="00C42550"/>
    <w:rsid w:val="00C428B0"/>
    <w:rsid w:val="00C445DD"/>
    <w:rsid w:val="00C44F06"/>
    <w:rsid w:val="00C45A01"/>
    <w:rsid w:val="00C45C20"/>
    <w:rsid w:val="00C4628B"/>
    <w:rsid w:val="00C46E5B"/>
    <w:rsid w:val="00C47692"/>
    <w:rsid w:val="00C50713"/>
    <w:rsid w:val="00C50853"/>
    <w:rsid w:val="00C511FD"/>
    <w:rsid w:val="00C51691"/>
    <w:rsid w:val="00C51C8B"/>
    <w:rsid w:val="00C521AC"/>
    <w:rsid w:val="00C522D6"/>
    <w:rsid w:val="00C52BDA"/>
    <w:rsid w:val="00C52C1E"/>
    <w:rsid w:val="00C54B9F"/>
    <w:rsid w:val="00C54BA7"/>
    <w:rsid w:val="00C55486"/>
    <w:rsid w:val="00C558B4"/>
    <w:rsid w:val="00C55FEB"/>
    <w:rsid w:val="00C56562"/>
    <w:rsid w:val="00C57044"/>
    <w:rsid w:val="00C57A39"/>
    <w:rsid w:val="00C602AF"/>
    <w:rsid w:val="00C6039C"/>
    <w:rsid w:val="00C60DA3"/>
    <w:rsid w:val="00C6152C"/>
    <w:rsid w:val="00C61D5D"/>
    <w:rsid w:val="00C62BAA"/>
    <w:rsid w:val="00C62F4C"/>
    <w:rsid w:val="00C6331E"/>
    <w:rsid w:val="00C6377D"/>
    <w:rsid w:val="00C643AD"/>
    <w:rsid w:val="00C64856"/>
    <w:rsid w:val="00C67DD2"/>
    <w:rsid w:val="00C70CEA"/>
    <w:rsid w:val="00C713F1"/>
    <w:rsid w:val="00C718D3"/>
    <w:rsid w:val="00C72D64"/>
    <w:rsid w:val="00C7349F"/>
    <w:rsid w:val="00C734A1"/>
    <w:rsid w:val="00C73DDE"/>
    <w:rsid w:val="00C7461F"/>
    <w:rsid w:val="00C746E4"/>
    <w:rsid w:val="00C74A0D"/>
    <w:rsid w:val="00C760E7"/>
    <w:rsid w:val="00C76684"/>
    <w:rsid w:val="00C8056D"/>
    <w:rsid w:val="00C80F95"/>
    <w:rsid w:val="00C81039"/>
    <w:rsid w:val="00C816AB"/>
    <w:rsid w:val="00C81E25"/>
    <w:rsid w:val="00C81F4C"/>
    <w:rsid w:val="00C822B6"/>
    <w:rsid w:val="00C82397"/>
    <w:rsid w:val="00C82E45"/>
    <w:rsid w:val="00C82FAC"/>
    <w:rsid w:val="00C83C4B"/>
    <w:rsid w:val="00C84FAB"/>
    <w:rsid w:val="00C860EB"/>
    <w:rsid w:val="00C8694E"/>
    <w:rsid w:val="00C86F4D"/>
    <w:rsid w:val="00C8725A"/>
    <w:rsid w:val="00C87900"/>
    <w:rsid w:val="00C879BD"/>
    <w:rsid w:val="00C90552"/>
    <w:rsid w:val="00C91965"/>
    <w:rsid w:val="00C920E8"/>
    <w:rsid w:val="00C92C95"/>
    <w:rsid w:val="00C92EEF"/>
    <w:rsid w:val="00C9358B"/>
    <w:rsid w:val="00C938D3"/>
    <w:rsid w:val="00C939F4"/>
    <w:rsid w:val="00C93C6E"/>
    <w:rsid w:val="00C95040"/>
    <w:rsid w:val="00C95105"/>
    <w:rsid w:val="00C95521"/>
    <w:rsid w:val="00C95FE1"/>
    <w:rsid w:val="00C96BDC"/>
    <w:rsid w:val="00C96DB9"/>
    <w:rsid w:val="00C970D2"/>
    <w:rsid w:val="00C9741E"/>
    <w:rsid w:val="00C97883"/>
    <w:rsid w:val="00CA099E"/>
    <w:rsid w:val="00CA1323"/>
    <w:rsid w:val="00CA1E73"/>
    <w:rsid w:val="00CA2DD1"/>
    <w:rsid w:val="00CA32B9"/>
    <w:rsid w:val="00CA3453"/>
    <w:rsid w:val="00CA3544"/>
    <w:rsid w:val="00CA42AA"/>
    <w:rsid w:val="00CA5488"/>
    <w:rsid w:val="00CA6167"/>
    <w:rsid w:val="00CA66E9"/>
    <w:rsid w:val="00CA6B4F"/>
    <w:rsid w:val="00CA73C0"/>
    <w:rsid w:val="00CA73E6"/>
    <w:rsid w:val="00CA75A5"/>
    <w:rsid w:val="00CB0A3D"/>
    <w:rsid w:val="00CB1FF4"/>
    <w:rsid w:val="00CB2C01"/>
    <w:rsid w:val="00CB3241"/>
    <w:rsid w:val="00CB3C3E"/>
    <w:rsid w:val="00CB45EA"/>
    <w:rsid w:val="00CB479F"/>
    <w:rsid w:val="00CB4922"/>
    <w:rsid w:val="00CB4FD2"/>
    <w:rsid w:val="00CB56BC"/>
    <w:rsid w:val="00CB6C2D"/>
    <w:rsid w:val="00CB78CF"/>
    <w:rsid w:val="00CB7F56"/>
    <w:rsid w:val="00CC04BE"/>
    <w:rsid w:val="00CC0AB4"/>
    <w:rsid w:val="00CC1349"/>
    <w:rsid w:val="00CC134B"/>
    <w:rsid w:val="00CC16CC"/>
    <w:rsid w:val="00CC176A"/>
    <w:rsid w:val="00CC2601"/>
    <w:rsid w:val="00CC3040"/>
    <w:rsid w:val="00CC3E08"/>
    <w:rsid w:val="00CC41DE"/>
    <w:rsid w:val="00CC4F00"/>
    <w:rsid w:val="00CC5453"/>
    <w:rsid w:val="00CC5FB5"/>
    <w:rsid w:val="00CC67BF"/>
    <w:rsid w:val="00CC6805"/>
    <w:rsid w:val="00CC6F29"/>
    <w:rsid w:val="00CC72E2"/>
    <w:rsid w:val="00CC77BD"/>
    <w:rsid w:val="00CC7F81"/>
    <w:rsid w:val="00CC7FA2"/>
    <w:rsid w:val="00CD081B"/>
    <w:rsid w:val="00CD08FA"/>
    <w:rsid w:val="00CD091C"/>
    <w:rsid w:val="00CD0AB6"/>
    <w:rsid w:val="00CD12E3"/>
    <w:rsid w:val="00CD157D"/>
    <w:rsid w:val="00CD1A52"/>
    <w:rsid w:val="00CD2FBE"/>
    <w:rsid w:val="00CD3495"/>
    <w:rsid w:val="00CD3692"/>
    <w:rsid w:val="00CD3CEC"/>
    <w:rsid w:val="00CD582F"/>
    <w:rsid w:val="00CD5983"/>
    <w:rsid w:val="00CD5997"/>
    <w:rsid w:val="00CD7112"/>
    <w:rsid w:val="00CD7AB4"/>
    <w:rsid w:val="00CD7AB5"/>
    <w:rsid w:val="00CE03D0"/>
    <w:rsid w:val="00CE0714"/>
    <w:rsid w:val="00CE0D34"/>
    <w:rsid w:val="00CE17E8"/>
    <w:rsid w:val="00CE1AAC"/>
    <w:rsid w:val="00CE1DDD"/>
    <w:rsid w:val="00CE1F2A"/>
    <w:rsid w:val="00CE2051"/>
    <w:rsid w:val="00CE26FE"/>
    <w:rsid w:val="00CE2F12"/>
    <w:rsid w:val="00CE3A47"/>
    <w:rsid w:val="00CE3DFB"/>
    <w:rsid w:val="00CE3F09"/>
    <w:rsid w:val="00CE44F9"/>
    <w:rsid w:val="00CE46A0"/>
    <w:rsid w:val="00CE48B5"/>
    <w:rsid w:val="00CE4DD9"/>
    <w:rsid w:val="00CE57B0"/>
    <w:rsid w:val="00CE647B"/>
    <w:rsid w:val="00CE7656"/>
    <w:rsid w:val="00CE7821"/>
    <w:rsid w:val="00CF0295"/>
    <w:rsid w:val="00CF02FC"/>
    <w:rsid w:val="00CF0612"/>
    <w:rsid w:val="00CF0936"/>
    <w:rsid w:val="00CF1113"/>
    <w:rsid w:val="00CF2BC5"/>
    <w:rsid w:val="00CF2EBB"/>
    <w:rsid w:val="00CF520D"/>
    <w:rsid w:val="00CF5262"/>
    <w:rsid w:val="00CF5701"/>
    <w:rsid w:val="00CF5AAE"/>
    <w:rsid w:val="00CF6492"/>
    <w:rsid w:val="00CF6980"/>
    <w:rsid w:val="00CF764B"/>
    <w:rsid w:val="00CF7A4B"/>
    <w:rsid w:val="00D006BA"/>
    <w:rsid w:val="00D00984"/>
    <w:rsid w:val="00D00F87"/>
    <w:rsid w:val="00D010C7"/>
    <w:rsid w:val="00D03BC2"/>
    <w:rsid w:val="00D04443"/>
    <w:rsid w:val="00D04844"/>
    <w:rsid w:val="00D048C2"/>
    <w:rsid w:val="00D04F10"/>
    <w:rsid w:val="00D0576C"/>
    <w:rsid w:val="00D06266"/>
    <w:rsid w:val="00D06F84"/>
    <w:rsid w:val="00D07336"/>
    <w:rsid w:val="00D07B0C"/>
    <w:rsid w:val="00D113FA"/>
    <w:rsid w:val="00D11995"/>
    <w:rsid w:val="00D11AE3"/>
    <w:rsid w:val="00D13121"/>
    <w:rsid w:val="00D13281"/>
    <w:rsid w:val="00D13606"/>
    <w:rsid w:val="00D136BD"/>
    <w:rsid w:val="00D147EF"/>
    <w:rsid w:val="00D15022"/>
    <w:rsid w:val="00D1570F"/>
    <w:rsid w:val="00D15C4B"/>
    <w:rsid w:val="00D15E3E"/>
    <w:rsid w:val="00D1742C"/>
    <w:rsid w:val="00D17737"/>
    <w:rsid w:val="00D178E5"/>
    <w:rsid w:val="00D17BEC"/>
    <w:rsid w:val="00D17C03"/>
    <w:rsid w:val="00D20600"/>
    <w:rsid w:val="00D20A66"/>
    <w:rsid w:val="00D21165"/>
    <w:rsid w:val="00D21CAE"/>
    <w:rsid w:val="00D21DC0"/>
    <w:rsid w:val="00D21DF2"/>
    <w:rsid w:val="00D22285"/>
    <w:rsid w:val="00D22D1D"/>
    <w:rsid w:val="00D2386D"/>
    <w:rsid w:val="00D24504"/>
    <w:rsid w:val="00D2560C"/>
    <w:rsid w:val="00D25EC2"/>
    <w:rsid w:val="00D26A5A"/>
    <w:rsid w:val="00D26DFD"/>
    <w:rsid w:val="00D277FB"/>
    <w:rsid w:val="00D30931"/>
    <w:rsid w:val="00D31695"/>
    <w:rsid w:val="00D3173B"/>
    <w:rsid w:val="00D32A22"/>
    <w:rsid w:val="00D334C8"/>
    <w:rsid w:val="00D345BE"/>
    <w:rsid w:val="00D345E8"/>
    <w:rsid w:val="00D34792"/>
    <w:rsid w:val="00D34BDE"/>
    <w:rsid w:val="00D3632A"/>
    <w:rsid w:val="00D3637E"/>
    <w:rsid w:val="00D36440"/>
    <w:rsid w:val="00D3663D"/>
    <w:rsid w:val="00D37C53"/>
    <w:rsid w:val="00D37DA9"/>
    <w:rsid w:val="00D37F4B"/>
    <w:rsid w:val="00D40020"/>
    <w:rsid w:val="00D40B73"/>
    <w:rsid w:val="00D40DD4"/>
    <w:rsid w:val="00D40E05"/>
    <w:rsid w:val="00D40EF1"/>
    <w:rsid w:val="00D414F2"/>
    <w:rsid w:val="00D417EB"/>
    <w:rsid w:val="00D41C9E"/>
    <w:rsid w:val="00D4405D"/>
    <w:rsid w:val="00D44F6D"/>
    <w:rsid w:val="00D450C3"/>
    <w:rsid w:val="00D45EAC"/>
    <w:rsid w:val="00D462E2"/>
    <w:rsid w:val="00D46599"/>
    <w:rsid w:val="00D501CD"/>
    <w:rsid w:val="00D50451"/>
    <w:rsid w:val="00D50682"/>
    <w:rsid w:val="00D50BA1"/>
    <w:rsid w:val="00D51D06"/>
    <w:rsid w:val="00D53BDD"/>
    <w:rsid w:val="00D547F3"/>
    <w:rsid w:val="00D54AEA"/>
    <w:rsid w:val="00D5572B"/>
    <w:rsid w:val="00D561D2"/>
    <w:rsid w:val="00D56563"/>
    <w:rsid w:val="00D60090"/>
    <w:rsid w:val="00D602C0"/>
    <w:rsid w:val="00D611A9"/>
    <w:rsid w:val="00D616C8"/>
    <w:rsid w:val="00D622BF"/>
    <w:rsid w:val="00D62641"/>
    <w:rsid w:val="00D62A2B"/>
    <w:rsid w:val="00D63760"/>
    <w:rsid w:val="00D63933"/>
    <w:rsid w:val="00D63E4A"/>
    <w:rsid w:val="00D64116"/>
    <w:rsid w:val="00D64616"/>
    <w:rsid w:val="00D664CB"/>
    <w:rsid w:val="00D6676A"/>
    <w:rsid w:val="00D66A16"/>
    <w:rsid w:val="00D66B5F"/>
    <w:rsid w:val="00D67667"/>
    <w:rsid w:val="00D67D04"/>
    <w:rsid w:val="00D7047C"/>
    <w:rsid w:val="00D71840"/>
    <w:rsid w:val="00D720EF"/>
    <w:rsid w:val="00D72F5E"/>
    <w:rsid w:val="00D74EA0"/>
    <w:rsid w:val="00D75A81"/>
    <w:rsid w:val="00D763FD"/>
    <w:rsid w:val="00D76463"/>
    <w:rsid w:val="00D776B1"/>
    <w:rsid w:val="00D7773A"/>
    <w:rsid w:val="00D77750"/>
    <w:rsid w:val="00D778E3"/>
    <w:rsid w:val="00D77B76"/>
    <w:rsid w:val="00D80D43"/>
    <w:rsid w:val="00D81C99"/>
    <w:rsid w:val="00D81D8F"/>
    <w:rsid w:val="00D835AF"/>
    <w:rsid w:val="00D835E1"/>
    <w:rsid w:val="00D842CB"/>
    <w:rsid w:val="00D85F81"/>
    <w:rsid w:val="00D86081"/>
    <w:rsid w:val="00D869AB"/>
    <w:rsid w:val="00D87B20"/>
    <w:rsid w:val="00D87B4E"/>
    <w:rsid w:val="00D87B7E"/>
    <w:rsid w:val="00D90D7B"/>
    <w:rsid w:val="00D91797"/>
    <w:rsid w:val="00D9179D"/>
    <w:rsid w:val="00D921A5"/>
    <w:rsid w:val="00D92359"/>
    <w:rsid w:val="00D93A15"/>
    <w:rsid w:val="00D93B24"/>
    <w:rsid w:val="00D93F02"/>
    <w:rsid w:val="00D94F8E"/>
    <w:rsid w:val="00D95109"/>
    <w:rsid w:val="00D979B0"/>
    <w:rsid w:val="00D97E66"/>
    <w:rsid w:val="00DA0151"/>
    <w:rsid w:val="00DA047A"/>
    <w:rsid w:val="00DA057A"/>
    <w:rsid w:val="00DA0ED5"/>
    <w:rsid w:val="00DA0EE6"/>
    <w:rsid w:val="00DA147C"/>
    <w:rsid w:val="00DA1959"/>
    <w:rsid w:val="00DA1E0D"/>
    <w:rsid w:val="00DA1E11"/>
    <w:rsid w:val="00DA2F93"/>
    <w:rsid w:val="00DA3022"/>
    <w:rsid w:val="00DA3029"/>
    <w:rsid w:val="00DA3326"/>
    <w:rsid w:val="00DA3A7D"/>
    <w:rsid w:val="00DA4829"/>
    <w:rsid w:val="00DA508C"/>
    <w:rsid w:val="00DA5191"/>
    <w:rsid w:val="00DA55E5"/>
    <w:rsid w:val="00DA7111"/>
    <w:rsid w:val="00DA7939"/>
    <w:rsid w:val="00DB02A6"/>
    <w:rsid w:val="00DB09E4"/>
    <w:rsid w:val="00DB1B84"/>
    <w:rsid w:val="00DB2D9B"/>
    <w:rsid w:val="00DB37E9"/>
    <w:rsid w:val="00DB38E5"/>
    <w:rsid w:val="00DB3DC9"/>
    <w:rsid w:val="00DB40EA"/>
    <w:rsid w:val="00DB462D"/>
    <w:rsid w:val="00DB48FA"/>
    <w:rsid w:val="00DB4942"/>
    <w:rsid w:val="00DB59DC"/>
    <w:rsid w:val="00DB63F2"/>
    <w:rsid w:val="00DB682F"/>
    <w:rsid w:val="00DB74B6"/>
    <w:rsid w:val="00DC1034"/>
    <w:rsid w:val="00DC11EB"/>
    <w:rsid w:val="00DC1819"/>
    <w:rsid w:val="00DC1BB6"/>
    <w:rsid w:val="00DC1F4F"/>
    <w:rsid w:val="00DC3708"/>
    <w:rsid w:val="00DC3717"/>
    <w:rsid w:val="00DC379D"/>
    <w:rsid w:val="00DC3922"/>
    <w:rsid w:val="00DC3BCA"/>
    <w:rsid w:val="00DC3EFE"/>
    <w:rsid w:val="00DC42B0"/>
    <w:rsid w:val="00DC42B4"/>
    <w:rsid w:val="00DC42CE"/>
    <w:rsid w:val="00DC54D4"/>
    <w:rsid w:val="00DC78E2"/>
    <w:rsid w:val="00DD0099"/>
    <w:rsid w:val="00DD0DC2"/>
    <w:rsid w:val="00DD0E9C"/>
    <w:rsid w:val="00DD1D2D"/>
    <w:rsid w:val="00DD23CE"/>
    <w:rsid w:val="00DD266D"/>
    <w:rsid w:val="00DD2901"/>
    <w:rsid w:val="00DD392A"/>
    <w:rsid w:val="00DD3CCB"/>
    <w:rsid w:val="00DD41CA"/>
    <w:rsid w:val="00DD4301"/>
    <w:rsid w:val="00DD7B34"/>
    <w:rsid w:val="00DD7ED6"/>
    <w:rsid w:val="00DE011E"/>
    <w:rsid w:val="00DE0A29"/>
    <w:rsid w:val="00DE2ADF"/>
    <w:rsid w:val="00DE2C32"/>
    <w:rsid w:val="00DE2E0F"/>
    <w:rsid w:val="00DE358C"/>
    <w:rsid w:val="00DE38C3"/>
    <w:rsid w:val="00DE3D8D"/>
    <w:rsid w:val="00DE4A33"/>
    <w:rsid w:val="00DE5797"/>
    <w:rsid w:val="00DE5ECF"/>
    <w:rsid w:val="00DE6531"/>
    <w:rsid w:val="00DE67CE"/>
    <w:rsid w:val="00DE6B68"/>
    <w:rsid w:val="00DE77F3"/>
    <w:rsid w:val="00DE794E"/>
    <w:rsid w:val="00DE7D29"/>
    <w:rsid w:val="00DF001C"/>
    <w:rsid w:val="00DF0522"/>
    <w:rsid w:val="00DF1A74"/>
    <w:rsid w:val="00DF1AF7"/>
    <w:rsid w:val="00DF2538"/>
    <w:rsid w:val="00DF26D7"/>
    <w:rsid w:val="00DF28F0"/>
    <w:rsid w:val="00DF2A37"/>
    <w:rsid w:val="00DF2D2F"/>
    <w:rsid w:val="00DF3068"/>
    <w:rsid w:val="00DF34EF"/>
    <w:rsid w:val="00DF4E3B"/>
    <w:rsid w:val="00DF5EAB"/>
    <w:rsid w:val="00DF5F8E"/>
    <w:rsid w:val="00DF6155"/>
    <w:rsid w:val="00DF6E17"/>
    <w:rsid w:val="00E0008A"/>
    <w:rsid w:val="00E00195"/>
    <w:rsid w:val="00E01432"/>
    <w:rsid w:val="00E01C22"/>
    <w:rsid w:val="00E022D7"/>
    <w:rsid w:val="00E02542"/>
    <w:rsid w:val="00E03AB3"/>
    <w:rsid w:val="00E03C5C"/>
    <w:rsid w:val="00E03D6B"/>
    <w:rsid w:val="00E047D7"/>
    <w:rsid w:val="00E05EF0"/>
    <w:rsid w:val="00E069FC"/>
    <w:rsid w:val="00E0701F"/>
    <w:rsid w:val="00E07715"/>
    <w:rsid w:val="00E07E56"/>
    <w:rsid w:val="00E10996"/>
    <w:rsid w:val="00E10E98"/>
    <w:rsid w:val="00E11D29"/>
    <w:rsid w:val="00E1240D"/>
    <w:rsid w:val="00E13C8E"/>
    <w:rsid w:val="00E1538D"/>
    <w:rsid w:val="00E17D79"/>
    <w:rsid w:val="00E17E49"/>
    <w:rsid w:val="00E20E3B"/>
    <w:rsid w:val="00E211FF"/>
    <w:rsid w:val="00E21FD9"/>
    <w:rsid w:val="00E22BA9"/>
    <w:rsid w:val="00E233CA"/>
    <w:rsid w:val="00E234C5"/>
    <w:rsid w:val="00E234ED"/>
    <w:rsid w:val="00E238DA"/>
    <w:rsid w:val="00E245C9"/>
    <w:rsid w:val="00E24A44"/>
    <w:rsid w:val="00E2586A"/>
    <w:rsid w:val="00E270A9"/>
    <w:rsid w:val="00E278C7"/>
    <w:rsid w:val="00E27C49"/>
    <w:rsid w:val="00E27F83"/>
    <w:rsid w:val="00E30DBD"/>
    <w:rsid w:val="00E31300"/>
    <w:rsid w:val="00E32AC9"/>
    <w:rsid w:val="00E32C4B"/>
    <w:rsid w:val="00E334F3"/>
    <w:rsid w:val="00E3395B"/>
    <w:rsid w:val="00E33DC8"/>
    <w:rsid w:val="00E340A4"/>
    <w:rsid w:val="00E3444A"/>
    <w:rsid w:val="00E3450C"/>
    <w:rsid w:val="00E349FB"/>
    <w:rsid w:val="00E34D09"/>
    <w:rsid w:val="00E35444"/>
    <w:rsid w:val="00E355F8"/>
    <w:rsid w:val="00E36A50"/>
    <w:rsid w:val="00E375D5"/>
    <w:rsid w:val="00E4004C"/>
    <w:rsid w:val="00E40603"/>
    <w:rsid w:val="00E40D0B"/>
    <w:rsid w:val="00E40D50"/>
    <w:rsid w:val="00E41025"/>
    <w:rsid w:val="00E41036"/>
    <w:rsid w:val="00E41231"/>
    <w:rsid w:val="00E4165C"/>
    <w:rsid w:val="00E41EBF"/>
    <w:rsid w:val="00E42ADE"/>
    <w:rsid w:val="00E43385"/>
    <w:rsid w:val="00E43886"/>
    <w:rsid w:val="00E43B86"/>
    <w:rsid w:val="00E44016"/>
    <w:rsid w:val="00E445EC"/>
    <w:rsid w:val="00E44D03"/>
    <w:rsid w:val="00E45738"/>
    <w:rsid w:val="00E46047"/>
    <w:rsid w:val="00E4706E"/>
    <w:rsid w:val="00E47106"/>
    <w:rsid w:val="00E47824"/>
    <w:rsid w:val="00E47D7C"/>
    <w:rsid w:val="00E50F67"/>
    <w:rsid w:val="00E515A2"/>
    <w:rsid w:val="00E52798"/>
    <w:rsid w:val="00E5327A"/>
    <w:rsid w:val="00E53CF8"/>
    <w:rsid w:val="00E53E9E"/>
    <w:rsid w:val="00E54E67"/>
    <w:rsid w:val="00E54E76"/>
    <w:rsid w:val="00E55D42"/>
    <w:rsid w:val="00E562C6"/>
    <w:rsid w:val="00E57234"/>
    <w:rsid w:val="00E579E3"/>
    <w:rsid w:val="00E60ABA"/>
    <w:rsid w:val="00E61B25"/>
    <w:rsid w:val="00E63180"/>
    <w:rsid w:val="00E63353"/>
    <w:rsid w:val="00E6466F"/>
    <w:rsid w:val="00E64AC1"/>
    <w:rsid w:val="00E6558F"/>
    <w:rsid w:val="00E6600A"/>
    <w:rsid w:val="00E667C7"/>
    <w:rsid w:val="00E67039"/>
    <w:rsid w:val="00E6788A"/>
    <w:rsid w:val="00E67C6F"/>
    <w:rsid w:val="00E67CA7"/>
    <w:rsid w:val="00E67EC2"/>
    <w:rsid w:val="00E705AE"/>
    <w:rsid w:val="00E712D1"/>
    <w:rsid w:val="00E7170D"/>
    <w:rsid w:val="00E7229C"/>
    <w:rsid w:val="00E72BEF"/>
    <w:rsid w:val="00E72C2F"/>
    <w:rsid w:val="00E72C91"/>
    <w:rsid w:val="00E74157"/>
    <w:rsid w:val="00E744E9"/>
    <w:rsid w:val="00E74B07"/>
    <w:rsid w:val="00E74B2B"/>
    <w:rsid w:val="00E7528D"/>
    <w:rsid w:val="00E75614"/>
    <w:rsid w:val="00E75D5B"/>
    <w:rsid w:val="00E76706"/>
    <w:rsid w:val="00E76881"/>
    <w:rsid w:val="00E768C9"/>
    <w:rsid w:val="00E80788"/>
    <w:rsid w:val="00E8114B"/>
    <w:rsid w:val="00E81698"/>
    <w:rsid w:val="00E827EA"/>
    <w:rsid w:val="00E82AA2"/>
    <w:rsid w:val="00E84E6B"/>
    <w:rsid w:val="00E85781"/>
    <w:rsid w:val="00E85928"/>
    <w:rsid w:val="00E85FB8"/>
    <w:rsid w:val="00E863E4"/>
    <w:rsid w:val="00E86941"/>
    <w:rsid w:val="00E86B69"/>
    <w:rsid w:val="00E86C2A"/>
    <w:rsid w:val="00E87492"/>
    <w:rsid w:val="00E90693"/>
    <w:rsid w:val="00E90706"/>
    <w:rsid w:val="00E9076D"/>
    <w:rsid w:val="00E912AD"/>
    <w:rsid w:val="00E92650"/>
    <w:rsid w:val="00E92AD2"/>
    <w:rsid w:val="00E92CAC"/>
    <w:rsid w:val="00E9315F"/>
    <w:rsid w:val="00E93213"/>
    <w:rsid w:val="00E941E4"/>
    <w:rsid w:val="00E95271"/>
    <w:rsid w:val="00E95927"/>
    <w:rsid w:val="00E95A5F"/>
    <w:rsid w:val="00E96B64"/>
    <w:rsid w:val="00E96FC6"/>
    <w:rsid w:val="00E979EF"/>
    <w:rsid w:val="00E97CAC"/>
    <w:rsid w:val="00E97D3A"/>
    <w:rsid w:val="00EA0701"/>
    <w:rsid w:val="00EA0A58"/>
    <w:rsid w:val="00EA133A"/>
    <w:rsid w:val="00EA147D"/>
    <w:rsid w:val="00EA175E"/>
    <w:rsid w:val="00EA1BAE"/>
    <w:rsid w:val="00EA1F94"/>
    <w:rsid w:val="00EA2AA4"/>
    <w:rsid w:val="00EA3BF8"/>
    <w:rsid w:val="00EA3EC1"/>
    <w:rsid w:val="00EA46D9"/>
    <w:rsid w:val="00EA5084"/>
    <w:rsid w:val="00EA52AB"/>
    <w:rsid w:val="00EA5E1C"/>
    <w:rsid w:val="00EA6474"/>
    <w:rsid w:val="00EA7146"/>
    <w:rsid w:val="00EA75AD"/>
    <w:rsid w:val="00EB0C61"/>
    <w:rsid w:val="00EB1602"/>
    <w:rsid w:val="00EB20D2"/>
    <w:rsid w:val="00EB2374"/>
    <w:rsid w:val="00EB31BF"/>
    <w:rsid w:val="00EB335B"/>
    <w:rsid w:val="00EB34AF"/>
    <w:rsid w:val="00EB458F"/>
    <w:rsid w:val="00EB49D9"/>
    <w:rsid w:val="00EB4ED4"/>
    <w:rsid w:val="00EB5582"/>
    <w:rsid w:val="00EB63BB"/>
    <w:rsid w:val="00EB6944"/>
    <w:rsid w:val="00EB75ED"/>
    <w:rsid w:val="00EC0770"/>
    <w:rsid w:val="00EC092D"/>
    <w:rsid w:val="00EC1205"/>
    <w:rsid w:val="00EC133F"/>
    <w:rsid w:val="00EC2097"/>
    <w:rsid w:val="00EC27EB"/>
    <w:rsid w:val="00EC28C1"/>
    <w:rsid w:val="00EC2AD2"/>
    <w:rsid w:val="00EC3148"/>
    <w:rsid w:val="00EC3691"/>
    <w:rsid w:val="00EC4038"/>
    <w:rsid w:val="00EC44B2"/>
    <w:rsid w:val="00EC474C"/>
    <w:rsid w:val="00EC618F"/>
    <w:rsid w:val="00EC6E1C"/>
    <w:rsid w:val="00EC7105"/>
    <w:rsid w:val="00ED0B2E"/>
    <w:rsid w:val="00ED298A"/>
    <w:rsid w:val="00ED3258"/>
    <w:rsid w:val="00ED3393"/>
    <w:rsid w:val="00ED36D9"/>
    <w:rsid w:val="00ED37B5"/>
    <w:rsid w:val="00ED5D1C"/>
    <w:rsid w:val="00ED61DC"/>
    <w:rsid w:val="00ED64B7"/>
    <w:rsid w:val="00ED693C"/>
    <w:rsid w:val="00ED6BE1"/>
    <w:rsid w:val="00ED7893"/>
    <w:rsid w:val="00EE1B12"/>
    <w:rsid w:val="00EE3034"/>
    <w:rsid w:val="00EE353C"/>
    <w:rsid w:val="00EE38A9"/>
    <w:rsid w:val="00EE3988"/>
    <w:rsid w:val="00EE3C9C"/>
    <w:rsid w:val="00EE4107"/>
    <w:rsid w:val="00EE4321"/>
    <w:rsid w:val="00EE4A1B"/>
    <w:rsid w:val="00EE4E95"/>
    <w:rsid w:val="00EE4EF4"/>
    <w:rsid w:val="00EE5AD5"/>
    <w:rsid w:val="00EE6ABD"/>
    <w:rsid w:val="00EE6D25"/>
    <w:rsid w:val="00EE7F1C"/>
    <w:rsid w:val="00EF05EA"/>
    <w:rsid w:val="00EF0B92"/>
    <w:rsid w:val="00EF219B"/>
    <w:rsid w:val="00EF2BF3"/>
    <w:rsid w:val="00EF4296"/>
    <w:rsid w:val="00EF4FA6"/>
    <w:rsid w:val="00EF5483"/>
    <w:rsid w:val="00EF561D"/>
    <w:rsid w:val="00EF5C1A"/>
    <w:rsid w:val="00EF5E41"/>
    <w:rsid w:val="00EF650E"/>
    <w:rsid w:val="00EF71CD"/>
    <w:rsid w:val="00EF7953"/>
    <w:rsid w:val="00F0137B"/>
    <w:rsid w:val="00F0229E"/>
    <w:rsid w:val="00F02470"/>
    <w:rsid w:val="00F03911"/>
    <w:rsid w:val="00F0393E"/>
    <w:rsid w:val="00F0417E"/>
    <w:rsid w:val="00F04917"/>
    <w:rsid w:val="00F049C2"/>
    <w:rsid w:val="00F04CFD"/>
    <w:rsid w:val="00F05173"/>
    <w:rsid w:val="00F056E8"/>
    <w:rsid w:val="00F06B3A"/>
    <w:rsid w:val="00F1045B"/>
    <w:rsid w:val="00F10945"/>
    <w:rsid w:val="00F10D2B"/>
    <w:rsid w:val="00F10E19"/>
    <w:rsid w:val="00F12013"/>
    <w:rsid w:val="00F132EF"/>
    <w:rsid w:val="00F1349A"/>
    <w:rsid w:val="00F13718"/>
    <w:rsid w:val="00F140FD"/>
    <w:rsid w:val="00F146A4"/>
    <w:rsid w:val="00F14EFE"/>
    <w:rsid w:val="00F15652"/>
    <w:rsid w:val="00F15658"/>
    <w:rsid w:val="00F16BCF"/>
    <w:rsid w:val="00F16D85"/>
    <w:rsid w:val="00F17047"/>
    <w:rsid w:val="00F17A56"/>
    <w:rsid w:val="00F20E62"/>
    <w:rsid w:val="00F22F86"/>
    <w:rsid w:val="00F230CD"/>
    <w:rsid w:val="00F23CF0"/>
    <w:rsid w:val="00F23EA5"/>
    <w:rsid w:val="00F24C4C"/>
    <w:rsid w:val="00F24C77"/>
    <w:rsid w:val="00F24F63"/>
    <w:rsid w:val="00F252A5"/>
    <w:rsid w:val="00F25503"/>
    <w:rsid w:val="00F257C2"/>
    <w:rsid w:val="00F25931"/>
    <w:rsid w:val="00F260E2"/>
    <w:rsid w:val="00F300C4"/>
    <w:rsid w:val="00F304F1"/>
    <w:rsid w:val="00F304F2"/>
    <w:rsid w:val="00F3053A"/>
    <w:rsid w:val="00F31DBC"/>
    <w:rsid w:val="00F31F8C"/>
    <w:rsid w:val="00F3286C"/>
    <w:rsid w:val="00F32AEA"/>
    <w:rsid w:val="00F33472"/>
    <w:rsid w:val="00F33720"/>
    <w:rsid w:val="00F340B6"/>
    <w:rsid w:val="00F34CB3"/>
    <w:rsid w:val="00F35C29"/>
    <w:rsid w:val="00F36232"/>
    <w:rsid w:val="00F378AE"/>
    <w:rsid w:val="00F37B33"/>
    <w:rsid w:val="00F37F4C"/>
    <w:rsid w:val="00F4007B"/>
    <w:rsid w:val="00F400AD"/>
    <w:rsid w:val="00F4097C"/>
    <w:rsid w:val="00F415F1"/>
    <w:rsid w:val="00F41E22"/>
    <w:rsid w:val="00F431F1"/>
    <w:rsid w:val="00F436DC"/>
    <w:rsid w:val="00F43B6A"/>
    <w:rsid w:val="00F4424F"/>
    <w:rsid w:val="00F44A76"/>
    <w:rsid w:val="00F44B96"/>
    <w:rsid w:val="00F44E2D"/>
    <w:rsid w:val="00F46146"/>
    <w:rsid w:val="00F46546"/>
    <w:rsid w:val="00F465B1"/>
    <w:rsid w:val="00F466B3"/>
    <w:rsid w:val="00F467C5"/>
    <w:rsid w:val="00F4701A"/>
    <w:rsid w:val="00F47122"/>
    <w:rsid w:val="00F514C8"/>
    <w:rsid w:val="00F5156A"/>
    <w:rsid w:val="00F515FB"/>
    <w:rsid w:val="00F51629"/>
    <w:rsid w:val="00F52135"/>
    <w:rsid w:val="00F52623"/>
    <w:rsid w:val="00F52D3F"/>
    <w:rsid w:val="00F5337F"/>
    <w:rsid w:val="00F5341C"/>
    <w:rsid w:val="00F5353A"/>
    <w:rsid w:val="00F53DB1"/>
    <w:rsid w:val="00F54EC0"/>
    <w:rsid w:val="00F551E3"/>
    <w:rsid w:val="00F562FC"/>
    <w:rsid w:val="00F567DB"/>
    <w:rsid w:val="00F5694B"/>
    <w:rsid w:val="00F57504"/>
    <w:rsid w:val="00F609D0"/>
    <w:rsid w:val="00F6134B"/>
    <w:rsid w:val="00F62237"/>
    <w:rsid w:val="00F622B1"/>
    <w:rsid w:val="00F629C7"/>
    <w:rsid w:val="00F635E2"/>
    <w:rsid w:val="00F6363A"/>
    <w:rsid w:val="00F64219"/>
    <w:rsid w:val="00F649BE"/>
    <w:rsid w:val="00F656E6"/>
    <w:rsid w:val="00F65CF3"/>
    <w:rsid w:val="00F65EE1"/>
    <w:rsid w:val="00F6638C"/>
    <w:rsid w:val="00F664E1"/>
    <w:rsid w:val="00F66B7C"/>
    <w:rsid w:val="00F676B8"/>
    <w:rsid w:val="00F701C4"/>
    <w:rsid w:val="00F70AC3"/>
    <w:rsid w:val="00F70AE1"/>
    <w:rsid w:val="00F711DD"/>
    <w:rsid w:val="00F71239"/>
    <w:rsid w:val="00F7276F"/>
    <w:rsid w:val="00F728EC"/>
    <w:rsid w:val="00F72B94"/>
    <w:rsid w:val="00F72FAF"/>
    <w:rsid w:val="00F7326C"/>
    <w:rsid w:val="00F737B5"/>
    <w:rsid w:val="00F73B71"/>
    <w:rsid w:val="00F73EB0"/>
    <w:rsid w:val="00F73F32"/>
    <w:rsid w:val="00F73F4F"/>
    <w:rsid w:val="00F7416C"/>
    <w:rsid w:val="00F74735"/>
    <w:rsid w:val="00F757E4"/>
    <w:rsid w:val="00F77997"/>
    <w:rsid w:val="00F77B3F"/>
    <w:rsid w:val="00F77BF6"/>
    <w:rsid w:val="00F77C38"/>
    <w:rsid w:val="00F77CD8"/>
    <w:rsid w:val="00F80606"/>
    <w:rsid w:val="00F814F0"/>
    <w:rsid w:val="00F81EB2"/>
    <w:rsid w:val="00F8223E"/>
    <w:rsid w:val="00F82EAA"/>
    <w:rsid w:val="00F83F4E"/>
    <w:rsid w:val="00F8551A"/>
    <w:rsid w:val="00F855C7"/>
    <w:rsid w:val="00F856A5"/>
    <w:rsid w:val="00F856E0"/>
    <w:rsid w:val="00F85A30"/>
    <w:rsid w:val="00F85CB0"/>
    <w:rsid w:val="00F86520"/>
    <w:rsid w:val="00F8657C"/>
    <w:rsid w:val="00F8716E"/>
    <w:rsid w:val="00F87FBB"/>
    <w:rsid w:val="00F90A10"/>
    <w:rsid w:val="00F90D12"/>
    <w:rsid w:val="00F91B75"/>
    <w:rsid w:val="00F923BC"/>
    <w:rsid w:val="00F93615"/>
    <w:rsid w:val="00F94A63"/>
    <w:rsid w:val="00F953CF"/>
    <w:rsid w:val="00F95571"/>
    <w:rsid w:val="00F958E7"/>
    <w:rsid w:val="00F9618F"/>
    <w:rsid w:val="00F96506"/>
    <w:rsid w:val="00F96C2F"/>
    <w:rsid w:val="00F96CF2"/>
    <w:rsid w:val="00F973BE"/>
    <w:rsid w:val="00F975D9"/>
    <w:rsid w:val="00F978A7"/>
    <w:rsid w:val="00F9798D"/>
    <w:rsid w:val="00F97AC2"/>
    <w:rsid w:val="00F97CAA"/>
    <w:rsid w:val="00FA0053"/>
    <w:rsid w:val="00FA05BD"/>
    <w:rsid w:val="00FA0AD6"/>
    <w:rsid w:val="00FA0FB8"/>
    <w:rsid w:val="00FA12BB"/>
    <w:rsid w:val="00FA1C9A"/>
    <w:rsid w:val="00FA2313"/>
    <w:rsid w:val="00FA2317"/>
    <w:rsid w:val="00FA3913"/>
    <w:rsid w:val="00FA3A58"/>
    <w:rsid w:val="00FA3E8D"/>
    <w:rsid w:val="00FA3F44"/>
    <w:rsid w:val="00FA43DD"/>
    <w:rsid w:val="00FA4973"/>
    <w:rsid w:val="00FA5F7F"/>
    <w:rsid w:val="00FA7242"/>
    <w:rsid w:val="00FA78A2"/>
    <w:rsid w:val="00FB0081"/>
    <w:rsid w:val="00FB04B3"/>
    <w:rsid w:val="00FB1681"/>
    <w:rsid w:val="00FB17DF"/>
    <w:rsid w:val="00FB1836"/>
    <w:rsid w:val="00FB1B01"/>
    <w:rsid w:val="00FB1CA7"/>
    <w:rsid w:val="00FB1E98"/>
    <w:rsid w:val="00FB2529"/>
    <w:rsid w:val="00FB28DC"/>
    <w:rsid w:val="00FB3631"/>
    <w:rsid w:val="00FB51F1"/>
    <w:rsid w:val="00FB5A46"/>
    <w:rsid w:val="00FB6061"/>
    <w:rsid w:val="00FB6BF3"/>
    <w:rsid w:val="00FB753B"/>
    <w:rsid w:val="00FB7FBA"/>
    <w:rsid w:val="00FC068F"/>
    <w:rsid w:val="00FC097F"/>
    <w:rsid w:val="00FC0A8B"/>
    <w:rsid w:val="00FC195C"/>
    <w:rsid w:val="00FC2442"/>
    <w:rsid w:val="00FC2858"/>
    <w:rsid w:val="00FC3A88"/>
    <w:rsid w:val="00FC523C"/>
    <w:rsid w:val="00FC5489"/>
    <w:rsid w:val="00FC5C93"/>
    <w:rsid w:val="00FC6333"/>
    <w:rsid w:val="00FC67E6"/>
    <w:rsid w:val="00FC6CF0"/>
    <w:rsid w:val="00FC6F4F"/>
    <w:rsid w:val="00FC6FE0"/>
    <w:rsid w:val="00FC7425"/>
    <w:rsid w:val="00FC74F3"/>
    <w:rsid w:val="00FC7669"/>
    <w:rsid w:val="00FD05CF"/>
    <w:rsid w:val="00FD176D"/>
    <w:rsid w:val="00FD1AB3"/>
    <w:rsid w:val="00FD29A1"/>
    <w:rsid w:val="00FD2DE5"/>
    <w:rsid w:val="00FD355B"/>
    <w:rsid w:val="00FD450C"/>
    <w:rsid w:val="00FD53B7"/>
    <w:rsid w:val="00FD57F4"/>
    <w:rsid w:val="00FD5C2A"/>
    <w:rsid w:val="00FD7684"/>
    <w:rsid w:val="00FE0055"/>
    <w:rsid w:val="00FE0958"/>
    <w:rsid w:val="00FE14FD"/>
    <w:rsid w:val="00FE354E"/>
    <w:rsid w:val="00FE36BB"/>
    <w:rsid w:val="00FE3A8F"/>
    <w:rsid w:val="00FE3B8C"/>
    <w:rsid w:val="00FE3E56"/>
    <w:rsid w:val="00FE3E86"/>
    <w:rsid w:val="00FE448B"/>
    <w:rsid w:val="00FE45E1"/>
    <w:rsid w:val="00FE4F9B"/>
    <w:rsid w:val="00FE5052"/>
    <w:rsid w:val="00FE5B10"/>
    <w:rsid w:val="00FE5E57"/>
    <w:rsid w:val="00FE633D"/>
    <w:rsid w:val="00FE71E9"/>
    <w:rsid w:val="00FE760E"/>
    <w:rsid w:val="00FF036E"/>
    <w:rsid w:val="00FF0B9E"/>
    <w:rsid w:val="00FF15E9"/>
    <w:rsid w:val="00FF25FB"/>
    <w:rsid w:val="00FF2A3E"/>
    <w:rsid w:val="00FF3A12"/>
    <w:rsid w:val="00FF3C73"/>
    <w:rsid w:val="00FF484C"/>
    <w:rsid w:val="00FF4B4C"/>
    <w:rsid w:val="00FF4BCE"/>
    <w:rsid w:val="00FF5928"/>
    <w:rsid w:val="00FF5B69"/>
    <w:rsid w:val="00FF67F1"/>
    <w:rsid w:val="00FF6B4F"/>
    <w:rsid w:val="00FF6EC2"/>
    <w:rsid w:val="00FF6F2B"/>
    <w:rsid w:val="0157CB4C"/>
    <w:rsid w:val="01ACF5FC"/>
    <w:rsid w:val="01D086F5"/>
    <w:rsid w:val="025DE199"/>
    <w:rsid w:val="038C0F11"/>
    <w:rsid w:val="04A56E44"/>
    <w:rsid w:val="05205D60"/>
    <w:rsid w:val="0541BB5D"/>
    <w:rsid w:val="05CEB09D"/>
    <w:rsid w:val="05D8825B"/>
    <w:rsid w:val="05F787E2"/>
    <w:rsid w:val="060F5E58"/>
    <w:rsid w:val="06717F37"/>
    <w:rsid w:val="07380750"/>
    <w:rsid w:val="07611476"/>
    <w:rsid w:val="078F7B11"/>
    <w:rsid w:val="07918283"/>
    <w:rsid w:val="0804EE38"/>
    <w:rsid w:val="08260695"/>
    <w:rsid w:val="0828F20E"/>
    <w:rsid w:val="09118225"/>
    <w:rsid w:val="09371E2B"/>
    <w:rsid w:val="099EB1FE"/>
    <w:rsid w:val="09B68FAE"/>
    <w:rsid w:val="0A29392B"/>
    <w:rsid w:val="0A655AC2"/>
    <w:rsid w:val="0AE41259"/>
    <w:rsid w:val="0BA83B77"/>
    <w:rsid w:val="0BEB5DC7"/>
    <w:rsid w:val="0C0B4673"/>
    <w:rsid w:val="0C9FDE97"/>
    <w:rsid w:val="0D9E5E6E"/>
    <w:rsid w:val="0DBE1404"/>
    <w:rsid w:val="0E1940DC"/>
    <w:rsid w:val="0E25179C"/>
    <w:rsid w:val="0E29FDB8"/>
    <w:rsid w:val="0E36256A"/>
    <w:rsid w:val="0E767101"/>
    <w:rsid w:val="0EB012BA"/>
    <w:rsid w:val="0EF85214"/>
    <w:rsid w:val="0F1F78D4"/>
    <w:rsid w:val="0FF5B9BF"/>
    <w:rsid w:val="0FFD4C27"/>
    <w:rsid w:val="106EEA1B"/>
    <w:rsid w:val="10CCE562"/>
    <w:rsid w:val="119D27E6"/>
    <w:rsid w:val="11ADB2CD"/>
    <w:rsid w:val="11B77CD3"/>
    <w:rsid w:val="136994FF"/>
    <w:rsid w:val="13D9CB28"/>
    <w:rsid w:val="15004591"/>
    <w:rsid w:val="157ADBDE"/>
    <w:rsid w:val="15D36D7E"/>
    <w:rsid w:val="15FD5C38"/>
    <w:rsid w:val="16CC1DB2"/>
    <w:rsid w:val="16EAE031"/>
    <w:rsid w:val="1710B3C8"/>
    <w:rsid w:val="173FBEC7"/>
    <w:rsid w:val="17450ECC"/>
    <w:rsid w:val="174A8F53"/>
    <w:rsid w:val="1764CE77"/>
    <w:rsid w:val="179F0D01"/>
    <w:rsid w:val="182C1C75"/>
    <w:rsid w:val="1C83D623"/>
    <w:rsid w:val="1C967271"/>
    <w:rsid w:val="1CD2AA4D"/>
    <w:rsid w:val="1CDFB929"/>
    <w:rsid w:val="1CE42E7F"/>
    <w:rsid w:val="1D41863F"/>
    <w:rsid w:val="1DAFB189"/>
    <w:rsid w:val="1DD804C6"/>
    <w:rsid w:val="1E252C91"/>
    <w:rsid w:val="1E87258C"/>
    <w:rsid w:val="1E99DBFD"/>
    <w:rsid w:val="1EB5DEA9"/>
    <w:rsid w:val="1EC107B7"/>
    <w:rsid w:val="1F666FC1"/>
    <w:rsid w:val="1F784349"/>
    <w:rsid w:val="1F7CF034"/>
    <w:rsid w:val="1FE9369D"/>
    <w:rsid w:val="20C1FF8E"/>
    <w:rsid w:val="20C67100"/>
    <w:rsid w:val="214E9E9B"/>
    <w:rsid w:val="2169D5B3"/>
    <w:rsid w:val="21AA9768"/>
    <w:rsid w:val="21BDEF13"/>
    <w:rsid w:val="21EB7736"/>
    <w:rsid w:val="2286D429"/>
    <w:rsid w:val="23206B79"/>
    <w:rsid w:val="2321DBED"/>
    <w:rsid w:val="2379BA28"/>
    <w:rsid w:val="23C35731"/>
    <w:rsid w:val="24142648"/>
    <w:rsid w:val="246797C5"/>
    <w:rsid w:val="248E99A6"/>
    <w:rsid w:val="2504F7BD"/>
    <w:rsid w:val="26F09F67"/>
    <w:rsid w:val="2722D509"/>
    <w:rsid w:val="27DED7D4"/>
    <w:rsid w:val="27FBCDFD"/>
    <w:rsid w:val="27FE6205"/>
    <w:rsid w:val="2A307346"/>
    <w:rsid w:val="2A41DE4D"/>
    <w:rsid w:val="2A65ED0B"/>
    <w:rsid w:val="2A91380B"/>
    <w:rsid w:val="2AB7E3B7"/>
    <w:rsid w:val="2AE96E0A"/>
    <w:rsid w:val="2CC4BBE8"/>
    <w:rsid w:val="2E84D446"/>
    <w:rsid w:val="2EDEDE07"/>
    <w:rsid w:val="30255110"/>
    <w:rsid w:val="30A7D31A"/>
    <w:rsid w:val="30A8A68C"/>
    <w:rsid w:val="31AC9AE6"/>
    <w:rsid w:val="32FBBB12"/>
    <w:rsid w:val="342D01A0"/>
    <w:rsid w:val="34F056CB"/>
    <w:rsid w:val="34FF7844"/>
    <w:rsid w:val="35026F32"/>
    <w:rsid w:val="36708C4D"/>
    <w:rsid w:val="36810E86"/>
    <w:rsid w:val="36AF6331"/>
    <w:rsid w:val="36B2D0EA"/>
    <w:rsid w:val="36E077CB"/>
    <w:rsid w:val="38AD7A0A"/>
    <w:rsid w:val="39264941"/>
    <w:rsid w:val="39787159"/>
    <w:rsid w:val="3985D99E"/>
    <w:rsid w:val="39B9B2A6"/>
    <w:rsid w:val="39DD26D2"/>
    <w:rsid w:val="3A192B03"/>
    <w:rsid w:val="3A74B47E"/>
    <w:rsid w:val="3A99ABDE"/>
    <w:rsid w:val="3A9F6FA2"/>
    <w:rsid w:val="3B5ACD7B"/>
    <w:rsid w:val="3B75059E"/>
    <w:rsid w:val="3BCC5C05"/>
    <w:rsid w:val="3C497052"/>
    <w:rsid w:val="3D27B0D6"/>
    <w:rsid w:val="3D91A7E8"/>
    <w:rsid w:val="3E1AFA8F"/>
    <w:rsid w:val="3ED4ADD0"/>
    <w:rsid w:val="3EE9E9D1"/>
    <w:rsid w:val="3F4A430F"/>
    <w:rsid w:val="3F6D2580"/>
    <w:rsid w:val="4011A4AE"/>
    <w:rsid w:val="4082879C"/>
    <w:rsid w:val="41256140"/>
    <w:rsid w:val="416B0B90"/>
    <w:rsid w:val="4234F615"/>
    <w:rsid w:val="424AE342"/>
    <w:rsid w:val="42500974"/>
    <w:rsid w:val="42D00D5E"/>
    <w:rsid w:val="4384D8AD"/>
    <w:rsid w:val="4396E8ED"/>
    <w:rsid w:val="4426DC67"/>
    <w:rsid w:val="443BD0E3"/>
    <w:rsid w:val="44FB55FF"/>
    <w:rsid w:val="45D12229"/>
    <w:rsid w:val="462CACD7"/>
    <w:rsid w:val="467B3510"/>
    <w:rsid w:val="467D0AB9"/>
    <w:rsid w:val="4688B645"/>
    <w:rsid w:val="46971F3F"/>
    <w:rsid w:val="47863FB6"/>
    <w:rsid w:val="48B41166"/>
    <w:rsid w:val="499BC839"/>
    <w:rsid w:val="4A4D1E48"/>
    <w:rsid w:val="4ACDF1AD"/>
    <w:rsid w:val="4BECAB8A"/>
    <w:rsid w:val="4C742428"/>
    <w:rsid w:val="4CC27BCB"/>
    <w:rsid w:val="4D15F90E"/>
    <w:rsid w:val="4D304176"/>
    <w:rsid w:val="4D834C54"/>
    <w:rsid w:val="4D94EEB9"/>
    <w:rsid w:val="50170063"/>
    <w:rsid w:val="50E71C52"/>
    <w:rsid w:val="51CC04C4"/>
    <w:rsid w:val="51D2C647"/>
    <w:rsid w:val="5265BD5E"/>
    <w:rsid w:val="528E993B"/>
    <w:rsid w:val="52B38345"/>
    <w:rsid w:val="52BC54D3"/>
    <w:rsid w:val="53433AE6"/>
    <w:rsid w:val="54B98734"/>
    <w:rsid w:val="550F829C"/>
    <w:rsid w:val="55CDE70F"/>
    <w:rsid w:val="55EE5AB0"/>
    <w:rsid w:val="56018981"/>
    <w:rsid w:val="5680EAC5"/>
    <w:rsid w:val="57372356"/>
    <w:rsid w:val="579BB3A4"/>
    <w:rsid w:val="57DFB786"/>
    <w:rsid w:val="57ED317E"/>
    <w:rsid w:val="58864DB2"/>
    <w:rsid w:val="58E68085"/>
    <w:rsid w:val="590AA73F"/>
    <w:rsid w:val="5941A405"/>
    <w:rsid w:val="5982DFAA"/>
    <w:rsid w:val="5AD7522D"/>
    <w:rsid w:val="5BF830F7"/>
    <w:rsid w:val="5C2732EC"/>
    <w:rsid w:val="5C741AAC"/>
    <w:rsid w:val="5CB0A986"/>
    <w:rsid w:val="5CE4909E"/>
    <w:rsid w:val="5E619EC1"/>
    <w:rsid w:val="5E8A42D3"/>
    <w:rsid w:val="5F4C60F6"/>
    <w:rsid w:val="604D6BC9"/>
    <w:rsid w:val="61B46A39"/>
    <w:rsid w:val="61F80B4A"/>
    <w:rsid w:val="622B0EAB"/>
    <w:rsid w:val="631B7624"/>
    <w:rsid w:val="63309F29"/>
    <w:rsid w:val="63D6E44E"/>
    <w:rsid w:val="640C04D4"/>
    <w:rsid w:val="6457DC6D"/>
    <w:rsid w:val="64DEDC05"/>
    <w:rsid w:val="6505BE4B"/>
    <w:rsid w:val="650828C8"/>
    <w:rsid w:val="65BA8194"/>
    <w:rsid w:val="65F95E8B"/>
    <w:rsid w:val="663CFB3D"/>
    <w:rsid w:val="66C76E76"/>
    <w:rsid w:val="6832D4D6"/>
    <w:rsid w:val="6882DC54"/>
    <w:rsid w:val="696CD5D2"/>
    <w:rsid w:val="69C695E5"/>
    <w:rsid w:val="69EB8E9D"/>
    <w:rsid w:val="6A282B07"/>
    <w:rsid w:val="6A445F29"/>
    <w:rsid w:val="6AEE79E1"/>
    <w:rsid w:val="6B0A2EE4"/>
    <w:rsid w:val="6B7F6D75"/>
    <w:rsid w:val="6BD88CAE"/>
    <w:rsid w:val="6BDA6F55"/>
    <w:rsid w:val="6BF226C6"/>
    <w:rsid w:val="6CFDC796"/>
    <w:rsid w:val="6D722D91"/>
    <w:rsid w:val="6DDF1BF3"/>
    <w:rsid w:val="6ED262C0"/>
    <w:rsid w:val="6F5307A9"/>
    <w:rsid w:val="6F75D733"/>
    <w:rsid w:val="6FAADF5D"/>
    <w:rsid w:val="6FF293AE"/>
    <w:rsid w:val="702F4BF1"/>
    <w:rsid w:val="70E661D9"/>
    <w:rsid w:val="70ED77A9"/>
    <w:rsid w:val="70EE155F"/>
    <w:rsid w:val="715BE15D"/>
    <w:rsid w:val="716B5388"/>
    <w:rsid w:val="7224E2DE"/>
    <w:rsid w:val="72599893"/>
    <w:rsid w:val="72BB3581"/>
    <w:rsid w:val="72F9C02B"/>
    <w:rsid w:val="73988D52"/>
    <w:rsid w:val="73A6DF97"/>
    <w:rsid w:val="73F9E40C"/>
    <w:rsid w:val="742DD4E8"/>
    <w:rsid w:val="745C90EC"/>
    <w:rsid w:val="75420053"/>
    <w:rsid w:val="7608607D"/>
    <w:rsid w:val="774EBCCF"/>
    <w:rsid w:val="7761ADCB"/>
    <w:rsid w:val="77C1DF47"/>
    <w:rsid w:val="77CD6904"/>
    <w:rsid w:val="78106B76"/>
    <w:rsid w:val="78AF9608"/>
    <w:rsid w:val="78ECD4E7"/>
    <w:rsid w:val="7993C0C7"/>
    <w:rsid w:val="79F24697"/>
    <w:rsid w:val="7A0C12A9"/>
    <w:rsid w:val="7A7B0AF1"/>
    <w:rsid w:val="7ABCEC1A"/>
    <w:rsid w:val="7ACF643A"/>
    <w:rsid w:val="7B41684A"/>
    <w:rsid w:val="7BB9966D"/>
    <w:rsid w:val="7C9E44EC"/>
    <w:rsid w:val="7CADF5A7"/>
    <w:rsid w:val="7DC88A2B"/>
    <w:rsid w:val="7ED4C091"/>
    <w:rsid w:val="7F8EF7DA"/>
    <w:rsid w:val="7F971C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41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368"/>
    <w:pPr>
      <w:keepNext/>
      <w:keepLines/>
      <w:spacing w:before="360" w:after="80"/>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517368"/>
    <w:pPr>
      <w:keepNext/>
      <w:keepLines/>
      <w:spacing w:before="240" w:after="80"/>
      <w:outlineLvl w:val="1"/>
    </w:pPr>
    <w:rPr>
      <w:rFonts w:asciiTheme="majorHAnsi" w:eastAsiaTheme="majorEastAsia" w:hAnsiTheme="majorHAnsi" w:cstheme="majorBidi"/>
      <w:b/>
      <w:bCs/>
      <w:color w:val="0F4761" w:themeColor="accent1" w:themeShade="BF"/>
      <w:sz w:val="26"/>
      <w:szCs w:val="26"/>
    </w:rPr>
  </w:style>
  <w:style w:type="paragraph" w:styleId="Heading3">
    <w:name w:val="heading 3"/>
    <w:basedOn w:val="Normal"/>
    <w:next w:val="Normal"/>
    <w:link w:val="Heading3Char"/>
    <w:uiPriority w:val="9"/>
    <w:unhideWhenUsed/>
    <w:qFormat/>
    <w:rsid w:val="00DA3022"/>
    <w:pPr>
      <w:keepNext/>
      <w:keepLines/>
      <w:spacing w:before="160" w:after="80"/>
      <w:outlineLvl w:val="2"/>
    </w:pPr>
    <w:rPr>
      <w:rFonts w:eastAsiaTheme="majorEastAsia" w:cstheme="majorBidi"/>
      <w:color w:val="0F4761" w:themeColor="accent1" w:themeShade="BF"/>
      <w:u w:val="single"/>
    </w:rPr>
  </w:style>
  <w:style w:type="paragraph" w:styleId="Heading4">
    <w:name w:val="heading 4"/>
    <w:basedOn w:val="Normal"/>
    <w:next w:val="Normal"/>
    <w:link w:val="Heading4Char"/>
    <w:uiPriority w:val="9"/>
    <w:semiHidden/>
    <w:unhideWhenUsed/>
    <w:qFormat/>
    <w:rsid w:val="00B51D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D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368"/>
    <w:rPr>
      <w:rFonts w:asciiTheme="majorHAnsi" w:eastAsiaTheme="majorEastAsia" w:hAnsiTheme="majorHAnsi" w:cstheme="majorBidi"/>
      <w:b/>
      <w:bCs/>
      <w:color w:val="0F4761" w:themeColor="accent1" w:themeShade="BF"/>
      <w:sz w:val="40"/>
      <w:szCs w:val="40"/>
    </w:rPr>
  </w:style>
  <w:style w:type="character" w:customStyle="1" w:styleId="Heading2Char">
    <w:name w:val="Heading 2 Char"/>
    <w:basedOn w:val="DefaultParagraphFont"/>
    <w:link w:val="Heading2"/>
    <w:uiPriority w:val="9"/>
    <w:rsid w:val="00517368"/>
    <w:rPr>
      <w:rFonts w:asciiTheme="majorHAnsi" w:eastAsiaTheme="majorEastAsia" w:hAnsiTheme="majorHAnsi" w:cstheme="majorBidi"/>
      <w:b/>
      <w:bCs/>
      <w:color w:val="0F4761" w:themeColor="accent1" w:themeShade="BF"/>
      <w:sz w:val="26"/>
      <w:szCs w:val="26"/>
    </w:rPr>
  </w:style>
  <w:style w:type="character" w:customStyle="1" w:styleId="Heading3Char">
    <w:name w:val="Heading 3 Char"/>
    <w:basedOn w:val="DefaultParagraphFont"/>
    <w:link w:val="Heading3"/>
    <w:uiPriority w:val="9"/>
    <w:rsid w:val="00DA3022"/>
    <w:rPr>
      <w:rFonts w:eastAsiaTheme="majorEastAsia" w:cstheme="majorBidi"/>
      <w:color w:val="0F4761" w:themeColor="accent1" w:themeShade="BF"/>
      <w:u w:val="single"/>
    </w:rPr>
  </w:style>
  <w:style w:type="character" w:customStyle="1" w:styleId="Heading4Char">
    <w:name w:val="Heading 4 Char"/>
    <w:basedOn w:val="DefaultParagraphFont"/>
    <w:link w:val="Heading4"/>
    <w:uiPriority w:val="9"/>
    <w:semiHidden/>
    <w:rsid w:val="00B51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DE5"/>
    <w:rPr>
      <w:rFonts w:eastAsiaTheme="majorEastAsia" w:cstheme="majorBidi"/>
      <w:color w:val="272727" w:themeColor="text1" w:themeTint="D8"/>
    </w:rPr>
  </w:style>
  <w:style w:type="paragraph" w:styleId="Title">
    <w:name w:val="Title"/>
    <w:basedOn w:val="Normal"/>
    <w:next w:val="Normal"/>
    <w:link w:val="TitleChar"/>
    <w:uiPriority w:val="10"/>
    <w:qFormat/>
    <w:rsid w:val="00B51D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DE5"/>
    <w:pPr>
      <w:spacing w:before="160"/>
      <w:jc w:val="center"/>
    </w:pPr>
    <w:rPr>
      <w:i/>
      <w:iCs/>
      <w:color w:val="404040" w:themeColor="text1" w:themeTint="BF"/>
    </w:rPr>
  </w:style>
  <w:style w:type="character" w:customStyle="1" w:styleId="QuoteChar">
    <w:name w:val="Quote Char"/>
    <w:basedOn w:val="DefaultParagraphFont"/>
    <w:link w:val="Quote"/>
    <w:uiPriority w:val="29"/>
    <w:rsid w:val="00B51DE5"/>
    <w:rPr>
      <w:i/>
      <w:iCs/>
      <w:color w:val="404040" w:themeColor="text1" w:themeTint="BF"/>
    </w:rPr>
  </w:style>
  <w:style w:type="paragraph" w:styleId="ListParagraph">
    <w:name w:val="List Paragraph"/>
    <w:basedOn w:val="Normal"/>
    <w:uiPriority w:val="34"/>
    <w:qFormat/>
    <w:rsid w:val="00B51DE5"/>
    <w:pPr>
      <w:ind w:left="720"/>
      <w:contextualSpacing/>
    </w:pPr>
  </w:style>
  <w:style w:type="character" w:styleId="IntenseEmphasis">
    <w:name w:val="Intense Emphasis"/>
    <w:basedOn w:val="DefaultParagraphFont"/>
    <w:uiPriority w:val="21"/>
    <w:qFormat/>
    <w:rsid w:val="00B51DE5"/>
    <w:rPr>
      <w:i/>
      <w:iCs/>
      <w:color w:val="0F4761" w:themeColor="accent1" w:themeShade="BF"/>
    </w:rPr>
  </w:style>
  <w:style w:type="paragraph" w:styleId="IntenseQuote">
    <w:name w:val="Intense Quote"/>
    <w:basedOn w:val="Normal"/>
    <w:next w:val="Normal"/>
    <w:link w:val="IntenseQuoteChar"/>
    <w:uiPriority w:val="30"/>
    <w:qFormat/>
    <w:rsid w:val="00B51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DE5"/>
    <w:rPr>
      <w:i/>
      <w:iCs/>
      <w:color w:val="0F4761" w:themeColor="accent1" w:themeShade="BF"/>
    </w:rPr>
  </w:style>
  <w:style w:type="character" w:styleId="IntenseReference">
    <w:name w:val="Intense Reference"/>
    <w:basedOn w:val="DefaultParagraphFont"/>
    <w:uiPriority w:val="32"/>
    <w:qFormat/>
    <w:rsid w:val="00B51DE5"/>
    <w:rPr>
      <w:b/>
      <w:bCs/>
      <w:smallCaps/>
      <w:color w:val="0F4761" w:themeColor="accent1" w:themeShade="BF"/>
      <w:spacing w:val="5"/>
    </w:rPr>
  </w:style>
  <w:style w:type="paragraph" w:customStyle="1" w:styleId="DraftingNotes">
    <w:name w:val="Drafting Notes"/>
    <w:basedOn w:val="Normal"/>
    <w:qFormat/>
    <w:rsid w:val="00073F77"/>
    <w:rPr>
      <w:i/>
      <w:iCs/>
      <w:color w:val="C00000"/>
    </w:rPr>
  </w:style>
  <w:style w:type="paragraph" w:styleId="Header">
    <w:name w:val="header"/>
    <w:basedOn w:val="Normal"/>
    <w:link w:val="HeaderChar"/>
    <w:uiPriority w:val="99"/>
    <w:unhideWhenUsed/>
    <w:rsid w:val="00073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F77"/>
  </w:style>
  <w:style w:type="paragraph" w:styleId="Footer">
    <w:name w:val="footer"/>
    <w:basedOn w:val="Normal"/>
    <w:link w:val="FooterChar"/>
    <w:uiPriority w:val="99"/>
    <w:unhideWhenUsed/>
    <w:rsid w:val="00073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F77"/>
  </w:style>
  <w:style w:type="character" w:styleId="Hyperlink">
    <w:name w:val="Hyperlink"/>
    <w:basedOn w:val="DefaultParagraphFont"/>
    <w:uiPriority w:val="99"/>
    <w:unhideWhenUsed/>
    <w:rsid w:val="00DA3022"/>
    <w:rPr>
      <w:color w:val="467886" w:themeColor="hyperlink"/>
      <w:u w:val="single"/>
    </w:rPr>
  </w:style>
  <w:style w:type="character" w:styleId="UnresolvedMention">
    <w:name w:val="Unresolved Mention"/>
    <w:basedOn w:val="DefaultParagraphFont"/>
    <w:uiPriority w:val="99"/>
    <w:semiHidden/>
    <w:unhideWhenUsed/>
    <w:rsid w:val="00DA3022"/>
    <w:rPr>
      <w:color w:val="605E5C"/>
      <w:shd w:val="clear" w:color="auto" w:fill="E1DFDD"/>
    </w:rPr>
  </w:style>
  <w:style w:type="table" w:styleId="TableGrid">
    <w:name w:val="Table Grid"/>
    <w:basedOn w:val="TableNormal"/>
    <w:uiPriority w:val="39"/>
    <w:rsid w:val="00785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06013"/>
    <w:pPr>
      <w:spacing w:after="0" w:line="240" w:lineRule="auto"/>
    </w:pPr>
    <w:rPr>
      <w:sz w:val="20"/>
      <w:szCs w:val="20"/>
    </w:rPr>
  </w:style>
  <w:style w:type="character" w:customStyle="1" w:styleId="FootnoteTextChar">
    <w:name w:val="Footnote Text Char"/>
    <w:basedOn w:val="DefaultParagraphFont"/>
    <w:link w:val="FootnoteText"/>
    <w:uiPriority w:val="99"/>
    <w:rsid w:val="00006013"/>
    <w:rPr>
      <w:sz w:val="20"/>
      <w:szCs w:val="20"/>
    </w:rPr>
  </w:style>
  <w:style w:type="character" w:styleId="FootnoteReference">
    <w:name w:val="footnote reference"/>
    <w:basedOn w:val="DefaultParagraphFont"/>
    <w:uiPriority w:val="99"/>
    <w:semiHidden/>
    <w:unhideWhenUsed/>
    <w:rsid w:val="00006013"/>
    <w:rPr>
      <w:vertAlign w:val="superscript"/>
    </w:rPr>
  </w:style>
  <w:style w:type="character" w:styleId="CommentReference">
    <w:name w:val="annotation reference"/>
    <w:basedOn w:val="DefaultParagraphFont"/>
    <w:uiPriority w:val="99"/>
    <w:semiHidden/>
    <w:unhideWhenUsed/>
    <w:rsid w:val="00F93615"/>
    <w:rPr>
      <w:sz w:val="16"/>
      <w:szCs w:val="16"/>
    </w:rPr>
  </w:style>
  <w:style w:type="paragraph" w:styleId="CommentText">
    <w:name w:val="annotation text"/>
    <w:basedOn w:val="Normal"/>
    <w:link w:val="CommentTextChar"/>
    <w:uiPriority w:val="99"/>
    <w:unhideWhenUsed/>
    <w:rsid w:val="00F93615"/>
    <w:pPr>
      <w:spacing w:line="240" w:lineRule="auto"/>
    </w:pPr>
    <w:rPr>
      <w:rFonts w:eastAsiaTheme="minorEastAsia"/>
      <w:kern w:val="0"/>
      <w:sz w:val="20"/>
      <w:szCs w:val="20"/>
      <w:lang w:eastAsia="ja-JP"/>
      <w14:ligatures w14:val="none"/>
    </w:rPr>
  </w:style>
  <w:style w:type="character" w:customStyle="1" w:styleId="CommentTextChar">
    <w:name w:val="Comment Text Char"/>
    <w:basedOn w:val="DefaultParagraphFont"/>
    <w:link w:val="CommentText"/>
    <w:uiPriority w:val="99"/>
    <w:rsid w:val="00F93615"/>
    <w:rPr>
      <w:rFonts w:eastAsiaTheme="minorEastAsia"/>
      <w:kern w:val="0"/>
      <w:sz w:val="20"/>
      <w:szCs w:val="20"/>
      <w:lang w:eastAsia="ja-JP"/>
      <w14:ligatures w14:val="none"/>
    </w:rPr>
  </w:style>
  <w:style w:type="paragraph" w:styleId="TOCHeading">
    <w:name w:val="TOC Heading"/>
    <w:basedOn w:val="Heading1"/>
    <w:next w:val="Normal"/>
    <w:uiPriority w:val="39"/>
    <w:unhideWhenUsed/>
    <w:qFormat/>
    <w:rsid w:val="00BA3EA5"/>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BA3EA5"/>
    <w:pPr>
      <w:spacing w:after="100"/>
    </w:pPr>
  </w:style>
  <w:style w:type="paragraph" w:styleId="TOC2">
    <w:name w:val="toc 2"/>
    <w:basedOn w:val="Normal"/>
    <w:next w:val="Normal"/>
    <w:autoRedefine/>
    <w:uiPriority w:val="39"/>
    <w:unhideWhenUsed/>
    <w:rsid w:val="00BA3EA5"/>
    <w:pPr>
      <w:spacing w:after="100"/>
      <w:ind w:left="240"/>
    </w:pPr>
  </w:style>
  <w:style w:type="paragraph" w:styleId="TOC3">
    <w:name w:val="toc 3"/>
    <w:basedOn w:val="Normal"/>
    <w:next w:val="Normal"/>
    <w:autoRedefine/>
    <w:uiPriority w:val="39"/>
    <w:unhideWhenUsed/>
    <w:rsid w:val="00BA3EA5"/>
    <w:pPr>
      <w:spacing w:after="100"/>
      <w:ind w:left="480"/>
    </w:pPr>
  </w:style>
  <w:style w:type="paragraph" w:styleId="NoSpacing">
    <w:name w:val="No Spacing"/>
    <w:uiPriority w:val="1"/>
    <w:qFormat/>
    <w:rsid w:val="000014A6"/>
    <w:pPr>
      <w:spacing w:after="0" w:line="240" w:lineRule="auto"/>
    </w:pPr>
  </w:style>
  <w:style w:type="paragraph" w:customStyle="1" w:styleId="Bullet">
    <w:name w:val="Bullet"/>
    <w:aliases w:val="Body,Bullet + line,b,b + line,b1,level 1"/>
    <w:basedOn w:val="Normal"/>
    <w:link w:val="BulletChar"/>
    <w:qFormat/>
    <w:rsid w:val="00D13606"/>
    <w:pPr>
      <w:numPr>
        <w:numId w:val="3"/>
      </w:numPr>
    </w:pPr>
  </w:style>
  <w:style w:type="character" w:customStyle="1" w:styleId="BulletChar">
    <w:name w:val="Bullet Char"/>
    <w:basedOn w:val="DefaultParagraphFont"/>
    <w:link w:val="Bullet"/>
    <w:rsid w:val="00D13606"/>
  </w:style>
  <w:style w:type="paragraph" w:customStyle="1" w:styleId="Dash">
    <w:name w:val="Dash"/>
    <w:basedOn w:val="Normal"/>
    <w:link w:val="DashChar"/>
    <w:rsid w:val="00D13606"/>
    <w:pPr>
      <w:numPr>
        <w:ilvl w:val="1"/>
        <w:numId w:val="3"/>
      </w:numPr>
    </w:pPr>
  </w:style>
  <w:style w:type="paragraph" w:customStyle="1" w:styleId="DoubleDot">
    <w:name w:val="Double Dot"/>
    <w:basedOn w:val="Normal"/>
    <w:rsid w:val="00D13606"/>
    <w:pPr>
      <w:numPr>
        <w:ilvl w:val="2"/>
        <w:numId w:val="3"/>
      </w:numPr>
    </w:pPr>
  </w:style>
  <w:style w:type="character" w:styleId="FollowedHyperlink">
    <w:name w:val="FollowedHyperlink"/>
    <w:basedOn w:val="DefaultParagraphFont"/>
    <w:uiPriority w:val="99"/>
    <w:semiHidden/>
    <w:unhideWhenUsed/>
    <w:rsid w:val="00FD5C2A"/>
    <w:rPr>
      <w:color w:val="96607D" w:themeColor="followedHyperlink"/>
      <w:u w:val="single"/>
    </w:rPr>
  </w:style>
  <w:style w:type="character" w:customStyle="1" w:styleId="DashChar">
    <w:name w:val="Dash Char"/>
    <w:basedOn w:val="DefaultParagraphFont"/>
    <w:link w:val="Dash"/>
    <w:rsid w:val="008224E0"/>
  </w:style>
  <w:style w:type="paragraph" w:customStyle="1" w:styleId="Instructions">
    <w:name w:val="Instructions"/>
    <w:basedOn w:val="Normal"/>
    <w:qFormat/>
    <w:rsid w:val="00372AE0"/>
    <w:rPr>
      <w:i/>
      <w:iCs/>
      <w:color w:val="FF0000"/>
      <w:sz w:val="22"/>
      <w:szCs w:val="22"/>
    </w:rPr>
  </w:style>
  <w:style w:type="character" w:styleId="Strong">
    <w:name w:val="Strong"/>
    <w:basedOn w:val="DefaultParagraphFont"/>
    <w:uiPriority w:val="22"/>
    <w:qFormat/>
    <w:rsid w:val="00372AE0"/>
    <w:rPr>
      <w:b/>
      <w:bCs/>
    </w:rPr>
  </w:style>
  <w:style w:type="paragraph" w:styleId="Revision">
    <w:name w:val="Revision"/>
    <w:hidden/>
    <w:uiPriority w:val="99"/>
    <w:semiHidden/>
    <w:rsid w:val="00B818F1"/>
    <w:pPr>
      <w:spacing w:after="0" w:line="240" w:lineRule="auto"/>
    </w:pPr>
  </w:style>
  <w:style w:type="paragraph" w:styleId="CommentSubject">
    <w:name w:val="annotation subject"/>
    <w:basedOn w:val="CommentText"/>
    <w:next w:val="CommentText"/>
    <w:link w:val="CommentSubjectChar"/>
    <w:uiPriority w:val="99"/>
    <w:semiHidden/>
    <w:unhideWhenUsed/>
    <w:rsid w:val="00AA084B"/>
    <w:rPr>
      <w:rFonts w:eastAsiaTheme="minorHAns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AA084B"/>
    <w:rPr>
      <w:rFonts w:eastAsiaTheme="minorEastAsia"/>
      <w:b/>
      <w:bCs/>
      <w:kern w:val="0"/>
      <w:sz w:val="20"/>
      <w:szCs w:val="20"/>
      <w:lang w:eastAsia="ja-JP"/>
      <w14:ligatures w14:val="none"/>
    </w:rPr>
  </w:style>
  <w:style w:type="paragraph" w:customStyle="1" w:styleId="TableTextCentred">
    <w:name w:val="Table Text Centred"/>
    <w:basedOn w:val="Normal"/>
    <w:rsid w:val="00422D3E"/>
    <w:pPr>
      <w:spacing w:before="40" w:after="40" w:line="240" w:lineRule="auto"/>
      <w:jc w:val="center"/>
    </w:pPr>
    <w:rPr>
      <w:rFonts w:eastAsia="Times New Roman" w:cs="Times New Roman"/>
      <w:color w:val="000000"/>
      <w:kern w:val="0"/>
      <w:sz w:val="18"/>
      <w:szCs w:val="20"/>
      <w:lang w:eastAsia="en-AU"/>
      <w14:ligatures w14:val="none"/>
    </w:rPr>
  </w:style>
  <w:style w:type="paragraph" w:customStyle="1" w:styleId="ChartGraphic">
    <w:name w:val="Chart Graphic"/>
    <w:basedOn w:val="Normal"/>
    <w:link w:val="ChartGraphicChar"/>
    <w:rsid w:val="00422D3E"/>
    <w:pPr>
      <w:keepNext/>
      <w:spacing w:after="0" w:line="240" w:lineRule="auto"/>
      <w:jc w:val="center"/>
    </w:pPr>
    <w:rPr>
      <w:rFonts w:ascii="Arial" w:eastAsia="Times New Roman" w:hAnsi="Arial" w:cs="Times New Roman"/>
      <w:kern w:val="0"/>
      <w:sz w:val="20"/>
      <w:szCs w:val="20"/>
      <w:lang w:eastAsia="en-AU"/>
      <w14:ligatures w14:val="none"/>
    </w:rPr>
  </w:style>
  <w:style w:type="character" w:customStyle="1" w:styleId="ChartGraphicChar">
    <w:name w:val="Chart Graphic Char"/>
    <w:basedOn w:val="DefaultParagraphFont"/>
    <w:link w:val="ChartGraphic"/>
    <w:rsid w:val="00422D3E"/>
    <w:rPr>
      <w:rFonts w:ascii="Arial" w:eastAsia="Times New Roman" w:hAnsi="Arial" w:cs="Times New Roman"/>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9030">
      <w:bodyDiv w:val="1"/>
      <w:marLeft w:val="0"/>
      <w:marRight w:val="0"/>
      <w:marTop w:val="0"/>
      <w:marBottom w:val="0"/>
      <w:divBdr>
        <w:top w:val="none" w:sz="0" w:space="0" w:color="auto"/>
        <w:left w:val="none" w:sz="0" w:space="0" w:color="auto"/>
        <w:bottom w:val="none" w:sz="0" w:space="0" w:color="auto"/>
        <w:right w:val="none" w:sz="0" w:space="0" w:color="auto"/>
      </w:divBdr>
    </w:div>
    <w:div w:id="84882887">
      <w:bodyDiv w:val="1"/>
      <w:marLeft w:val="0"/>
      <w:marRight w:val="0"/>
      <w:marTop w:val="0"/>
      <w:marBottom w:val="0"/>
      <w:divBdr>
        <w:top w:val="none" w:sz="0" w:space="0" w:color="auto"/>
        <w:left w:val="none" w:sz="0" w:space="0" w:color="auto"/>
        <w:bottom w:val="none" w:sz="0" w:space="0" w:color="auto"/>
        <w:right w:val="none" w:sz="0" w:space="0" w:color="auto"/>
      </w:divBdr>
    </w:div>
    <w:div w:id="104887823">
      <w:bodyDiv w:val="1"/>
      <w:marLeft w:val="0"/>
      <w:marRight w:val="0"/>
      <w:marTop w:val="0"/>
      <w:marBottom w:val="0"/>
      <w:divBdr>
        <w:top w:val="none" w:sz="0" w:space="0" w:color="auto"/>
        <w:left w:val="none" w:sz="0" w:space="0" w:color="auto"/>
        <w:bottom w:val="none" w:sz="0" w:space="0" w:color="auto"/>
        <w:right w:val="none" w:sz="0" w:space="0" w:color="auto"/>
      </w:divBdr>
    </w:div>
    <w:div w:id="135223808">
      <w:bodyDiv w:val="1"/>
      <w:marLeft w:val="0"/>
      <w:marRight w:val="0"/>
      <w:marTop w:val="0"/>
      <w:marBottom w:val="0"/>
      <w:divBdr>
        <w:top w:val="none" w:sz="0" w:space="0" w:color="auto"/>
        <w:left w:val="none" w:sz="0" w:space="0" w:color="auto"/>
        <w:bottom w:val="none" w:sz="0" w:space="0" w:color="auto"/>
        <w:right w:val="none" w:sz="0" w:space="0" w:color="auto"/>
      </w:divBdr>
    </w:div>
    <w:div w:id="144008008">
      <w:bodyDiv w:val="1"/>
      <w:marLeft w:val="0"/>
      <w:marRight w:val="0"/>
      <w:marTop w:val="0"/>
      <w:marBottom w:val="0"/>
      <w:divBdr>
        <w:top w:val="none" w:sz="0" w:space="0" w:color="auto"/>
        <w:left w:val="none" w:sz="0" w:space="0" w:color="auto"/>
        <w:bottom w:val="none" w:sz="0" w:space="0" w:color="auto"/>
        <w:right w:val="none" w:sz="0" w:space="0" w:color="auto"/>
      </w:divBdr>
      <w:divsChild>
        <w:div w:id="281494564">
          <w:marLeft w:val="0"/>
          <w:marRight w:val="0"/>
          <w:marTop w:val="0"/>
          <w:marBottom w:val="0"/>
          <w:divBdr>
            <w:top w:val="none" w:sz="0" w:space="0" w:color="auto"/>
            <w:left w:val="none" w:sz="0" w:space="0" w:color="auto"/>
            <w:bottom w:val="none" w:sz="0" w:space="0" w:color="auto"/>
            <w:right w:val="none" w:sz="0" w:space="0" w:color="auto"/>
          </w:divBdr>
        </w:div>
        <w:div w:id="407076349">
          <w:marLeft w:val="0"/>
          <w:marRight w:val="0"/>
          <w:marTop w:val="0"/>
          <w:marBottom w:val="0"/>
          <w:divBdr>
            <w:top w:val="none" w:sz="0" w:space="0" w:color="auto"/>
            <w:left w:val="none" w:sz="0" w:space="0" w:color="auto"/>
            <w:bottom w:val="none" w:sz="0" w:space="0" w:color="auto"/>
            <w:right w:val="none" w:sz="0" w:space="0" w:color="auto"/>
          </w:divBdr>
        </w:div>
        <w:div w:id="597446518">
          <w:marLeft w:val="0"/>
          <w:marRight w:val="0"/>
          <w:marTop w:val="0"/>
          <w:marBottom w:val="0"/>
          <w:divBdr>
            <w:top w:val="none" w:sz="0" w:space="0" w:color="auto"/>
            <w:left w:val="none" w:sz="0" w:space="0" w:color="auto"/>
            <w:bottom w:val="none" w:sz="0" w:space="0" w:color="auto"/>
            <w:right w:val="none" w:sz="0" w:space="0" w:color="auto"/>
          </w:divBdr>
        </w:div>
        <w:div w:id="747003025">
          <w:marLeft w:val="0"/>
          <w:marRight w:val="0"/>
          <w:marTop w:val="0"/>
          <w:marBottom w:val="0"/>
          <w:divBdr>
            <w:top w:val="none" w:sz="0" w:space="0" w:color="auto"/>
            <w:left w:val="none" w:sz="0" w:space="0" w:color="auto"/>
            <w:bottom w:val="none" w:sz="0" w:space="0" w:color="auto"/>
            <w:right w:val="none" w:sz="0" w:space="0" w:color="auto"/>
          </w:divBdr>
        </w:div>
        <w:div w:id="956105720">
          <w:marLeft w:val="0"/>
          <w:marRight w:val="0"/>
          <w:marTop w:val="0"/>
          <w:marBottom w:val="0"/>
          <w:divBdr>
            <w:top w:val="none" w:sz="0" w:space="0" w:color="auto"/>
            <w:left w:val="none" w:sz="0" w:space="0" w:color="auto"/>
            <w:bottom w:val="none" w:sz="0" w:space="0" w:color="auto"/>
            <w:right w:val="none" w:sz="0" w:space="0" w:color="auto"/>
          </w:divBdr>
        </w:div>
        <w:div w:id="1070079808">
          <w:marLeft w:val="0"/>
          <w:marRight w:val="0"/>
          <w:marTop w:val="0"/>
          <w:marBottom w:val="0"/>
          <w:divBdr>
            <w:top w:val="none" w:sz="0" w:space="0" w:color="auto"/>
            <w:left w:val="none" w:sz="0" w:space="0" w:color="auto"/>
            <w:bottom w:val="none" w:sz="0" w:space="0" w:color="auto"/>
            <w:right w:val="none" w:sz="0" w:space="0" w:color="auto"/>
          </w:divBdr>
        </w:div>
        <w:div w:id="1269463006">
          <w:marLeft w:val="0"/>
          <w:marRight w:val="0"/>
          <w:marTop w:val="0"/>
          <w:marBottom w:val="0"/>
          <w:divBdr>
            <w:top w:val="none" w:sz="0" w:space="0" w:color="auto"/>
            <w:left w:val="none" w:sz="0" w:space="0" w:color="auto"/>
            <w:bottom w:val="none" w:sz="0" w:space="0" w:color="auto"/>
            <w:right w:val="none" w:sz="0" w:space="0" w:color="auto"/>
          </w:divBdr>
        </w:div>
        <w:div w:id="1780952858">
          <w:marLeft w:val="0"/>
          <w:marRight w:val="0"/>
          <w:marTop w:val="0"/>
          <w:marBottom w:val="0"/>
          <w:divBdr>
            <w:top w:val="none" w:sz="0" w:space="0" w:color="auto"/>
            <w:left w:val="none" w:sz="0" w:space="0" w:color="auto"/>
            <w:bottom w:val="none" w:sz="0" w:space="0" w:color="auto"/>
            <w:right w:val="none" w:sz="0" w:space="0" w:color="auto"/>
          </w:divBdr>
        </w:div>
        <w:div w:id="2042320222">
          <w:marLeft w:val="0"/>
          <w:marRight w:val="0"/>
          <w:marTop w:val="0"/>
          <w:marBottom w:val="0"/>
          <w:divBdr>
            <w:top w:val="none" w:sz="0" w:space="0" w:color="auto"/>
            <w:left w:val="none" w:sz="0" w:space="0" w:color="auto"/>
            <w:bottom w:val="none" w:sz="0" w:space="0" w:color="auto"/>
            <w:right w:val="none" w:sz="0" w:space="0" w:color="auto"/>
          </w:divBdr>
        </w:div>
      </w:divsChild>
    </w:div>
    <w:div w:id="215551555">
      <w:bodyDiv w:val="1"/>
      <w:marLeft w:val="0"/>
      <w:marRight w:val="0"/>
      <w:marTop w:val="0"/>
      <w:marBottom w:val="0"/>
      <w:divBdr>
        <w:top w:val="none" w:sz="0" w:space="0" w:color="auto"/>
        <w:left w:val="none" w:sz="0" w:space="0" w:color="auto"/>
        <w:bottom w:val="none" w:sz="0" w:space="0" w:color="auto"/>
        <w:right w:val="none" w:sz="0" w:space="0" w:color="auto"/>
      </w:divBdr>
      <w:divsChild>
        <w:div w:id="531764559">
          <w:marLeft w:val="0"/>
          <w:marRight w:val="0"/>
          <w:marTop w:val="0"/>
          <w:marBottom w:val="0"/>
          <w:divBdr>
            <w:top w:val="none" w:sz="0" w:space="0" w:color="auto"/>
            <w:left w:val="none" w:sz="0" w:space="0" w:color="auto"/>
            <w:bottom w:val="none" w:sz="0" w:space="0" w:color="auto"/>
            <w:right w:val="none" w:sz="0" w:space="0" w:color="auto"/>
          </w:divBdr>
        </w:div>
      </w:divsChild>
    </w:div>
    <w:div w:id="229460439">
      <w:bodyDiv w:val="1"/>
      <w:marLeft w:val="0"/>
      <w:marRight w:val="0"/>
      <w:marTop w:val="0"/>
      <w:marBottom w:val="0"/>
      <w:divBdr>
        <w:top w:val="none" w:sz="0" w:space="0" w:color="auto"/>
        <w:left w:val="none" w:sz="0" w:space="0" w:color="auto"/>
        <w:bottom w:val="none" w:sz="0" w:space="0" w:color="auto"/>
        <w:right w:val="none" w:sz="0" w:space="0" w:color="auto"/>
      </w:divBdr>
    </w:div>
    <w:div w:id="270867241">
      <w:bodyDiv w:val="1"/>
      <w:marLeft w:val="0"/>
      <w:marRight w:val="0"/>
      <w:marTop w:val="0"/>
      <w:marBottom w:val="0"/>
      <w:divBdr>
        <w:top w:val="none" w:sz="0" w:space="0" w:color="auto"/>
        <w:left w:val="none" w:sz="0" w:space="0" w:color="auto"/>
        <w:bottom w:val="none" w:sz="0" w:space="0" w:color="auto"/>
        <w:right w:val="none" w:sz="0" w:space="0" w:color="auto"/>
      </w:divBdr>
    </w:div>
    <w:div w:id="305937698">
      <w:bodyDiv w:val="1"/>
      <w:marLeft w:val="0"/>
      <w:marRight w:val="0"/>
      <w:marTop w:val="0"/>
      <w:marBottom w:val="0"/>
      <w:divBdr>
        <w:top w:val="none" w:sz="0" w:space="0" w:color="auto"/>
        <w:left w:val="none" w:sz="0" w:space="0" w:color="auto"/>
        <w:bottom w:val="none" w:sz="0" w:space="0" w:color="auto"/>
        <w:right w:val="none" w:sz="0" w:space="0" w:color="auto"/>
      </w:divBdr>
      <w:divsChild>
        <w:div w:id="1529299079">
          <w:marLeft w:val="0"/>
          <w:marRight w:val="0"/>
          <w:marTop w:val="0"/>
          <w:marBottom w:val="0"/>
          <w:divBdr>
            <w:top w:val="none" w:sz="0" w:space="0" w:color="auto"/>
            <w:left w:val="none" w:sz="0" w:space="0" w:color="auto"/>
            <w:bottom w:val="none" w:sz="0" w:space="0" w:color="auto"/>
            <w:right w:val="none" w:sz="0" w:space="0" w:color="auto"/>
          </w:divBdr>
        </w:div>
      </w:divsChild>
    </w:div>
    <w:div w:id="392394150">
      <w:bodyDiv w:val="1"/>
      <w:marLeft w:val="0"/>
      <w:marRight w:val="0"/>
      <w:marTop w:val="0"/>
      <w:marBottom w:val="0"/>
      <w:divBdr>
        <w:top w:val="none" w:sz="0" w:space="0" w:color="auto"/>
        <w:left w:val="none" w:sz="0" w:space="0" w:color="auto"/>
        <w:bottom w:val="none" w:sz="0" w:space="0" w:color="auto"/>
        <w:right w:val="none" w:sz="0" w:space="0" w:color="auto"/>
      </w:divBdr>
    </w:div>
    <w:div w:id="493373821">
      <w:bodyDiv w:val="1"/>
      <w:marLeft w:val="0"/>
      <w:marRight w:val="0"/>
      <w:marTop w:val="0"/>
      <w:marBottom w:val="0"/>
      <w:divBdr>
        <w:top w:val="none" w:sz="0" w:space="0" w:color="auto"/>
        <w:left w:val="none" w:sz="0" w:space="0" w:color="auto"/>
        <w:bottom w:val="none" w:sz="0" w:space="0" w:color="auto"/>
        <w:right w:val="none" w:sz="0" w:space="0" w:color="auto"/>
      </w:divBdr>
    </w:div>
    <w:div w:id="507983175">
      <w:bodyDiv w:val="1"/>
      <w:marLeft w:val="0"/>
      <w:marRight w:val="0"/>
      <w:marTop w:val="0"/>
      <w:marBottom w:val="0"/>
      <w:divBdr>
        <w:top w:val="none" w:sz="0" w:space="0" w:color="auto"/>
        <w:left w:val="none" w:sz="0" w:space="0" w:color="auto"/>
        <w:bottom w:val="none" w:sz="0" w:space="0" w:color="auto"/>
        <w:right w:val="none" w:sz="0" w:space="0" w:color="auto"/>
      </w:divBdr>
    </w:div>
    <w:div w:id="545872084">
      <w:bodyDiv w:val="1"/>
      <w:marLeft w:val="0"/>
      <w:marRight w:val="0"/>
      <w:marTop w:val="0"/>
      <w:marBottom w:val="0"/>
      <w:divBdr>
        <w:top w:val="none" w:sz="0" w:space="0" w:color="auto"/>
        <w:left w:val="none" w:sz="0" w:space="0" w:color="auto"/>
        <w:bottom w:val="none" w:sz="0" w:space="0" w:color="auto"/>
        <w:right w:val="none" w:sz="0" w:space="0" w:color="auto"/>
      </w:divBdr>
      <w:divsChild>
        <w:div w:id="358091183">
          <w:marLeft w:val="0"/>
          <w:marRight w:val="0"/>
          <w:marTop w:val="0"/>
          <w:marBottom w:val="0"/>
          <w:divBdr>
            <w:top w:val="none" w:sz="0" w:space="0" w:color="auto"/>
            <w:left w:val="none" w:sz="0" w:space="0" w:color="auto"/>
            <w:bottom w:val="none" w:sz="0" w:space="0" w:color="auto"/>
            <w:right w:val="none" w:sz="0" w:space="0" w:color="auto"/>
          </w:divBdr>
        </w:div>
        <w:div w:id="409083366">
          <w:marLeft w:val="0"/>
          <w:marRight w:val="0"/>
          <w:marTop w:val="0"/>
          <w:marBottom w:val="0"/>
          <w:divBdr>
            <w:top w:val="none" w:sz="0" w:space="0" w:color="auto"/>
            <w:left w:val="none" w:sz="0" w:space="0" w:color="auto"/>
            <w:bottom w:val="none" w:sz="0" w:space="0" w:color="auto"/>
            <w:right w:val="none" w:sz="0" w:space="0" w:color="auto"/>
          </w:divBdr>
        </w:div>
        <w:div w:id="773670658">
          <w:marLeft w:val="0"/>
          <w:marRight w:val="0"/>
          <w:marTop w:val="0"/>
          <w:marBottom w:val="0"/>
          <w:divBdr>
            <w:top w:val="none" w:sz="0" w:space="0" w:color="auto"/>
            <w:left w:val="none" w:sz="0" w:space="0" w:color="auto"/>
            <w:bottom w:val="none" w:sz="0" w:space="0" w:color="auto"/>
            <w:right w:val="none" w:sz="0" w:space="0" w:color="auto"/>
          </w:divBdr>
        </w:div>
        <w:div w:id="1123622054">
          <w:marLeft w:val="0"/>
          <w:marRight w:val="0"/>
          <w:marTop w:val="0"/>
          <w:marBottom w:val="0"/>
          <w:divBdr>
            <w:top w:val="none" w:sz="0" w:space="0" w:color="auto"/>
            <w:left w:val="none" w:sz="0" w:space="0" w:color="auto"/>
            <w:bottom w:val="none" w:sz="0" w:space="0" w:color="auto"/>
            <w:right w:val="none" w:sz="0" w:space="0" w:color="auto"/>
          </w:divBdr>
        </w:div>
        <w:div w:id="1216816158">
          <w:marLeft w:val="0"/>
          <w:marRight w:val="0"/>
          <w:marTop w:val="0"/>
          <w:marBottom w:val="0"/>
          <w:divBdr>
            <w:top w:val="none" w:sz="0" w:space="0" w:color="auto"/>
            <w:left w:val="none" w:sz="0" w:space="0" w:color="auto"/>
            <w:bottom w:val="none" w:sz="0" w:space="0" w:color="auto"/>
            <w:right w:val="none" w:sz="0" w:space="0" w:color="auto"/>
          </w:divBdr>
        </w:div>
      </w:divsChild>
    </w:div>
    <w:div w:id="569734160">
      <w:bodyDiv w:val="1"/>
      <w:marLeft w:val="0"/>
      <w:marRight w:val="0"/>
      <w:marTop w:val="0"/>
      <w:marBottom w:val="0"/>
      <w:divBdr>
        <w:top w:val="none" w:sz="0" w:space="0" w:color="auto"/>
        <w:left w:val="none" w:sz="0" w:space="0" w:color="auto"/>
        <w:bottom w:val="none" w:sz="0" w:space="0" w:color="auto"/>
        <w:right w:val="none" w:sz="0" w:space="0" w:color="auto"/>
      </w:divBdr>
      <w:divsChild>
        <w:div w:id="1005983990">
          <w:marLeft w:val="0"/>
          <w:marRight w:val="0"/>
          <w:marTop w:val="0"/>
          <w:marBottom w:val="0"/>
          <w:divBdr>
            <w:top w:val="none" w:sz="0" w:space="0" w:color="auto"/>
            <w:left w:val="none" w:sz="0" w:space="0" w:color="auto"/>
            <w:bottom w:val="none" w:sz="0" w:space="0" w:color="auto"/>
            <w:right w:val="none" w:sz="0" w:space="0" w:color="auto"/>
          </w:divBdr>
        </w:div>
      </w:divsChild>
    </w:div>
    <w:div w:id="611085377">
      <w:bodyDiv w:val="1"/>
      <w:marLeft w:val="0"/>
      <w:marRight w:val="0"/>
      <w:marTop w:val="0"/>
      <w:marBottom w:val="0"/>
      <w:divBdr>
        <w:top w:val="none" w:sz="0" w:space="0" w:color="auto"/>
        <w:left w:val="none" w:sz="0" w:space="0" w:color="auto"/>
        <w:bottom w:val="none" w:sz="0" w:space="0" w:color="auto"/>
        <w:right w:val="none" w:sz="0" w:space="0" w:color="auto"/>
      </w:divBdr>
    </w:div>
    <w:div w:id="645865862">
      <w:bodyDiv w:val="1"/>
      <w:marLeft w:val="0"/>
      <w:marRight w:val="0"/>
      <w:marTop w:val="0"/>
      <w:marBottom w:val="0"/>
      <w:divBdr>
        <w:top w:val="none" w:sz="0" w:space="0" w:color="auto"/>
        <w:left w:val="none" w:sz="0" w:space="0" w:color="auto"/>
        <w:bottom w:val="none" w:sz="0" w:space="0" w:color="auto"/>
        <w:right w:val="none" w:sz="0" w:space="0" w:color="auto"/>
      </w:divBdr>
    </w:div>
    <w:div w:id="687218251">
      <w:bodyDiv w:val="1"/>
      <w:marLeft w:val="0"/>
      <w:marRight w:val="0"/>
      <w:marTop w:val="0"/>
      <w:marBottom w:val="0"/>
      <w:divBdr>
        <w:top w:val="none" w:sz="0" w:space="0" w:color="auto"/>
        <w:left w:val="none" w:sz="0" w:space="0" w:color="auto"/>
        <w:bottom w:val="none" w:sz="0" w:space="0" w:color="auto"/>
        <w:right w:val="none" w:sz="0" w:space="0" w:color="auto"/>
      </w:divBdr>
    </w:div>
    <w:div w:id="731587908">
      <w:bodyDiv w:val="1"/>
      <w:marLeft w:val="0"/>
      <w:marRight w:val="0"/>
      <w:marTop w:val="0"/>
      <w:marBottom w:val="0"/>
      <w:divBdr>
        <w:top w:val="none" w:sz="0" w:space="0" w:color="auto"/>
        <w:left w:val="none" w:sz="0" w:space="0" w:color="auto"/>
        <w:bottom w:val="none" w:sz="0" w:space="0" w:color="auto"/>
        <w:right w:val="none" w:sz="0" w:space="0" w:color="auto"/>
      </w:divBdr>
    </w:div>
    <w:div w:id="741372516">
      <w:bodyDiv w:val="1"/>
      <w:marLeft w:val="0"/>
      <w:marRight w:val="0"/>
      <w:marTop w:val="0"/>
      <w:marBottom w:val="0"/>
      <w:divBdr>
        <w:top w:val="none" w:sz="0" w:space="0" w:color="auto"/>
        <w:left w:val="none" w:sz="0" w:space="0" w:color="auto"/>
        <w:bottom w:val="none" w:sz="0" w:space="0" w:color="auto"/>
        <w:right w:val="none" w:sz="0" w:space="0" w:color="auto"/>
      </w:divBdr>
    </w:div>
    <w:div w:id="770050338">
      <w:bodyDiv w:val="1"/>
      <w:marLeft w:val="0"/>
      <w:marRight w:val="0"/>
      <w:marTop w:val="0"/>
      <w:marBottom w:val="0"/>
      <w:divBdr>
        <w:top w:val="none" w:sz="0" w:space="0" w:color="auto"/>
        <w:left w:val="none" w:sz="0" w:space="0" w:color="auto"/>
        <w:bottom w:val="none" w:sz="0" w:space="0" w:color="auto"/>
        <w:right w:val="none" w:sz="0" w:space="0" w:color="auto"/>
      </w:divBdr>
    </w:div>
    <w:div w:id="783697908">
      <w:bodyDiv w:val="1"/>
      <w:marLeft w:val="0"/>
      <w:marRight w:val="0"/>
      <w:marTop w:val="0"/>
      <w:marBottom w:val="0"/>
      <w:divBdr>
        <w:top w:val="none" w:sz="0" w:space="0" w:color="auto"/>
        <w:left w:val="none" w:sz="0" w:space="0" w:color="auto"/>
        <w:bottom w:val="none" w:sz="0" w:space="0" w:color="auto"/>
        <w:right w:val="none" w:sz="0" w:space="0" w:color="auto"/>
      </w:divBdr>
      <w:divsChild>
        <w:div w:id="439908944">
          <w:marLeft w:val="0"/>
          <w:marRight w:val="0"/>
          <w:marTop w:val="0"/>
          <w:marBottom w:val="0"/>
          <w:divBdr>
            <w:top w:val="none" w:sz="0" w:space="0" w:color="auto"/>
            <w:left w:val="none" w:sz="0" w:space="0" w:color="auto"/>
            <w:bottom w:val="none" w:sz="0" w:space="0" w:color="auto"/>
            <w:right w:val="none" w:sz="0" w:space="0" w:color="auto"/>
          </w:divBdr>
        </w:div>
        <w:div w:id="590356014">
          <w:marLeft w:val="0"/>
          <w:marRight w:val="0"/>
          <w:marTop w:val="0"/>
          <w:marBottom w:val="0"/>
          <w:divBdr>
            <w:top w:val="none" w:sz="0" w:space="0" w:color="auto"/>
            <w:left w:val="none" w:sz="0" w:space="0" w:color="auto"/>
            <w:bottom w:val="none" w:sz="0" w:space="0" w:color="auto"/>
            <w:right w:val="none" w:sz="0" w:space="0" w:color="auto"/>
          </w:divBdr>
        </w:div>
        <w:div w:id="606087092">
          <w:marLeft w:val="0"/>
          <w:marRight w:val="0"/>
          <w:marTop w:val="0"/>
          <w:marBottom w:val="0"/>
          <w:divBdr>
            <w:top w:val="none" w:sz="0" w:space="0" w:color="auto"/>
            <w:left w:val="none" w:sz="0" w:space="0" w:color="auto"/>
            <w:bottom w:val="none" w:sz="0" w:space="0" w:color="auto"/>
            <w:right w:val="none" w:sz="0" w:space="0" w:color="auto"/>
          </w:divBdr>
        </w:div>
        <w:div w:id="828910520">
          <w:marLeft w:val="0"/>
          <w:marRight w:val="0"/>
          <w:marTop w:val="0"/>
          <w:marBottom w:val="0"/>
          <w:divBdr>
            <w:top w:val="none" w:sz="0" w:space="0" w:color="auto"/>
            <w:left w:val="none" w:sz="0" w:space="0" w:color="auto"/>
            <w:bottom w:val="none" w:sz="0" w:space="0" w:color="auto"/>
            <w:right w:val="none" w:sz="0" w:space="0" w:color="auto"/>
          </w:divBdr>
        </w:div>
        <w:div w:id="1108311533">
          <w:marLeft w:val="0"/>
          <w:marRight w:val="0"/>
          <w:marTop w:val="0"/>
          <w:marBottom w:val="0"/>
          <w:divBdr>
            <w:top w:val="none" w:sz="0" w:space="0" w:color="auto"/>
            <w:left w:val="none" w:sz="0" w:space="0" w:color="auto"/>
            <w:bottom w:val="none" w:sz="0" w:space="0" w:color="auto"/>
            <w:right w:val="none" w:sz="0" w:space="0" w:color="auto"/>
          </w:divBdr>
        </w:div>
        <w:div w:id="1330525179">
          <w:marLeft w:val="0"/>
          <w:marRight w:val="0"/>
          <w:marTop w:val="0"/>
          <w:marBottom w:val="0"/>
          <w:divBdr>
            <w:top w:val="none" w:sz="0" w:space="0" w:color="auto"/>
            <w:left w:val="none" w:sz="0" w:space="0" w:color="auto"/>
            <w:bottom w:val="none" w:sz="0" w:space="0" w:color="auto"/>
            <w:right w:val="none" w:sz="0" w:space="0" w:color="auto"/>
          </w:divBdr>
        </w:div>
        <w:div w:id="1402367541">
          <w:marLeft w:val="0"/>
          <w:marRight w:val="0"/>
          <w:marTop w:val="0"/>
          <w:marBottom w:val="0"/>
          <w:divBdr>
            <w:top w:val="none" w:sz="0" w:space="0" w:color="auto"/>
            <w:left w:val="none" w:sz="0" w:space="0" w:color="auto"/>
            <w:bottom w:val="none" w:sz="0" w:space="0" w:color="auto"/>
            <w:right w:val="none" w:sz="0" w:space="0" w:color="auto"/>
          </w:divBdr>
        </w:div>
        <w:div w:id="1782458038">
          <w:marLeft w:val="0"/>
          <w:marRight w:val="0"/>
          <w:marTop w:val="0"/>
          <w:marBottom w:val="0"/>
          <w:divBdr>
            <w:top w:val="none" w:sz="0" w:space="0" w:color="auto"/>
            <w:left w:val="none" w:sz="0" w:space="0" w:color="auto"/>
            <w:bottom w:val="none" w:sz="0" w:space="0" w:color="auto"/>
            <w:right w:val="none" w:sz="0" w:space="0" w:color="auto"/>
          </w:divBdr>
        </w:div>
        <w:div w:id="1969387543">
          <w:marLeft w:val="0"/>
          <w:marRight w:val="0"/>
          <w:marTop w:val="0"/>
          <w:marBottom w:val="0"/>
          <w:divBdr>
            <w:top w:val="none" w:sz="0" w:space="0" w:color="auto"/>
            <w:left w:val="none" w:sz="0" w:space="0" w:color="auto"/>
            <w:bottom w:val="none" w:sz="0" w:space="0" w:color="auto"/>
            <w:right w:val="none" w:sz="0" w:space="0" w:color="auto"/>
          </w:divBdr>
        </w:div>
      </w:divsChild>
    </w:div>
    <w:div w:id="809638543">
      <w:bodyDiv w:val="1"/>
      <w:marLeft w:val="0"/>
      <w:marRight w:val="0"/>
      <w:marTop w:val="0"/>
      <w:marBottom w:val="0"/>
      <w:divBdr>
        <w:top w:val="none" w:sz="0" w:space="0" w:color="auto"/>
        <w:left w:val="none" w:sz="0" w:space="0" w:color="auto"/>
        <w:bottom w:val="none" w:sz="0" w:space="0" w:color="auto"/>
        <w:right w:val="none" w:sz="0" w:space="0" w:color="auto"/>
      </w:divBdr>
    </w:div>
    <w:div w:id="837694436">
      <w:bodyDiv w:val="1"/>
      <w:marLeft w:val="0"/>
      <w:marRight w:val="0"/>
      <w:marTop w:val="0"/>
      <w:marBottom w:val="0"/>
      <w:divBdr>
        <w:top w:val="none" w:sz="0" w:space="0" w:color="auto"/>
        <w:left w:val="none" w:sz="0" w:space="0" w:color="auto"/>
        <w:bottom w:val="none" w:sz="0" w:space="0" w:color="auto"/>
        <w:right w:val="none" w:sz="0" w:space="0" w:color="auto"/>
      </w:divBdr>
    </w:div>
    <w:div w:id="907573639">
      <w:bodyDiv w:val="1"/>
      <w:marLeft w:val="0"/>
      <w:marRight w:val="0"/>
      <w:marTop w:val="0"/>
      <w:marBottom w:val="0"/>
      <w:divBdr>
        <w:top w:val="none" w:sz="0" w:space="0" w:color="auto"/>
        <w:left w:val="none" w:sz="0" w:space="0" w:color="auto"/>
        <w:bottom w:val="none" w:sz="0" w:space="0" w:color="auto"/>
        <w:right w:val="none" w:sz="0" w:space="0" w:color="auto"/>
      </w:divBdr>
      <w:divsChild>
        <w:div w:id="2110854558">
          <w:marLeft w:val="0"/>
          <w:marRight w:val="0"/>
          <w:marTop w:val="0"/>
          <w:marBottom w:val="0"/>
          <w:divBdr>
            <w:top w:val="none" w:sz="0" w:space="0" w:color="auto"/>
            <w:left w:val="none" w:sz="0" w:space="0" w:color="auto"/>
            <w:bottom w:val="none" w:sz="0" w:space="0" w:color="auto"/>
            <w:right w:val="none" w:sz="0" w:space="0" w:color="auto"/>
          </w:divBdr>
          <w:divsChild>
            <w:div w:id="1352949420">
              <w:marLeft w:val="0"/>
              <w:marRight w:val="0"/>
              <w:marTop w:val="0"/>
              <w:marBottom w:val="0"/>
              <w:divBdr>
                <w:top w:val="none" w:sz="0" w:space="0" w:color="auto"/>
                <w:left w:val="none" w:sz="0" w:space="0" w:color="auto"/>
                <w:bottom w:val="none" w:sz="0" w:space="0" w:color="auto"/>
                <w:right w:val="none" w:sz="0" w:space="0" w:color="auto"/>
              </w:divBdr>
            </w:div>
            <w:div w:id="57092479">
              <w:marLeft w:val="0"/>
              <w:marRight w:val="0"/>
              <w:marTop w:val="0"/>
              <w:marBottom w:val="0"/>
              <w:divBdr>
                <w:top w:val="none" w:sz="0" w:space="0" w:color="auto"/>
                <w:left w:val="none" w:sz="0" w:space="0" w:color="auto"/>
                <w:bottom w:val="none" w:sz="0" w:space="0" w:color="auto"/>
                <w:right w:val="none" w:sz="0" w:space="0" w:color="auto"/>
              </w:divBdr>
            </w:div>
          </w:divsChild>
        </w:div>
        <w:div w:id="1879976209">
          <w:marLeft w:val="0"/>
          <w:marRight w:val="0"/>
          <w:marTop w:val="0"/>
          <w:marBottom w:val="0"/>
          <w:divBdr>
            <w:top w:val="none" w:sz="0" w:space="0" w:color="auto"/>
            <w:left w:val="none" w:sz="0" w:space="0" w:color="auto"/>
            <w:bottom w:val="none" w:sz="0" w:space="0" w:color="auto"/>
            <w:right w:val="none" w:sz="0" w:space="0" w:color="auto"/>
          </w:divBdr>
          <w:divsChild>
            <w:div w:id="1377969056">
              <w:marLeft w:val="0"/>
              <w:marRight w:val="0"/>
              <w:marTop w:val="0"/>
              <w:marBottom w:val="0"/>
              <w:divBdr>
                <w:top w:val="none" w:sz="0" w:space="0" w:color="auto"/>
                <w:left w:val="none" w:sz="0" w:space="0" w:color="auto"/>
                <w:bottom w:val="none" w:sz="0" w:space="0" w:color="auto"/>
                <w:right w:val="none" w:sz="0" w:space="0" w:color="auto"/>
              </w:divBdr>
            </w:div>
            <w:div w:id="1348288182">
              <w:marLeft w:val="0"/>
              <w:marRight w:val="0"/>
              <w:marTop w:val="0"/>
              <w:marBottom w:val="0"/>
              <w:divBdr>
                <w:top w:val="none" w:sz="0" w:space="0" w:color="auto"/>
                <w:left w:val="none" w:sz="0" w:space="0" w:color="auto"/>
                <w:bottom w:val="none" w:sz="0" w:space="0" w:color="auto"/>
                <w:right w:val="none" w:sz="0" w:space="0" w:color="auto"/>
              </w:divBdr>
            </w:div>
          </w:divsChild>
        </w:div>
        <w:div w:id="2102792063">
          <w:marLeft w:val="0"/>
          <w:marRight w:val="0"/>
          <w:marTop w:val="0"/>
          <w:marBottom w:val="0"/>
          <w:divBdr>
            <w:top w:val="none" w:sz="0" w:space="0" w:color="auto"/>
            <w:left w:val="none" w:sz="0" w:space="0" w:color="auto"/>
            <w:bottom w:val="none" w:sz="0" w:space="0" w:color="auto"/>
            <w:right w:val="none" w:sz="0" w:space="0" w:color="auto"/>
          </w:divBdr>
          <w:divsChild>
            <w:div w:id="283848797">
              <w:marLeft w:val="0"/>
              <w:marRight w:val="0"/>
              <w:marTop w:val="0"/>
              <w:marBottom w:val="0"/>
              <w:divBdr>
                <w:top w:val="none" w:sz="0" w:space="0" w:color="auto"/>
                <w:left w:val="none" w:sz="0" w:space="0" w:color="auto"/>
                <w:bottom w:val="none" w:sz="0" w:space="0" w:color="auto"/>
                <w:right w:val="none" w:sz="0" w:space="0" w:color="auto"/>
              </w:divBdr>
            </w:div>
          </w:divsChild>
        </w:div>
        <w:div w:id="695694228">
          <w:marLeft w:val="0"/>
          <w:marRight w:val="0"/>
          <w:marTop w:val="0"/>
          <w:marBottom w:val="0"/>
          <w:divBdr>
            <w:top w:val="none" w:sz="0" w:space="0" w:color="auto"/>
            <w:left w:val="none" w:sz="0" w:space="0" w:color="auto"/>
            <w:bottom w:val="none" w:sz="0" w:space="0" w:color="auto"/>
            <w:right w:val="none" w:sz="0" w:space="0" w:color="auto"/>
          </w:divBdr>
          <w:divsChild>
            <w:div w:id="318920181">
              <w:marLeft w:val="0"/>
              <w:marRight w:val="0"/>
              <w:marTop w:val="0"/>
              <w:marBottom w:val="0"/>
              <w:divBdr>
                <w:top w:val="none" w:sz="0" w:space="0" w:color="auto"/>
                <w:left w:val="none" w:sz="0" w:space="0" w:color="auto"/>
                <w:bottom w:val="none" w:sz="0" w:space="0" w:color="auto"/>
                <w:right w:val="none" w:sz="0" w:space="0" w:color="auto"/>
              </w:divBdr>
            </w:div>
          </w:divsChild>
        </w:div>
        <w:div w:id="822812172">
          <w:marLeft w:val="0"/>
          <w:marRight w:val="0"/>
          <w:marTop w:val="0"/>
          <w:marBottom w:val="0"/>
          <w:divBdr>
            <w:top w:val="none" w:sz="0" w:space="0" w:color="auto"/>
            <w:left w:val="none" w:sz="0" w:space="0" w:color="auto"/>
            <w:bottom w:val="none" w:sz="0" w:space="0" w:color="auto"/>
            <w:right w:val="none" w:sz="0" w:space="0" w:color="auto"/>
          </w:divBdr>
          <w:divsChild>
            <w:div w:id="791872196">
              <w:marLeft w:val="0"/>
              <w:marRight w:val="0"/>
              <w:marTop w:val="0"/>
              <w:marBottom w:val="0"/>
              <w:divBdr>
                <w:top w:val="none" w:sz="0" w:space="0" w:color="auto"/>
                <w:left w:val="none" w:sz="0" w:space="0" w:color="auto"/>
                <w:bottom w:val="none" w:sz="0" w:space="0" w:color="auto"/>
                <w:right w:val="none" w:sz="0" w:space="0" w:color="auto"/>
              </w:divBdr>
            </w:div>
            <w:div w:id="747189540">
              <w:marLeft w:val="0"/>
              <w:marRight w:val="0"/>
              <w:marTop w:val="0"/>
              <w:marBottom w:val="0"/>
              <w:divBdr>
                <w:top w:val="none" w:sz="0" w:space="0" w:color="auto"/>
                <w:left w:val="none" w:sz="0" w:space="0" w:color="auto"/>
                <w:bottom w:val="none" w:sz="0" w:space="0" w:color="auto"/>
                <w:right w:val="none" w:sz="0" w:space="0" w:color="auto"/>
              </w:divBdr>
            </w:div>
            <w:div w:id="1285964145">
              <w:marLeft w:val="0"/>
              <w:marRight w:val="0"/>
              <w:marTop w:val="0"/>
              <w:marBottom w:val="0"/>
              <w:divBdr>
                <w:top w:val="none" w:sz="0" w:space="0" w:color="auto"/>
                <w:left w:val="none" w:sz="0" w:space="0" w:color="auto"/>
                <w:bottom w:val="none" w:sz="0" w:space="0" w:color="auto"/>
                <w:right w:val="none" w:sz="0" w:space="0" w:color="auto"/>
              </w:divBdr>
            </w:div>
          </w:divsChild>
        </w:div>
        <w:div w:id="693192328">
          <w:marLeft w:val="0"/>
          <w:marRight w:val="0"/>
          <w:marTop w:val="0"/>
          <w:marBottom w:val="0"/>
          <w:divBdr>
            <w:top w:val="none" w:sz="0" w:space="0" w:color="auto"/>
            <w:left w:val="none" w:sz="0" w:space="0" w:color="auto"/>
            <w:bottom w:val="none" w:sz="0" w:space="0" w:color="auto"/>
            <w:right w:val="none" w:sz="0" w:space="0" w:color="auto"/>
          </w:divBdr>
          <w:divsChild>
            <w:div w:id="967274897">
              <w:marLeft w:val="0"/>
              <w:marRight w:val="0"/>
              <w:marTop w:val="0"/>
              <w:marBottom w:val="0"/>
              <w:divBdr>
                <w:top w:val="none" w:sz="0" w:space="0" w:color="auto"/>
                <w:left w:val="none" w:sz="0" w:space="0" w:color="auto"/>
                <w:bottom w:val="none" w:sz="0" w:space="0" w:color="auto"/>
                <w:right w:val="none" w:sz="0" w:space="0" w:color="auto"/>
              </w:divBdr>
            </w:div>
            <w:div w:id="1971131880">
              <w:marLeft w:val="0"/>
              <w:marRight w:val="0"/>
              <w:marTop w:val="0"/>
              <w:marBottom w:val="0"/>
              <w:divBdr>
                <w:top w:val="none" w:sz="0" w:space="0" w:color="auto"/>
                <w:left w:val="none" w:sz="0" w:space="0" w:color="auto"/>
                <w:bottom w:val="none" w:sz="0" w:space="0" w:color="auto"/>
                <w:right w:val="none" w:sz="0" w:space="0" w:color="auto"/>
              </w:divBdr>
            </w:div>
            <w:div w:id="1894392048">
              <w:marLeft w:val="0"/>
              <w:marRight w:val="0"/>
              <w:marTop w:val="0"/>
              <w:marBottom w:val="0"/>
              <w:divBdr>
                <w:top w:val="none" w:sz="0" w:space="0" w:color="auto"/>
                <w:left w:val="none" w:sz="0" w:space="0" w:color="auto"/>
                <w:bottom w:val="none" w:sz="0" w:space="0" w:color="auto"/>
                <w:right w:val="none" w:sz="0" w:space="0" w:color="auto"/>
              </w:divBdr>
            </w:div>
          </w:divsChild>
        </w:div>
        <w:div w:id="1442841993">
          <w:marLeft w:val="0"/>
          <w:marRight w:val="0"/>
          <w:marTop w:val="0"/>
          <w:marBottom w:val="0"/>
          <w:divBdr>
            <w:top w:val="none" w:sz="0" w:space="0" w:color="auto"/>
            <w:left w:val="none" w:sz="0" w:space="0" w:color="auto"/>
            <w:bottom w:val="none" w:sz="0" w:space="0" w:color="auto"/>
            <w:right w:val="none" w:sz="0" w:space="0" w:color="auto"/>
          </w:divBdr>
          <w:divsChild>
            <w:div w:id="1598752697">
              <w:marLeft w:val="0"/>
              <w:marRight w:val="0"/>
              <w:marTop w:val="0"/>
              <w:marBottom w:val="0"/>
              <w:divBdr>
                <w:top w:val="none" w:sz="0" w:space="0" w:color="auto"/>
                <w:left w:val="none" w:sz="0" w:space="0" w:color="auto"/>
                <w:bottom w:val="none" w:sz="0" w:space="0" w:color="auto"/>
                <w:right w:val="none" w:sz="0" w:space="0" w:color="auto"/>
              </w:divBdr>
            </w:div>
          </w:divsChild>
        </w:div>
        <w:div w:id="566186660">
          <w:marLeft w:val="0"/>
          <w:marRight w:val="0"/>
          <w:marTop w:val="0"/>
          <w:marBottom w:val="0"/>
          <w:divBdr>
            <w:top w:val="none" w:sz="0" w:space="0" w:color="auto"/>
            <w:left w:val="none" w:sz="0" w:space="0" w:color="auto"/>
            <w:bottom w:val="none" w:sz="0" w:space="0" w:color="auto"/>
            <w:right w:val="none" w:sz="0" w:space="0" w:color="auto"/>
          </w:divBdr>
          <w:divsChild>
            <w:div w:id="144141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72523">
      <w:bodyDiv w:val="1"/>
      <w:marLeft w:val="0"/>
      <w:marRight w:val="0"/>
      <w:marTop w:val="0"/>
      <w:marBottom w:val="0"/>
      <w:divBdr>
        <w:top w:val="none" w:sz="0" w:space="0" w:color="auto"/>
        <w:left w:val="none" w:sz="0" w:space="0" w:color="auto"/>
        <w:bottom w:val="none" w:sz="0" w:space="0" w:color="auto"/>
        <w:right w:val="none" w:sz="0" w:space="0" w:color="auto"/>
      </w:divBdr>
    </w:div>
    <w:div w:id="1005280491">
      <w:bodyDiv w:val="1"/>
      <w:marLeft w:val="0"/>
      <w:marRight w:val="0"/>
      <w:marTop w:val="0"/>
      <w:marBottom w:val="0"/>
      <w:divBdr>
        <w:top w:val="none" w:sz="0" w:space="0" w:color="auto"/>
        <w:left w:val="none" w:sz="0" w:space="0" w:color="auto"/>
        <w:bottom w:val="none" w:sz="0" w:space="0" w:color="auto"/>
        <w:right w:val="none" w:sz="0" w:space="0" w:color="auto"/>
      </w:divBdr>
    </w:div>
    <w:div w:id="1026904402">
      <w:bodyDiv w:val="1"/>
      <w:marLeft w:val="0"/>
      <w:marRight w:val="0"/>
      <w:marTop w:val="0"/>
      <w:marBottom w:val="0"/>
      <w:divBdr>
        <w:top w:val="none" w:sz="0" w:space="0" w:color="auto"/>
        <w:left w:val="none" w:sz="0" w:space="0" w:color="auto"/>
        <w:bottom w:val="none" w:sz="0" w:space="0" w:color="auto"/>
        <w:right w:val="none" w:sz="0" w:space="0" w:color="auto"/>
      </w:divBdr>
      <w:divsChild>
        <w:div w:id="533805553">
          <w:marLeft w:val="0"/>
          <w:marRight w:val="0"/>
          <w:marTop w:val="0"/>
          <w:marBottom w:val="0"/>
          <w:divBdr>
            <w:top w:val="none" w:sz="0" w:space="0" w:color="auto"/>
            <w:left w:val="none" w:sz="0" w:space="0" w:color="auto"/>
            <w:bottom w:val="none" w:sz="0" w:space="0" w:color="auto"/>
            <w:right w:val="none" w:sz="0" w:space="0" w:color="auto"/>
          </w:divBdr>
        </w:div>
        <w:div w:id="969824843">
          <w:marLeft w:val="0"/>
          <w:marRight w:val="0"/>
          <w:marTop w:val="0"/>
          <w:marBottom w:val="0"/>
          <w:divBdr>
            <w:top w:val="none" w:sz="0" w:space="0" w:color="auto"/>
            <w:left w:val="none" w:sz="0" w:space="0" w:color="auto"/>
            <w:bottom w:val="none" w:sz="0" w:space="0" w:color="auto"/>
            <w:right w:val="none" w:sz="0" w:space="0" w:color="auto"/>
          </w:divBdr>
        </w:div>
        <w:div w:id="1617634114">
          <w:marLeft w:val="0"/>
          <w:marRight w:val="0"/>
          <w:marTop w:val="0"/>
          <w:marBottom w:val="0"/>
          <w:divBdr>
            <w:top w:val="none" w:sz="0" w:space="0" w:color="auto"/>
            <w:left w:val="none" w:sz="0" w:space="0" w:color="auto"/>
            <w:bottom w:val="none" w:sz="0" w:space="0" w:color="auto"/>
            <w:right w:val="none" w:sz="0" w:space="0" w:color="auto"/>
          </w:divBdr>
        </w:div>
      </w:divsChild>
    </w:div>
    <w:div w:id="1074937669">
      <w:bodyDiv w:val="1"/>
      <w:marLeft w:val="0"/>
      <w:marRight w:val="0"/>
      <w:marTop w:val="0"/>
      <w:marBottom w:val="0"/>
      <w:divBdr>
        <w:top w:val="none" w:sz="0" w:space="0" w:color="auto"/>
        <w:left w:val="none" w:sz="0" w:space="0" w:color="auto"/>
        <w:bottom w:val="none" w:sz="0" w:space="0" w:color="auto"/>
        <w:right w:val="none" w:sz="0" w:space="0" w:color="auto"/>
      </w:divBdr>
      <w:divsChild>
        <w:div w:id="474222354">
          <w:marLeft w:val="0"/>
          <w:marRight w:val="0"/>
          <w:marTop w:val="0"/>
          <w:marBottom w:val="0"/>
          <w:divBdr>
            <w:top w:val="none" w:sz="0" w:space="0" w:color="auto"/>
            <w:left w:val="none" w:sz="0" w:space="0" w:color="auto"/>
            <w:bottom w:val="none" w:sz="0" w:space="0" w:color="auto"/>
            <w:right w:val="none" w:sz="0" w:space="0" w:color="auto"/>
          </w:divBdr>
        </w:div>
        <w:div w:id="1035161324">
          <w:marLeft w:val="0"/>
          <w:marRight w:val="0"/>
          <w:marTop w:val="0"/>
          <w:marBottom w:val="0"/>
          <w:divBdr>
            <w:top w:val="none" w:sz="0" w:space="0" w:color="auto"/>
            <w:left w:val="none" w:sz="0" w:space="0" w:color="auto"/>
            <w:bottom w:val="none" w:sz="0" w:space="0" w:color="auto"/>
            <w:right w:val="none" w:sz="0" w:space="0" w:color="auto"/>
          </w:divBdr>
        </w:div>
        <w:div w:id="1282347897">
          <w:marLeft w:val="0"/>
          <w:marRight w:val="0"/>
          <w:marTop w:val="0"/>
          <w:marBottom w:val="0"/>
          <w:divBdr>
            <w:top w:val="none" w:sz="0" w:space="0" w:color="auto"/>
            <w:left w:val="none" w:sz="0" w:space="0" w:color="auto"/>
            <w:bottom w:val="none" w:sz="0" w:space="0" w:color="auto"/>
            <w:right w:val="none" w:sz="0" w:space="0" w:color="auto"/>
          </w:divBdr>
        </w:div>
        <w:div w:id="1461337835">
          <w:marLeft w:val="0"/>
          <w:marRight w:val="0"/>
          <w:marTop w:val="0"/>
          <w:marBottom w:val="0"/>
          <w:divBdr>
            <w:top w:val="none" w:sz="0" w:space="0" w:color="auto"/>
            <w:left w:val="none" w:sz="0" w:space="0" w:color="auto"/>
            <w:bottom w:val="none" w:sz="0" w:space="0" w:color="auto"/>
            <w:right w:val="none" w:sz="0" w:space="0" w:color="auto"/>
          </w:divBdr>
        </w:div>
        <w:div w:id="1633706406">
          <w:marLeft w:val="0"/>
          <w:marRight w:val="0"/>
          <w:marTop w:val="0"/>
          <w:marBottom w:val="0"/>
          <w:divBdr>
            <w:top w:val="none" w:sz="0" w:space="0" w:color="auto"/>
            <w:left w:val="none" w:sz="0" w:space="0" w:color="auto"/>
            <w:bottom w:val="none" w:sz="0" w:space="0" w:color="auto"/>
            <w:right w:val="none" w:sz="0" w:space="0" w:color="auto"/>
          </w:divBdr>
        </w:div>
      </w:divsChild>
    </w:div>
    <w:div w:id="1141654575">
      <w:bodyDiv w:val="1"/>
      <w:marLeft w:val="0"/>
      <w:marRight w:val="0"/>
      <w:marTop w:val="0"/>
      <w:marBottom w:val="0"/>
      <w:divBdr>
        <w:top w:val="none" w:sz="0" w:space="0" w:color="auto"/>
        <w:left w:val="none" w:sz="0" w:space="0" w:color="auto"/>
        <w:bottom w:val="none" w:sz="0" w:space="0" w:color="auto"/>
        <w:right w:val="none" w:sz="0" w:space="0" w:color="auto"/>
      </w:divBdr>
    </w:div>
    <w:div w:id="1155730171">
      <w:bodyDiv w:val="1"/>
      <w:marLeft w:val="0"/>
      <w:marRight w:val="0"/>
      <w:marTop w:val="0"/>
      <w:marBottom w:val="0"/>
      <w:divBdr>
        <w:top w:val="none" w:sz="0" w:space="0" w:color="auto"/>
        <w:left w:val="none" w:sz="0" w:space="0" w:color="auto"/>
        <w:bottom w:val="none" w:sz="0" w:space="0" w:color="auto"/>
        <w:right w:val="none" w:sz="0" w:space="0" w:color="auto"/>
      </w:divBdr>
    </w:div>
    <w:div w:id="1182933382">
      <w:bodyDiv w:val="1"/>
      <w:marLeft w:val="0"/>
      <w:marRight w:val="0"/>
      <w:marTop w:val="0"/>
      <w:marBottom w:val="0"/>
      <w:divBdr>
        <w:top w:val="none" w:sz="0" w:space="0" w:color="auto"/>
        <w:left w:val="none" w:sz="0" w:space="0" w:color="auto"/>
        <w:bottom w:val="none" w:sz="0" w:space="0" w:color="auto"/>
        <w:right w:val="none" w:sz="0" w:space="0" w:color="auto"/>
      </w:divBdr>
    </w:div>
    <w:div w:id="1193809778">
      <w:bodyDiv w:val="1"/>
      <w:marLeft w:val="0"/>
      <w:marRight w:val="0"/>
      <w:marTop w:val="0"/>
      <w:marBottom w:val="0"/>
      <w:divBdr>
        <w:top w:val="none" w:sz="0" w:space="0" w:color="auto"/>
        <w:left w:val="none" w:sz="0" w:space="0" w:color="auto"/>
        <w:bottom w:val="none" w:sz="0" w:space="0" w:color="auto"/>
        <w:right w:val="none" w:sz="0" w:space="0" w:color="auto"/>
      </w:divBdr>
      <w:divsChild>
        <w:div w:id="665136881">
          <w:marLeft w:val="0"/>
          <w:marRight w:val="0"/>
          <w:marTop w:val="0"/>
          <w:marBottom w:val="0"/>
          <w:divBdr>
            <w:top w:val="none" w:sz="0" w:space="0" w:color="auto"/>
            <w:left w:val="none" w:sz="0" w:space="0" w:color="auto"/>
            <w:bottom w:val="none" w:sz="0" w:space="0" w:color="auto"/>
            <w:right w:val="none" w:sz="0" w:space="0" w:color="auto"/>
          </w:divBdr>
          <w:divsChild>
            <w:div w:id="2026520943">
              <w:marLeft w:val="0"/>
              <w:marRight w:val="0"/>
              <w:marTop w:val="0"/>
              <w:marBottom w:val="0"/>
              <w:divBdr>
                <w:top w:val="none" w:sz="0" w:space="0" w:color="auto"/>
                <w:left w:val="none" w:sz="0" w:space="0" w:color="auto"/>
                <w:bottom w:val="none" w:sz="0" w:space="0" w:color="auto"/>
                <w:right w:val="none" w:sz="0" w:space="0" w:color="auto"/>
              </w:divBdr>
            </w:div>
            <w:div w:id="1506440021">
              <w:marLeft w:val="0"/>
              <w:marRight w:val="0"/>
              <w:marTop w:val="0"/>
              <w:marBottom w:val="0"/>
              <w:divBdr>
                <w:top w:val="none" w:sz="0" w:space="0" w:color="auto"/>
                <w:left w:val="none" w:sz="0" w:space="0" w:color="auto"/>
                <w:bottom w:val="none" w:sz="0" w:space="0" w:color="auto"/>
                <w:right w:val="none" w:sz="0" w:space="0" w:color="auto"/>
              </w:divBdr>
            </w:div>
          </w:divsChild>
        </w:div>
        <w:div w:id="1404372839">
          <w:marLeft w:val="0"/>
          <w:marRight w:val="0"/>
          <w:marTop w:val="0"/>
          <w:marBottom w:val="0"/>
          <w:divBdr>
            <w:top w:val="none" w:sz="0" w:space="0" w:color="auto"/>
            <w:left w:val="none" w:sz="0" w:space="0" w:color="auto"/>
            <w:bottom w:val="none" w:sz="0" w:space="0" w:color="auto"/>
            <w:right w:val="none" w:sz="0" w:space="0" w:color="auto"/>
          </w:divBdr>
          <w:divsChild>
            <w:div w:id="1891113108">
              <w:marLeft w:val="0"/>
              <w:marRight w:val="0"/>
              <w:marTop w:val="0"/>
              <w:marBottom w:val="0"/>
              <w:divBdr>
                <w:top w:val="none" w:sz="0" w:space="0" w:color="auto"/>
                <w:left w:val="none" w:sz="0" w:space="0" w:color="auto"/>
                <w:bottom w:val="none" w:sz="0" w:space="0" w:color="auto"/>
                <w:right w:val="none" w:sz="0" w:space="0" w:color="auto"/>
              </w:divBdr>
            </w:div>
            <w:div w:id="2069842161">
              <w:marLeft w:val="0"/>
              <w:marRight w:val="0"/>
              <w:marTop w:val="0"/>
              <w:marBottom w:val="0"/>
              <w:divBdr>
                <w:top w:val="none" w:sz="0" w:space="0" w:color="auto"/>
                <w:left w:val="none" w:sz="0" w:space="0" w:color="auto"/>
                <w:bottom w:val="none" w:sz="0" w:space="0" w:color="auto"/>
                <w:right w:val="none" w:sz="0" w:space="0" w:color="auto"/>
              </w:divBdr>
            </w:div>
          </w:divsChild>
        </w:div>
        <w:div w:id="1642922229">
          <w:marLeft w:val="0"/>
          <w:marRight w:val="0"/>
          <w:marTop w:val="0"/>
          <w:marBottom w:val="0"/>
          <w:divBdr>
            <w:top w:val="none" w:sz="0" w:space="0" w:color="auto"/>
            <w:left w:val="none" w:sz="0" w:space="0" w:color="auto"/>
            <w:bottom w:val="none" w:sz="0" w:space="0" w:color="auto"/>
            <w:right w:val="none" w:sz="0" w:space="0" w:color="auto"/>
          </w:divBdr>
          <w:divsChild>
            <w:div w:id="316374114">
              <w:marLeft w:val="0"/>
              <w:marRight w:val="0"/>
              <w:marTop w:val="0"/>
              <w:marBottom w:val="0"/>
              <w:divBdr>
                <w:top w:val="none" w:sz="0" w:space="0" w:color="auto"/>
                <w:left w:val="none" w:sz="0" w:space="0" w:color="auto"/>
                <w:bottom w:val="none" w:sz="0" w:space="0" w:color="auto"/>
                <w:right w:val="none" w:sz="0" w:space="0" w:color="auto"/>
              </w:divBdr>
            </w:div>
          </w:divsChild>
        </w:div>
        <w:div w:id="1978799462">
          <w:marLeft w:val="0"/>
          <w:marRight w:val="0"/>
          <w:marTop w:val="0"/>
          <w:marBottom w:val="0"/>
          <w:divBdr>
            <w:top w:val="none" w:sz="0" w:space="0" w:color="auto"/>
            <w:left w:val="none" w:sz="0" w:space="0" w:color="auto"/>
            <w:bottom w:val="none" w:sz="0" w:space="0" w:color="auto"/>
            <w:right w:val="none" w:sz="0" w:space="0" w:color="auto"/>
          </w:divBdr>
          <w:divsChild>
            <w:div w:id="1205799746">
              <w:marLeft w:val="0"/>
              <w:marRight w:val="0"/>
              <w:marTop w:val="0"/>
              <w:marBottom w:val="0"/>
              <w:divBdr>
                <w:top w:val="none" w:sz="0" w:space="0" w:color="auto"/>
                <w:left w:val="none" w:sz="0" w:space="0" w:color="auto"/>
                <w:bottom w:val="none" w:sz="0" w:space="0" w:color="auto"/>
                <w:right w:val="none" w:sz="0" w:space="0" w:color="auto"/>
              </w:divBdr>
            </w:div>
          </w:divsChild>
        </w:div>
        <w:div w:id="1572275463">
          <w:marLeft w:val="0"/>
          <w:marRight w:val="0"/>
          <w:marTop w:val="0"/>
          <w:marBottom w:val="0"/>
          <w:divBdr>
            <w:top w:val="none" w:sz="0" w:space="0" w:color="auto"/>
            <w:left w:val="none" w:sz="0" w:space="0" w:color="auto"/>
            <w:bottom w:val="none" w:sz="0" w:space="0" w:color="auto"/>
            <w:right w:val="none" w:sz="0" w:space="0" w:color="auto"/>
          </w:divBdr>
          <w:divsChild>
            <w:div w:id="113377995">
              <w:marLeft w:val="0"/>
              <w:marRight w:val="0"/>
              <w:marTop w:val="0"/>
              <w:marBottom w:val="0"/>
              <w:divBdr>
                <w:top w:val="none" w:sz="0" w:space="0" w:color="auto"/>
                <w:left w:val="none" w:sz="0" w:space="0" w:color="auto"/>
                <w:bottom w:val="none" w:sz="0" w:space="0" w:color="auto"/>
                <w:right w:val="none" w:sz="0" w:space="0" w:color="auto"/>
              </w:divBdr>
            </w:div>
            <w:div w:id="604650296">
              <w:marLeft w:val="0"/>
              <w:marRight w:val="0"/>
              <w:marTop w:val="0"/>
              <w:marBottom w:val="0"/>
              <w:divBdr>
                <w:top w:val="none" w:sz="0" w:space="0" w:color="auto"/>
                <w:left w:val="none" w:sz="0" w:space="0" w:color="auto"/>
                <w:bottom w:val="none" w:sz="0" w:space="0" w:color="auto"/>
                <w:right w:val="none" w:sz="0" w:space="0" w:color="auto"/>
              </w:divBdr>
            </w:div>
            <w:div w:id="1901212695">
              <w:marLeft w:val="0"/>
              <w:marRight w:val="0"/>
              <w:marTop w:val="0"/>
              <w:marBottom w:val="0"/>
              <w:divBdr>
                <w:top w:val="none" w:sz="0" w:space="0" w:color="auto"/>
                <w:left w:val="none" w:sz="0" w:space="0" w:color="auto"/>
                <w:bottom w:val="none" w:sz="0" w:space="0" w:color="auto"/>
                <w:right w:val="none" w:sz="0" w:space="0" w:color="auto"/>
              </w:divBdr>
            </w:div>
          </w:divsChild>
        </w:div>
        <w:div w:id="1029262745">
          <w:marLeft w:val="0"/>
          <w:marRight w:val="0"/>
          <w:marTop w:val="0"/>
          <w:marBottom w:val="0"/>
          <w:divBdr>
            <w:top w:val="none" w:sz="0" w:space="0" w:color="auto"/>
            <w:left w:val="none" w:sz="0" w:space="0" w:color="auto"/>
            <w:bottom w:val="none" w:sz="0" w:space="0" w:color="auto"/>
            <w:right w:val="none" w:sz="0" w:space="0" w:color="auto"/>
          </w:divBdr>
          <w:divsChild>
            <w:div w:id="1536308971">
              <w:marLeft w:val="0"/>
              <w:marRight w:val="0"/>
              <w:marTop w:val="0"/>
              <w:marBottom w:val="0"/>
              <w:divBdr>
                <w:top w:val="none" w:sz="0" w:space="0" w:color="auto"/>
                <w:left w:val="none" w:sz="0" w:space="0" w:color="auto"/>
                <w:bottom w:val="none" w:sz="0" w:space="0" w:color="auto"/>
                <w:right w:val="none" w:sz="0" w:space="0" w:color="auto"/>
              </w:divBdr>
            </w:div>
            <w:div w:id="1748527982">
              <w:marLeft w:val="0"/>
              <w:marRight w:val="0"/>
              <w:marTop w:val="0"/>
              <w:marBottom w:val="0"/>
              <w:divBdr>
                <w:top w:val="none" w:sz="0" w:space="0" w:color="auto"/>
                <w:left w:val="none" w:sz="0" w:space="0" w:color="auto"/>
                <w:bottom w:val="none" w:sz="0" w:space="0" w:color="auto"/>
                <w:right w:val="none" w:sz="0" w:space="0" w:color="auto"/>
              </w:divBdr>
            </w:div>
            <w:div w:id="45951968">
              <w:marLeft w:val="0"/>
              <w:marRight w:val="0"/>
              <w:marTop w:val="0"/>
              <w:marBottom w:val="0"/>
              <w:divBdr>
                <w:top w:val="none" w:sz="0" w:space="0" w:color="auto"/>
                <w:left w:val="none" w:sz="0" w:space="0" w:color="auto"/>
                <w:bottom w:val="none" w:sz="0" w:space="0" w:color="auto"/>
                <w:right w:val="none" w:sz="0" w:space="0" w:color="auto"/>
              </w:divBdr>
            </w:div>
          </w:divsChild>
        </w:div>
        <w:div w:id="1896156773">
          <w:marLeft w:val="0"/>
          <w:marRight w:val="0"/>
          <w:marTop w:val="0"/>
          <w:marBottom w:val="0"/>
          <w:divBdr>
            <w:top w:val="none" w:sz="0" w:space="0" w:color="auto"/>
            <w:left w:val="none" w:sz="0" w:space="0" w:color="auto"/>
            <w:bottom w:val="none" w:sz="0" w:space="0" w:color="auto"/>
            <w:right w:val="none" w:sz="0" w:space="0" w:color="auto"/>
          </w:divBdr>
          <w:divsChild>
            <w:div w:id="356005561">
              <w:marLeft w:val="0"/>
              <w:marRight w:val="0"/>
              <w:marTop w:val="0"/>
              <w:marBottom w:val="0"/>
              <w:divBdr>
                <w:top w:val="none" w:sz="0" w:space="0" w:color="auto"/>
                <w:left w:val="none" w:sz="0" w:space="0" w:color="auto"/>
                <w:bottom w:val="none" w:sz="0" w:space="0" w:color="auto"/>
                <w:right w:val="none" w:sz="0" w:space="0" w:color="auto"/>
              </w:divBdr>
            </w:div>
          </w:divsChild>
        </w:div>
        <w:div w:id="1536311058">
          <w:marLeft w:val="0"/>
          <w:marRight w:val="0"/>
          <w:marTop w:val="0"/>
          <w:marBottom w:val="0"/>
          <w:divBdr>
            <w:top w:val="none" w:sz="0" w:space="0" w:color="auto"/>
            <w:left w:val="none" w:sz="0" w:space="0" w:color="auto"/>
            <w:bottom w:val="none" w:sz="0" w:space="0" w:color="auto"/>
            <w:right w:val="none" w:sz="0" w:space="0" w:color="auto"/>
          </w:divBdr>
          <w:divsChild>
            <w:div w:id="9351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4810">
      <w:bodyDiv w:val="1"/>
      <w:marLeft w:val="0"/>
      <w:marRight w:val="0"/>
      <w:marTop w:val="0"/>
      <w:marBottom w:val="0"/>
      <w:divBdr>
        <w:top w:val="none" w:sz="0" w:space="0" w:color="auto"/>
        <w:left w:val="none" w:sz="0" w:space="0" w:color="auto"/>
        <w:bottom w:val="none" w:sz="0" w:space="0" w:color="auto"/>
        <w:right w:val="none" w:sz="0" w:space="0" w:color="auto"/>
      </w:divBdr>
    </w:div>
    <w:div w:id="1249387380">
      <w:bodyDiv w:val="1"/>
      <w:marLeft w:val="0"/>
      <w:marRight w:val="0"/>
      <w:marTop w:val="0"/>
      <w:marBottom w:val="0"/>
      <w:divBdr>
        <w:top w:val="none" w:sz="0" w:space="0" w:color="auto"/>
        <w:left w:val="none" w:sz="0" w:space="0" w:color="auto"/>
        <w:bottom w:val="none" w:sz="0" w:space="0" w:color="auto"/>
        <w:right w:val="none" w:sz="0" w:space="0" w:color="auto"/>
      </w:divBdr>
    </w:div>
    <w:div w:id="1271353674">
      <w:bodyDiv w:val="1"/>
      <w:marLeft w:val="0"/>
      <w:marRight w:val="0"/>
      <w:marTop w:val="0"/>
      <w:marBottom w:val="0"/>
      <w:divBdr>
        <w:top w:val="none" w:sz="0" w:space="0" w:color="auto"/>
        <w:left w:val="none" w:sz="0" w:space="0" w:color="auto"/>
        <w:bottom w:val="none" w:sz="0" w:space="0" w:color="auto"/>
        <w:right w:val="none" w:sz="0" w:space="0" w:color="auto"/>
      </w:divBdr>
    </w:div>
    <w:div w:id="1334213973">
      <w:bodyDiv w:val="1"/>
      <w:marLeft w:val="0"/>
      <w:marRight w:val="0"/>
      <w:marTop w:val="0"/>
      <w:marBottom w:val="0"/>
      <w:divBdr>
        <w:top w:val="none" w:sz="0" w:space="0" w:color="auto"/>
        <w:left w:val="none" w:sz="0" w:space="0" w:color="auto"/>
        <w:bottom w:val="none" w:sz="0" w:space="0" w:color="auto"/>
        <w:right w:val="none" w:sz="0" w:space="0" w:color="auto"/>
      </w:divBdr>
    </w:div>
    <w:div w:id="1383407396">
      <w:bodyDiv w:val="1"/>
      <w:marLeft w:val="0"/>
      <w:marRight w:val="0"/>
      <w:marTop w:val="0"/>
      <w:marBottom w:val="0"/>
      <w:divBdr>
        <w:top w:val="none" w:sz="0" w:space="0" w:color="auto"/>
        <w:left w:val="none" w:sz="0" w:space="0" w:color="auto"/>
        <w:bottom w:val="none" w:sz="0" w:space="0" w:color="auto"/>
        <w:right w:val="none" w:sz="0" w:space="0" w:color="auto"/>
      </w:divBdr>
    </w:div>
    <w:div w:id="1407917316">
      <w:bodyDiv w:val="1"/>
      <w:marLeft w:val="0"/>
      <w:marRight w:val="0"/>
      <w:marTop w:val="0"/>
      <w:marBottom w:val="0"/>
      <w:divBdr>
        <w:top w:val="none" w:sz="0" w:space="0" w:color="auto"/>
        <w:left w:val="none" w:sz="0" w:space="0" w:color="auto"/>
        <w:bottom w:val="none" w:sz="0" w:space="0" w:color="auto"/>
        <w:right w:val="none" w:sz="0" w:space="0" w:color="auto"/>
      </w:divBdr>
    </w:div>
    <w:div w:id="1498375393">
      <w:bodyDiv w:val="1"/>
      <w:marLeft w:val="0"/>
      <w:marRight w:val="0"/>
      <w:marTop w:val="0"/>
      <w:marBottom w:val="0"/>
      <w:divBdr>
        <w:top w:val="none" w:sz="0" w:space="0" w:color="auto"/>
        <w:left w:val="none" w:sz="0" w:space="0" w:color="auto"/>
        <w:bottom w:val="none" w:sz="0" w:space="0" w:color="auto"/>
        <w:right w:val="none" w:sz="0" w:space="0" w:color="auto"/>
      </w:divBdr>
    </w:div>
    <w:div w:id="1525094834">
      <w:bodyDiv w:val="1"/>
      <w:marLeft w:val="0"/>
      <w:marRight w:val="0"/>
      <w:marTop w:val="0"/>
      <w:marBottom w:val="0"/>
      <w:divBdr>
        <w:top w:val="none" w:sz="0" w:space="0" w:color="auto"/>
        <w:left w:val="none" w:sz="0" w:space="0" w:color="auto"/>
        <w:bottom w:val="none" w:sz="0" w:space="0" w:color="auto"/>
        <w:right w:val="none" w:sz="0" w:space="0" w:color="auto"/>
      </w:divBdr>
    </w:div>
    <w:div w:id="1629123030">
      <w:bodyDiv w:val="1"/>
      <w:marLeft w:val="0"/>
      <w:marRight w:val="0"/>
      <w:marTop w:val="0"/>
      <w:marBottom w:val="0"/>
      <w:divBdr>
        <w:top w:val="none" w:sz="0" w:space="0" w:color="auto"/>
        <w:left w:val="none" w:sz="0" w:space="0" w:color="auto"/>
        <w:bottom w:val="none" w:sz="0" w:space="0" w:color="auto"/>
        <w:right w:val="none" w:sz="0" w:space="0" w:color="auto"/>
      </w:divBdr>
    </w:div>
    <w:div w:id="1719548737">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sChild>
        <w:div w:id="1043015194">
          <w:marLeft w:val="0"/>
          <w:marRight w:val="0"/>
          <w:marTop w:val="0"/>
          <w:marBottom w:val="0"/>
          <w:divBdr>
            <w:top w:val="none" w:sz="0" w:space="0" w:color="auto"/>
            <w:left w:val="none" w:sz="0" w:space="0" w:color="auto"/>
            <w:bottom w:val="none" w:sz="0" w:space="0" w:color="auto"/>
            <w:right w:val="none" w:sz="0" w:space="0" w:color="auto"/>
          </w:divBdr>
        </w:div>
        <w:div w:id="1046487095">
          <w:marLeft w:val="0"/>
          <w:marRight w:val="0"/>
          <w:marTop w:val="0"/>
          <w:marBottom w:val="0"/>
          <w:divBdr>
            <w:top w:val="none" w:sz="0" w:space="0" w:color="auto"/>
            <w:left w:val="none" w:sz="0" w:space="0" w:color="auto"/>
            <w:bottom w:val="none" w:sz="0" w:space="0" w:color="auto"/>
            <w:right w:val="none" w:sz="0" w:space="0" w:color="auto"/>
          </w:divBdr>
        </w:div>
        <w:div w:id="1720282565">
          <w:marLeft w:val="0"/>
          <w:marRight w:val="0"/>
          <w:marTop w:val="0"/>
          <w:marBottom w:val="0"/>
          <w:divBdr>
            <w:top w:val="none" w:sz="0" w:space="0" w:color="auto"/>
            <w:left w:val="none" w:sz="0" w:space="0" w:color="auto"/>
            <w:bottom w:val="none" w:sz="0" w:space="0" w:color="auto"/>
            <w:right w:val="none" w:sz="0" w:space="0" w:color="auto"/>
          </w:divBdr>
        </w:div>
      </w:divsChild>
    </w:div>
    <w:div w:id="1887065007">
      <w:bodyDiv w:val="1"/>
      <w:marLeft w:val="0"/>
      <w:marRight w:val="0"/>
      <w:marTop w:val="0"/>
      <w:marBottom w:val="0"/>
      <w:divBdr>
        <w:top w:val="none" w:sz="0" w:space="0" w:color="auto"/>
        <w:left w:val="none" w:sz="0" w:space="0" w:color="auto"/>
        <w:bottom w:val="none" w:sz="0" w:space="0" w:color="auto"/>
        <w:right w:val="none" w:sz="0" w:space="0" w:color="auto"/>
      </w:divBdr>
    </w:div>
    <w:div w:id="1957636442">
      <w:bodyDiv w:val="1"/>
      <w:marLeft w:val="0"/>
      <w:marRight w:val="0"/>
      <w:marTop w:val="0"/>
      <w:marBottom w:val="0"/>
      <w:divBdr>
        <w:top w:val="none" w:sz="0" w:space="0" w:color="auto"/>
        <w:left w:val="none" w:sz="0" w:space="0" w:color="auto"/>
        <w:bottom w:val="none" w:sz="0" w:space="0" w:color="auto"/>
        <w:right w:val="none" w:sz="0" w:space="0" w:color="auto"/>
      </w:divBdr>
    </w:div>
    <w:div w:id="1989246153">
      <w:bodyDiv w:val="1"/>
      <w:marLeft w:val="0"/>
      <w:marRight w:val="0"/>
      <w:marTop w:val="0"/>
      <w:marBottom w:val="0"/>
      <w:divBdr>
        <w:top w:val="none" w:sz="0" w:space="0" w:color="auto"/>
        <w:left w:val="none" w:sz="0" w:space="0" w:color="auto"/>
        <w:bottom w:val="none" w:sz="0" w:space="0" w:color="auto"/>
        <w:right w:val="none" w:sz="0" w:space="0" w:color="auto"/>
      </w:divBdr>
    </w:div>
    <w:div w:id="1997341759">
      <w:bodyDiv w:val="1"/>
      <w:marLeft w:val="0"/>
      <w:marRight w:val="0"/>
      <w:marTop w:val="0"/>
      <w:marBottom w:val="0"/>
      <w:divBdr>
        <w:top w:val="none" w:sz="0" w:space="0" w:color="auto"/>
        <w:left w:val="none" w:sz="0" w:space="0" w:color="auto"/>
        <w:bottom w:val="none" w:sz="0" w:space="0" w:color="auto"/>
        <w:right w:val="none" w:sz="0" w:space="0" w:color="auto"/>
      </w:divBdr>
    </w:div>
    <w:div w:id="2064331893">
      <w:bodyDiv w:val="1"/>
      <w:marLeft w:val="0"/>
      <w:marRight w:val="0"/>
      <w:marTop w:val="0"/>
      <w:marBottom w:val="0"/>
      <w:divBdr>
        <w:top w:val="none" w:sz="0" w:space="0" w:color="auto"/>
        <w:left w:val="none" w:sz="0" w:space="0" w:color="auto"/>
        <w:bottom w:val="none" w:sz="0" w:space="0" w:color="auto"/>
        <w:right w:val="none" w:sz="0" w:space="0" w:color="auto"/>
      </w:divBdr>
    </w:div>
    <w:div w:id="2071221661">
      <w:bodyDiv w:val="1"/>
      <w:marLeft w:val="0"/>
      <w:marRight w:val="0"/>
      <w:marTop w:val="0"/>
      <w:marBottom w:val="0"/>
      <w:divBdr>
        <w:top w:val="none" w:sz="0" w:space="0" w:color="auto"/>
        <w:left w:val="none" w:sz="0" w:space="0" w:color="auto"/>
        <w:bottom w:val="none" w:sz="0" w:space="0" w:color="auto"/>
        <w:right w:val="none" w:sz="0" w:space="0" w:color="auto"/>
      </w:divBdr>
    </w:div>
    <w:div w:id="210595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footnotes.xml.rels><?xml version="1.0" encoding="UTF-8" standalone="yes"?>
<Relationships xmlns="http://schemas.openxmlformats.org/package/2006/relationships"><Relationship Id="rId8" Type="http://schemas.openxmlformats.org/officeDocument/2006/relationships/hyperlink" Target="https://www.mod.go.jp/en/d_act/d_budget/pdf/fy2025_20250411a.pdf" TargetMode="External"/><Relationship Id="rId13" Type="http://schemas.openxmlformats.org/officeDocument/2006/relationships/hyperlink" Target="https://commission.europa.eu/document/download/e6d5db69-e0ab-4bec-9dc0-3867b4373019_en?filename=White%20paper%20for%20European%20defence%20%E2%80%93%20Readiness%202030.pdf" TargetMode="External"/><Relationship Id="rId18" Type="http://schemas.openxmlformats.org/officeDocument/2006/relationships/hyperlink" Target="https://www.piie.com/sites/default/files/2024-09/furman2024-09-27.pdf" TargetMode="External"/><Relationship Id="rId3" Type="http://schemas.openxmlformats.org/officeDocument/2006/relationships/hyperlink" Target="https://ustr.gov/about-us/policy-offices/press-office/press-releases/2016/may/cross-post-president-obama-tpp-would" TargetMode="External"/><Relationship Id="rId7" Type="http://schemas.openxmlformats.org/officeDocument/2006/relationships/hyperlink" Target="https://commission.europa.eu/topics/eu-competitiveness/draghi-report_en" TargetMode="External"/><Relationship Id="rId12" Type="http://schemas.openxmlformats.org/officeDocument/2006/relationships/hyperlink" Target="https://www.beehive.govt.nz/release/multi-billion-dollar-defence-plan-unveiled" TargetMode="External"/><Relationship Id="rId17" Type="http://schemas.openxmlformats.org/officeDocument/2006/relationships/hyperlink" Target="https://www.pc.gov.au/inquiries/completed/competition-analysis/report/competition-analysis.pdf" TargetMode="External"/><Relationship Id="rId2" Type="http://schemas.openxmlformats.org/officeDocument/2006/relationships/hyperlink" Target="https://budget.gov.au/content/bp1/download/bp1_2025-26.pdf" TargetMode="External"/><Relationship Id="rId16" Type="http://schemas.openxmlformats.org/officeDocument/2006/relationships/hyperlink" Target="https://www.piie.com/sites/default/files/2024-09/furman2024-09-27.pdf" TargetMode="External"/><Relationship Id="rId1" Type="http://schemas.openxmlformats.org/officeDocument/2006/relationships/hyperlink" Target="https://www.foreignaffairs.com/united-states/tariffs-trade-wars-are-easy-lose" TargetMode="External"/><Relationship Id="rId6" Type="http://schemas.openxmlformats.org/officeDocument/2006/relationships/hyperlink" Target="https://www.ipsos.com/en/global-opinion-polls/factors-driving-anti-incumbent-anger" TargetMode="External"/><Relationship Id="rId11" Type="http://schemas.openxmlformats.org/officeDocument/2006/relationships/hyperlink" Target="https://www.government.se/press-releases/2025/03/investments-in-stronger-military-defence-measures-against-hybrid-threats-and-increased-support-to-ukraine/" TargetMode="External"/><Relationship Id="rId5" Type="http://schemas.openxmlformats.org/officeDocument/2006/relationships/hyperlink" Target="https://www.aspistrategist.org.au/in-2024-a-global-anti-incumbent-election-wave/" TargetMode="External"/><Relationship Id="rId15" Type="http://schemas.openxmlformats.org/officeDocument/2006/relationships/hyperlink" Target="https://www.promarket.org/2024/04/05/using-economics-to-diagnose-a-lessening-of-competition/" TargetMode="External"/><Relationship Id="rId10" Type="http://schemas.openxmlformats.org/officeDocument/2006/relationships/hyperlink" Target="https://www.canada.ca/en/department-national-defence/corporate/reports-publications/proactive-disclosure/mnd-mandate-priorities-10-october-2024/defence-policy.html" TargetMode="External"/><Relationship Id="rId4" Type="http://schemas.openxmlformats.org/officeDocument/2006/relationships/hyperlink" Target="https://www.chathamhouse.org/2025/03/competing-visions-international-order/01-fracturing-us-led-liberal-international-order" TargetMode="External"/><Relationship Id="rId9" Type="http://schemas.openxmlformats.org/officeDocument/2006/relationships/hyperlink" Target="https://www.canada.ca/en/department-national-defence/corporate/reports-publications/proactive-disclosure/mnd-mandate-priorities-10-october-2024/defence-policy.html" TargetMode="External"/><Relationship Id="rId14" Type="http://schemas.openxmlformats.org/officeDocument/2006/relationships/hyperlink" Target="https://www.foreignaffairs.com/united-states/post-neoliberal-de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55D9E-313A-49EE-976C-F62F857A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5237</Words>
  <Characters>29480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Economic Policy Amid Global Uncertainty</vt:lpstr>
    </vt:vector>
  </TitlesOfParts>
  <Company/>
  <LinksUpToDate>false</LinksUpToDate>
  <CharactersWithSpaces>34648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Policy Amid Global Uncertainty</dc:title>
  <dc:subject/>
  <dc:creator>Treasury</dc:creator>
  <cp:keywords/>
  <dc:description/>
  <cp:lastModifiedBy/>
  <cp:revision>1</cp:revision>
  <dcterms:created xsi:type="dcterms:W3CDTF">2025-05-28T07:05:00Z</dcterms:created>
  <dcterms:modified xsi:type="dcterms:W3CDTF">2025-05-28T07:05:00Z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2025-05-28T07:05:55Z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fde3979f-9489-48e9-8102-33e12aa29e0b</vt:lpwstr>
  </property>
  <property fmtid="{D5CDD505-2E9C-101B-9397-08002B2CF9AE}" pid="8" name="MSIP_Label_4f932d64-9ab1-4d9b-81d2-a3a8b82dd47d_ContentBits">
    <vt:lpwstr>0</vt:lpwstr>
  </property>
</Properties>
</file>