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themeColor="text1"/>
          <w:sz w:val="22"/>
        </w:rPr>
        <w:id w:val="875589956"/>
        <w:docPartObj>
          <w:docPartGallery w:val="Cover Pages"/>
          <w:docPartUnique/>
        </w:docPartObj>
      </w:sdtPr>
      <w:sdtEndPr>
        <w:rPr>
          <w:color w:val="auto"/>
          <w:sz w:val="32"/>
        </w:rPr>
      </w:sdtEndPr>
      <w:sdtContent>
        <w:p w14:paraId="23A9A288" w14:textId="77777777" w:rsidR="00CE7B45" w:rsidRPr="006D0240" w:rsidRDefault="00CE7B45" w:rsidP="008C5EC0">
          <w:pPr>
            <w:pStyle w:val="Header"/>
          </w:pPr>
          <w:r>
            <w:rPr>
              <w:noProof/>
            </w:rPr>
            <w:drawing>
              <wp:inline distT="0" distB="0" distL="0" distR="0" wp14:anchorId="103AA683" wp14:editId="3512AB62">
                <wp:extent cx="2203708" cy="536449"/>
                <wp:effectExtent l="0" t="0" r="6350" b="0"/>
                <wp:docPr id="19" name="Picture 1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3708" cy="536449"/>
                        </a:xfrm>
                        <a:prstGeom prst="rect">
                          <a:avLst/>
                        </a:prstGeom>
                      </pic:spPr>
                    </pic:pic>
                  </a:graphicData>
                </a:graphic>
              </wp:inline>
            </w:drawing>
          </w:r>
          <w:r>
            <w:rPr>
              <w:noProof/>
            </w:rPr>
            <mc:AlternateContent>
              <mc:Choice Requires="wps">
                <w:drawing>
                  <wp:anchor distT="0" distB="0" distL="114300" distR="114300" simplePos="0" relativeHeight="251667456" behindDoc="1" locked="1" layoutInCell="1" allowOverlap="1" wp14:anchorId="2845A67F" wp14:editId="13110C17">
                    <wp:simplePos x="0" y="0"/>
                    <wp:positionH relativeFrom="column">
                      <wp:align>center</wp:align>
                    </wp:positionH>
                    <wp:positionV relativeFrom="page">
                      <wp:align>center</wp:align>
                    </wp:positionV>
                    <wp:extent cx="7200000" cy="10332000"/>
                    <wp:effectExtent l="0" t="0" r="1270" b="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200000" cy="103320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FD2641" id="Rectangle 10" o:spid="_x0000_s1026" alt="&quot;&quot;" style="position:absolute;margin-left:0;margin-top:0;width:566.95pt;height:813.55pt;z-index:-251649024;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7Q9nwIAALAFAAAOAAAAZHJzL2Uyb0RvYy54bWysVMFu2zAMvQ/YPwi6r47TdluNOEWQosOA&#10;rA3WDj0rshQbk0VNUuJkXz9Kst2sK3YY5oNgiuQj+URydn1oFdkL6xrQJc3PJpQIzaFq9Lak3x5v&#10;332kxHmmK6ZAi5IehaPX87dvZp0pxBRqUJWwBEG0KzpT0tp7U2SZ47VomTsDIzQqJdiWeRTtNqss&#10;6xC9Vdl0MnmfdWArY4EL5/D2JinpPOJLKbi/l9IJT1RJMTcfTxvPTTiz+YwVW8tM3fA+DfYPWbSs&#10;0Rh0hLphnpGdbf6AahtuwYH0ZxzaDKRsuIg1YDX55EU1DzUzItaC5Dgz0uT+Hyy/2z+YtQ2pO7MC&#10;/t0RDcua6a1YOIP04aMGkrLOuGI0DoLr3Q7StsEdayGHSOxxJFYcPOF4+QGfCj9KOOryyfl5kCMs&#10;KwZ/Y53/JKAl4aekFmNHRtl+5XzIgBWDScwWVFPdNkpFIbSLWCpL9gwferOdRle1a79Ale6uYgIJ&#10;J3ZXMI+o7hRJ6YCnISAn43ATq08Fx9L9UYlgp/RXIUlTYYkp4oicgjLOhfZ5TMbVrBLpOr98Ln/0&#10;iLlEwIAsMf6I3QP8XuSAnbLs7YOriG0/Ok9S9L85jx4xMmg/OreNBvsagMKq+sjJfiApURNY2kB1&#10;XFtiIQ2dM/y2waddMefXzOKUYT/g5vD3eEgFXUmh/6OkBvvztftgj82PWko6nNqSuh87ZgUl6rPG&#10;sbjKLy7CmEfh4hL7jhJ7qtmcavSuXQL2S447yvD4G+y9Gn6lhfYJF8wiREUV0xxjl5R7OwhLn7YJ&#10;riguFotohqNtmF/pB8MDeGA1tO7j4YlZ0/e3x9m4g2HCWfGizZNt8NSw2HmQTZyBZ157vnEtxMbp&#10;V1jYO6dytHpetPNfAAAA//8DAFBLAwQUAAYACAAAACEAPFmXAd0AAAAHAQAADwAAAGRycy9kb3du&#10;cmV2LnhtbEyPQU/DMAyF70j7D5EncWNpN7Gx0nQCJq4gNjjsliamrWic0mRr9+/xuMDFetaz3vuc&#10;b0bXihP2ofGkIJ0lIJCMtw1VCt73zzd3IELUZHXrCRWcMcCmmFzlOrN+oDc87WIlOIRCphXUMXaZ&#10;lMHU6HSY+Q6JvU/fOx157Stpez1wuGvlPEmW0umGuKHWHT7VaL52R6cglGd5uO0+Xh7N92G93Q6v&#10;jbFSqevp+HAPIuIY/47hgs/oUDBT6Y9kg2gV8CPxd168dLFYgyhZLeerFGSRy//8xQ8AAAD//wMA&#10;UEsBAi0AFAAGAAgAAAAhALaDOJL+AAAA4QEAABMAAAAAAAAAAAAAAAAAAAAAAFtDb250ZW50X1R5&#10;cGVzXS54bWxQSwECLQAUAAYACAAAACEAOP0h/9YAAACUAQAACwAAAAAAAAAAAAAAAAAvAQAAX3Jl&#10;bHMvLnJlbHNQSwECLQAUAAYACAAAACEA1Fu0PZ8CAACwBQAADgAAAAAAAAAAAAAAAAAuAgAAZHJz&#10;L2Uyb0RvYy54bWxQSwECLQAUAAYACAAAACEAPFmXAd0AAAAHAQAADwAAAAAAAAAAAAAAAAD5BAAA&#10;ZHJzL2Rvd25yZXYueG1sUEsFBgAAAAAEAAQA8wAAAAMGAAAAAA==&#10;" fillcolor="#dedede [2894]" stroked="f" strokeweight="2pt">
                    <o:lock v:ext="edit" aspectratio="t"/>
                    <w10:wrap anchory="page"/>
                    <w10:anchorlock/>
                  </v:rect>
                </w:pict>
              </mc:Fallback>
            </mc:AlternateContent>
          </w:r>
        </w:p>
        <w:p w14:paraId="2A549D03" w14:textId="77777777" w:rsidR="00422F18" w:rsidRDefault="00422F18" w:rsidP="008C5EC0">
          <w:pPr>
            <w:pStyle w:val="Subtitle"/>
            <w:rPr>
              <w:b/>
              <w:iCs w:val="0"/>
              <w:spacing w:val="5"/>
              <w:kern w:val="28"/>
              <w:sz w:val="72"/>
              <w:szCs w:val="52"/>
            </w:rPr>
          </w:pPr>
        </w:p>
        <w:p w14:paraId="3BD4091B" w14:textId="77777777" w:rsidR="00422F18" w:rsidRDefault="00422F18" w:rsidP="008C5EC0">
          <w:pPr>
            <w:pStyle w:val="Subtitle"/>
            <w:rPr>
              <w:b/>
              <w:iCs w:val="0"/>
              <w:spacing w:val="5"/>
              <w:kern w:val="28"/>
              <w:sz w:val="72"/>
              <w:szCs w:val="52"/>
            </w:rPr>
          </w:pPr>
        </w:p>
        <w:p w14:paraId="7C7EC88B" w14:textId="0B183C75" w:rsidR="00CE7B45" w:rsidRPr="008C5EC0" w:rsidRDefault="00422F18" w:rsidP="008C5EC0">
          <w:pPr>
            <w:pStyle w:val="Subtitle"/>
          </w:pPr>
          <w:r w:rsidRPr="00422F18">
            <w:rPr>
              <w:b/>
              <w:iCs w:val="0"/>
              <w:spacing w:val="5"/>
              <w:kern w:val="28"/>
              <w:sz w:val="72"/>
              <w:szCs w:val="52"/>
            </w:rPr>
            <w:t>Government Response to the Board of Taxation’s</w:t>
          </w:r>
          <w:r>
            <w:rPr>
              <w:b/>
              <w:iCs w:val="0"/>
              <w:spacing w:val="5"/>
              <w:kern w:val="28"/>
              <w:sz w:val="72"/>
              <w:szCs w:val="52"/>
            </w:rPr>
            <w:br/>
          </w:r>
          <w:r w:rsidRPr="00422F18">
            <w:rPr>
              <w:b/>
              <w:i/>
              <w:spacing w:val="5"/>
              <w:kern w:val="28"/>
              <w:sz w:val="72"/>
              <w:szCs w:val="52"/>
            </w:rPr>
            <w:t>Review of the taxation treatment of digital assets and transactions in Australia</w:t>
          </w:r>
        </w:p>
        <w:p w14:paraId="16EF03F0" w14:textId="772EABF2" w:rsidR="00CE7B45" w:rsidRDefault="00422F18" w:rsidP="00422F18">
          <w:pPr>
            <w:pStyle w:val="ReportDate"/>
          </w:pPr>
          <w:r>
            <w:rPr>
              <w:rStyle w:val="ReportDateChar"/>
            </w:rPr>
            <w:t>March 2025</w:t>
          </w:r>
        </w:p>
      </w:sdtContent>
    </w:sdt>
    <w:p w14:paraId="6A76D1C5" w14:textId="77777777" w:rsidR="00253878" w:rsidRDefault="00253878"/>
    <w:p w14:paraId="0D9E4034" w14:textId="77777777" w:rsidR="00B775EE" w:rsidRDefault="00B775EE">
      <w:pPr>
        <w:spacing w:before="0" w:after="160" w:line="259" w:lineRule="auto"/>
      </w:pPr>
      <w:r>
        <w:br w:type="page"/>
      </w:r>
    </w:p>
    <w:p w14:paraId="0B11CF14" w14:textId="0C369BCD" w:rsidR="000E0B74" w:rsidRDefault="000E0B74" w:rsidP="005877AC">
      <w:pPr>
        <w:spacing w:before="0" w:after="160" w:line="259" w:lineRule="auto"/>
      </w:pPr>
      <w:r w:rsidRPr="00661BF0">
        <w:lastRenderedPageBreak/>
        <w:t xml:space="preserve">© Commonwealth </w:t>
      </w:r>
      <w:r w:rsidRPr="00D63A45">
        <w:t>of Australia 20</w:t>
      </w:r>
      <w:r w:rsidR="00191CFE" w:rsidRPr="00D63A45">
        <w:t>2</w:t>
      </w:r>
      <w:r w:rsidR="00422F18" w:rsidRPr="00D63A45">
        <w:t>5</w:t>
      </w:r>
    </w:p>
    <w:p w14:paraId="4541F0FB" w14:textId="792859B1" w:rsidR="006469CC" w:rsidRDefault="006469CC" w:rsidP="005877AC">
      <w:pPr>
        <w:spacing w:before="0" w:after="160" w:line="259" w:lineRule="auto"/>
        <w:rPr>
          <w:noProof/>
        </w:rPr>
      </w:pPr>
      <w:r>
        <w:t xml:space="preserve">ISBN: </w:t>
      </w:r>
      <w:r w:rsidR="008467C9" w:rsidRPr="00AF6EAA">
        <w:t>978-1-923278-14-1</w:t>
      </w:r>
    </w:p>
    <w:p w14:paraId="0DC6A84D" w14:textId="7BB60E34" w:rsidR="000E0B74" w:rsidRPr="00086F82" w:rsidRDefault="000E0B74" w:rsidP="000E0B74">
      <w:pPr>
        <w:tabs>
          <w:tab w:val="left" w:pos="1650"/>
        </w:tabs>
        <w:rPr>
          <w:rFonts w:cstheme="minorBidi"/>
          <w:sz w:val="24"/>
          <w:szCs w:val="24"/>
        </w:rPr>
      </w:pPr>
      <w:r w:rsidRPr="002F1BC2">
        <w:t>This publication is available for your use under a</w:t>
      </w:r>
      <w:r w:rsidRPr="00476F09">
        <w:rPr>
          <w:rFonts w:cstheme="minorHAnsi"/>
          <w:sz w:val="24"/>
          <w:szCs w:val="24"/>
        </w:rPr>
        <w:t xml:space="preserve"> </w:t>
      </w:r>
      <w:hyperlink r:id="rId8" w:history="1">
        <w:r w:rsidR="00AC102B" w:rsidRPr="00AC102B">
          <w:rPr>
            <w:rStyle w:val="Hyperlink"/>
          </w:rPr>
          <w:t>Creative Commons Attribution 4.0 International</w:t>
        </w:r>
      </w:hyperlink>
      <w:r w:rsidR="00AC102B">
        <w:rPr>
          <w:rFonts w:cstheme="minorHAnsi"/>
          <w:sz w:val="24"/>
          <w:szCs w:val="24"/>
        </w:rPr>
        <w:t xml:space="preserve"> </w:t>
      </w:r>
      <w:r w:rsidRPr="002F1BC2">
        <w:t xml:space="preserve">licence, with the exception of the Commonwealth Coat of Arms, the </w:t>
      </w:r>
      <w:r w:rsidR="00422F18">
        <w:t xml:space="preserve">Australian Government </w:t>
      </w:r>
      <w:r w:rsidRPr="002F1BC2">
        <w:t>logo</w:t>
      </w:r>
      <w:r>
        <w:t xml:space="preserve">, photographs, images, </w:t>
      </w:r>
      <w:r w:rsidR="00372D99" w:rsidRPr="004F5ACF">
        <w:t>third party materials, materials protected by a trademark</w:t>
      </w:r>
      <w:r w:rsidR="00372D99">
        <w:t xml:space="preserve">, </w:t>
      </w:r>
      <w:r>
        <w:t xml:space="preserve">signatures </w:t>
      </w:r>
      <w:r w:rsidRPr="002F1BC2">
        <w:t>and where otherwise stated</w:t>
      </w:r>
      <w:r w:rsidR="00372D99">
        <w:t xml:space="preserve">. </w:t>
      </w:r>
      <w:r w:rsidRPr="002F1BC2">
        <w:t>The full licence terms are available from</w:t>
      </w:r>
      <w:r w:rsidRPr="00476F09">
        <w:rPr>
          <w:rFonts w:cstheme="minorHAnsi"/>
          <w:sz w:val="24"/>
          <w:szCs w:val="24"/>
        </w:rPr>
        <w:t xml:space="preserve"> </w:t>
      </w:r>
      <w:hyperlink r:id="rId9" w:history="1">
        <w:r w:rsidR="00372D99">
          <w:rPr>
            <w:rStyle w:val="Hyperlink"/>
          </w:rPr>
          <w:t>creativecommons.org/licenses/by/4.0/legalcode</w:t>
        </w:r>
      </w:hyperlink>
      <w:r w:rsidR="00AC102B">
        <w:rPr>
          <w:rFonts w:cstheme="minorHAnsi"/>
          <w:sz w:val="24"/>
          <w:szCs w:val="24"/>
        </w:rPr>
        <w:t xml:space="preserve">. </w:t>
      </w:r>
    </w:p>
    <w:p w14:paraId="193340A8" w14:textId="77777777" w:rsidR="000E0B74" w:rsidRDefault="000E0B74" w:rsidP="000E0B74">
      <w:pPr>
        <w:pStyle w:val="ChartGraphic"/>
        <w:jc w:val="left"/>
      </w:pPr>
      <w:r w:rsidRPr="00E56DFB">
        <w:rPr>
          <w:noProof/>
        </w:rPr>
        <w:drawing>
          <wp:inline distT="0" distB="0" distL="0" distR="0" wp14:anchorId="1AB859D2" wp14:editId="2D5A7C7F">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5E4426B9" w14:textId="30600AE6" w:rsidR="000E0B74" w:rsidRPr="006627B4" w:rsidRDefault="000E0B74" w:rsidP="000E0B74">
      <w:pPr>
        <w:tabs>
          <w:tab w:val="left" w:pos="1650"/>
        </w:tabs>
      </w:pPr>
      <w:r w:rsidRPr="006627B4">
        <w:t xml:space="preserve">Use of </w:t>
      </w:r>
      <w:r w:rsidR="00422F18">
        <w:t>Australian Government</w:t>
      </w:r>
      <w:r w:rsidRPr="006627B4">
        <w:t xml:space="preserve"> material under a</w:t>
      </w:r>
      <w:r w:rsidRPr="00476F09">
        <w:rPr>
          <w:rFonts w:cstheme="minorHAnsi"/>
          <w:sz w:val="24"/>
          <w:szCs w:val="24"/>
        </w:rPr>
        <w:t xml:space="preserve"> </w:t>
      </w:r>
      <w:hyperlink r:id="rId11" w:history="1">
        <w:r w:rsidR="00AC102B" w:rsidRPr="00AC102B">
          <w:rPr>
            <w:rStyle w:val="Hyperlink"/>
          </w:rPr>
          <w:t>Creative Commons Attribution 4.0 International</w:t>
        </w:r>
      </w:hyperlink>
      <w:r w:rsidR="00AC102B" w:rsidRPr="00AC102B">
        <w:rPr>
          <w:rFonts w:ascii="Calibri" w:hAnsi="Calibri"/>
          <w:color w:val="000000"/>
        </w:rPr>
        <w:t xml:space="preserve"> </w:t>
      </w:r>
      <w:r w:rsidRPr="006627B4">
        <w:t xml:space="preserve">licence requires you to attribute the work (but not in any way that suggests that </w:t>
      </w:r>
      <w:r w:rsidR="00422F18">
        <w:t>Australian Government</w:t>
      </w:r>
      <w:r w:rsidR="00412369" w:rsidRPr="006627B4">
        <w:t xml:space="preserve"> </w:t>
      </w:r>
      <w:r w:rsidRPr="006627B4">
        <w:t>endorse</w:t>
      </w:r>
      <w:r>
        <w:t>s you or your use of the work).</w:t>
      </w:r>
    </w:p>
    <w:p w14:paraId="778E8229" w14:textId="07502908" w:rsidR="000E0B74" w:rsidRPr="00372D99" w:rsidRDefault="00422F18" w:rsidP="006469CC">
      <w:pPr>
        <w:rPr>
          <w:rStyle w:val="Strong"/>
        </w:rPr>
      </w:pPr>
      <w:r w:rsidRPr="00422F18">
        <w:rPr>
          <w:rStyle w:val="Strong"/>
        </w:rPr>
        <w:t>Australian Government</w:t>
      </w:r>
      <w:r w:rsidR="00412369" w:rsidRPr="00372D99">
        <w:rPr>
          <w:rStyle w:val="Strong"/>
        </w:rPr>
        <w:t xml:space="preserve"> </w:t>
      </w:r>
      <w:r w:rsidR="000E0B74" w:rsidRPr="00372D99">
        <w:rPr>
          <w:rStyle w:val="Strong"/>
        </w:rPr>
        <w:t>material used ‘as supplied’</w:t>
      </w:r>
    </w:p>
    <w:p w14:paraId="312461DF" w14:textId="538CF2DC" w:rsidR="000E0B74" w:rsidRPr="00476F09" w:rsidRDefault="000E0B74" w:rsidP="000E0B74">
      <w:r w:rsidRPr="00476F09">
        <w:t xml:space="preserve">Provided you have not modified or transformed </w:t>
      </w:r>
      <w:r w:rsidR="00422F18">
        <w:t>Australian Government</w:t>
      </w:r>
      <w:r w:rsidR="00412369" w:rsidRPr="006627B4">
        <w:t xml:space="preserve"> </w:t>
      </w:r>
      <w:r w:rsidRPr="00476F09">
        <w:t>material in any way including, for example, by</w:t>
      </w:r>
      <w:r>
        <w:t xml:space="preserve"> </w:t>
      </w:r>
      <w:r w:rsidRPr="0096692D">
        <w:t xml:space="preserve">changing the </w:t>
      </w:r>
      <w:r w:rsidR="00422F18">
        <w:t>Australian Government</w:t>
      </w:r>
      <w:r w:rsidR="00412369" w:rsidRPr="006627B4">
        <w:t xml:space="preserve"> </w:t>
      </w:r>
      <w:r w:rsidRPr="0096692D">
        <w:t>text; calculating percentage changes; graphing or charting data</w:t>
      </w:r>
      <w:r>
        <w:t>;</w:t>
      </w:r>
      <w:r w:rsidRPr="0096692D">
        <w:t xml:space="preserve"> or deriving new statistics from published </w:t>
      </w:r>
      <w:r w:rsidR="00422F18">
        <w:t>Australian Government</w:t>
      </w:r>
      <w:r w:rsidR="00412369" w:rsidRPr="006627B4">
        <w:t xml:space="preserve"> </w:t>
      </w:r>
      <w:r w:rsidRPr="0096692D">
        <w:t>statistics</w:t>
      </w:r>
      <w:r>
        <w:t xml:space="preserve"> </w:t>
      </w:r>
      <w:r w:rsidR="007169B7">
        <w:t>–</w:t>
      </w:r>
      <w:r>
        <w:t xml:space="preserve"> then </w:t>
      </w:r>
      <w:r w:rsidR="00422F18">
        <w:t>Australian Government</w:t>
      </w:r>
      <w:r w:rsidR="00412369" w:rsidRPr="006627B4">
        <w:t xml:space="preserve"> </w:t>
      </w:r>
      <w:r>
        <w:t>prefers t</w:t>
      </w:r>
      <w:r w:rsidRPr="00476F09">
        <w:t xml:space="preserve">he following attribution: </w:t>
      </w:r>
    </w:p>
    <w:p w14:paraId="5BCB6EF8" w14:textId="77777777" w:rsidR="000E0B74" w:rsidRPr="00372D99" w:rsidRDefault="000E0B74" w:rsidP="000E0B74">
      <w:pPr>
        <w:ind w:firstLine="720"/>
        <w:rPr>
          <w:rStyle w:val="Emphasis"/>
        </w:rPr>
      </w:pPr>
      <w:r w:rsidRPr="00422F18">
        <w:t>Source:</w:t>
      </w:r>
      <w:r w:rsidRPr="00422F18">
        <w:rPr>
          <w:rStyle w:val="Emphasis"/>
        </w:rPr>
        <w:t xml:space="preserve"> </w:t>
      </w:r>
      <w:r w:rsidR="004327A3" w:rsidRPr="00422F18">
        <w:rPr>
          <w:rStyle w:val="Emphasis"/>
        </w:rPr>
        <w:t>The Commonwealth of Australia.</w:t>
      </w:r>
    </w:p>
    <w:p w14:paraId="266CFA76" w14:textId="77777777" w:rsidR="000E0B74" w:rsidRPr="00372D99" w:rsidRDefault="000E0B74" w:rsidP="000E0B74">
      <w:pPr>
        <w:rPr>
          <w:rStyle w:val="Strong"/>
        </w:rPr>
      </w:pPr>
      <w:r w:rsidRPr="00372D99">
        <w:rPr>
          <w:rStyle w:val="Strong"/>
        </w:rPr>
        <w:t>Derivative material</w:t>
      </w:r>
    </w:p>
    <w:p w14:paraId="3DD13697" w14:textId="3DFC6094" w:rsidR="000E0B74" w:rsidRPr="006627B4" w:rsidRDefault="000E0B74" w:rsidP="000E0B74">
      <w:r w:rsidRPr="006627B4">
        <w:t xml:space="preserve">If you have modified or transformed </w:t>
      </w:r>
      <w:r w:rsidR="00422F18">
        <w:t xml:space="preserve">Australian Government </w:t>
      </w:r>
      <w:r w:rsidRPr="006627B4">
        <w:t xml:space="preserve">material, or derived new material from those of the </w:t>
      </w:r>
      <w:r w:rsidR="00422F18">
        <w:t xml:space="preserve">Australian Government </w:t>
      </w:r>
      <w:r w:rsidRPr="006627B4">
        <w:t xml:space="preserve">in any way, then </w:t>
      </w:r>
      <w:r w:rsidR="00422F18">
        <w:t xml:space="preserve">Australian Government </w:t>
      </w:r>
      <w:r w:rsidRPr="006627B4">
        <w:t xml:space="preserve">prefers the following attribution: </w:t>
      </w:r>
    </w:p>
    <w:p w14:paraId="1E2821C3" w14:textId="77777777" w:rsidR="000E0B74" w:rsidRPr="00372D99" w:rsidRDefault="000E0B74" w:rsidP="000E0B74">
      <w:pPr>
        <w:ind w:firstLine="720"/>
        <w:rPr>
          <w:rStyle w:val="Emphasis"/>
        </w:rPr>
      </w:pPr>
      <w:r w:rsidRPr="00422F18">
        <w:rPr>
          <w:rStyle w:val="Emphasis"/>
        </w:rPr>
        <w:t xml:space="preserve">Based on </w:t>
      </w:r>
      <w:r w:rsidR="004327A3" w:rsidRPr="00422F18">
        <w:rPr>
          <w:rStyle w:val="Emphasis"/>
        </w:rPr>
        <w:t>Commonwealth of Australia</w:t>
      </w:r>
      <w:r w:rsidR="004327A3" w:rsidRPr="00422F18" w:rsidDel="002A3368">
        <w:rPr>
          <w:rStyle w:val="Emphasis"/>
        </w:rPr>
        <w:t xml:space="preserve"> </w:t>
      </w:r>
      <w:r w:rsidRPr="00422F18">
        <w:rPr>
          <w:rStyle w:val="Emphasis"/>
        </w:rPr>
        <w:t>data.</w:t>
      </w:r>
    </w:p>
    <w:p w14:paraId="04A406B1" w14:textId="77777777" w:rsidR="000E0B74" w:rsidRPr="00372D99" w:rsidRDefault="000E0B74" w:rsidP="000E0B74">
      <w:pPr>
        <w:rPr>
          <w:rStyle w:val="Strong"/>
        </w:rPr>
      </w:pPr>
      <w:r w:rsidRPr="00372D99">
        <w:rPr>
          <w:rStyle w:val="Strong"/>
        </w:rPr>
        <w:t>Use of the Coat of Arms</w:t>
      </w:r>
    </w:p>
    <w:p w14:paraId="23A16767" w14:textId="77777777" w:rsidR="005C503A" w:rsidRPr="005C503A" w:rsidRDefault="005C503A" w:rsidP="005C503A">
      <w:r w:rsidRPr="005C503A">
        <w:t xml:space="preserve">The terms under which the Coat of Arms can be used are set out on the Department of the Prime Minister and Cabinet website (see </w:t>
      </w:r>
      <w:hyperlink r:id="rId12" w:history="1">
        <w:r w:rsidR="00372D99">
          <w:rPr>
            <w:rStyle w:val="Hyperlink"/>
          </w:rPr>
          <w:t>www.pmc.gov.au/government/commonwealth-coat-arms</w:t>
        </w:r>
      </w:hyperlink>
      <w:r w:rsidRPr="005C503A">
        <w:t>).</w:t>
      </w:r>
    </w:p>
    <w:p w14:paraId="0208AF9E" w14:textId="77777777" w:rsidR="000E0B74" w:rsidRPr="00372D99" w:rsidRDefault="000E0B74" w:rsidP="000E0B74">
      <w:pPr>
        <w:rPr>
          <w:rStyle w:val="Strong"/>
        </w:rPr>
      </w:pPr>
      <w:r w:rsidRPr="00372D99">
        <w:rPr>
          <w:rStyle w:val="Strong"/>
        </w:rPr>
        <w:t>Other uses</w:t>
      </w:r>
    </w:p>
    <w:p w14:paraId="2245E1AB" w14:textId="77777777" w:rsidR="000E0B74" w:rsidRPr="006627B4" w:rsidRDefault="000E0B74" w:rsidP="000E0B74">
      <w:r>
        <w:t>E</w:t>
      </w:r>
      <w:r w:rsidRPr="006627B4">
        <w:t>nquiries regarding this licence and any other use of this document are welcome at:</w:t>
      </w:r>
    </w:p>
    <w:p w14:paraId="6DEF2979" w14:textId="77777777" w:rsidR="000E0B74" w:rsidRDefault="000E0B74" w:rsidP="000E0B74">
      <w:pPr>
        <w:ind w:left="720"/>
        <w:rPr>
          <w:rStyle w:val="Hyperlink"/>
        </w:rPr>
      </w:pPr>
      <w:r w:rsidRPr="00D63A45">
        <w:t>Manager</w:t>
      </w:r>
      <w:r w:rsidR="00A72960" w:rsidRPr="00D63A45">
        <w:br/>
      </w:r>
      <w:r w:rsidRPr="00D63A45">
        <w:t>Media Unit</w:t>
      </w:r>
      <w:r w:rsidRPr="00D63A45">
        <w:br/>
        <w:t>The Treasury</w:t>
      </w:r>
      <w:r w:rsidRPr="00D63A45">
        <w:br/>
        <w:t xml:space="preserve">Langton Crescent </w:t>
      </w:r>
      <w:r w:rsidRPr="00D63A45">
        <w:br/>
        <w:t>Parkes</w:t>
      </w:r>
      <w:r w:rsidR="005005F5" w:rsidRPr="00D63A45">
        <w:t> </w:t>
      </w:r>
      <w:r w:rsidRPr="00D63A45">
        <w:t>ACT</w:t>
      </w:r>
      <w:r w:rsidR="005005F5" w:rsidRPr="00D63A45">
        <w:t> </w:t>
      </w:r>
      <w:r w:rsidRPr="00D63A45">
        <w:t>2600</w:t>
      </w:r>
      <w:r w:rsidRPr="00D63A45">
        <w:br/>
        <w:t xml:space="preserve">Email: </w:t>
      </w:r>
      <w:hyperlink r:id="rId13" w:history="1">
        <w:r w:rsidR="001515FD" w:rsidRPr="00D63A45">
          <w:rPr>
            <w:rStyle w:val="Hyperlink"/>
          </w:rPr>
          <w:t>media@treasury.gov.au</w:t>
        </w:r>
      </w:hyperlink>
    </w:p>
    <w:p w14:paraId="0B16FB53" w14:textId="77777777" w:rsidR="00F836F9" w:rsidRDefault="00F836F9" w:rsidP="005005F5"/>
    <w:p w14:paraId="0BB45614" w14:textId="77777777" w:rsidR="005005F5" w:rsidRDefault="005005F5" w:rsidP="005005F5">
      <w:pPr>
        <w:sectPr w:rsidR="005005F5" w:rsidSect="00253878">
          <w:pgSz w:w="11906" w:h="16838" w:code="9"/>
          <w:pgMar w:top="1843" w:right="1418" w:bottom="1418" w:left="1418" w:header="709" w:footer="709" w:gutter="0"/>
          <w:pgNumType w:fmt="lowerRoman" w:start="0"/>
          <w:cols w:space="708"/>
          <w:titlePg/>
          <w:docGrid w:linePitch="360"/>
        </w:sectPr>
      </w:pPr>
    </w:p>
    <w:p w14:paraId="2056F637" w14:textId="7DE5263E" w:rsidR="000E0B74" w:rsidRPr="005005F5" w:rsidRDefault="000E0B74" w:rsidP="005005F5">
      <w:pPr>
        <w:pStyle w:val="Heading1"/>
      </w:pPr>
      <w:bookmarkStart w:id="0" w:name="_Toc192158502"/>
      <w:bookmarkStart w:id="1" w:name="_Toc192158512"/>
      <w:r w:rsidRPr="009E04E4">
        <w:lastRenderedPageBreak/>
        <w:t>Contents</w:t>
      </w:r>
      <w:bookmarkEnd w:id="0"/>
      <w:bookmarkEnd w:id="1"/>
    </w:p>
    <w:p w14:paraId="5E1A1268" w14:textId="5433B2C0" w:rsidR="00D63A45" w:rsidRDefault="000E0B74">
      <w:pPr>
        <w:pStyle w:val="TOC1"/>
        <w:rPr>
          <w:rFonts w:eastAsiaTheme="minorEastAsia" w:cstheme="minorBidi"/>
          <w:b w:val="0"/>
          <w:color w:val="auto"/>
          <w:kern w:val="2"/>
          <w:szCs w:val="24"/>
          <w14:ligatures w14:val="standardContextual"/>
        </w:rPr>
      </w:pPr>
      <w:r>
        <w:rPr>
          <w:color w:val="004A7F"/>
        </w:rPr>
        <w:fldChar w:fldCharType="begin"/>
      </w:r>
      <w:r w:rsidRPr="0025652F">
        <w:instrText xml:space="preserve"> TOC \o "1-3" \h \z \u </w:instrText>
      </w:r>
      <w:r>
        <w:rPr>
          <w:color w:val="004A7F"/>
        </w:rPr>
        <w:fldChar w:fldCharType="separate"/>
      </w:r>
      <w:hyperlink w:anchor="_Toc192158512" w:history="1">
        <w:r w:rsidR="00D63A45" w:rsidRPr="00155A42">
          <w:rPr>
            <w:rStyle w:val="Hyperlink"/>
          </w:rPr>
          <w:t>Contents</w:t>
        </w:r>
        <w:r w:rsidR="00D63A45">
          <w:rPr>
            <w:webHidden/>
          </w:rPr>
          <w:tab/>
        </w:r>
        <w:r w:rsidR="00D63A45">
          <w:rPr>
            <w:webHidden/>
          </w:rPr>
          <w:fldChar w:fldCharType="begin"/>
        </w:r>
        <w:r w:rsidR="00D63A45">
          <w:rPr>
            <w:webHidden/>
          </w:rPr>
          <w:instrText xml:space="preserve"> PAGEREF _Toc192158512 \h </w:instrText>
        </w:r>
        <w:r w:rsidR="00D63A45">
          <w:rPr>
            <w:webHidden/>
          </w:rPr>
        </w:r>
        <w:r w:rsidR="00D63A45">
          <w:rPr>
            <w:webHidden/>
          </w:rPr>
          <w:fldChar w:fldCharType="separate"/>
        </w:r>
        <w:r w:rsidR="00D63A45">
          <w:rPr>
            <w:webHidden/>
          </w:rPr>
          <w:t>iii</w:t>
        </w:r>
        <w:r w:rsidR="00D63A45">
          <w:rPr>
            <w:webHidden/>
          </w:rPr>
          <w:fldChar w:fldCharType="end"/>
        </w:r>
      </w:hyperlink>
    </w:p>
    <w:p w14:paraId="29410F0D" w14:textId="351335C4" w:rsidR="00D63A45" w:rsidRDefault="00F30775">
      <w:pPr>
        <w:pStyle w:val="TOC1"/>
        <w:rPr>
          <w:rFonts w:eastAsiaTheme="minorEastAsia" w:cstheme="minorBidi"/>
          <w:b w:val="0"/>
          <w:color w:val="auto"/>
          <w:kern w:val="2"/>
          <w:szCs w:val="24"/>
          <w14:ligatures w14:val="standardContextual"/>
        </w:rPr>
      </w:pPr>
      <w:hyperlink w:anchor="_Toc192158513" w:history="1">
        <w:r w:rsidR="00D63A45" w:rsidRPr="00155A42">
          <w:rPr>
            <w:rStyle w:val="Hyperlink"/>
          </w:rPr>
          <w:t>Introduction</w:t>
        </w:r>
        <w:r w:rsidR="00D63A45">
          <w:rPr>
            <w:webHidden/>
          </w:rPr>
          <w:tab/>
        </w:r>
        <w:r w:rsidR="00D63A45">
          <w:rPr>
            <w:webHidden/>
          </w:rPr>
          <w:fldChar w:fldCharType="begin"/>
        </w:r>
        <w:r w:rsidR="00D63A45">
          <w:rPr>
            <w:webHidden/>
          </w:rPr>
          <w:instrText xml:space="preserve"> PAGEREF _Toc192158513 \h </w:instrText>
        </w:r>
        <w:r w:rsidR="00D63A45">
          <w:rPr>
            <w:webHidden/>
          </w:rPr>
        </w:r>
        <w:r w:rsidR="00D63A45">
          <w:rPr>
            <w:webHidden/>
          </w:rPr>
          <w:fldChar w:fldCharType="separate"/>
        </w:r>
        <w:r w:rsidR="00D63A45">
          <w:rPr>
            <w:webHidden/>
          </w:rPr>
          <w:t>4</w:t>
        </w:r>
        <w:r w:rsidR="00D63A45">
          <w:rPr>
            <w:webHidden/>
          </w:rPr>
          <w:fldChar w:fldCharType="end"/>
        </w:r>
      </w:hyperlink>
    </w:p>
    <w:p w14:paraId="3FEB3572" w14:textId="0FAB9A81" w:rsidR="00D63A45" w:rsidRDefault="00F30775">
      <w:pPr>
        <w:pStyle w:val="TOC1"/>
        <w:rPr>
          <w:rFonts w:eastAsiaTheme="minorEastAsia" w:cstheme="minorBidi"/>
          <w:b w:val="0"/>
          <w:color w:val="auto"/>
          <w:kern w:val="2"/>
          <w:szCs w:val="24"/>
          <w14:ligatures w14:val="standardContextual"/>
        </w:rPr>
      </w:pPr>
      <w:hyperlink w:anchor="_Toc192158514" w:history="1">
        <w:r w:rsidR="00D63A45" w:rsidRPr="00155A42">
          <w:rPr>
            <w:rStyle w:val="Hyperlink"/>
          </w:rPr>
          <w:t>Government responses</w:t>
        </w:r>
        <w:r w:rsidR="00D63A45">
          <w:rPr>
            <w:webHidden/>
          </w:rPr>
          <w:tab/>
        </w:r>
        <w:r w:rsidR="00D63A45">
          <w:rPr>
            <w:webHidden/>
          </w:rPr>
          <w:fldChar w:fldCharType="begin"/>
        </w:r>
        <w:r w:rsidR="00D63A45">
          <w:rPr>
            <w:webHidden/>
          </w:rPr>
          <w:instrText xml:space="preserve"> PAGEREF _Toc192158514 \h </w:instrText>
        </w:r>
        <w:r w:rsidR="00D63A45">
          <w:rPr>
            <w:webHidden/>
          </w:rPr>
        </w:r>
        <w:r w:rsidR="00D63A45">
          <w:rPr>
            <w:webHidden/>
          </w:rPr>
          <w:fldChar w:fldCharType="separate"/>
        </w:r>
        <w:r w:rsidR="00D63A45">
          <w:rPr>
            <w:webHidden/>
          </w:rPr>
          <w:t>5</w:t>
        </w:r>
        <w:r w:rsidR="00D63A45">
          <w:rPr>
            <w:webHidden/>
          </w:rPr>
          <w:fldChar w:fldCharType="end"/>
        </w:r>
      </w:hyperlink>
    </w:p>
    <w:p w14:paraId="3D6E3A72" w14:textId="027E1D25" w:rsidR="00D63A45" w:rsidRDefault="00F30775">
      <w:pPr>
        <w:pStyle w:val="TOC2"/>
        <w:rPr>
          <w:rFonts w:eastAsiaTheme="minorEastAsia" w:cstheme="minorBidi"/>
          <w:color w:val="auto"/>
          <w:kern w:val="2"/>
          <w:sz w:val="24"/>
          <w:szCs w:val="24"/>
          <w14:ligatures w14:val="standardContextual"/>
        </w:rPr>
      </w:pPr>
      <w:hyperlink w:anchor="_Toc192158515" w:history="1">
        <w:r w:rsidR="00D63A45" w:rsidRPr="00155A42">
          <w:rPr>
            <w:rStyle w:val="Hyperlink"/>
          </w:rPr>
          <w:t>Recommendation 5.1</w:t>
        </w:r>
        <w:r w:rsidR="00D63A45">
          <w:rPr>
            <w:webHidden/>
          </w:rPr>
          <w:tab/>
        </w:r>
        <w:r w:rsidR="00D63A45">
          <w:rPr>
            <w:webHidden/>
          </w:rPr>
          <w:fldChar w:fldCharType="begin"/>
        </w:r>
        <w:r w:rsidR="00D63A45">
          <w:rPr>
            <w:webHidden/>
          </w:rPr>
          <w:instrText xml:space="preserve"> PAGEREF _Toc192158515 \h </w:instrText>
        </w:r>
        <w:r w:rsidR="00D63A45">
          <w:rPr>
            <w:webHidden/>
          </w:rPr>
        </w:r>
        <w:r w:rsidR="00D63A45">
          <w:rPr>
            <w:webHidden/>
          </w:rPr>
          <w:fldChar w:fldCharType="separate"/>
        </w:r>
        <w:r w:rsidR="00D63A45">
          <w:rPr>
            <w:webHidden/>
          </w:rPr>
          <w:t>5</w:t>
        </w:r>
        <w:r w:rsidR="00D63A45">
          <w:rPr>
            <w:webHidden/>
          </w:rPr>
          <w:fldChar w:fldCharType="end"/>
        </w:r>
      </w:hyperlink>
    </w:p>
    <w:p w14:paraId="48C4EDB2" w14:textId="4980181A" w:rsidR="00D63A45" w:rsidRDefault="00F30775">
      <w:pPr>
        <w:pStyle w:val="TOC3"/>
        <w:rPr>
          <w:rFonts w:eastAsiaTheme="minorEastAsia" w:cstheme="minorBidi"/>
          <w:color w:val="auto"/>
          <w:kern w:val="2"/>
          <w:sz w:val="24"/>
          <w:szCs w:val="24"/>
          <w14:ligatures w14:val="standardContextual"/>
        </w:rPr>
      </w:pPr>
      <w:hyperlink w:anchor="_Toc192158516" w:history="1">
        <w:r w:rsidR="00D63A45" w:rsidRPr="00155A42">
          <w:rPr>
            <w:rStyle w:val="Hyperlink"/>
          </w:rPr>
          <w:t>Government response</w:t>
        </w:r>
        <w:r w:rsidR="00D63A45">
          <w:rPr>
            <w:webHidden/>
          </w:rPr>
          <w:tab/>
        </w:r>
        <w:r w:rsidR="00D63A45">
          <w:rPr>
            <w:webHidden/>
          </w:rPr>
          <w:fldChar w:fldCharType="begin"/>
        </w:r>
        <w:r w:rsidR="00D63A45">
          <w:rPr>
            <w:webHidden/>
          </w:rPr>
          <w:instrText xml:space="preserve"> PAGEREF _Toc192158516 \h </w:instrText>
        </w:r>
        <w:r w:rsidR="00D63A45">
          <w:rPr>
            <w:webHidden/>
          </w:rPr>
        </w:r>
        <w:r w:rsidR="00D63A45">
          <w:rPr>
            <w:webHidden/>
          </w:rPr>
          <w:fldChar w:fldCharType="separate"/>
        </w:r>
        <w:r w:rsidR="00D63A45">
          <w:rPr>
            <w:webHidden/>
          </w:rPr>
          <w:t>5</w:t>
        </w:r>
        <w:r w:rsidR="00D63A45">
          <w:rPr>
            <w:webHidden/>
          </w:rPr>
          <w:fldChar w:fldCharType="end"/>
        </w:r>
      </w:hyperlink>
    </w:p>
    <w:p w14:paraId="45DFAE0A" w14:textId="2CDD74F8" w:rsidR="00D63A45" w:rsidRDefault="00F30775">
      <w:pPr>
        <w:pStyle w:val="TOC2"/>
        <w:rPr>
          <w:rFonts w:eastAsiaTheme="minorEastAsia" w:cstheme="minorBidi"/>
          <w:color w:val="auto"/>
          <w:kern w:val="2"/>
          <w:sz w:val="24"/>
          <w:szCs w:val="24"/>
          <w14:ligatures w14:val="standardContextual"/>
        </w:rPr>
      </w:pPr>
      <w:hyperlink w:anchor="_Toc192158517" w:history="1">
        <w:r w:rsidR="00D63A45" w:rsidRPr="00155A42">
          <w:rPr>
            <w:rStyle w:val="Hyperlink"/>
          </w:rPr>
          <w:t>Recommendation 13.1</w:t>
        </w:r>
        <w:r w:rsidR="00D63A45">
          <w:rPr>
            <w:webHidden/>
          </w:rPr>
          <w:tab/>
        </w:r>
        <w:r w:rsidR="00D63A45">
          <w:rPr>
            <w:webHidden/>
          </w:rPr>
          <w:fldChar w:fldCharType="begin"/>
        </w:r>
        <w:r w:rsidR="00D63A45">
          <w:rPr>
            <w:webHidden/>
          </w:rPr>
          <w:instrText xml:space="preserve"> PAGEREF _Toc192158517 \h </w:instrText>
        </w:r>
        <w:r w:rsidR="00D63A45">
          <w:rPr>
            <w:webHidden/>
          </w:rPr>
        </w:r>
        <w:r w:rsidR="00D63A45">
          <w:rPr>
            <w:webHidden/>
          </w:rPr>
          <w:fldChar w:fldCharType="separate"/>
        </w:r>
        <w:r w:rsidR="00D63A45">
          <w:rPr>
            <w:webHidden/>
          </w:rPr>
          <w:t>6</w:t>
        </w:r>
        <w:r w:rsidR="00D63A45">
          <w:rPr>
            <w:webHidden/>
          </w:rPr>
          <w:fldChar w:fldCharType="end"/>
        </w:r>
      </w:hyperlink>
    </w:p>
    <w:p w14:paraId="31249072" w14:textId="7532CB62" w:rsidR="00D63A45" w:rsidRDefault="00F30775">
      <w:pPr>
        <w:pStyle w:val="TOC3"/>
        <w:rPr>
          <w:rFonts w:eastAsiaTheme="minorEastAsia" w:cstheme="minorBidi"/>
          <w:color w:val="auto"/>
          <w:kern w:val="2"/>
          <w:sz w:val="24"/>
          <w:szCs w:val="24"/>
          <w14:ligatures w14:val="standardContextual"/>
        </w:rPr>
      </w:pPr>
      <w:hyperlink w:anchor="_Toc192158518" w:history="1">
        <w:r w:rsidR="00D63A45" w:rsidRPr="00155A42">
          <w:rPr>
            <w:rStyle w:val="Hyperlink"/>
          </w:rPr>
          <w:t>Government response</w:t>
        </w:r>
        <w:r w:rsidR="00D63A45">
          <w:rPr>
            <w:webHidden/>
          </w:rPr>
          <w:tab/>
        </w:r>
        <w:r w:rsidR="00D63A45">
          <w:rPr>
            <w:webHidden/>
          </w:rPr>
          <w:fldChar w:fldCharType="begin"/>
        </w:r>
        <w:r w:rsidR="00D63A45">
          <w:rPr>
            <w:webHidden/>
          </w:rPr>
          <w:instrText xml:space="preserve"> PAGEREF _Toc192158518 \h </w:instrText>
        </w:r>
        <w:r w:rsidR="00D63A45">
          <w:rPr>
            <w:webHidden/>
          </w:rPr>
        </w:r>
        <w:r w:rsidR="00D63A45">
          <w:rPr>
            <w:webHidden/>
          </w:rPr>
          <w:fldChar w:fldCharType="separate"/>
        </w:r>
        <w:r w:rsidR="00D63A45">
          <w:rPr>
            <w:webHidden/>
          </w:rPr>
          <w:t>6</w:t>
        </w:r>
        <w:r w:rsidR="00D63A45">
          <w:rPr>
            <w:webHidden/>
          </w:rPr>
          <w:fldChar w:fldCharType="end"/>
        </w:r>
      </w:hyperlink>
    </w:p>
    <w:p w14:paraId="62C644F2" w14:textId="7FA899BC" w:rsidR="00D63A45" w:rsidRDefault="00F30775">
      <w:pPr>
        <w:pStyle w:val="TOC2"/>
        <w:rPr>
          <w:rFonts w:eastAsiaTheme="minorEastAsia" w:cstheme="minorBidi"/>
          <w:color w:val="auto"/>
          <w:kern w:val="2"/>
          <w:sz w:val="24"/>
          <w:szCs w:val="24"/>
          <w14:ligatures w14:val="standardContextual"/>
        </w:rPr>
      </w:pPr>
      <w:hyperlink w:anchor="_Toc192158519" w:history="1">
        <w:r w:rsidR="00D63A45" w:rsidRPr="00155A42">
          <w:rPr>
            <w:rStyle w:val="Hyperlink"/>
          </w:rPr>
          <w:t>Recommendation 13.2</w:t>
        </w:r>
        <w:r w:rsidR="00D63A45">
          <w:rPr>
            <w:webHidden/>
          </w:rPr>
          <w:tab/>
        </w:r>
        <w:r w:rsidR="00D63A45">
          <w:rPr>
            <w:webHidden/>
          </w:rPr>
          <w:fldChar w:fldCharType="begin"/>
        </w:r>
        <w:r w:rsidR="00D63A45">
          <w:rPr>
            <w:webHidden/>
          </w:rPr>
          <w:instrText xml:space="preserve"> PAGEREF _Toc192158519 \h </w:instrText>
        </w:r>
        <w:r w:rsidR="00D63A45">
          <w:rPr>
            <w:webHidden/>
          </w:rPr>
        </w:r>
        <w:r w:rsidR="00D63A45">
          <w:rPr>
            <w:webHidden/>
          </w:rPr>
          <w:fldChar w:fldCharType="separate"/>
        </w:r>
        <w:r w:rsidR="00D63A45">
          <w:rPr>
            <w:webHidden/>
          </w:rPr>
          <w:t>7</w:t>
        </w:r>
        <w:r w:rsidR="00D63A45">
          <w:rPr>
            <w:webHidden/>
          </w:rPr>
          <w:fldChar w:fldCharType="end"/>
        </w:r>
      </w:hyperlink>
    </w:p>
    <w:p w14:paraId="6B4FE874" w14:textId="6B9B7178" w:rsidR="00D63A45" w:rsidRDefault="00F30775">
      <w:pPr>
        <w:pStyle w:val="TOC3"/>
        <w:rPr>
          <w:rFonts w:eastAsiaTheme="minorEastAsia" w:cstheme="minorBidi"/>
          <w:color w:val="auto"/>
          <w:kern w:val="2"/>
          <w:sz w:val="24"/>
          <w:szCs w:val="24"/>
          <w14:ligatures w14:val="standardContextual"/>
        </w:rPr>
      </w:pPr>
      <w:hyperlink w:anchor="_Toc192158520" w:history="1">
        <w:r w:rsidR="00D63A45" w:rsidRPr="00155A42">
          <w:rPr>
            <w:rStyle w:val="Hyperlink"/>
          </w:rPr>
          <w:t>Government response</w:t>
        </w:r>
        <w:r w:rsidR="00D63A45">
          <w:rPr>
            <w:webHidden/>
          </w:rPr>
          <w:tab/>
        </w:r>
        <w:r w:rsidR="00D63A45">
          <w:rPr>
            <w:webHidden/>
          </w:rPr>
          <w:fldChar w:fldCharType="begin"/>
        </w:r>
        <w:r w:rsidR="00D63A45">
          <w:rPr>
            <w:webHidden/>
          </w:rPr>
          <w:instrText xml:space="preserve"> PAGEREF _Toc192158520 \h </w:instrText>
        </w:r>
        <w:r w:rsidR="00D63A45">
          <w:rPr>
            <w:webHidden/>
          </w:rPr>
        </w:r>
        <w:r w:rsidR="00D63A45">
          <w:rPr>
            <w:webHidden/>
          </w:rPr>
          <w:fldChar w:fldCharType="separate"/>
        </w:r>
        <w:r w:rsidR="00D63A45">
          <w:rPr>
            <w:webHidden/>
          </w:rPr>
          <w:t>7</w:t>
        </w:r>
        <w:r w:rsidR="00D63A45">
          <w:rPr>
            <w:webHidden/>
          </w:rPr>
          <w:fldChar w:fldCharType="end"/>
        </w:r>
      </w:hyperlink>
    </w:p>
    <w:p w14:paraId="0B8BB614" w14:textId="3701688F" w:rsidR="00B775EE" w:rsidRPr="002F3D0F" w:rsidRDefault="000E0B74" w:rsidP="00D63A45">
      <w:pPr>
        <w:pStyle w:val="SingleParagraph"/>
        <w:ind w:right="-2"/>
      </w:pPr>
      <w:r>
        <w:fldChar w:fldCharType="end"/>
      </w:r>
      <w:bookmarkStart w:id="2" w:name="_Toc432067103"/>
      <w:bookmarkStart w:id="3" w:name="_Toc452635030"/>
      <w:r w:rsidR="00B775EE" w:rsidRPr="002F3D0F">
        <w:t xml:space="preserve"> </w:t>
      </w:r>
    </w:p>
    <w:p w14:paraId="09D4DE62" w14:textId="77777777" w:rsidR="00B775EE" w:rsidRDefault="00B775EE" w:rsidP="004E7897"/>
    <w:p w14:paraId="46640328" w14:textId="77777777" w:rsidR="004E7897" w:rsidRPr="00B775EE" w:rsidRDefault="004E7897" w:rsidP="004E7897">
      <w:pPr>
        <w:sectPr w:rsidR="004E7897" w:rsidRPr="00B775EE" w:rsidSect="008D43B4">
          <w:headerReference w:type="even" r:id="rId14"/>
          <w:headerReference w:type="default" r:id="rId15"/>
          <w:footerReference w:type="even" r:id="rId16"/>
          <w:headerReference w:type="first" r:id="rId17"/>
          <w:footerReference w:type="first" r:id="rId18"/>
          <w:pgSz w:w="11906" w:h="16838" w:code="9"/>
          <w:pgMar w:top="1843" w:right="1418" w:bottom="1418" w:left="1418" w:header="709" w:footer="709" w:gutter="0"/>
          <w:pgNumType w:fmt="lowerRoman" w:start="3"/>
          <w:cols w:space="708"/>
          <w:titlePg/>
          <w:docGrid w:linePitch="360"/>
        </w:sectPr>
      </w:pPr>
    </w:p>
    <w:p w14:paraId="29E6700D" w14:textId="4F42390A" w:rsidR="006C5B73" w:rsidRDefault="00D63A45" w:rsidP="009E04E4">
      <w:pPr>
        <w:pStyle w:val="Heading1"/>
      </w:pPr>
      <w:bookmarkStart w:id="4" w:name="_Toc192158503"/>
      <w:bookmarkStart w:id="5" w:name="_Toc192158513"/>
      <w:bookmarkEnd w:id="2"/>
      <w:bookmarkEnd w:id="3"/>
      <w:r>
        <w:lastRenderedPageBreak/>
        <w:t>Introduction</w:t>
      </w:r>
      <w:bookmarkEnd w:id="4"/>
      <w:bookmarkEnd w:id="5"/>
    </w:p>
    <w:p w14:paraId="086569C2" w14:textId="458E33CC" w:rsidR="006C5B73" w:rsidRDefault="00422F18" w:rsidP="006C5B73">
      <w:r w:rsidRPr="00422F18">
        <w:t xml:space="preserve">The Government's response addresses the recommendations directed at the Government. The remainder of the recommendations are directed to the Australian Taxation Office </w:t>
      </w:r>
      <w:r w:rsidR="00F35DB2">
        <w:t xml:space="preserve">(ATO) </w:t>
      </w:r>
      <w:r w:rsidRPr="00422F18">
        <w:t>as the administrator of Australia’s taxation laws.</w:t>
      </w:r>
    </w:p>
    <w:p w14:paraId="336A511E" w14:textId="6D34AF36" w:rsidR="00756524" w:rsidRDefault="00756524" w:rsidP="00756524">
      <w:pPr>
        <w:rPr>
          <w:color w:val="auto"/>
          <w:szCs w:val="22"/>
        </w:rPr>
      </w:pPr>
      <w:r>
        <w:rPr>
          <w:szCs w:val="22"/>
        </w:rPr>
        <w:t>The report confirms that the taxation of digital assets and transactions is already covered under existing tax law but the ATO can help improve certainty by providing additional guidance materials.</w:t>
      </w:r>
    </w:p>
    <w:p w14:paraId="4F84AD0E" w14:textId="77777777" w:rsidR="00756524" w:rsidRDefault="00756524" w:rsidP="00756524">
      <w:pPr>
        <w:rPr>
          <w:szCs w:val="22"/>
        </w:rPr>
      </w:pPr>
      <w:r>
        <w:rPr>
          <w:szCs w:val="22"/>
        </w:rPr>
        <w:t xml:space="preserve">In response to the report, the ATO has agreed to form a crypto working group which will consult with the industry and tax professionals to develop a package of publicly available crypto tax advice. </w:t>
      </w:r>
    </w:p>
    <w:p w14:paraId="1A3ACE84" w14:textId="77777777" w:rsidR="002A13B4" w:rsidRDefault="002A13B4" w:rsidP="006C5B73"/>
    <w:p w14:paraId="3596F272" w14:textId="77777777" w:rsidR="004E7897" w:rsidRDefault="004E7897">
      <w:pPr>
        <w:spacing w:before="0" w:after="160" w:line="259" w:lineRule="auto"/>
      </w:pPr>
    </w:p>
    <w:p w14:paraId="7ADFD760" w14:textId="77777777" w:rsidR="004E7897" w:rsidRDefault="004E7897">
      <w:pPr>
        <w:spacing w:before="0" w:after="160" w:line="259" w:lineRule="auto"/>
        <w:sectPr w:rsidR="004E7897" w:rsidSect="00B66783">
          <w:headerReference w:type="even" r:id="rId19"/>
          <w:headerReference w:type="default" r:id="rId20"/>
          <w:footerReference w:type="even" r:id="rId21"/>
          <w:footerReference w:type="default" r:id="rId22"/>
          <w:headerReference w:type="first" r:id="rId23"/>
          <w:footerReference w:type="first" r:id="rId24"/>
          <w:pgSz w:w="11906" w:h="16838" w:code="9"/>
          <w:pgMar w:top="1843" w:right="1418" w:bottom="1418" w:left="1418" w:header="709" w:footer="709" w:gutter="0"/>
          <w:cols w:space="708"/>
          <w:docGrid w:linePitch="360"/>
        </w:sectPr>
      </w:pPr>
    </w:p>
    <w:p w14:paraId="0994E126" w14:textId="406E033A" w:rsidR="00D63A45" w:rsidRDefault="00D63A45" w:rsidP="00D63A45">
      <w:pPr>
        <w:pStyle w:val="Heading1"/>
      </w:pPr>
      <w:bookmarkStart w:id="6" w:name="_Toc192158504"/>
      <w:bookmarkStart w:id="7" w:name="_Toc192158514"/>
      <w:r>
        <w:lastRenderedPageBreak/>
        <w:t>Government responses</w:t>
      </w:r>
      <w:bookmarkEnd w:id="6"/>
      <w:bookmarkEnd w:id="7"/>
    </w:p>
    <w:p w14:paraId="39DA8C06" w14:textId="5C7EDA98" w:rsidR="00BB0973" w:rsidRDefault="00D63A45" w:rsidP="00D63A45">
      <w:pPr>
        <w:pStyle w:val="Heading2"/>
      </w:pPr>
      <w:bookmarkStart w:id="8" w:name="_Toc192158505"/>
      <w:bookmarkStart w:id="9" w:name="_Toc192158515"/>
      <w:r w:rsidRPr="00D63A45">
        <w:t>Recommendation 5.1</w:t>
      </w:r>
      <w:bookmarkEnd w:id="8"/>
      <w:bookmarkEnd w:id="9"/>
    </w:p>
    <w:tbl>
      <w:tblPr>
        <w:tblStyle w:val="BoxStyle"/>
        <w:tblW w:w="5000" w:type="pct"/>
        <w:tblLook w:val="0600" w:firstRow="0" w:lastRow="0" w:firstColumn="0" w:lastColumn="0" w:noHBand="1" w:noVBand="1"/>
      </w:tblPr>
      <w:tblGrid>
        <w:gridCol w:w="9070"/>
      </w:tblGrid>
      <w:tr w:rsidR="00D63A45" w14:paraId="1E0579FF" w14:textId="77777777" w:rsidTr="00EA4BF1">
        <w:tc>
          <w:tcPr>
            <w:tcW w:w="5000" w:type="pct"/>
            <w:hideMark/>
          </w:tcPr>
          <w:p w14:paraId="4F4758F1" w14:textId="77777777" w:rsidR="00D63A45" w:rsidRDefault="00D63A45" w:rsidP="00D63A45">
            <w:pPr>
              <w:pStyle w:val="BoxText"/>
            </w:pPr>
            <w:r>
              <w:t>The Principles Framework developed by the Board promotes certainty, simplicity, integrity as well as competitive, revenue, technological and functional neutrality. It also ensures that the tax treatment of crypto assets and transactions should be based on existing ordinary tax principles, unless there are unforeseen or unintended outcomes.</w:t>
            </w:r>
          </w:p>
          <w:p w14:paraId="64A1057B" w14:textId="77777777" w:rsidR="00D63A45" w:rsidRDefault="00D63A45" w:rsidP="00D63A45">
            <w:r>
              <w:t xml:space="preserve">The Board recommends that the Principles Framework be used as a guide by the Government, when considering the suitability of amendments to current Australian taxation laws and/or any amendments to or creation of a new tax legislation for crypto assets and transactions. </w:t>
            </w:r>
          </w:p>
          <w:p w14:paraId="52EB0AAD" w14:textId="6E7BB673" w:rsidR="00D63A45" w:rsidRDefault="00D63A45" w:rsidP="00D63A45">
            <w:r w:rsidRPr="00D63A45">
              <w:t>In assessing any proposed measure by reference to the Principles Framework, all relevant factors should be considered. This may include features of the crypto ecosystem that give rise to risks and integrity concerns (see Chapter 4). For example, neutrality in principles 3, 4 and 5 needs to consider the inherent integrity risks that exist for crypto assets that do not exist for other traditional assets including cash, shares and property.</w:t>
            </w:r>
          </w:p>
        </w:tc>
      </w:tr>
    </w:tbl>
    <w:p w14:paraId="433951EC" w14:textId="0453040D" w:rsidR="00D63A45" w:rsidRDefault="00D63A45" w:rsidP="00D63A45">
      <w:pPr>
        <w:pStyle w:val="Heading3"/>
      </w:pPr>
      <w:bookmarkStart w:id="10" w:name="_Toc192158506"/>
      <w:bookmarkStart w:id="11" w:name="_Toc192158516"/>
      <w:r>
        <w:t>Government response</w:t>
      </w:r>
      <w:bookmarkEnd w:id="10"/>
      <w:bookmarkEnd w:id="11"/>
    </w:p>
    <w:p w14:paraId="0740ABCD" w14:textId="247A1D54" w:rsidR="00D63A45" w:rsidRDefault="00D63A45" w:rsidP="008D43B4">
      <w:r w:rsidRPr="00D63A45">
        <w:t>The Government agrees in principle with using the principles framework developed by the Board as a broad guide for assessing the suitability of any potential amendments to the tax laws in relation to digital assets and transactions.</w:t>
      </w:r>
    </w:p>
    <w:p w14:paraId="0B0F9B2E" w14:textId="4DFFBE55" w:rsidR="00D63A45" w:rsidRDefault="00D63A45">
      <w:pPr>
        <w:spacing w:before="0" w:after="160" w:line="259" w:lineRule="auto"/>
      </w:pPr>
      <w:r>
        <w:br w:type="page"/>
      </w:r>
    </w:p>
    <w:p w14:paraId="5A57376B" w14:textId="68FE56B8" w:rsidR="00D63A45" w:rsidRDefault="00D63A45" w:rsidP="00D63A45">
      <w:pPr>
        <w:pStyle w:val="Heading2"/>
      </w:pPr>
      <w:bookmarkStart w:id="12" w:name="_Toc192158507"/>
      <w:bookmarkStart w:id="13" w:name="_Toc192158517"/>
      <w:r w:rsidRPr="00D63A45">
        <w:lastRenderedPageBreak/>
        <w:t>Recommendation 13.1</w:t>
      </w:r>
      <w:bookmarkEnd w:id="12"/>
      <w:bookmarkEnd w:id="13"/>
    </w:p>
    <w:tbl>
      <w:tblPr>
        <w:tblStyle w:val="BoxStyle"/>
        <w:tblW w:w="5000" w:type="pct"/>
        <w:tblLook w:val="0600" w:firstRow="0" w:lastRow="0" w:firstColumn="0" w:lastColumn="0" w:noHBand="1" w:noVBand="1"/>
      </w:tblPr>
      <w:tblGrid>
        <w:gridCol w:w="9070"/>
      </w:tblGrid>
      <w:tr w:rsidR="00D63A45" w14:paraId="48E60AC6" w14:textId="77777777" w:rsidTr="00EA4BF1">
        <w:tc>
          <w:tcPr>
            <w:tcW w:w="5000" w:type="pct"/>
            <w:hideMark/>
          </w:tcPr>
          <w:p w14:paraId="3E2D11E4" w14:textId="14944DB5" w:rsidR="00D63A45" w:rsidRDefault="00D63A45" w:rsidP="00D63A45">
            <w:pPr>
              <w:pStyle w:val="BoxText"/>
            </w:pPr>
            <w:r>
              <w:t>Some options for crypto-specific legislative taxation regimes were raised with the Board during consultations.</w:t>
            </w:r>
          </w:p>
          <w:p w14:paraId="62143C88" w14:textId="77777777" w:rsidR="00D63A45" w:rsidRDefault="00D63A45" w:rsidP="00D63A45">
            <w:pPr>
              <w:pStyle w:val="BoxText"/>
            </w:pPr>
            <w:r>
              <w:t xml:space="preserve">The Board does not recommend the introduction of any crypto-specific legislative taxation regime at the present time, when the crypto ecosystem is changing and developing rapidly. Even if the crypto ecosystem was more settled, a crypto-specific legislative taxation regime could raise issues such as ensuring confined and applicable definitions, acting contrary to neutrality, potential integrity concerns, increased complexity and barriers to entry for a developing market. </w:t>
            </w:r>
          </w:p>
          <w:p w14:paraId="3D630C0B" w14:textId="79624E2F" w:rsidR="00D63A45" w:rsidRDefault="00D63A45" w:rsidP="00D63A45">
            <w:pPr>
              <w:pStyle w:val="BoxText"/>
            </w:pPr>
            <w:r>
              <w:t>Should the Government decide to explore the suitability of introducing a crypto-specific legislative taxation regime at some time in the future, the Government may decide to consider one or more of the options identified in this Chapter 13, which were the subject of varying levels of discussion during the Review.</w:t>
            </w:r>
          </w:p>
          <w:p w14:paraId="67913689" w14:textId="1BD1C549" w:rsidR="00D63A45" w:rsidRDefault="00D63A45" w:rsidP="00D63A45">
            <w:r>
              <w:t>Should the Government decide to consider any of these options in the future, the Board recommends that the Government undertake further consultation with key stakeholders and a further detailed review in relation to any option that it might consider.</w:t>
            </w:r>
          </w:p>
        </w:tc>
      </w:tr>
    </w:tbl>
    <w:p w14:paraId="3C382213" w14:textId="77777777" w:rsidR="00D63A45" w:rsidRDefault="00D63A45" w:rsidP="00D63A45">
      <w:pPr>
        <w:pStyle w:val="Heading3"/>
      </w:pPr>
      <w:bookmarkStart w:id="14" w:name="_Toc192158508"/>
      <w:bookmarkStart w:id="15" w:name="_Toc192158518"/>
      <w:r>
        <w:t>Government response</w:t>
      </w:r>
      <w:bookmarkEnd w:id="14"/>
      <w:bookmarkEnd w:id="15"/>
    </w:p>
    <w:p w14:paraId="219DD887" w14:textId="77777777" w:rsidR="00D63A45" w:rsidRDefault="00D63A45" w:rsidP="00D63A45">
      <w:pPr>
        <w:spacing w:before="0" w:after="160" w:line="259" w:lineRule="auto"/>
      </w:pPr>
      <w:r w:rsidRPr="00D63A45">
        <w:t>The Government agrees that no crypto specific taxation legislation should be introduced at the current time.</w:t>
      </w:r>
    </w:p>
    <w:p w14:paraId="5B5BC7DC" w14:textId="48709200" w:rsidR="00D63A45" w:rsidRDefault="00D63A45" w:rsidP="00D63A45">
      <w:pPr>
        <w:spacing w:before="0" w:after="160" w:line="259" w:lineRule="auto"/>
      </w:pPr>
      <w:r>
        <w:br w:type="page"/>
      </w:r>
    </w:p>
    <w:p w14:paraId="6BE112D5" w14:textId="48E0BCDC" w:rsidR="00D63A45" w:rsidRDefault="00D63A45" w:rsidP="00D63A45">
      <w:pPr>
        <w:pStyle w:val="Heading2"/>
      </w:pPr>
      <w:bookmarkStart w:id="16" w:name="_Toc192158509"/>
      <w:bookmarkStart w:id="17" w:name="_Toc192158519"/>
      <w:r w:rsidRPr="00D63A45">
        <w:lastRenderedPageBreak/>
        <w:t>Recommendation 13.</w:t>
      </w:r>
      <w:r>
        <w:t>2</w:t>
      </w:r>
      <w:bookmarkEnd w:id="16"/>
      <w:bookmarkEnd w:id="17"/>
    </w:p>
    <w:tbl>
      <w:tblPr>
        <w:tblStyle w:val="BoxStyle"/>
        <w:tblW w:w="5000" w:type="pct"/>
        <w:tblLook w:val="0600" w:firstRow="0" w:lastRow="0" w:firstColumn="0" w:lastColumn="0" w:noHBand="1" w:noVBand="1"/>
      </w:tblPr>
      <w:tblGrid>
        <w:gridCol w:w="9070"/>
      </w:tblGrid>
      <w:tr w:rsidR="00D63A45" w14:paraId="44D149C3" w14:textId="77777777" w:rsidTr="00EA4BF1">
        <w:tc>
          <w:tcPr>
            <w:tcW w:w="5000" w:type="pct"/>
            <w:hideMark/>
          </w:tcPr>
          <w:p w14:paraId="14DB4F73" w14:textId="77777777" w:rsidR="00D63A45" w:rsidRDefault="00D63A45" w:rsidP="00D63A45">
            <w:pPr>
              <w:pStyle w:val="BoxText"/>
            </w:pPr>
            <w:r>
              <w:t xml:space="preserve">The Board’s stakeholder consultations together with its own research indicates that areas in the crypto ecosystem that are currently increasing in scale and developing at a particularly fast rate are Decentralised Autonomous Organisations (DAOs), Decentralised Finance (DeFi), Gaming Finance (GameFi), and Non-Fungible Tokens (NFTs). </w:t>
            </w:r>
          </w:p>
          <w:p w14:paraId="3C83A121" w14:textId="77777777" w:rsidR="00D63A45" w:rsidRDefault="00D63A45" w:rsidP="00D63A45">
            <w:pPr>
              <w:pStyle w:val="BoxText"/>
            </w:pPr>
            <w:r>
              <w:t xml:space="preserve">The Government may like to consider undertaking further work in relation to the taxation implications of these four areas in the future particularly in light of any policy responses made to the regulation of such activities.  </w:t>
            </w:r>
          </w:p>
          <w:p w14:paraId="4207EB0E" w14:textId="6E590691" w:rsidR="00D63A45" w:rsidRDefault="00D63A45" w:rsidP="00D63A45">
            <w:r>
              <w:t>In the meantime, the Board recommends that the ATO continue to consider the tax treatment of new and evolving crypto assets and transactions in accordance with existing rules and principles, including in relation to these four areas.</w:t>
            </w:r>
          </w:p>
        </w:tc>
      </w:tr>
    </w:tbl>
    <w:p w14:paraId="2C0787DF" w14:textId="77777777" w:rsidR="00D63A45" w:rsidRDefault="00D63A45" w:rsidP="00D63A45">
      <w:pPr>
        <w:pStyle w:val="Heading3"/>
      </w:pPr>
      <w:bookmarkStart w:id="18" w:name="_Toc192158510"/>
      <w:bookmarkStart w:id="19" w:name="_Toc192158520"/>
      <w:r>
        <w:t>Government response</w:t>
      </w:r>
      <w:bookmarkEnd w:id="18"/>
      <w:bookmarkEnd w:id="19"/>
    </w:p>
    <w:p w14:paraId="31BAB389" w14:textId="77777777" w:rsidR="00D63A45" w:rsidRDefault="00D63A45" w:rsidP="00D63A45">
      <w:pPr>
        <w:spacing w:before="0" w:after="160" w:line="259" w:lineRule="auto"/>
      </w:pPr>
      <w:r w:rsidRPr="00D63A45">
        <w:t xml:space="preserve">The Government notes that DAOs, DeFi, GameFi, and NFTs are four areas that may benefit from further consideration as the market develops. </w:t>
      </w:r>
    </w:p>
    <w:p w14:paraId="2F8ED390" w14:textId="6E1188D1" w:rsidR="00D63A45" w:rsidRDefault="00D63A45" w:rsidP="00D63A45">
      <w:pPr>
        <w:spacing w:before="0" w:after="160" w:line="259" w:lineRule="auto"/>
      </w:pPr>
      <w:r>
        <w:br w:type="page"/>
      </w:r>
    </w:p>
    <w:p w14:paraId="6735A808" w14:textId="77777777" w:rsidR="00D63A45" w:rsidRDefault="00D63A45" w:rsidP="008D43B4"/>
    <w:sectPr w:rsidR="00D63A45" w:rsidSect="00B66783">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DB0F3" w14:textId="77777777" w:rsidR="0041257F" w:rsidRDefault="0041257F">
      <w:pPr>
        <w:spacing w:before="0" w:after="0"/>
      </w:pPr>
      <w:r>
        <w:separator/>
      </w:r>
    </w:p>
  </w:endnote>
  <w:endnote w:type="continuationSeparator" w:id="0">
    <w:p w14:paraId="60D87AFA" w14:textId="77777777" w:rsidR="0041257F" w:rsidRDefault="004125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28C2" w14:textId="77777777" w:rsidR="00B55B04" w:rsidRPr="00577281" w:rsidRDefault="0088666B" w:rsidP="00577281">
    <w:pPr>
      <w:pStyle w:val="FooterEven"/>
    </w:pPr>
    <w:r w:rsidRPr="00577281">
      <w:fldChar w:fldCharType="begin"/>
    </w:r>
    <w:r w:rsidRPr="00577281">
      <w:instrText xml:space="preserve"> PAGE   \* MERGEFORMAT </w:instrText>
    </w:r>
    <w:r w:rsidRPr="00577281">
      <w:fldChar w:fldCharType="separate"/>
    </w:r>
    <w:r w:rsidRPr="00577281">
      <w:t>2</w:t>
    </w:r>
    <w:r w:rsidRPr="00577281">
      <w:fldChar w:fldCharType="end"/>
    </w:r>
    <w:r w:rsidRPr="00577281">
      <w:t xml:space="preserve"> | </w:t>
    </w:r>
    <w:r w:rsidR="00F30775">
      <w:fldChar w:fldCharType="begin"/>
    </w:r>
    <w:r w:rsidR="00F30775">
      <w:instrText xml:space="preserve"> STYLEREF  Title  \* MERGEFORMAT </w:instrText>
    </w:r>
    <w:r w:rsidR="00F30775">
      <w:fldChar w:fldCharType="separate"/>
    </w:r>
    <w:r w:rsidR="00422F18">
      <w:t>Report</w:t>
    </w:r>
    <w:r w:rsidR="00F30775">
      <w:fldChar w:fldCharType="end"/>
    </w:r>
    <w:r w:rsidR="00F30775">
      <w:fldChar w:fldCharType="begin"/>
    </w:r>
    <w:r w:rsidR="00F30775">
      <w:instrText xml:space="preserve"> STYLEREF  Title  \* MERGEFORMAT </w:instrText>
    </w:r>
    <w:r w:rsidR="00F30775">
      <w:fldChar w:fldCharType="separate"/>
    </w:r>
    <w:r w:rsidR="00422F18">
      <w:t>Report</w:t>
    </w:r>
    <w:r w:rsidR="00F3077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A4BC" w14:textId="0CCC99D1" w:rsidR="00B55B04" w:rsidRDefault="00B55B04" w:rsidP="003C6534">
    <w:pPr>
      <w:pStyle w:val="FooterOdd"/>
    </w:pPr>
    <w:r>
      <w:ptab w:relativeTo="margin" w:alignment="right" w:leader="none"/>
    </w:r>
    <w:r w:rsidR="00F30775">
      <w:fldChar w:fldCharType="begin"/>
    </w:r>
    <w:r w:rsidR="00F30775">
      <w:instrText xml:space="preserve"> STYLEREF  "Heading 1"  \* MERGEFORMAT </w:instrText>
    </w:r>
    <w:r w:rsidR="00F30775">
      <w:fldChar w:fldCharType="separate"/>
    </w:r>
    <w:r w:rsidR="00F30775">
      <w:rPr>
        <w:noProof/>
      </w:rPr>
      <w:t>Contents</w:t>
    </w:r>
    <w:r w:rsidR="00F30775">
      <w:rPr>
        <w:noProof/>
      </w:rPr>
      <w:fldChar w:fldCharType="end"/>
    </w:r>
    <w:r>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5C2E8" w14:textId="43688834" w:rsidR="00C60B0F" w:rsidRPr="00C60B0F" w:rsidRDefault="00C60B0F" w:rsidP="00C60B0F">
    <w:pPr>
      <w:pStyle w:val="FooterEven"/>
    </w:pPr>
    <w:r w:rsidRPr="00C60B0F">
      <w:fldChar w:fldCharType="begin"/>
    </w:r>
    <w:r w:rsidRPr="00C60B0F">
      <w:instrText xml:space="preserve"> PAGE   \* MERGEFORMAT </w:instrText>
    </w:r>
    <w:r w:rsidRPr="00C60B0F">
      <w:fldChar w:fldCharType="separate"/>
    </w:r>
    <w:r w:rsidRPr="00C60B0F">
      <w:t>2</w:t>
    </w:r>
    <w:r w:rsidRPr="00C60B0F">
      <w:fldChar w:fldCharType="end"/>
    </w:r>
    <w:r w:rsidRPr="00C60B0F">
      <w:t xml:space="preserve"> | </w:t>
    </w:r>
    <w:r w:rsidR="00F30775">
      <w:fldChar w:fldCharType="begin"/>
    </w:r>
    <w:r w:rsidR="00F30775">
      <w:instrText xml:space="preserve"> STYLEREF  "Heading 1"  \* MERGEFORMAT </w:instrText>
    </w:r>
    <w:r w:rsidR="00F30775">
      <w:fldChar w:fldCharType="separate"/>
    </w:r>
    <w:r w:rsidR="00F30775">
      <w:t>Government responses</w:t>
    </w:r>
    <w:r w:rsidR="00F3077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6E36" w14:textId="64F1E390" w:rsidR="00C60B0F" w:rsidRPr="001515FD" w:rsidRDefault="00F30775" w:rsidP="00AB738A">
    <w:pPr>
      <w:pStyle w:val="FooterOdd"/>
    </w:pPr>
    <w:r>
      <w:fldChar w:fldCharType="begin"/>
    </w:r>
    <w:r>
      <w:instrText xml:space="preserve"> STYLEREF  "Heading 1"  \* MERGEFORMAT </w:instrText>
    </w:r>
    <w:r>
      <w:fldChar w:fldCharType="separate"/>
    </w:r>
    <w:r>
      <w:rPr>
        <w:noProof/>
      </w:rPr>
      <w:t>Government responses</w:t>
    </w:r>
    <w:r>
      <w:rPr>
        <w:noProof/>
      </w:rPr>
      <w:fldChar w:fldCharType="end"/>
    </w:r>
    <w:r w:rsidR="00C60B0F">
      <w:t xml:space="preserve"> | </w:t>
    </w:r>
    <w:r w:rsidR="00C60B0F">
      <w:fldChar w:fldCharType="begin"/>
    </w:r>
    <w:r w:rsidR="00C60B0F">
      <w:instrText xml:space="preserve"> PAGE   \* MERGEFORMAT </w:instrText>
    </w:r>
    <w:r w:rsidR="00C60B0F">
      <w:fldChar w:fldCharType="separate"/>
    </w:r>
    <w:r w:rsidR="00C60B0F">
      <w:t>1</w:t>
    </w:r>
    <w:r w:rsidR="00C60B0F">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2D08" w14:textId="77777777" w:rsidR="00C60B0F" w:rsidRDefault="00C60B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B339B" w14:textId="77777777" w:rsidR="0041257F" w:rsidRPr="00ED5A20" w:rsidRDefault="0041257F" w:rsidP="000F6233">
      <w:pPr>
        <w:rPr>
          <w:color w:val="B2B2B2" w:themeColor="accent2"/>
        </w:rPr>
      </w:pPr>
      <w:r w:rsidRPr="00ED5A20">
        <w:rPr>
          <w:color w:val="B2B2B2" w:themeColor="accent2"/>
        </w:rPr>
        <w:separator/>
      </w:r>
    </w:p>
  </w:footnote>
  <w:footnote w:type="continuationSeparator" w:id="0">
    <w:p w14:paraId="6E3F2876" w14:textId="77777777" w:rsidR="0041257F" w:rsidRPr="00B737EB" w:rsidRDefault="0041257F">
      <w:pPr>
        <w:spacing w:before="0" w:after="0"/>
        <w:rPr>
          <w:color w:val="E6E6E6" w:themeColor="accent1"/>
        </w:rPr>
      </w:pPr>
      <w:r w:rsidRPr="00B737EB">
        <w:rPr>
          <w:color w:val="E6E6E6" w:themeColor="accent1"/>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BEC5D" w14:textId="77777777" w:rsidR="00B55B04" w:rsidRPr="005C5571" w:rsidRDefault="00F30775" w:rsidP="005C5571">
    <w:pPr>
      <w:pStyle w:val="HeaderEven"/>
    </w:pPr>
    <w:r>
      <w:fldChar w:fldCharType="begin"/>
    </w:r>
    <w:r>
      <w:instrText xml:space="preserve"> STYLEREF  Title  \* MERGEFORMAT </w:instrText>
    </w:r>
    <w:r>
      <w:fldChar w:fldCharType="separate"/>
    </w:r>
    <w:r w:rsidR="00422F18">
      <w:rPr>
        <w:noProof/>
      </w:rPr>
      <w:t>Report</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33ACC" w14:textId="77777777" w:rsidR="00B55B04" w:rsidRPr="00F836F9" w:rsidRDefault="00B55B04" w:rsidP="00F836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DF1BA" w14:textId="77777777" w:rsidR="005C5571" w:rsidRPr="00647692" w:rsidRDefault="005C5571" w:rsidP="00420CD3">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8D999" w14:textId="50098134" w:rsidR="00C60B0F" w:rsidRPr="00D63A45" w:rsidRDefault="00D63A45" w:rsidP="00D63A45">
    <w:pPr>
      <w:pStyle w:val="Header"/>
      <w:rPr>
        <w:b/>
        <w:bCs/>
      </w:rPr>
    </w:pPr>
    <w:r w:rsidRPr="00D63A45">
      <w:rPr>
        <w:b/>
        <w:bCs/>
      </w:rPr>
      <w:t>Government Response to the Board of Taxation’s Review of the taxation treatment of digital assets and transactions in Australia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B5E39" w14:textId="355B1A7D" w:rsidR="00C60B0F" w:rsidRPr="00D63A45" w:rsidRDefault="00D63A45" w:rsidP="00D63A45">
    <w:pPr>
      <w:pStyle w:val="Header"/>
      <w:jc w:val="right"/>
      <w:rPr>
        <w:b/>
        <w:bCs/>
      </w:rPr>
    </w:pPr>
    <w:r w:rsidRPr="00D63A45">
      <w:rPr>
        <w:b/>
        <w:bCs/>
      </w:rPr>
      <w:t>Government Response to the Board of Taxation’s Review of the taxation treatment of digital assets and transactions in Australia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D2F82" w14:textId="77777777" w:rsidR="00C60B0F" w:rsidRDefault="00C60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03AA6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10;&#10;Description automatically generated with medium confidence" style="width:100.5pt;height:14.25pt;visibility:visible;mso-wrap-style:square" o:bullet="t">
        <v:imagedata r:id="rId1" o:title="Logo&#10;&#10;Description automatically generated with medium confidence"/>
      </v:shape>
    </w:pict>
  </w:numPicBullet>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72F8140E"/>
    <w:styleLink w:val="OutlineList"/>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6"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8C2710"/>
    <w:multiLevelType w:val="multilevel"/>
    <w:tmpl w:val="7F402170"/>
    <w:styleLink w:val="BulletedList"/>
    <w:lvl w:ilvl="0">
      <w:start w:val="1"/>
      <w:numFmt w:val="bullet"/>
      <w:lvlRestart w:val="0"/>
      <w:lvlText w:val="•"/>
      <w:lvlJc w:val="left"/>
      <w:pPr>
        <w:tabs>
          <w:tab w:val="num" w:pos="283"/>
        </w:tabs>
        <w:ind w:left="284" w:hanging="284"/>
      </w:pPr>
      <w:rPr>
        <w:rFonts w:ascii="Times New Roman" w:hAnsi="Times New Roman" w:cs="Times New Roman" w:hint="default"/>
        <w:b w:val="0"/>
        <w:i w:val="0"/>
      </w:rPr>
    </w:lvl>
    <w:lvl w:ilvl="1">
      <w:start w:val="1"/>
      <w:numFmt w:val="bullet"/>
      <w:lvlText w:val="–"/>
      <w:lvlJc w:val="left"/>
      <w:pPr>
        <w:tabs>
          <w:tab w:val="num" w:pos="567"/>
        </w:tabs>
        <w:ind w:left="568" w:hanging="284"/>
      </w:pPr>
      <w:rPr>
        <w:rFonts w:ascii="Times New Roman" w:hAnsi="Times New Roman" w:cs="Times New Roman" w:hint="default"/>
        <w:b w:val="0"/>
        <w:i w:val="0"/>
      </w:rPr>
    </w:lvl>
    <w:lvl w:ilvl="2">
      <w:start w:val="1"/>
      <w:numFmt w:val="bulle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8"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12" w15:restartNumberingAfterBreak="0">
    <w:nsid w:val="510D2021"/>
    <w:multiLevelType w:val="multilevel"/>
    <w:tmpl w:val="3A1A713E"/>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9BD7DFF"/>
    <w:multiLevelType w:val="multilevel"/>
    <w:tmpl w:val="55D42826"/>
    <w:name w:val="StandardBulletedList2"/>
    <w:lvl w:ilvl="0">
      <w:start w:val="1"/>
      <w:numFmt w:val="bullet"/>
      <w:pStyle w:val="Boxbullet"/>
      <w:lvlText w:val="•"/>
      <w:lvlJc w:val="left"/>
      <w:pPr>
        <w:ind w:left="284" w:hanging="284"/>
      </w:pPr>
      <w:rPr>
        <w:rFonts w:ascii="Times New Roman" w:hAnsi="Times New Roman" w:cs="Times New Roman" w:hint="default"/>
        <w:color w:val="auto"/>
      </w:rPr>
    </w:lvl>
    <w:lvl w:ilvl="1">
      <w:start w:val="1"/>
      <w:numFmt w:val="bullet"/>
      <w:pStyle w:val="Boxdash"/>
      <w:lvlText w:val="–"/>
      <w:lvlJc w:val="left"/>
      <w:pPr>
        <w:ind w:left="568" w:hanging="284"/>
      </w:pPr>
      <w:rPr>
        <w:rFonts w:ascii="Times New Roman" w:hAnsi="Times New Roman" w:cs="Times New Roman" w:hint="default"/>
      </w:rPr>
    </w:lvl>
    <w:lvl w:ilvl="2">
      <w:start w:val="1"/>
      <w:numFmt w:val="bullet"/>
      <w:pStyle w:val="Boxdoubledot"/>
      <w:lvlText w:val=":"/>
      <w:lvlJc w:val="left"/>
      <w:pPr>
        <w:ind w:left="852" w:hanging="284"/>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D6B5224"/>
    <w:multiLevelType w:val="multilevel"/>
    <w:tmpl w:val="31C0EF94"/>
    <w:name w:val="StandardBulletedList"/>
    <w:lvl w:ilvl="0">
      <w:start w:val="1"/>
      <w:numFmt w:val="bullet"/>
      <w:pStyle w:val="Bullet"/>
      <w:lvlText w:val="•"/>
      <w:lvlJc w:val="left"/>
      <w:pPr>
        <w:tabs>
          <w:tab w:val="num" w:pos="520"/>
        </w:tabs>
        <w:ind w:left="520" w:hanging="520"/>
      </w:pPr>
      <w:rPr>
        <w:rFonts w:ascii="Times New Roman" w:hAnsi="Times New Roman" w:cs="Times New Roman" w:hint="default"/>
        <w:color w:val="auto"/>
      </w:rPr>
    </w:lvl>
    <w:lvl w:ilvl="1">
      <w:start w:val="1"/>
      <w:numFmt w:val="bullet"/>
      <w:pStyle w:val="Dash"/>
      <w:lvlText w:val="–"/>
      <w:lvlJc w:val="left"/>
      <w:pPr>
        <w:tabs>
          <w:tab w:val="num" w:pos="1040"/>
        </w:tabs>
        <w:ind w:left="1040" w:hanging="520"/>
      </w:pPr>
      <w:rPr>
        <w:rFonts w:ascii="Times New Roman" w:hAnsi="Times New Roman" w:cs="Times New Roman" w:hint="default"/>
      </w:rPr>
    </w:lvl>
    <w:lvl w:ilvl="2">
      <w:start w:val="1"/>
      <w:numFmt w:val="bullet"/>
      <w:pStyle w:val="DoubleDo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tabs>
          <w:tab w:val="num" w:pos="1372"/>
        </w:tabs>
        <w:ind w:left="1136" w:hanging="284"/>
      </w:pPr>
      <w:rPr>
        <w:rFonts w:hint="default"/>
      </w:rPr>
    </w:lvl>
    <w:lvl w:ilvl="4">
      <w:start w:val="1"/>
      <w:numFmt w:val="lowerLetter"/>
      <w:lvlText w:val="(%5)"/>
      <w:lvlJc w:val="left"/>
      <w:pPr>
        <w:tabs>
          <w:tab w:val="num" w:pos="1656"/>
        </w:tabs>
        <w:ind w:left="1420" w:hanging="284"/>
      </w:pPr>
      <w:rPr>
        <w:rFonts w:hint="default"/>
      </w:rPr>
    </w:lvl>
    <w:lvl w:ilvl="5">
      <w:start w:val="1"/>
      <w:numFmt w:val="lowerRoman"/>
      <w:lvlText w:val="(%6)"/>
      <w:lvlJc w:val="left"/>
      <w:pPr>
        <w:tabs>
          <w:tab w:val="num" w:pos="1940"/>
        </w:tabs>
        <w:ind w:left="1704" w:hanging="284"/>
      </w:pPr>
      <w:rPr>
        <w:rFonts w:hint="default"/>
      </w:rPr>
    </w:lvl>
    <w:lvl w:ilvl="6">
      <w:start w:val="1"/>
      <w:numFmt w:val="decimal"/>
      <w:lvlText w:val="%7."/>
      <w:lvlJc w:val="left"/>
      <w:pPr>
        <w:tabs>
          <w:tab w:val="num" w:pos="2224"/>
        </w:tabs>
        <w:ind w:left="1988" w:hanging="284"/>
      </w:pPr>
      <w:rPr>
        <w:rFonts w:hint="default"/>
      </w:rPr>
    </w:lvl>
    <w:lvl w:ilvl="7">
      <w:start w:val="1"/>
      <w:numFmt w:val="lowerLetter"/>
      <w:lvlText w:val="%8."/>
      <w:lvlJc w:val="left"/>
      <w:pPr>
        <w:tabs>
          <w:tab w:val="num" w:pos="2508"/>
        </w:tabs>
        <w:ind w:left="2272" w:hanging="284"/>
      </w:pPr>
      <w:rPr>
        <w:rFonts w:hint="default"/>
      </w:rPr>
    </w:lvl>
    <w:lvl w:ilvl="8">
      <w:start w:val="1"/>
      <w:numFmt w:val="lowerRoman"/>
      <w:lvlText w:val="%9."/>
      <w:lvlJc w:val="left"/>
      <w:pPr>
        <w:tabs>
          <w:tab w:val="num" w:pos="2792"/>
        </w:tabs>
        <w:ind w:left="2556" w:hanging="284"/>
      </w:pPr>
      <w:rPr>
        <w:rFonts w:hint="default"/>
      </w:rPr>
    </w:lvl>
  </w:abstractNum>
  <w:abstractNum w:abstractNumId="18"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9"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747112092">
    <w:abstractNumId w:val="7"/>
  </w:num>
  <w:num w:numId="2" w16cid:durableId="125392115">
    <w:abstractNumId w:val="0"/>
  </w:num>
  <w:num w:numId="3" w16cid:durableId="1138493796">
    <w:abstractNumId w:val="10"/>
  </w:num>
  <w:num w:numId="4" w16cid:durableId="697198535">
    <w:abstractNumId w:val="2"/>
  </w:num>
  <w:num w:numId="5" w16cid:durableId="402218185">
    <w:abstractNumId w:val="3"/>
  </w:num>
  <w:num w:numId="6" w16cid:durableId="1530605932">
    <w:abstractNumId w:val="12"/>
  </w:num>
  <w:num w:numId="7" w16cid:durableId="1077706018">
    <w:abstractNumId w:val="9"/>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334606905">
    <w:abstractNumId w:val="4"/>
  </w:num>
  <w:num w:numId="9" w16cid:durableId="571887099">
    <w:abstractNumId w:val="1"/>
  </w:num>
  <w:num w:numId="10" w16cid:durableId="732696603">
    <w:abstractNumId w:val="6"/>
  </w:num>
  <w:num w:numId="11" w16cid:durableId="981886855">
    <w:abstractNumId w:val="18"/>
  </w:num>
  <w:num w:numId="12" w16cid:durableId="1542596121">
    <w:abstractNumId w:val="12"/>
  </w:num>
  <w:num w:numId="13" w16cid:durableId="920913257">
    <w:abstractNumId w:val="19"/>
  </w:num>
  <w:num w:numId="14" w16cid:durableId="1906601709">
    <w:abstractNumId w:val="11"/>
  </w:num>
  <w:num w:numId="15" w16cid:durableId="1810710942">
    <w:abstractNumId w:val="5"/>
  </w:num>
  <w:num w:numId="16" w16cid:durableId="289938751">
    <w:abstractNumId w:val="15"/>
  </w:num>
  <w:num w:numId="17" w16cid:durableId="157624863">
    <w:abstractNumId w:val="9"/>
  </w:num>
  <w:num w:numId="18" w16cid:durableId="447936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5251550">
    <w:abstractNumId w:val="17"/>
  </w:num>
  <w:num w:numId="20" w16cid:durableId="1948073332">
    <w:abstractNumId w:val="8"/>
  </w:num>
  <w:num w:numId="21" w16cid:durableId="207180920">
    <w:abstractNumId w:val="13"/>
  </w:num>
  <w:num w:numId="22" w16cid:durableId="1065297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18"/>
    <w:rsid w:val="00011725"/>
    <w:rsid w:val="00012805"/>
    <w:rsid w:val="00012C62"/>
    <w:rsid w:val="0001396A"/>
    <w:rsid w:val="0002544D"/>
    <w:rsid w:val="00033C83"/>
    <w:rsid w:val="0003540B"/>
    <w:rsid w:val="0004274D"/>
    <w:rsid w:val="00043348"/>
    <w:rsid w:val="0004483F"/>
    <w:rsid w:val="00046CB4"/>
    <w:rsid w:val="0005138B"/>
    <w:rsid w:val="000522B7"/>
    <w:rsid w:val="00053717"/>
    <w:rsid w:val="00056880"/>
    <w:rsid w:val="000675D1"/>
    <w:rsid w:val="00073521"/>
    <w:rsid w:val="000775DE"/>
    <w:rsid w:val="00087FAF"/>
    <w:rsid w:val="000A3675"/>
    <w:rsid w:val="000B093F"/>
    <w:rsid w:val="000B302A"/>
    <w:rsid w:val="000C571D"/>
    <w:rsid w:val="000C5F40"/>
    <w:rsid w:val="000E0B74"/>
    <w:rsid w:val="000E727D"/>
    <w:rsid w:val="000E7901"/>
    <w:rsid w:val="000F19AB"/>
    <w:rsid w:val="000F6233"/>
    <w:rsid w:val="00123AC0"/>
    <w:rsid w:val="00131DC3"/>
    <w:rsid w:val="00135E4C"/>
    <w:rsid w:val="001373F5"/>
    <w:rsid w:val="001515FD"/>
    <w:rsid w:val="001574C0"/>
    <w:rsid w:val="001606CF"/>
    <w:rsid w:val="0016128D"/>
    <w:rsid w:val="00164599"/>
    <w:rsid w:val="00165C2A"/>
    <w:rsid w:val="0017089D"/>
    <w:rsid w:val="001805A8"/>
    <w:rsid w:val="0019101A"/>
    <w:rsid w:val="00191CFE"/>
    <w:rsid w:val="00195C8E"/>
    <w:rsid w:val="00195CBF"/>
    <w:rsid w:val="001972D2"/>
    <w:rsid w:val="001A5383"/>
    <w:rsid w:val="001C358D"/>
    <w:rsid w:val="001C40A0"/>
    <w:rsid w:val="001C4EBD"/>
    <w:rsid w:val="001F1B27"/>
    <w:rsid w:val="00221EC0"/>
    <w:rsid w:val="00231049"/>
    <w:rsid w:val="002314D2"/>
    <w:rsid w:val="00232168"/>
    <w:rsid w:val="0023305C"/>
    <w:rsid w:val="00241881"/>
    <w:rsid w:val="0024294C"/>
    <w:rsid w:val="002437D1"/>
    <w:rsid w:val="002461BA"/>
    <w:rsid w:val="00253878"/>
    <w:rsid w:val="002543D8"/>
    <w:rsid w:val="0025652F"/>
    <w:rsid w:val="002608F1"/>
    <w:rsid w:val="00263B6C"/>
    <w:rsid w:val="00272939"/>
    <w:rsid w:val="0027590B"/>
    <w:rsid w:val="00275AA1"/>
    <w:rsid w:val="002835F6"/>
    <w:rsid w:val="00285969"/>
    <w:rsid w:val="00295B30"/>
    <w:rsid w:val="00296BB1"/>
    <w:rsid w:val="002A13B4"/>
    <w:rsid w:val="002A25B8"/>
    <w:rsid w:val="002A74EF"/>
    <w:rsid w:val="002A7A31"/>
    <w:rsid w:val="002B3829"/>
    <w:rsid w:val="002C22EF"/>
    <w:rsid w:val="002E1FB6"/>
    <w:rsid w:val="002E454C"/>
    <w:rsid w:val="002F1E8F"/>
    <w:rsid w:val="002F26A5"/>
    <w:rsid w:val="002F617F"/>
    <w:rsid w:val="00300109"/>
    <w:rsid w:val="00301755"/>
    <w:rsid w:val="0030665E"/>
    <w:rsid w:val="00306894"/>
    <w:rsid w:val="003074FE"/>
    <w:rsid w:val="003122F4"/>
    <w:rsid w:val="003268D5"/>
    <w:rsid w:val="00334176"/>
    <w:rsid w:val="0033755F"/>
    <w:rsid w:val="003448F6"/>
    <w:rsid w:val="00350388"/>
    <w:rsid w:val="00350759"/>
    <w:rsid w:val="00354D27"/>
    <w:rsid w:val="0035738A"/>
    <w:rsid w:val="00372D99"/>
    <w:rsid w:val="003744B0"/>
    <w:rsid w:val="00375655"/>
    <w:rsid w:val="003858A6"/>
    <w:rsid w:val="0039150C"/>
    <w:rsid w:val="00392DCC"/>
    <w:rsid w:val="00397BB5"/>
    <w:rsid w:val="003A5B36"/>
    <w:rsid w:val="003C24B4"/>
    <w:rsid w:val="003C6534"/>
    <w:rsid w:val="003D38A4"/>
    <w:rsid w:val="003E20D6"/>
    <w:rsid w:val="003E4D87"/>
    <w:rsid w:val="00401082"/>
    <w:rsid w:val="00410819"/>
    <w:rsid w:val="00412369"/>
    <w:rsid w:val="0041257F"/>
    <w:rsid w:val="00416762"/>
    <w:rsid w:val="00416E55"/>
    <w:rsid w:val="00420CD3"/>
    <w:rsid w:val="00421955"/>
    <w:rsid w:val="00422F18"/>
    <w:rsid w:val="004233EB"/>
    <w:rsid w:val="0042518A"/>
    <w:rsid w:val="004276A0"/>
    <w:rsid w:val="004327A3"/>
    <w:rsid w:val="00437EE9"/>
    <w:rsid w:val="00444A63"/>
    <w:rsid w:val="00445265"/>
    <w:rsid w:val="004559CE"/>
    <w:rsid w:val="00460E1A"/>
    <w:rsid w:val="00463DF8"/>
    <w:rsid w:val="00471F60"/>
    <w:rsid w:val="00475085"/>
    <w:rsid w:val="00476CF6"/>
    <w:rsid w:val="00477AA8"/>
    <w:rsid w:val="00492FCB"/>
    <w:rsid w:val="00497F86"/>
    <w:rsid w:val="004A0F11"/>
    <w:rsid w:val="004A3EAA"/>
    <w:rsid w:val="004A7D97"/>
    <w:rsid w:val="004B5133"/>
    <w:rsid w:val="004C2902"/>
    <w:rsid w:val="004C41B6"/>
    <w:rsid w:val="004D1036"/>
    <w:rsid w:val="004D6E37"/>
    <w:rsid w:val="004E00EA"/>
    <w:rsid w:val="004E307D"/>
    <w:rsid w:val="004E6B14"/>
    <w:rsid w:val="004E7897"/>
    <w:rsid w:val="004F4B92"/>
    <w:rsid w:val="005005F5"/>
    <w:rsid w:val="00501B6C"/>
    <w:rsid w:val="00502A9D"/>
    <w:rsid w:val="00516785"/>
    <w:rsid w:val="0052419D"/>
    <w:rsid w:val="005301F8"/>
    <w:rsid w:val="005312FC"/>
    <w:rsid w:val="00532C6D"/>
    <w:rsid w:val="0053569E"/>
    <w:rsid w:val="0053603D"/>
    <w:rsid w:val="0053742A"/>
    <w:rsid w:val="00537C85"/>
    <w:rsid w:val="00541D29"/>
    <w:rsid w:val="00543F23"/>
    <w:rsid w:val="0055639F"/>
    <w:rsid w:val="00562F17"/>
    <w:rsid w:val="00565232"/>
    <w:rsid w:val="0056582C"/>
    <w:rsid w:val="00577281"/>
    <w:rsid w:val="005776B2"/>
    <w:rsid w:val="00586605"/>
    <w:rsid w:val="005868DE"/>
    <w:rsid w:val="005877AC"/>
    <w:rsid w:val="00594C70"/>
    <w:rsid w:val="005966B7"/>
    <w:rsid w:val="005B5E2A"/>
    <w:rsid w:val="005C02A4"/>
    <w:rsid w:val="005C20D2"/>
    <w:rsid w:val="005C32FE"/>
    <w:rsid w:val="005C503A"/>
    <w:rsid w:val="005C5571"/>
    <w:rsid w:val="005D024A"/>
    <w:rsid w:val="005D4FD4"/>
    <w:rsid w:val="005D6D64"/>
    <w:rsid w:val="00601650"/>
    <w:rsid w:val="00604EEF"/>
    <w:rsid w:val="00605AFD"/>
    <w:rsid w:val="00611F76"/>
    <w:rsid w:val="006123D4"/>
    <w:rsid w:val="0061445B"/>
    <w:rsid w:val="00624C4B"/>
    <w:rsid w:val="006469CC"/>
    <w:rsid w:val="00647692"/>
    <w:rsid w:val="00672B5D"/>
    <w:rsid w:val="0067622C"/>
    <w:rsid w:val="00682249"/>
    <w:rsid w:val="00685CF7"/>
    <w:rsid w:val="00686165"/>
    <w:rsid w:val="00691CB5"/>
    <w:rsid w:val="006923DF"/>
    <w:rsid w:val="006A37F5"/>
    <w:rsid w:val="006B38FF"/>
    <w:rsid w:val="006C1892"/>
    <w:rsid w:val="006C5B73"/>
    <w:rsid w:val="006C645D"/>
    <w:rsid w:val="006E2D2A"/>
    <w:rsid w:val="006E3CC3"/>
    <w:rsid w:val="00706E8E"/>
    <w:rsid w:val="00713A4C"/>
    <w:rsid w:val="007169B7"/>
    <w:rsid w:val="00722B53"/>
    <w:rsid w:val="007341BE"/>
    <w:rsid w:val="00742366"/>
    <w:rsid w:val="00744484"/>
    <w:rsid w:val="007509DD"/>
    <w:rsid w:val="00756524"/>
    <w:rsid w:val="00763474"/>
    <w:rsid w:val="00766184"/>
    <w:rsid w:val="0078257B"/>
    <w:rsid w:val="00783D75"/>
    <w:rsid w:val="00784C0A"/>
    <w:rsid w:val="00790447"/>
    <w:rsid w:val="00794B40"/>
    <w:rsid w:val="00796E26"/>
    <w:rsid w:val="007A1079"/>
    <w:rsid w:val="007B2677"/>
    <w:rsid w:val="007B76AB"/>
    <w:rsid w:val="007D592B"/>
    <w:rsid w:val="007D5AA6"/>
    <w:rsid w:val="007D7A91"/>
    <w:rsid w:val="007E6456"/>
    <w:rsid w:val="00811943"/>
    <w:rsid w:val="00815C81"/>
    <w:rsid w:val="008207F0"/>
    <w:rsid w:val="008311B8"/>
    <w:rsid w:val="00834243"/>
    <w:rsid w:val="008374C4"/>
    <w:rsid w:val="008467C9"/>
    <w:rsid w:val="00857969"/>
    <w:rsid w:val="00866C1D"/>
    <w:rsid w:val="00871DE1"/>
    <w:rsid w:val="00882CC4"/>
    <w:rsid w:val="008844AC"/>
    <w:rsid w:val="00884926"/>
    <w:rsid w:val="0088666B"/>
    <w:rsid w:val="00897F46"/>
    <w:rsid w:val="008A1B2D"/>
    <w:rsid w:val="008C4B22"/>
    <w:rsid w:val="008C50EF"/>
    <w:rsid w:val="008C5EC0"/>
    <w:rsid w:val="008C7F71"/>
    <w:rsid w:val="008D339F"/>
    <w:rsid w:val="008D43B4"/>
    <w:rsid w:val="008E6292"/>
    <w:rsid w:val="008F23EB"/>
    <w:rsid w:val="00906E61"/>
    <w:rsid w:val="00917E28"/>
    <w:rsid w:val="009250E6"/>
    <w:rsid w:val="00925AA5"/>
    <w:rsid w:val="0093540D"/>
    <w:rsid w:val="00937AF5"/>
    <w:rsid w:val="0094019D"/>
    <w:rsid w:val="00942C11"/>
    <w:rsid w:val="0094351F"/>
    <w:rsid w:val="009547F8"/>
    <w:rsid w:val="00962ACF"/>
    <w:rsid w:val="009729D4"/>
    <w:rsid w:val="00980759"/>
    <w:rsid w:val="009817B0"/>
    <w:rsid w:val="009821CE"/>
    <w:rsid w:val="009A277C"/>
    <w:rsid w:val="009A658F"/>
    <w:rsid w:val="009A65CD"/>
    <w:rsid w:val="009B088F"/>
    <w:rsid w:val="009B2249"/>
    <w:rsid w:val="009C2707"/>
    <w:rsid w:val="009C4692"/>
    <w:rsid w:val="009D2CFF"/>
    <w:rsid w:val="009E04E4"/>
    <w:rsid w:val="009E0CA5"/>
    <w:rsid w:val="009E171B"/>
    <w:rsid w:val="00A00436"/>
    <w:rsid w:val="00A015E8"/>
    <w:rsid w:val="00A07D47"/>
    <w:rsid w:val="00A10593"/>
    <w:rsid w:val="00A12F62"/>
    <w:rsid w:val="00A14FE9"/>
    <w:rsid w:val="00A24911"/>
    <w:rsid w:val="00A3749B"/>
    <w:rsid w:val="00A37D87"/>
    <w:rsid w:val="00A50D88"/>
    <w:rsid w:val="00A54654"/>
    <w:rsid w:val="00A56923"/>
    <w:rsid w:val="00A62E42"/>
    <w:rsid w:val="00A631B1"/>
    <w:rsid w:val="00A64A71"/>
    <w:rsid w:val="00A65143"/>
    <w:rsid w:val="00A65CD3"/>
    <w:rsid w:val="00A7236C"/>
    <w:rsid w:val="00A72960"/>
    <w:rsid w:val="00A72D8F"/>
    <w:rsid w:val="00A74815"/>
    <w:rsid w:val="00A93401"/>
    <w:rsid w:val="00A97160"/>
    <w:rsid w:val="00AA7D7E"/>
    <w:rsid w:val="00AB738A"/>
    <w:rsid w:val="00AC102B"/>
    <w:rsid w:val="00AC3196"/>
    <w:rsid w:val="00AC4065"/>
    <w:rsid w:val="00AE2F90"/>
    <w:rsid w:val="00B03DD6"/>
    <w:rsid w:val="00B214C6"/>
    <w:rsid w:val="00B3583B"/>
    <w:rsid w:val="00B37A8F"/>
    <w:rsid w:val="00B55B04"/>
    <w:rsid w:val="00B65347"/>
    <w:rsid w:val="00B65DE1"/>
    <w:rsid w:val="00B66783"/>
    <w:rsid w:val="00B72AF0"/>
    <w:rsid w:val="00B737EB"/>
    <w:rsid w:val="00B775EE"/>
    <w:rsid w:val="00B87927"/>
    <w:rsid w:val="00B97308"/>
    <w:rsid w:val="00BB00F3"/>
    <w:rsid w:val="00BB0973"/>
    <w:rsid w:val="00BB39C9"/>
    <w:rsid w:val="00BC6E69"/>
    <w:rsid w:val="00BD26AA"/>
    <w:rsid w:val="00BD2B12"/>
    <w:rsid w:val="00BD454F"/>
    <w:rsid w:val="00BD659D"/>
    <w:rsid w:val="00BE7EA5"/>
    <w:rsid w:val="00C01DCC"/>
    <w:rsid w:val="00C17787"/>
    <w:rsid w:val="00C202B3"/>
    <w:rsid w:val="00C21EE0"/>
    <w:rsid w:val="00C26EE8"/>
    <w:rsid w:val="00C30297"/>
    <w:rsid w:val="00C50B48"/>
    <w:rsid w:val="00C555AC"/>
    <w:rsid w:val="00C60B0F"/>
    <w:rsid w:val="00C713ED"/>
    <w:rsid w:val="00C72318"/>
    <w:rsid w:val="00C723D6"/>
    <w:rsid w:val="00C724E6"/>
    <w:rsid w:val="00C738B4"/>
    <w:rsid w:val="00C747A5"/>
    <w:rsid w:val="00C85314"/>
    <w:rsid w:val="00C964E0"/>
    <w:rsid w:val="00CA0116"/>
    <w:rsid w:val="00CA4BC0"/>
    <w:rsid w:val="00CA5CA8"/>
    <w:rsid w:val="00CB0157"/>
    <w:rsid w:val="00CB28E9"/>
    <w:rsid w:val="00CB5205"/>
    <w:rsid w:val="00CC2F27"/>
    <w:rsid w:val="00CC38AC"/>
    <w:rsid w:val="00CC559D"/>
    <w:rsid w:val="00CD0C13"/>
    <w:rsid w:val="00CD654B"/>
    <w:rsid w:val="00CE0DD3"/>
    <w:rsid w:val="00CE223E"/>
    <w:rsid w:val="00CE7B45"/>
    <w:rsid w:val="00CF3F0D"/>
    <w:rsid w:val="00D0497B"/>
    <w:rsid w:val="00D101F7"/>
    <w:rsid w:val="00D145F5"/>
    <w:rsid w:val="00D316A1"/>
    <w:rsid w:val="00D3285B"/>
    <w:rsid w:val="00D329F1"/>
    <w:rsid w:val="00D355F0"/>
    <w:rsid w:val="00D43AC8"/>
    <w:rsid w:val="00D50879"/>
    <w:rsid w:val="00D51610"/>
    <w:rsid w:val="00D54098"/>
    <w:rsid w:val="00D54F46"/>
    <w:rsid w:val="00D56113"/>
    <w:rsid w:val="00D63A45"/>
    <w:rsid w:val="00D643F4"/>
    <w:rsid w:val="00D833D9"/>
    <w:rsid w:val="00D83BD9"/>
    <w:rsid w:val="00D8644C"/>
    <w:rsid w:val="00D94DCF"/>
    <w:rsid w:val="00D94EAE"/>
    <w:rsid w:val="00DA586F"/>
    <w:rsid w:val="00DB08DA"/>
    <w:rsid w:val="00DB5E34"/>
    <w:rsid w:val="00DB7F09"/>
    <w:rsid w:val="00DC00E8"/>
    <w:rsid w:val="00DC1C56"/>
    <w:rsid w:val="00DC4756"/>
    <w:rsid w:val="00DC6379"/>
    <w:rsid w:val="00DC6AAD"/>
    <w:rsid w:val="00DC7A3B"/>
    <w:rsid w:val="00DE2763"/>
    <w:rsid w:val="00DE3A53"/>
    <w:rsid w:val="00DE3C77"/>
    <w:rsid w:val="00DE70F1"/>
    <w:rsid w:val="00DF6F61"/>
    <w:rsid w:val="00E03934"/>
    <w:rsid w:val="00E101C6"/>
    <w:rsid w:val="00E14C06"/>
    <w:rsid w:val="00E153EC"/>
    <w:rsid w:val="00E22D51"/>
    <w:rsid w:val="00E349A7"/>
    <w:rsid w:val="00E50E7C"/>
    <w:rsid w:val="00E51545"/>
    <w:rsid w:val="00E51D9E"/>
    <w:rsid w:val="00E537D1"/>
    <w:rsid w:val="00E567E6"/>
    <w:rsid w:val="00E56971"/>
    <w:rsid w:val="00E61484"/>
    <w:rsid w:val="00E65DDD"/>
    <w:rsid w:val="00E7017C"/>
    <w:rsid w:val="00E711D7"/>
    <w:rsid w:val="00E815E1"/>
    <w:rsid w:val="00E83A62"/>
    <w:rsid w:val="00E902B0"/>
    <w:rsid w:val="00E902E8"/>
    <w:rsid w:val="00E9296B"/>
    <w:rsid w:val="00E97C19"/>
    <w:rsid w:val="00EA23AC"/>
    <w:rsid w:val="00EA398F"/>
    <w:rsid w:val="00EA7C3D"/>
    <w:rsid w:val="00EB4B0B"/>
    <w:rsid w:val="00EB6878"/>
    <w:rsid w:val="00EC1E0E"/>
    <w:rsid w:val="00EC236D"/>
    <w:rsid w:val="00EC6B16"/>
    <w:rsid w:val="00ED5A20"/>
    <w:rsid w:val="00EE1447"/>
    <w:rsid w:val="00EE1BF1"/>
    <w:rsid w:val="00EE4864"/>
    <w:rsid w:val="00EE7744"/>
    <w:rsid w:val="00EF03E1"/>
    <w:rsid w:val="00EF145E"/>
    <w:rsid w:val="00EF2BBB"/>
    <w:rsid w:val="00F0082D"/>
    <w:rsid w:val="00F015AB"/>
    <w:rsid w:val="00F045E0"/>
    <w:rsid w:val="00F07C90"/>
    <w:rsid w:val="00F11922"/>
    <w:rsid w:val="00F20F8A"/>
    <w:rsid w:val="00F304A4"/>
    <w:rsid w:val="00F30775"/>
    <w:rsid w:val="00F33DB8"/>
    <w:rsid w:val="00F3408C"/>
    <w:rsid w:val="00F35DB2"/>
    <w:rsid w:val="00F514B8"/>
    <w:rsid w:val="00F51D7F"/>
    <w:rsid w:val="00F57BED"/>
    <w:rsid w:val="00F60198"/>
    <w:rsid w:val="00F669CD"/>
    <w:rsid w:val="00F737DB"/>
    <w:rsid w:val="00F73BCE"/>
    <w:rsid w:val="00F7613A"/>
    <w:rsid w:val="00F82746"/>
    <w:rsid w:val="00F836F9"/>
    <w:rsid w:val="00F845D7"/>
    <w:rsid w:val="00F92279"/>
    <w:rsid w:val="00FB4D21"/>
    <w:rsid w:val="00FB762B"/>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2C47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232"/>
    <w:pPr>
      <w:spacing w:before="240" w:after="240" w:line="240" w:lineRule="auto"/>
    </w:pPr>
    <w:rPr>
      <w:rFonts w:eastAsia="Times New Roman" w:cs="Times New Roman"/>
      <w:color w:val="000000" w:themeColor="text1"/>
      <w:szCs w:val="20"/>
      <w:lang w:eastAsia="en-AU"/>
    </w:rPr>
  </w:style>
  <w:style w:type="paragraph" w:styleId="Heading1">
    <w:name w:val="heading 1"/>
    <w:basedOn w:val="HeadingBase"/>
    <w:next w:val="Normal"/>
    <w:link w:val="Heading1Char"/>
    <w:qFormat/>
    <w:rsid w:val="0039150C"/>
    <w:pPr>
      <w:spacing w:before="600" w:line="460" w:lineRule="exact"/>
      <w:outlineLvl w:val="0"/>
    </w:pPr>
    <w:rPr>
      <w:b/>
      <w:bCs w:val="0"/>
      <w:sz w:val="56"/>
    </w:rPr>
  </w:style>
  <w:style w:type="paragraph" w:styleId="Heading2">
    <w:name w:val="heading 2"/>
    <w:basedOn w:val="HeadingBase"/>
    <w:next w:val="Normal"/>
    <w:link w:val="Heading2Char"/>
    <w:qFormat/>
    <w:rsid w:val="0039150C"/>
    <w:pPr>
      <w:spacing w:before="360" w:line="460" w:lineRule="exact"/>
      <w:outlineLvl w:val="1"/>
    </w:pPr>
    <w:rPr>
      <w:bCs w:val="0"/>
      <w:iCs/>
      <w:color w:val="4D4D4D" w:themeColor="accent6"/>
      <w:szCs w:val="28"/>
    </w:rPr>
  </w:style>
  <w:style w:type="paragraph" w:styleId="Heading3">
    <w:name w:val="heading 3"/>
    <w:basedOn w:val="HeadingBase"/>
    <w:next w:val="Normal"/>
    <w:link w:val="Heading3Char"/>
    <w:qFormat/>
    <w:rsid w:val="0039150C"/>
    <w:pPr>
      <w:spacing w:before="320" w:line="276" w:lineRule="auto"/>
      <w:outlineLvl w:val="2"/>
    </w:pPr>
    <w:rPr>
      <w:bCs w:val="0"/>
      <w:color w:val="5F5F5F" w:themeColor="accent5"/>
      <w:sz w:val="36"/>
      <w:szCs w:val="26"/>
    </w:rPr>
  </w:style>
  <w:style w:type="paragraph" w:styleId="Heading4">
    <w:name w:val="heading 4"/>
    <w:basedOn w:val="HeadingBase"/>
    <w:next w:val="Normal"/>
    <w:link w:val="Heading4Char"/>
    <w:qFormat/>
    <w:rsid w:val="0039150C"/>
    <w:pPr>
      <w:spacing w:before="280" w:line="276" w:lineRule="auto"/>
      <w:outlineLvl w:val="3"/>
    </w:pPr>
    <w:rPr>
      <w:rFonts w:ascii="Calibri Light" w:hAnsi="Calibri Light"/>
      <w:b/>
      <w:bCs w:val="0"/>
      <w:sz w:val="28"/>
      <w:szCs w:val="26"/>
    </w:rPr>
  </w:style>
  <w:style w:type="paragraph" w:styleId="Heading5">
    <w:name w:val="heading 5"/>
    <w:basedOn w:val="HeadingBase"/>
    <w:next w:val="Normal"/>
    <w:link w:val="Heading5Char"/>
    <w:rsid w:val="00296BB1"/>
    <w:pPr>
      <w:spacing w:before="240" w:after="0" w:line="276" w:lineRule="auto"/>
      <w:outlineLvl w:val="4"/>
    </w:pPr>
    <w:rPr>
      <w:bCs w:val="0"/>
      <w:iCs/>
      <w:color w:val="4D4D4D" w:themeColor="accent6"/>
      <w:sz w:val="25"/>
    </w:rPr>
  </w:style>
  <w:style w:type="paragraph" w:styleId="Heading6">
    <w:name w:val="heading 6"/>
    <w:basedOn w:val="HeadingBase"/>
    <w:next w:val="Normal"/>
    <w:link w:val="Heading6Char"/>
    <w:rsid w:val="00296BB1"/>
    <w:pPr>
      <w:spacing w:before="240" w:after="0" w:line="276" w:lineRule="auto"/>
      <w:outlineLvl w:val="5"/>
    </w:pPr>
    <w:rPr>
      <w:rFonts w:ascii="Calibri Light" w:hAnsi="Calibri Light"/>
      <w:b/>
      <w:bCs w:val="0"/>
      <w:color w:val="5F5F5F" w:themeColor="accent5"/>
      <w:sz w:val="2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50C"/>
    <w:rPr>
      <w:rFonts w:asciiTheme="majorHAnsi" w:eastAsia="Times New Roman" w:hAnsiTheme="majorHAnsi" w:cs="Arial"/>
      <w:b/>
      <w:color w:val="000000" w:themeColor="text1"/>
      <w:kern w:val="32"/>
      <w:sz w:val="56"/>
      <w:szCs w:val="36"/>
      <w:lang w:eastAsia="en-AU"/>
    </w:rPr>
  </w:style>
  <w:style w:type="character" w:customStyle="1" w:styleId="Heading2Char">
    <w:name w:val="Heading 2 Char"/>
    <w:basedOn w:val="DefaultParagraphFont"/>
    <w:link w:val="Heading2"/>
    <w:rsid w:val="0039150C"/>
    <w:rPr>
      <w:rFonts w:asciiTheme="majorHAnsi" w:eastAsia="Times New Roman" w:hAnsiTheme="majorHAnsi" w:cs="Arial"/>
      <w:iCs/>
      <w:color w:val="4D4D4D" w:themeColor="accent6"/>
      <w:kern w:val="32"/>
      <w:sz w:val="48"/>
      <w:szCs w:val="28"/>
      <w:lang w:eastAsia="en-AU"/>
    </w:rPr>
  </w:style>
  <w:style w:type="character" w:customStyle="1" w:styleId="Heading3Char">
    <w:name w:val="Heading 3 Char"/>
    <w:basedOn w:val="DefaultParagraphFont"/>
    <w:link w:val="Heading3"/>
    <w:rsid w:val="0039150C"/>
    <w:rPr>
      <w:rFonts w:asciiTheme="majorHAnsi" w:eastAsia="Times New Roman" w:hAnsiTheme="majorHAnsi" w:cs="Arial"/>
      <w:color w:val="5F5F5F" w:themeColor="accent5"/>
      <w:kern w:val="32"/>
      <w:sz w:val="36"/>
      <w:szCs w:val="26"/>
      <w:lang w:eastAsia="en-AU"/>
    </w:rPr>
  </w:style>
  <w:style w:type="character" w:customStyle="1" w:styleId="Heading4Char">
    <w:name w:val="Heading 4 Char"/>
    <w:basedOn w:val="DefaultParagraphFont"/>
    <w:link w:val="Heading4"/>
    <w:rsid w:val="0039150C"/>
    <w:rPr>
      <w:rFonts w:ascii="Calibri Light" w:eastAsia="Times New Roman" w:hAnsi="Calibri Light" w:cs="Arial"/>
      <w:b/>
      <w:color w:val="000000" w:themeColor="text1"/>
      <w:kern w:val="32"/>
      <w:sz w:val="28"/>
      <w:szCs w:val="26"/>
      <w:lang w:eastAsia="en-AU"/>
    </w:rPr>
  </w:style>
  <w:style w:type="character" w:customStyle="1" w:styleId="Heading5Char">
    <w:name w:val="Heading 5 Char"/>
    <w:basedOn w:val="DefaultParagraphFont"/>
    <w:link w:val="Heading5"/>
    <w:rsid w:val="00296BB1"/>
    <w:rPr>
      <w:rFonts w:asciiTheme="majorHAnsi" w:eastAsia="Times New Roman" w:hAnsiTheme="majorHAnsi" w:cs="Arial"/>
      <w:iCs/>
      <w:color w:val="4D4D4D" w:themeColor="accent6"/>
      <w:kern w:val="32"/>
      <w:sz w:val="25"/>
      <w:szCs w:val="36"/>
      <w:lang w:eastAsia="en-AU"/>
    </w:rPr>
  </w:style>
  <w:style w:type="character" w:customStyle="1" w:styleId="Heading6Char">
    <w:name w:val="Heading 6 Char"/>
    <w:basedOn w:val="DefaultParagraphFont"/>
    <w:link w:val="Heading6"/>
    <w:rsid w:val="00296BB1"/>
    <w:rPr>
      <w:rFonts w:ascii="Calibri Light" w:eastAsia="Times New Roman" w:hAnsi="Calibri Light" w:cs="Arial"/>
      <w:b/>
      <w:color w:val="5F5F5F" w:themeColor="accent5"/>
      <w:kern w:val="32"/>
      <w:sz w:val="23"/>
      <w:lang w:eastAsia="en-AU"/>
    </w:rPr>
  </w:style>
  <w:style w:type="paragraph" w:customStyle="1" w:styleId="ChartGraphic">
    <w:name w:val="Chart Graphic"/>
    <w:basedOn w:val="Normal"/>
    <w:next w:val="Normal"/>
    <w:rsid w:val="009250E6"/>
    <w:pPr>
      <w:keepNext/>
      <w:spacing w:before="0" w:after="0"/>
      <w:jc w:val="center"/>
    </w:pPr>
    <w:rPr>
      <w:color w:val="4D4D4D" w:themeColor="accent6"/>
      <w:sz w:val="20"/>
    </w:rPr>
  </w:style>
  <w:style w:type="paragraph" w:customStyle="1" w:styleId="AlphaParagraph">
    <w:name w:val="Alpha Paragraph"/>
    <w:basedOn w:val="Normal"/>
    <w:qFormat/>
    <w:rsid w:val="000E0B74"/>
    <w:pPr>
      <w:numPr>
        <w:ilvl w:val="1"/>
        <w:numId w:val="10"/>
      </w:numPr>
      <w:spacing w:before="0"/>
    </w:pPr>
  </w:style>
  <w:style w:type="character" w:customStyle="1" w:styleId="DashChar">
    <w:name w:val="Dash Char"/>
    <w:basedOn w:val="DefaultParagraphFont"/>
    <w:link w:val="Dash"/>
    <w:locked/>
    <w:rsid w:val="00D54098"/>
    <w:rPr>
      <w:rFonts w:eastAsia="Times New Roman" w:cs="Times New Roman"/>
      <w:color w:val="000000" w:themeColor="text1"/>
      <w:szCs w:val="20"/>
      <w:lang w:eastAsia="en-AU"/>
    </w:rPr>
  </w:style>
  <w:style w:type="character" w:customStyle="1" w:styleId="DoubleDotChar">
    <w:name w:val="Double Dot Char"/>
    <w:basedOn w:val="DefaultParagraphFont"/>
    <w:link w:val="DoubleDot"/>
    <w:locked/>
    <w:rsid w:val="00D54098"/>
    <w:rPr>
      <w:rFonts w:eastAsia="Times New Roman" w:cs="Times New Roman"/>
      <w:color w:val="000000" w:themeColor="text1"/>
      <w:szCs w:val="20"/>
      <w:lang w:eastAsia="en-AU"/>
    </w:rPr>
  </w:style>
  <w:style w:type="character" w:customStyle="1" w:styleId="BulletChar">
    <w:name w:val="Bullet Char"/>
    <w:basedOn w:val="DefaultParagraphFont"/>
    <w:link w:val="Bullet"/>
    <w:locked/>
    <w:rsid w:val="00D54098"/>
    <w:rPr>
      <w:rFonts w:eastAsia="Times New Roman" w:cs="Times New Roman"/>
      <w:color w:val="000000" w:themeColor="text1"/>
      <w:szCs w:val="20"/>
      <w:lang w:eastAsia="en-AU"/>
    </w:rPr>
  </w:style>
  <w:style w:type="paragraph" w:customStyle="1" w:styleId="BoxHeading">
    <w:name w:val="Box Heading"/>
    <w:basedOn w:val="Normal"/>
    <w:next w:val="Normal"/>
    <w:rsid w:val="00565232"/>
    <w:pPr>
      <w:keepNext/>
      <w:spacing w:before="120"/>
    </w:pPr>
    <w:rPr>
      <w:b/>
      <w:sz w:val="26"/>
      <w:szCs w:val="26"/>
    </w:rPr>
  </w:style>
  <w:style w:type="paragraph" w:customStyle="1" w:styleId="BoxText">
    <w:name w:val="Box Text"/>
    <w:basedOn w:val="Normal"/>
    <w:link w:val="BoxTextChar"/>
    <w:rsid w:val="00A65143"/>
    <w:pPr>
      <w:spacing w:before="120" w:after="120"/>
    </w:pPr>
    <w:rPr>
      <w:sz w:val="20"/>
    </w:rPr>
  </w:style>
  <w:style w:type="paragraph" w:customStyle="1" w:styleId="Bullet">
    <w:name w:val="Bullet"/>
    <w:basedOn w:val="Normal"/>
    <w:link w:val="BulletChar"/>
    <w:qFormat/>
    <w:rsid w:val="00D54098"/>
    <w:pPr>
      <w:numPr>
        <w:numId w:val="19"/>
      </w:numPr>
      <w:spacing w:before="120" w:after="60" w:line="276" w:lineRule="auto"/>
    </w:pPr>
  </w:style>
  <w:style w:type="paragraph" w:customStyle="1" w:styleId="ChartandTableFootnoteAlpha">
    <w:name w:val="Chart and Table Footnote Alpha"/>
    <w:rsid w:val="0039150C"/>
    <w:pPr>
      <w:numPr>
        <w:numId w:val="7"/>
      </w:numPr>
      <w:tabs>
        <w:tab w:val="num" w:pos="284"/>
      </w:tabs>
      <w:spacing w:before="40" w:after="40" w:line="240" w:lineRule="auto"/>
      <w:ind w:left="284" w:hanging="284"/>
      <w:contextualSpacing/>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9150C"/>
  </w:style>
  <w:style w:type="paragraph" w:customStyle="1" w:styleId="ChartorTableNote">
    <w:name w:val="Chart or Table Note"/>
    <w:next w:val="Normal"/>
    <w:rsid w:val="0039150C"/>
    <w:pPr>
      <w:spacing w:before="60" w:after="4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9150C"/>
    <w:rPr>
      <w:bCs/>
    </w:rPr>
  </w:style>
  <w:style w:type="paragraph" w:customStyle="1" w:styleId="ReportDate">
    <w:name w:val="Report Date"/>
    <w:basedOn w:val="Normal"/>
    <w:link w:val="ReportDateChar"/>
    <w:rsid w:val="004E307D"/>
    <w:pPr>
      <w:keepNext/>
      <w:spacing w:before="0" w:after="360"/>
    </w:pPr>
    <w:rPr>
      <w:color w:val="auto"/>
      <w:sz w:val="32"/>
    </w:rPr>
  </w:style>
  <w:style w:type="paragraph" w:customStyle="1" w:styleId="Dash">
    <w:name w:val="Dash"/>
    <w:basedOn w:val="Normal"/>
    <w:link w:val="DashChar"/>
    <w:qFormat/>
    <w:rsid w:val="00D54098"/>
    <w:pPr>
      <w:numPr>
        <w:ilvl w:val="1"/>
        <w:numId w:val="19"/>
      </w:numPr>
      <w:spacing w:before="120" w:after="120"/>
    </w:pPr>
  </w:style>
  <w:style w:type="paragraph" w:customStyle="1" w:styleId="DoubleDot">
    <w:name w:val="Double Dot"/>
    <w:basedOn w:val="Normal"/>
    <w:link w:val="DoubleDotChar"/>
    <w:qFormat/>
    <w:rsid w:val="00D54098"/>
    <w:pPr>
      <w:numPr>
        <w:ilvl w:val="2"/>
        <w:numId w:val="19"/>
      </w:numPr>
      <w:spacing w:before="120" w:after="120"/>
    </w:pPr>
  </w:style>
  <w:style w:type="paragraph" w:customStyle="1" w:styleId="TableMainHeading">
    <w:name w:val="Table Main Heading"/>
    <w:basedOn w:val="Heading3"/>
    <w:next w:val="Normal"/>
    <w:rsid w:val="00D54F46"/>
    <w:pPr>
      <w:spacing w:before="240" w:after="60"/>
      <w:outlineLvl w:val="3"/>
    </w:pPr>
    <w:rPr>
      <w:b/>
      <w:color w:val="auto"/>
      <w:sz w:val="26"/>
    </w:rPr>
  </w:style>
  <w:style w:type="paragraph" w:customStyle="1" w:styleId="FooterEven">
    <w:name w:val="Footer Even"/>
    <w:basedOn w:val="Footer"/>
    <w:rsid w:val="008A1B2D"/>
    <w:pPr>
      <w:keepNext/>
      <w:tabs>
        <w:tab w:val="clear" w:pos="4513"/>
        <w:tab w:val="clear" w:pos="9026"/>
      </w:tabs>
      <w:jc w:val="left"/>
    </w:pPr>
    <w:rPr>
      <w:noProof/>
      <w:color w:val="auto"/>
    </w:rPr>
  </w:style>
  <w:style w:type="paragraph" w:customStyle="1" w:styleId="FooterOdd">
    <w:name w:val="Footer Odd"/>
    <w:basedOn w:val="Footer"/>
    <w:rsid w:val="008A1B2D"/>
    <w:pPr>
      <w:keepNext/>
      <w:tabs>
        <w:tab w:val="clear" w:pos="4513"/>
        <w:tab w:val="clear" w:pos="9026"/>
      </w:tabs>
      <w:jc w:val="right"/>
    </w:pPr>
    <w:rPr>
      <w:color w:val="auto"/>
    </w:rPr>
  </w:style>
  <w:style w:type="character" w:styleId="Hyperlink">
    <w:name w:val="Hyperlink"/>
    <w:basedOn w:val="DefaultParagraphFont"/>
    <w:uiPriority w:val="99"/>
    <w:rsid w:val="006923DF"/>
    <w:rPr>
      <w:color w:val="3A6FAF"/>
      <w:u w:val="none"/>
    </w:rPr>
  </w:style>
  <w:style w:type="paragraph" w:customStyle="1" w:styleId="OutlineNumbered1">
    <w:name w:val="Outline Numbered 1"/>
    <w:basedOn w:val="Normal"/>
    <w:rsid w:val="000E0B74"/>
    <w:pPr>
      <w:numPr>
        <w:numId w:val="6"/>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39150C"/>
    <w:pPr>
      <w:keepNext/>
      <w:spacing w:before="60" w:after="60"/>
    </w:pPr>
    <w:rPr>
      <w:b/>
      <w:color w:val="5F5F5F" w:themeColor="accent5"/>
      <w:sz w:val="23"/>
    </w:rPr>
  </w:style>
  <w:style w:type="paragraph" w:customStyle="1" w:styleId="TableColumnHeadingCentred">
    <w:name w:val="Table Column Heading Centred"/>
    <w:basedOn w:val="TableTextLeft"/>
    <w:rsid w:val="00296BB1"/>
    <w:pPr>
      <w:jc w:val="center"/>
    </w:pPr>
    <w:rPr>
      <w:b/>
      <w:sz w:val="20"/>
    </w:rPr>
  </w:style>
  <w:style w:type="paragraph" w:customStyle="1" w:styleId="TableColumnHeadingLeft">
    <w:name w:val="Table Column Heading Left"/>
    <w:basedOn w:val="TableTextLeft"/>
    <w:rsid w:val="00296BB1"/>
    <w:rPr>
      <w:b/>
      <w:sz w:val="20"/>
    </w:rPr>
  </w:style>
  <w:style w:type="paragraph" w:customStyle="1" w:styleId="TableColumnHeadingRight">
    <w:name w:val="Table Column Heading Right"/>
    <w:basedOn w:val="TableTextLeft"/>
    <w:rsid w:val="00296BB1"/>
    <w:pPr>
      <w:jc w:val="right"/>
    </w:pPr>
    <w:rPr>
      <w:b/>
      <w:sz w:val="20"/>
    </w:rPr>
  </w:style>
  <w:style w:type="table" w:styleId="TableGrid">
    <w:name w:val="Table Grid"/>
    <w:basedOn w:val="TableNormal"/>
    <w:rsid w:val="00D316A1"/>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E6E6E6" w:themeColor="accent1"/>
        <w:sz w:val="20"/>
      </w:rPr>
      <w:tblPr/>
      <w:tcPr>
        <w:shd w:val="clear" w:color="auto" w:fill="F8F8F8" w:themeFill="background2"/>
      </w:tcPr>
    </w:tblStylePr>
  </w:style>
  <w:style w:type="paragraph" w:customStyle="1" w:styleId="TableTextCentered">
    <w:name w:val="Table Text Centered"/>
    <w:basedOn w:val="TableTextRight"/>
    <w:rsid w:val="00296BB1"/>
    <w:pPr>
      <w:jc w:val="center"/>
    </w:pPr>
    <w:rPr>
      <w:color w:val="auto"/>
    </w:rPr>
  </w:style>
  <w:style w:type="paragraph" w:customStyle="1" w:styleId="TableTextLeft">
    <w:name w:val="Table Text Left"/>
    <w:basedOn w:val="TableTextRight"/>
    <w:rsid w:val="00296BB1"/>
    <w:pPr>
      <w:jc w:val="left"/>
    </w:pPr>
    <w:rPr>
      <w:color w:val="auto"/>
    </w:rPr>
  </w:style>
  <w:style w:type="paragraph" w:customStyle="1" w:styleId="TableTextRight">
    <w:name w:val="Table Text Right"/>
    <w:basedOn w:val="Normal"/>
    <w:rsid w:val="00296BB1"/>
    <w:pPr>
      <w:spacing w:before="40" w:after="40"/>
      <w:jc w:val="right"/>
    </w:pPr>
    <w:rPr>
      <w:sz w:val="18"/>
    </w:rPr>
  </w:style>
  <w:style w:type="paragraph" w:styleId="TOC1">
    <w:name w:val="toc 1"/>
    <w:basedOn w:val="Normal"/>
    <w:next w:val="Normal"/>
    <w:uiPriority w:val="39"/>
    <w:rsid w:val="00565232"/>
    <w:pPr>
      <w:keepNext/>
      <w:tabs>
        <w:tab w:val="right" w:leader="dot" w:pos="9072"/>
      </w:tabs>
      <w:spacing w:before="180" w:after="0"/>
      <w:ind w:right="-2"/>
    </w:pPr>
    <w:rPr>
      <w:b/>
      <w:noProof/>
      <w:sz w:val="24"/>
      <w:szCs w:val="22"/>
    </w:rPr>
  </w:style>
  <w:style w:type="paragraph" w:styleId="TOC2">
    <w:name w:val="toc 2"/>
    <w:basedOn w:val="Normal"/>
    <w:next w:val="Normal"/>
    <w:uiPriority w:val="39"/>
    <w:rsid w:val="002608F1"/>
    <w:pPr>
      <w:keepNext/>
      <w:tabs>
        <w:tab w:val="right" w:leader="dot" w:pos="9072"/>
      </w:tabs>
      <w:spacing w:before="40" w:after="20"/>
      <w:ind w:right="-2"/>
    </w:pPr>
    <w:rPr>
      <w:noProof/>
      <w:color w:val="000000" w:themeColor="text2"/>
    </w:rPr>
  </w:style>
  <w:style w:type="paragraph" w:styleId="TOC3">
    <w:name w:val="toc 3"/>
    <w:basedOn w:val="Normal"/>
    <w:next w:val="Normal"/>
    <w:uiPriority w:val="39"/>
    <w:rsid w:val="002608F1"/>
    <w:pPr>
      <w:tabs>
        <w:tab w:val="right" w:leader="dot" w:pos="9072"/>
      </w:tabs>
      <w:spacing w:before="20" w:after="0"/>
      <w:ind w:left="284" w:right="-2"/>
    </w:pPr>
    <w:rPr>
      <w:rFonts w:cs="Calibri"/>
      <w:noProo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611F76"/>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7"/>
      </w:numPr>
    </w:pPr>
  </w:style>
  <w:style w:type="paragraph" w:customStyle="1" w:styleId="Heading1Numbered">
    <w:name w:val="Heading 1 Numbered"/>
    <w:basedOn w:val="Heading1"/>
    <w:next w:val="Normal"/>
    <w:rsid w:val="00EE1BF1"/>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rsid w:val="00EE1BF1"/>
    <w:pPr>
      <w:numPr>
        <w:ilvl w:val="2"/>
        <w:numId w:val="8"/>
      </w:numPr>
      <w:ind w:left="284" w:hanging="284"/>
    </w:pPr>
  </w:style>
  <w:style w:type="paragraph" w:styleId="Title">
    <w:name w:val="Title"/>
    <w:basedOn w:val="Normal"/>
    <w:next w:val="Normal"/>
    <w:link w:val="TitleChar"/>
    <w:uiPriority w:val="10"/>
    <w:rsid w:val="00123AC0"/>
    <w:pPr>
      <w:spacing w:before="2400" w:after="300"/>
      <w:contextualSpacing/>
      <w:outlineLvl w:val="0"/>
    </w:pPr>
    <w:rPr>
      <w:rFonts w:asciiTheme="majorHAnsi" w:eastAsiaTheme="majorEastAsia" w:hAnsiTheme="majorHAnsi" w:cstheme="majorBidi"/>
      <w:b/>
      <w:color w:val="auto"/>
      <w:spacing w:val="5"/>
      <w:kern w:val="28"/>
      <w:sz w:val="72"/>
      <w:szCs w:val="52"/>
    </w:rPr>
  </w:style>
  <w:style w:type="character" w:customStyle="1" w:styleId="TitleChar">
    <w:name w:val="Title Char"/>
    <w:basedOn w:val="DefaultParagraphFont"/>
    <w:link w:val="Title"/>
    <w:uiPriority w:val="10"/>
    <w:rsid w:val="00123AC0"/>
    <w:rPr>
      <w:rFonts w:asciiTheme="majorHAnsi" w:eastAsiaTheme="majorEastAsia" w:hAnsiTheme="majorHAnsi" w:cstheme="majorBidi"/>
      <w:b/>
      <w:spacing w:val="5"/>
      <w:kern w:val="28"/>
      <w:sz w:val="72"/>
      <w:szCs w:val="52"/>
      <w:lang w:eastAsia="en-AU"/>
    </w:rPr>
  </w:style>
  <w:style w:type="paragraph" w:styleId="Subtitle">
    <w:name w:val="Subtitle"/>
    <w:basedOn w:val="Normal"/>
    <w:next w:val="Normal"/>
    <w:link w:val="SubtitleChar"/>
    <w:uiPriority w:val="11"/>
    <w:rsid w:val="004E307D"/>
    <w:pPr>
      <w:numPr>
        <w:ilvl w:val="1"/>
      </w:numPr>
    </w:pPr>
    <w:rPr>
      <w:rFonts w:asciiTheme="majorHAnsi" w:eastAsiaTheme="majorEastAsia" w:hAnsiTheme="majorHAnsi" w:cstheme="majorBidi"/>
      <w:iCs/>
      <w:color w:val="auto"/>
      <w:sz w:val="44"/>
      <w:szCs w:val="44"/>
    </w:rPr>
  </w:style>
  <w:style w:type="character" w:customStyle="1" w:styleId="SubtitleChar">
    <w:name w:val="Subtitle Char"/>
    <w:basedOn w:val="DefaultParagraphFont"/>
    <w:link w:val="Subtitle"/>
    <w:uiPriority w:val="11"/>
    <w:rsid w:val="004E307D"/>
    <w:rPr>
      <w:rFonts w:asciiTheme="majorHAnsi" w:eastAsiaTheme="majorEastAsia" w:hAnsiTheme="majorHAnsi" w:cstheme="majorBidi"/>
      <w:iCs/>
      <w:sz w:val="44"/>
      <w:szCs w:val="44"/>
      <w:lang w:eastAsia="en-AU"/>
    </w:rPr>
  </w:style>
  <w:style w:type="character" w:styleId="SubtleEmphasis">
    <w:name w:val="Subtle Emphasis"/>
    <w:basedOn w:val="DefaultParagraphFont"/>
    <w:uiPriority w:val="19"/>
    <w:rsid w:val="000E0B74"/>
    <w:rPr>
      <w:i/>
      <w:iCs/>
      <w:color w:val="808080" w:themeColor="text1" w:themeTint="7F"/>
    </w:rPr>
  </w:style>
  <w:style w:type="paragraph" w:styleId="Footer">
    <w:name w:val="footer"/>
    <w:basedOn w:val="Normal"/>
    <w:link w:val="FooterChar"/>
    <w:unhideWhenUsed/>
    <w:rsid w:val="00191CFE"/>
    <w:pPr>
      <w:tabs>
        <w:tab w:val="center" w:pos="4513"/>
        <w:tab w:val="right" w:pos="9026"/>
      </w:tabs>
      <w:spacing w:before="0" w:after="0"/>
      <w:jc w:val="center"/>
    </w:pPr>
    <w:rPr>
      <w:sz w:val="20"/>
    </w:rPr>
  </w:style>
  <w:style w:type="character" w:customStyle="1" w:styleId="FooterChar">
    <w:name w:val="Footer Char"/>
    <w:basedOn w:val="DefaultParagraphFont"/>
    <w:link w:val="Footer"/>
    <w:rsid w:val="00191CFE"/>
    <w:rPr>
      <w:rFonts w:eastAsia="Times New Roman" w:cs="Times New Roman"/>
      <w:color w:val="000000" w:themeColor="text1"/>
      <w:sz w:val="20"/>
      <w:szCs w:val="20"/>
      <w:lang w:eastAsia="en-AU"/>
    </w:rPr>
  </w:style>
  <w:style w:type="paragraph" w:styleId="Header">
    <w:name w:val="header"/>
    <w:basedOn w:val="Normal"/>
    <w:link w:val="HeaderChar"/>
    <w:uiPriority w:val="99"/>
    <w:unhideWhenUsed/>
    <w:rsid w:val="00C723D6"/>
    <w:pPr>
      <w:keepNext/>
      <w:spacing w:before="0" w:after="0"/>
    </w:pPr>
    <w:rPr>
      <w:color w:val="auto"/>
      <w:sz w:val="20"/>
    </w:rPr>
  </w:style>
  <w:style w:type="character" w:customStyle="1" w:styleId="HeaderChar">
    <w:name w:val="Header Char"/>
    <w:basedOn w:val="DefaultParagraphFont"/>
    <w:link w:val="Header"/>
    <w:uiPriority w:val="99"/>
    <w:rsid w:val="00C723D6"/>
    <w:rPr>
      <w:rFonts w:eastAsia="Times New Roman" w:cs="Times New Roman"/>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Heading1"/>
    <w:next w:val="Normal"/>
    <w:rsid w:val="00F045E0"/>
  </w:style>
  <w:style w:type="paragraph" w:customStyle="1" w:styleId="HeadingBase">
    <w:name w:val="Heading Base"/>
    <w:rsid w:val="00296BB1"/>
    <w:pPr>
      <w:keepNext/>
      <w:spacing w:after="120" w:line="240" w:lineRule="auto"/>
    </w:pPr>
    <w:rPr>
      <w:rFonts w:asciiTheme="majorHAnsi" w:eastAsia="Times New Roman" w:hAnsiTheme="majorHAnsi" w:cs="Arial"/>
      <w:bCs/>
      <w:color w:val="000000" w:themeColor="text1"/>
      <w:kern w:val="32"/>
      <w:sz w:val="48"/>
      <w:szCs w:val="36"/>
      <w:lang w:eastAsia="en-AU"/>
    </w:rPr>
  </w:style>
  <w:style w:type="character" w:customStyle="1" w:styleId="ReportDateChar">
    <w:name w:val="Report Date Char"/>
    <w:basedOn w:val="DefaultParagraphFont"/>
    <w:link w:val="ReportDate"/>
    <w:rsid w:val="004E307D"/>
    <w:rPr>
      <w:rFonts w:eastAsia="Times New Roman" w:cs="Times New Roman"/>
      <w:sz w:val="32"/>
      <w:szCs w:val="20"/>
      <w:lang w:eastAsia="en-AU"/>
    </w:rPr>
  </w:style>
  <w:style w:type="paragraph" w:customStyle="1" w:styleId="NotesHeading">
    <w:name w:val="Notes Heading"/>
    <w:basedOn w:val="Normal"/>
    <w:rsid w:val="002F617F"/>
    <w:pPr>
      <w:keepNext/>
      <w:spacing w:after="360"/>
      <w:jc w:val="center"/>
    </w:pPr>
    <w:rPr>
      <w:rFonts w:ascii="Century Gothic" w:hAnsi="Century Gothic"/>
      <w:smallCaps/>
      <w:color w:val="000000" w:themeColor="text2"/>
      <w:sz w:val="36"/>
      <w:szCs w:val="36"/>
    </w:rPr>
  </w:style>
  <w:style w:type="paragraph" w:styleId="ListParagraph">
    <w:name w:val="List Paragraph"/>
    <w:basedOn w:val="Normal"/>
    <w:uiPriority w:val="34"/>
    <w:rsid w:val="006469CC"/>
    <w:pPr>
      <w:ind w:left="720"/>
      <w:contextualSpacing/>
    </w:pPr>
  </w:style>
  <w:style w:type="paragraph" w:customStyle="1" w:styleId="TableTextIndented">
    <w:name w:val="Table Text Indented"/>
    <w:basedOn w:val="TableTextLeft"/>
    <w:rsid w:val="008E6292"/>
    <w:pPr>
      <w:ind w:left="284"/>
    </w:pPr>
  </w:style>
  <w:style w:type="paragraph" w:customStyle="1" w:styleId="TableHeadingContinued">
    <w:name w:val="Table Heading Continued"/>
    <w:basedOn w:val="TableMainHeading"/>
    <w:next w:val="TableGraphic"/>
    <w:rsid w:val="009A277C"/>
  </w:style>
  <w:style w:type="paragraph" w:customStyle="1" w:styleId="TableGraphic">
    <w:name w:val="Table Graphic"/>
    <w:basedOn w:val="HeadingBase"/>
    <w:next w:val="Normal"/>
    <w:rsid w:val="008E6292"/>
    <w:pPr>
      <w:spacing w:after="0"/>
    </w:pPr>
  </w:style>
  <w:style w:type="paragraph" w:customStyle="1" w:styleId="HeaderEven">
    <w:name w:val="Header Even"/>
    <w:basedOn w:val="Header"/>
    <w:qFormat/>
    <w:rsid w:val="008A1B2D"/>
  </w:style>
  <w:style w:type="paragraph" w:customStyle="1" w:styleId="HeaderOdd">
    <w:name w:val="Header Odd"/>
    <w:basedOn w:val="Header"/>
    <w:qFormat/>
    <w:rsid w:val="00420CD3"/>
    <w:pPr>
      <w:jc w:val="right"/>
    </w:pPr>
  </w:style>
  <w:style w:type="paragraph" w:styleId="FootnoteText">
    <w:name w:val="footnote text"/>
    <w:basedOn w:val="Normal"/>
    <w:link w:val="FootnoteTextChar"/>
    <w:uiPriority w:val="99"/>
    <w:rsid w:val="00744484"/>
    <w:pPr>
      <w:spacing w:before="0" w:after="0"/>
      <w:ind w:left="397" w:hanging="397"/>
    </w:pPr>
    <w:rPr>
      <w:sz w:val="20"/>
    </w:rPr>
  </w:style>
  <w:style w:type="character" w:customStyle="1" w:styleId="FootnoteTextChar">
    <w:name w:val="Footnote Text Char"/>
    <w:basedOn w:val="DefaultParagraphFont"/>
    <w:link w:val="FootnoteText"/>
    <w:uiPriority w:val="99"/>
    <w:rsid w:val="00744484"/>
    <w:rPr>
      <w:rFonts w:ascii="Calibri" w:eastAsia="Times New Roman" w:hAnsi="Calibri" w:cs="Times New Roman"/>
      <w:sz w:val="20"/>
      <w:szCs w:val="20"/>
      <w:lang w:eastAsia="en-AU"/>
    </w:rPr>
  </w:style>
  <w:style w:type="character" w:styleId="FootnoteReference">
    <w:name w:val="footnote reference"/>
    <w:basedOn w:val="DefaultParagraphFont"/>
    <w:uiPriority w:val="99"/>
    <w:rsid w:val="00744484"/>
    <w:rPr>
      <w:sz w:val="18"/>
    </w:rPr>
  </w:style>
  <w:style w:type="paragraph" w:styleId="BalloonText">
    <w:name w:val="Balloon Text"/>
    <w:basedOn w:val="Normal"/>
    <w:link w:val="BalloonTextChar"/>
    <w:uiPriority w:val="99"/>
    <w:semiHidden/>
    <w:unhideWhenUsed/>
    <w:rsid w:val="00C7231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318"/>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A65143"/>
    <w:rPr>
      <w:rFonts w:eastAsia="Times New Roman" w:cs="Times New Roman"/>
      <w:color w:val="000000" w:themeColor="text1"/>
      <w:sz w:val="20"/>
      <w:szCs w:val="20"/>
      <w:lang w:eastAsia="en-AU"/>
    </w:rPr>
  </w:style>
  <w:style w:type="paragraph" w:customStyle="1" w:styleId="Boxbullet">
    <w:name w:val="Box bullet"/>
    <w:basedOn w:val="BoxText"/>
    <w:rsid w:val="00565232"/>
    <w:pPr>
      <w:numPr>
        <w:numId w:val="22"/>
      </w:numPr>
    </w:pPr>
    <w:rPr>
      <w:lang w:eastAsia="en-US"/>
    </w:rPr>
  </w:style>
  <w:style w:type="paragraph" w:customStyle="1" w:styleId="Boxdash">
    <w:name w:val="Box dash"/>
    <w:basedOn w:val="Boxbullet"/>
    <w:rsid w:val="00565232"/>
    <w:pPr>
      <w:numPr>
        <w:ilvl w:val="1"/>
      </w:numPr>
      <w:tabs>
        <w:tab w:val="num" w:pos="1040"/>
      </w:tabs>
      <w:spacing w:before="60" w:after="60" w:line="276" w:lineRule="auto"/>
    </w:pPr>
    <w:rPr>
      <w:rFonts w:eastAsiaTheme="minorHAnsi"/>
      <w:color w:val="0D0D0D" w:themeColor="text1" w:themeTint="F2"/>
    </w:rPr>
  </w:style>
  <w:style w:type="paragraph" w:customStyle="1" w:styleId="Boxdoubledot">
    <w:name w:val="Box double dot"/>
    <w:basedOn w:val="Boxdash"/>
    <w:rsid w:val="00565232"/>
    <w:pPr>
      <w:numPr>
        <w:ilvl w:val="2"/>
      </w:numPr>
      <w:tabs>
        <w:tab w:val="left" w:pos="567"/>
        <w:tab w:val="num" w:pos="1560"/>
      </w:tabs>
    </w:pPr>
  </w:style>
  <w:style w:type="paragraph" w:customStyle="1" w:styleId="Instructions">
    <w:name w:val="Instructions"/>
    <w:basedOn w:val="Normal"/>
    <w:uiPriority w:val="1"/>
    <w:qFormat/>
    <w:rsid w:val="00BE7EA5"/>
    <w:pPr>
      <w:shd w:val="clear" w:color="auto" w:fill="FFFF00"/>
      <w:ind w:left="170" w:hanging="170"/>
    </w:pPr>
    <w:rPr>
      <w:sz w:val="20"/>
      <w:szCs w:val="24"/>
    </w:rPr>
  </w:style>
  <w:style w:type="character" w:styleId="CommentReference">
    <w:name w:val="annotation reference"/>
    <w:basedOn w:val="DefaultParagraphFont"/>
    <w:uiPriority w:val="99"/>
    <w:semiHidden/>
    <w:unhideWhenUsed/>
    <w:rsid w:val="00BE7EA5"/>
    <w:rPr>
      <w:sz w:val="16"/>
      <w:szCs w:val="16"/>
    </w:rPr>
  </w:style>
  <w:style w:type="paragraph" w:styleId="CommentText">
    <w:name w:val="annotation text"/>
    <w:basedOn w:val="Normal"/>
    <w:link w:val="CommentTextChar"/>
    <w:uiPriority w:val="99"/>
    <w:semiHidden/>
    <w:unhideWhenUsed/>
    <w:rsid w:val="00BE7EA5"/>
    <w:rPr>
      <w:rFonts w:ascii="Calibri" w:hAnsi="Calibri"/>
      <w:sz w:val="20"/>
    </w:rPr>
  </w:style>
  <w:style w:type="character" w:customStyle="1" w:styleId="CommentTextChar">
    <w:name w:val="Comment Text Char"/>
    <w:basedOn w:val="DefaultParagraphFont"/>
    <w:link w:val="CommentText"/>
    <w:uiPriority w:val="99"/>
    <w:semiHidden/>
    <w:rsid w:val="00BE7EA5"/>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3540B"/>
    <w:rPr>
      <w:rFonts w:asciiTheme="minorHAnsi" w:hAnsiTheme="minorHAnsi"/>
      <w:b/>
      <w:bCs/>
    </w:rPr>
  </w:style>
  <w:style w:type="character" w:customStyle="1" w:styleId="CommentSubjectChar">
    <w:name w:val="Comment Subject Char"/>
    <w:basedOn w:val="CommentTextChar"/>
    <w:link w:val="CommentSubject"/>
    <w:uiPriority w:val="99"/>
    <w:semiHidden/>
    <w:rsid w:val="0003540B"/>
    <w:rPr>
      <w:rFonts w:ascii="Calibri" w:eastAsia="Times New Roman" w:hAnsi="Calibri" w:cs="Times New Roman"/>
      <w:b/>
      <w:bCs/>
      <w:color w:val="000000" w:themeColor="text1"/>
      <w:sz w:val="20"/>
      <w:szCs w:val="20"/>
      <w:lang w:eastAsia="en-AU"/>
    </w:rPr>
  </w:style>
  <w:style w:type="character" w:styleId="UnresolvedMention">
    <w:name w:val="Unresolved Mention"/>
    <w:basedOn w:val="DefaultParagraphFont"/>
    <w:uiPriority w:val="99"/>
    <w:semiHidden/>
    <w:unhideWhenUsed/>
    <w:rsid w:val="00AC102B"/>
    <w:rPr>
      <w:color w:val="605E5C"/>
      <w:shd w:val="clear" w:color="auto" w:fill="E1DFDD"/>
    </w:rPr>
  </w:style>
  <w:style w:type="character" w:styleId="Emphasis">
    <w:name w:val="Emphasis"/>
    <w:basedOn w:val="DefaultParagraphFont"/>
    <w:uiPriority w:val="20"/>
    <w:rsid w:val="005005F5"/>
    <w:rPr>
      <w:i/>
      <w:iCs/>
    </w:rPr>
  </w:style>
  <w:style w:type="table" w:customStyle="1" w:styleId="SidebySideChartTable">
    <w:name w:val="Side by Side Chart Table"/>
    <w:basedOn w:val="TableNormal"/>
    <w:uiPriority w:val="99"/>
    <w:rsid w:val="00BB0973"/>
    <w:pPr>
      <w:spacing w:after="0" w:line="240" w:lineRule="auto"/>
    </w:pPr>
    <w:tblPr>
      <w:tblStyleRowBandSize w:val="1"/>
      <w:tblStyleColBandSize w:val="1"/>
      <w:tblCellMar>
        <w:left w:w="0" w:type="dxa"/>
        <w:right w:w="0" w:type="dxa"/>
      </w:tblCellMar>
    </w:tblPr>
    <w:trPr>
      <w:cantSplit/>
    </w:trPr>
    <w:tblStylePr w:type="firstRow">
      <w:tblPr/>
      <w:trPr>
        <w:cantSplit/>
        <w:tblHeader/>
      </w:trPr>
    </w:tblStylePr>
  </w:style>
  <w:style w:type="table" w:customStyle="1" w:styleId="BoxStyle">
    <w:name w:val="Box Style"/>
    <w:basedOn w:val="TableNormal"/>
    <w:uiPriority w:val="99"/>
    <w:rsid w:val="004E7897"/>
    <w:pPr>
      <w:spacing w:after="0" w:line="240" w:lineRule="auto"/>
    </w:pPr>
    <w:rPr>
      <w:sz w:val="20"/>
    </w:rPr>
    <w:tblPr>
      <w:tblCellMar>
        <w:top w:w="284" w:type="dxa"/>
        <w:left w:w="284" w:type="dxa"/>
        <w:bottom w:w="284" w:type="dxa"/>
        <w:right w:w="284" w:type="dxa"/>
      </w:tblCellMar>
    </w:tblPr>
    <w:tcPr>
      <w:shd w:val="clear" w:color="auto" w:fill="F8F8F8" w:themeFill="background2"/>
    </w:tcPr>
  </w:style>
  <w:style w:type="character" w:styleId="Strong">
    <w:name w:val="Strong"/>
    <w:basedOn w:val="DefaultParagraphFont"/>
    <w:qFormat/>
    <w:rsid w:val="00372D99"/>
    <w:rPr>
      <w:b/>
      <w:bCs/>
    </w:rPr>
  </w:style>
  <w:style w:type="paragraph" w:styleId="TOCHeading">
    <w:name w:val="TOC Heading"/>
    <w:basedOn w:val="Heading1"/>
    <w:next w:val="Normal"/>
    <w:uiPriority w:val="39"/>
    <w:unhideWhenUsed/>
    <w:qFormat/>
    <w:rsid w:val="00D63A45"/>
    <w:pPr>
      <w:keepLines/>
      <w:spacing w:before="240" w:after="0" w:line="259" w:lineRule="auto"/>
      <w:outlineLvl w:val="9"/>
    </w:pPr>
    <w:rPr>
      <w:rFonts w:eastAsiaTheme="majorEastAsia" w:cstheme="majorBidi"/>
      <w:b w:val="0"/>
      <w:color w:val="ACACAC" w:themeColor="accent1" w:themeShade="BF"/>
      <w:kern w:val="0"/>
      <w:sz w:val="32"/>
      <w:szCs w:val="32"/>
      <w:lang w:val="en-US" w:eastAsia="en-US"/>
    </w:rPr>
  </w:style>
  <w:style w:type="paragraph" w:styleId="Revision">
    <w:name w:val="Revision"/>
    <w:hidden/>
    <w:uiPriority w:val="99"/>
    <w:semiHidden/>
    <w:rsid w:val="002A13B4"/>
    <w:pPr>
      <w:spacing w:after="0" w:line="240" w:lineRule="auto"/>
    </w:pPr>
    <w:rPr>
      <w:rFonts w:eastAsia="Times New Roman" w:cs="Times New Roman"/>
      <w:color w:val="000000" w:themeColor="text1"/>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153912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hyperlink" Target="mailto:media@treasury.gov.au"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hyperlink" Target="http://www.pmc.gov.au/government/commonwealth-coat-arms"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4.0/" TargetMode="Externa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image" Target="media/image3.wmf"/><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creativecommons.org/licenses/by/4.0/legalcode" TargetMode="External"/><Relationship Id="rId14" Type="http://schemas.openxmlformats.org/officeDocument/2006/relationships/header" Target="header1.xml"/><Relationship Id="rId22"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Treasury Grayscale">
      <a:dk1>
        <a:sysClr val="windowText" lastClr="000000"/>
      </a:dk1>
      <a:lt1>
        <a:sysClr val="window" lastClr="FFFFFF"/>
      </a:lt1>
      <a:dk2>
        <a:srgbClr val="000000"/>
      </a:dk2>
      <a:lt2>
        <a:srgbClr val="F8F8F8"/>
      </a:lt2>
      <a:accent1>
        <a:srgbClr val="E6E6E6"/>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Government Response to the</vt:lpstr>
    </vt:vector>
  </TitlesOfParts>
  <Company>Australian Government</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dc:title>
  <dc:subject/>
  <dc:creator/>
  <cp:keywords/>
  <cp:lastModifiedBy/>
  <cp:revision>1</cp:revision>
  <dcterms:created xsi:type="dcterms:W3CDTF">2025-03-20T22:10:00Z</dcterms:created>
  <dcterms:modified xsi:type="dcterms:W3CDTF">2025-03-20T22:11:00Z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2025-03-20T22:11:04Z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0af436aa-7d06-4029-81b2-dfbee27c64ff</vt:lpwstr>
  </property>
  <property fmtid="{D5CDD505-2E9C-101B-9397-08002B2CF9AE}" pid="8" name="MSIP_Label_4f932d64-9ab1-4d9b-81d2-a3a8b82dd47d_ContentBits">
    <vt:lpwstr>0</vt:lpwstr>
  </property>
</Properties>
</file>