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C23D29" w14:paraId="56CC94E1" w14:textId="77777777" w:rsidTr="00C23D29">
        <w:tc>
          <w:tcPr>
            <w:tcW w:w="5000" w:type="pct"/>
            <w:shd w:val="clear" w:color="auto" w:fill="auto"/>
          </w:tcPr>
          <w:p w14:paraId="58730332" w14:textId="77777777" w:rsidR="00C23D29" w:rsidRDefault="00C23D29" w:rsidP="00C23D2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9E5FAA0" w14:textId="017863E5" w:rsidR="00C23D29" w:rsidRPr="00C23D29" w:rsidRDefault="00C23D29" w:rsidP="00C23D29">
            <w:pPr>
              <w:rPr>
                <w:b/>
                <w:sz w:val="20"/>
              </w:rPr>
            </w:pPr>
          </w:p>
        </w:tc>
      </w:tr>
    </w:tbl>
    <w:p w14:paraId="1E868909" w14:textId="77777777" w:rsidR="00C23D29" w:rsidRDefault="00C23D29" w:rsidP="00664C63">
      <w:pPr>
        <w:rPr>
          <w:sz w:val="32"/>
          <w:szCs w:val="32"/>
        </w:rPr>
      </w:pPr>
    </w:p>
    <w:p w14:paraId="13BC1D8C" w14:textId="58826C6D"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32C63863" w14:textId="594C912F" w:rsidR="00664C63" w:rsidRDefault="00A96BE3" w:rsidP="00664C63">
      <w:pPr>
        <w:pStyle w:val="ShortT"/>
      </w:pPr>
      <w:r w:rsidRPr="00A96BE3">
        <w:t>Treasury Laws Amendment Instrument 202</w:t>
      </w:r>
      <w:r w:rsidR="009B74A1">
        <w:t>5</w:t>
      </w:r>
      <w:r w:rsidR="00664C63">
        <w:t xml:space="preserve">: </w:t>
      </w:r>
      <w:r>
        <w:t>SG reforms to address unpaid super</w:t>
      </w:r>
    </w:p>
    <w:p w14:paraId="796DEE1A" w14:textId="77777777" w:rsidR="00664C63" w:rsidRDefault="00664C63" w:rsidP="00664C63"/>
    <w:p w14:paraId="095447DF" w14:textId="77777777" w:rsidR="00224C28" w:rsidRDefault="00224C28" w:rsidP="00224C2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24C28" w:rsidRPr="00402376" w14:paraId="56F9BCF2" w14:textId="77777777" w:rsidTr="00E6418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155E333" w14:textId="77777777" w:rsidR="00224C28" w:rsidRPr="00402376" w:rsidRDefault="00224C28" w:rsidP="00E64180">
            <w:pPr>
              <w:pStyle w:val="TableHeading"/>
            </w:pPr>
            <w:r w:rsidRPr="00402376">
              <w:t>Commencement information</w:t>
            </w:r>
          </w:p>
        </w:tc>
      </w:tr>
      <w:tr w:rsidR="00224C28" w:rsidRPr="00402376" w14:paraId="47DA3EDC" w14:textId="77777777" w:rsidTr="00E6418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26A34" w14:textId="77777777" w:rsidR="00224C28" w:rsidRPr="00402376" w:rsidRDefault="00224C28" w:rsidP="00E64180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12D79" w14:textId="77777777" w:rsidR="00224C28" w:rsidRPr="00402376" w:rsidRDefault="00224C28" w:rsidP="00E64180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A59F7" w14:textId="77777777" w:rsidR="00224C28" w:rsidRPr="00402376" w:rsidRDefault="00224C28" w:rsidP="00E64180">
            <w:pPr>
              <w:pStyle w:val="TableHeading"/>
            </w:pPr>
            <w:r w:rsidRPr="00402376">
              <w:t>Column 3</w:t>
            </w:r>
          </w:p>
        </w:tc>
      </w:tr>
      <w:tr w:rsidR="00224C28" w14:paraId="1E1A4E69" w14:textId="77777777" w:rsidTr="00E6418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AAA4781" w14:textId="77777777" w:rsidR="00224C28" w:rsidRPr="00402376" w:rsidRDefault="00224C28" w:rsidP="00E64180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85E194" w14:textId="77777777" w:rsidR="00224C28" w:rsidRPr="00402376" w:rsidRDefault="00224C28" w:rsidP="00E64180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2BA9B4" w14:textId="77777777" w:rsidR="00224C28" w:rsidRPr="00402376" w:rsidRDefault="00224C28" w:rsidP="00E64180">
            <w:pPr>
              <w:pStyle w:val="TableHeading"/>
            </w:pPr>
            <w:r w:rsidRPr="00402376">
              <w:t>Date/Details</w:t>
            </w:r>
          </w:p>
        </w:tc>
      </w:tr>
      <w:tr w:rsidR="00224C28" w14:paraId="1737D909" w14:textId="77777777" w:rsidTr="00E64180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23EDAD2" w14:textId="77777777" w:rsidR="00224C28" w:rsidRDefault="00224C28" w:rsidP="00E64180">
            <w:pPr>
              <w:pStyle w:val="Tabletext"/>
            </w:pPr>
            <w:r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705DB1D5" w14:textId="77777777" w:rsidR="00224C28" w:rsidRDefault="00224C28" w:rsidP="00E64180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557C28D8" w14:textId="77777777" w:rsidR="00224C28" w:rsidRDefault="00224C28" w:rsidP="00E64180">
            <w:pPr>
              <w:pStyle w:val="Tabletext"/>
            </w:pPr>
          </w:p>
        </w:tc>
      </w:tr>
      <w:tr w:rsidR="00224C28" w14:paraId="27EDB7F7" w14:textId="77777777" w:rsidTr="00E64180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48DFDB1" w14:textId="77777777" w:rsidR="00224C28" w:rsidRDefault="00224C28" w:rsidP="00E64180">
            <w:pPr>
              <w:pStyle w:val="Tabletext"/>
            </w:pPr>
            <w:r>
              <w:t>2.  Schedule 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64A5DD1" w14:textId="2E9C2176" w:rsidR="00224C28" w:rsidRDefault="00224C28" w:rsidP="00E64180">
            <w:pPr>
              <w:pStyle w:val="Tabletext"/>
            </w:pPr>
            <w:r w:rsidRPr="00E91DA0">
              <w:t xml:space="preserve">At the same time as </w:t>
            </w:r>
            <w:r>
              <w:t xml:space="preserve">the </w:t>
            </w:r>
            <w:r w:rsidRPr="00450F79">
              <w:rPr>
                <w:i/>
              </w:rPr>
              <w:t>Superannuation Guarantee Charge Amendment</w:t>
            </w:r>
            <w:r>
              <w:t xml:space="preserve"> </w:t>
            </w:r>
            <w:r>
              <w:rPr>
                <w:i/>
              </w:rPr>
              <w:t>Act 202</w:t>
            </w:r>
            <w:r w:rsidR="009B74A1">
              <w:rPr>
                <w:i/>
              </w:rPr>
              <w:t>5</w:t>
            </w:r>
            <w:r w:rsidRPr="00E91DA0">
              <w:t xml:space="preserve"> commences.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4DFE180E" w14:textId="77777777" w:rsidR="00224C28" w:rsidRDefault="00224C28" w:rsidP="00E64180">
            <w:pPr>
              <w:pStyle w:val="Tabletext"/>
            </w:pPr>
          </w:p>
        </w:tc>
      </w:tr>
      <w:tr w:rsidR="00224C28" w14:paraId="66949764" w14:textId="77777777" w:rsidTr="00E64180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65B74144" w14:textId="77777777" w:rsidR="00224C28" w:rsidRDefault="00224C28" w:rsidP="00E64180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424FB2EE" w14:textId="77777777" w:rsidR="00224C28" w:rsidRDefault="00224C28" w:rsidP="00E64180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06903D84" w14:textId="77777777" w:rsidR="00224C28" w:rsidRDefault="00224C28" w:rsidP="00E64180">
            <w:pPr>
              <w:pStyle w:val="Tabletext"/>
            </w:pPr>
          </w:p>
        </w:tc>
      </w:tr>
    </w:tbl>
    <w:p w14:paraId="41474C3E" w14:textId="77777777" w:rsidR="00224C28" w:rsidRPr="000D4B58" w:rsidRDefault="00224C28" w:rsidP="00224C28">
      <w:pPr>
        <w:pageBreakBefore/>
        <w:rPr>
          <w:sz w:val="32"/>
          <w:szCs w:val="32"/>
        </w:rPr>
      </w:pPr>
      <w:r w:rsidRPr="000D4B58">
        <w:rPr>
          <w:sz w:val="32"/>
          <w:szCs w:val="32"/>
        </w:rPr>
        <w:lastRenderedPageBreak/>
        <w:t>Contents</w:t>
      </w:r>
    </w:p>
    <w:p w14:paraId="62615C27" w14:textId="3ADAB768" w:rsidR="00C23D29" w:rsidRDefault="00C23D2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Schedule #—Superannuation guarantee reforms to address unpaid superannuation</w:t>
      </w:r>
      <w:r w:rsidRPr="00C23D29">
        <w:rPr>
          <w:b w:val="0"/>
          <w:noProof/>
          <w:sz w:val="18"/>
        </w:rPr>
        <w:tab/>
      </w:r>
      <w:r w:rsidRPr="00C23D29">
        <w:rPr>
          <w:b w:val="0"/>
          <w:noProof/>
          <w:sz w:val="18"/>
        </w:rPr>
        <w:fldChar w:fldCharType="begin"/>
      </w:r>
      <w:r w:rsidRPr="00C23D29">
        <w:rPr>
          <w:b w:val="0"/>
          <w:noProof/>
          <w:sz w:val="18"/>
        </w:rPr>
        <w:instrText xml:space="preserve"> PAGEREF _Toc189757115 \h </w:instrText>
      </w:r>
      <w:r w:rsidRPr="00C23D29">
        <w:rPr>
          <w:b w:val="0"/>
          <w:noProof/>
          <w:sz w:val="18"/>
        </w:rPr>
      </w:r>
      <w:r w:rsidRPr="00C23D29">
        <w:rPr>
          <w:b w:val="0"/>
          <w:noProof/>
          <w:sz w:val="18"/>
        </w:rPr>
        <w:fldChar w:fldCharType="separate"/>
      </w:r>
      <w:r w:rsidR="00876685">
        <w:rPr>
          <w:b w:val="0"/>
          <w:noProof/>
          <w:sz w:val="18"/>
        </w:rPr>
        <w:t>3</w:t>
      </w:r>
      <w:r w:rsidRPr="00C23D29">
        <w:rPr>
          <w:b w:val="0"/>
          <w:noProof/>
          <w:sz w:val="18"/>
        </w:rPr>
        <w:fldChar w:fldCharType="end"/>
      </w:r>
    </w:p>
    <w:p w14:paraId="4C192E91" w14:textId="663A76C0" w:rsidR="00C23D29" w:rsidRDefault="00C23D29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1—Administrative uplift amounts for superannuation guarantee shortfalls</w:t>
      </w:r>
      <w:r w:rsidRPr="00C23D29">
        <w:rPr>
          <w:noProof/>
          <w:sz w:val="18"/>
        </w:rPr>
        <w:tab/>
      </w:r>
      <w:r w:rsidRPr="00C23D29">
        <w:rPr>
          <w:noProof/>
          <w:sz w:val="18"/>
        </w:rPr>
        <w:fldChar w:fldCharType="begin"/>
      </w:r>
      <w:r w:rsidRPr="00C23D29">
        <w:rPr>
          <w:noProof/>
          <w:sz w:val="18"/>
        </w:rPr>
        <w:instrText xml:space="preserve"> PAGEREF _Toc189757116 \h </w:instrText>
      </w:r>
      <w:r w:rsidRPr="00C23D29">
        <w:rPr>
          <w:noProof/>
          <w:sz w:val="18"/>
        </w:rPr>
      </w:r>
      <w:r w:rsidRPr="00C23D29">
        <w:rPr>
          <w:noProof/>
          <w:sz w:val="18"/>
        </w:rPr>
        <w:fldChar w:fldCharType="separate"/>
      </w:r>
      <w:r w:rsidR="00876685">
        <w:rPr>
          <w:noProof/>
          <w:sz w:val="18"/>
        </w:rPr>
        <w:t>3</w:t>
      </w:r>
      <w:r w:rsidRPr="00C23D29">
        <w:rPr>
          <w:noProof/>
          <w:sz w:val="18"/>
        </w:rPr>
        <w:fldChar w:fldCharType="end"/>
      </w:r>
    </w:p>
    <w:p w14:paraId="7D1C47D0" w14:textId="1EA452BC" w:rsidR="00C23D29" w:rsidRDefault="00C23D2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Superannuation Guarantee (Administration) Regulations 2018</w:t>
      </w:r>
      <w:r w:rsidRPr="00C23D29">
        <w:rPr>
          <w:i w:val="0"/>
          <w:noProof/>
          <w:sz w:val="18"/>
        </w:rPr>
        <w:tab/>
      </w:r>
      <w:r w:rsidRPr="00C23D29">
        <w:rPr>
          <w:i w:val="0"/>
          <w:noProof/>
          <w:sz w:val="18"/>
        </w:rPr>
        <w:fldChar w:fldCharType="begin"/>
      </w:r>
      <w:r w:rsidRPr="00C23D29">
        <w:rPr>
          <w:i w:val="0"/>
          <w:noProof/>
          <w:sz w:val="18"/>
        </w:rPr>
        <w:instrText xml:space="preserve"> PAGEREF _Toc189757117 \h </w:instrText>
      </w:r>
      <w:r w:rsidRPr="00C23D29">
        <w:rPr>
          <w:i w:val="0"/>
          <w:noProof/>
          <w:sz w:val="18"/>
        </w:rPr>
      </w:r>
      <w:r w:rsidRPr="00C23D29">
        <w:rPr>
          <w:i w:val="0"/>
          <w:noProof/>
          <w:sz w:val="18"/>
        </w:rPr>
        <w:fldChar w:fldCharType="separate"/>
      </w:r>
      <w:r w:rsidR="00876685">
        <w:rPr>
          <w:i w:val="0"/>
          <w:noProof/>
          <w:sz w:val="18"/>
        </w:rPr>
        <w:t>3</w:t>
      </w:r>
      <w:r w:rsidRPr="00C23D29">
        <w:rPr>
          <w:i w:val="0"/>
          <w:noProof/>
          <w:sz w:val="18"/>
        </w:rPr>
        <w:fldChar w:fldCharType="end"/>
      </w:r>
    </w:p>
    <w:p w14:paraId="68B510E5" w14:textId="1B9FB515" w:rsidR="00C23D29" w:rsidRDefault="00C23D29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2—Other amendments</w:t>
      </w:r>
      <w:r w:rsidRPr="00C23D29">
        <w:rPr>
          <w:noProof/>
          <w:sz w:val="18"/>
        </w:rPr>
        <w:tab/>
      </w:r>
      <w:r w:rsidRPr="00C23D29">
        <w:rPr>
          <w:noProof/>
          <w:sz w:val="18"/>
        </w:rPr>
        <w:fldChar w:fldCharType="begin"/>
      </w:r>
      <w:r w:rsidRPr="00C23D29">
        <w:rPr>
          <w:noProof/>
          <w:sz w:val="18"/>
        </w:rPr>
        <w:instrText xml:space="preserve"> PAGEREF _Toc189757125 \h </w:instrText>
      </w:r>
      <w:r w:rsidRPr="00C23D29">
        <w:rPr>
          <w:noProof/>
          <w:sz w:val="18"/>
        </w:rPr>
      </w:r>
      <w:r w:rsidRPr="00C23D29">
        <w:rPr>
          <w:noProof/>
          <w:sz w:val="18"/>
        </w:rPr>
        <w:fldChar w:fldCharType="separate"/>
      </w:r>
      <w:r w:rsidR="00876685">
        <w:rPr>
          <w:noProof/>
          <w:sz w:val="18"/>
        </w:rPr>
        <w:t>6</w:t>
      </w:r>
      <w:r w:rsidRPr="00C23D29">
        <w:rPr>
          <w:noProof/>
          <w:sz w:val="18"/>
        </w:rPr>
        <w:fldChar w:fldCharType="end"/>
      </w:r>
    </w:p>
    <w:p w14:paraId="055619C1" w14:textId="6F1183D7" w:rsidR="00C23D29" w:rsidRDefault="00C23D2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Superannuation Guarantee (Administration) Regulations 2018</w:t>
      </w:r>
      <w:r w:rsidRPr="00C23D29">
        <w:rPr>
          <w:i w:val="0"/>
          <w:noProof/>
          <w:sz w:val="18"/>
        </w:rPr>
        <w:tab/>
      </w:r>
      <w:r w:rsidRPr="00C23D29">
        <w:rPr>
          <w:i w:val="0"/>
          <w:noProof/>
          <w:sz w:val="18"/>
        </w:rPr>
        <w:fldChar w:fldCharType="begin"/>
      </w:r>
      <w:r w:rsidRPr="00C23D29">
        <w:rPr>
          <w:i w:val="0"/>
          <w:noProof/>
          <w:sz w:val="18"/>
        </w:rPr>
        <w:instrText xml:space="preserve"> PAGEREF _Toc189757126 \h </w:instrText>
      </w:r>
      <w:r w:rsidRPr="00C23D29">
        <w:rPr>
          <w:i w:val="0"/>
          <w:noProof/>
          <w:sz w:val="18"/>
        </w:rPr>
      </w:r>
      <w:r w:rsidRPr="00C23D29">
        <w:rPr>
          <w:i w:val="0"/>
          <w:noProof/>
          <w:sz w:val="18"/>
        </w:rPr>
        <w:fldChar w:fldCharType="separate"/>
      </w:r>
      <w:r w:rsidR="00876685">
        <w:rPr>
          <w:i w:val="0"/>
          <w:noProof/>
          <w:sz w:val="18"/>
        </w:rPr>
        <w:t>6</w:t>
      </w:r>
      <w:r w:rsidRPr="00C23D29">
        <w:rPr>
          <w:i w:val="0"/>
          <w:noProof/>
          <w:sz w:val="18"/>
        </w:rPr>
        <w:fldChar w:fldCharType="end"/>
      </w:r>
    </w:p>
    <w:p w14:paraId="5326BE8E" w14:textId="0C648874" w:rsidR="00C23D29" w:rsidRDefault="00C23D2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Superannuation Industry (Supervision) Regulations 1994</w:t>
      </w:r>
      <w:r w:rsidRPr="00C23D29">
        <w:rPr>
          <w:i w:val="0"/>
          <w:noProof/>
          <w:sz w:val="18"/>
        </w:rPr>
        <w:tab/>
      </w:r>
      <w:r w:rsidRPr="00C23D29">
        <w:rPr>
          <w:i w:val="0"/>
          <w:noProof/>
          <w:sz w:val="18"/>
        </w:rPr>
        <w:fldChar w:fldCharType="begin"/>
      </w:r>
      <w:r w:rsidRPr="00C23D29">
        <w:rPr>
          <w:i w:val="0"/>
          <w:noProof/>
          <w:sz w:val="18"/>
        </w:rPr>
        <w:instrText xml:space="preserve"> PAGEREF _Toc189757127 \h </w:instrText>
      </w:r>
      <w:r w:rsidRPr="00C23D29">
        <w:rPr>
          <w:i w:val="0"/>
          <w:noProof/>
          <w:sz w:val="18"/>
        </w:rPr>
      </w:r>
      <w:r w:rsidRPr="00C23D29">
        <w:rPr>
          <w:i w:val="0"/>
          <w:noProof/>
          <w:sz w:val="18"/>
        </w:rPr>
        <w:fldChar w:fldCharType="separate"/>
      </w:r>
      <w:r w:rsidR="00876685">
        <w:rPr>
          <w:i w:val="0"/>
          <w:noProof/>
          <w:sz w:val="18"/>
        </w:rPr>
        <w:t>6</w:t>
      </w:r>
      <w:r w:rsidRPr="00C23D29">
        <w:rPr>
          <w:i w:val="0"/>
          <w:noProof/>
          <w:sz w:val="18"/>
        </w:rPr>
        <w:fldChar w:fldCharType="end"/>
      </w:r>
    </w:p>
    <w:p w14:paraId="1784D6D1" w14:textId="10692555" w:rsidR="00224C28" w:rsidRDefault="00C23D29" w:rsidP="00664C63">
      <w:r>
        <w:fldChar w:fldCharType="end"/>
      </w:r>
    </w:p>
    <w:p w14:paraId="5E31C01A" w14:textId="77777777" w:rsidR="00224C28" w:rsidRDefault="00224C28" w:rsidP="00664C63"/>
    <w:p w14:paraId="35A39DC8" w14:textId="77777777" w:rsidR="00224C28" w:rsidRPr="00AA108F" w:rsidRDefault="00224C28" w:rsidP="00224C28">
      <w:pPr>
        <w:pStyle w:val="ActHead6"/>
        <w:pageBreakBefore/>
      </w:pPr>
      <w:bookmarkStart w:id="0" w:name="_Toc189757115"/>
      <w:r w:rsidRPr="00C23D29">
        <w:rPr>
          <w:rStyle w:val="CharAmSchNo"/>
        </w:rPr>
        <w:lastRenderedPageBreak/>
        <w:t>Schedule #</w:t>
      </w:r>
      <w:r>
        <w:t>—</w:t>
      </w:r>
      <w:r w:rsidRPr="00C23D29">
        <w:rPr>
          <w:rStyle w:val="CharAmSchText"/>
        </w:rPr>
        <w:t>Superannuation guarantee reforms to address unpaid superannuation</w:t>
      </w:r>
      <w:bookmarkEnd w:id="0"/>
    </w:p>
    <w:p w14:paraId="60E8D08E" w14:textId="77777777" w:rsidR="00224C28" w:rsidRDefault="00AA108F" w:rsidP="00224C28">
      <w:pPr>
        <w:pStyle w:val="ActHead7"/>
      </w:pPr>
      <w:bookmarkStart w:id="1" w:name="_Toc189757116"/>
      <w:r w:rsidRPr="00C23D29">
        <w:rPr>
          <w:rStyle w:val="CharAmPartNo"/>
        </w:rPr>
        <w:t>Part 1</w:t>
      </w:r>
      <w:r w:rsidR="00224C28">
        <w:t>—</w:t>
      </w:r>
      <w:r w:rsidR="00224C28" w:rsidRPr="00C23D29">
        <w:rPr>
          <w:rStyle w:val="CharAmPartText"/>
        </w:rPr>
        <w:t>Administrative uplift amounts for superannuation guarantee shortfalls</w:t>
      </w:r>
      <w:bookmarkEnd w:id="1"/>
    </w:p>
    <w:p w14:paraId="5E95BBB0" w14:textId="77777777" w:rsidR="00224C28" w:rsidRDefault="00224C28" w:rsidP="00224C28">
      <w:pPr>
        <w:pStyle w:val="ActHead9"/>
      </w:pPr>
      <w:bookmarkStart w:id="2" w:name="_Toc189757117"/>
      <w:r w:rsidRPr="00224C28">
        <w:t>Superannuation Guarantee (Administration) Regulations 2018</w:t>
      </w:r>
      <w:bookmarkEnd w:id="2"/>
    </w:p>
    <w:p w14:paraId="314E428E" w14:textId="23886F92" w:rsidR="00256091" w:rsidRDefault="0047639E" w:rsidP="00561D21">
      <w:pPr>
        <w:pStyle w:val="ItemHead"/>
      </w:pPr>
      <w:r>
        <w:t>1</w:t>
      </w:r>
      <w:r w:rsidR="00256091">
        <w:t xml:space="preserve">  </w:t>
      </w:r>
      <w:r w:rsidR="00AA108F">
        <w:t>Section 5</w:t>
      </w:r>
      <w:r w:rsidR="00561D21">
        <w:t xml:space="preserve"> (after </w:t>
      </w:r>
      <w:r w:rsidR="0018199C">
        <w:t>paragraph (</w:t>
      </w:r>
      <w:r w:rsidR="00561D21">
        <w:t>a) of the note)</w:t>
      </w:r>
    </w:p>
    <w:p w14:paraId="225BFF7B" w14:textId="77777777" w:rsidR="00561D21" w:rsidRDefault="00561D21" w:rsidP="00561D21">
      <w:pPr>
        <w:pStyle w:val="Item"/>
      </w:pPr>
      <w:r>
        <w:t>Insert:</w:t>
      </w:r>
    </w:p>
    <w:p w14:paraId="3E64C682" w14:textId="77777777" w:rsidR="00561D21" w:rsidRPr="00561D21" w:rsidRDefault="00561D21" w:rsidP="00561D21">
      <w:pPr>
        <w:pStyle w:val="notepara"/>
      </w:pPr>
      <w:r>
        <w:t>(aa)</w:t>
      </w:r>
      <w:r>
        <w:tab/>
        <w:t>assessment;</w:t>
      </w:r>
    </w:p>
    <w:p w14:paraId="3B20453D" w14:textId="0B839011" w:rsidR="008918CB" w:rsidRDefault="0047639E" w:rsidP="008918CB">
      <w:pPr>
        <w:pStyle w:val="ItemHead"/>
      </w:pPr>
      <w:r>
        <w:t>2</w:t>
      </w:r>
      <w:r w:rsidR="008918CB">
        <w:t xml:space="preserve">  </w:t>
      </w:r>
      <w:r w:rsidR="00AA108F">
        <w:t>Section 5</w:t>
      </w:r>
    </w:p>
    <w:p w14:paraId="600D1118" w14:textId="77777777" w:rsidR="008918CB" w:rsidRDefault="008918CB" w:rsidP="008918CB">
      <w:pPr>
        <w:pStyle w:val="Item"/>
      </w:pPr>
      <w:r>
        <w:t>Insert:</w:t>
      </w:r>
    </w:p>
    <w:p w14:paraId="7055C10C" w14:textId="031D7DA8" w:rsidR="0048482C" w:rsidRPr="0048482C" w:rsidRDefault="008918CB" w:rsidP="008918CB">
      <w:pPr>
        <w:pStyle w:val="Definition"/>
      </w:pPr>
      <w:r w:rsidRPr="00AD519A">
        <w:rPr>
          <w:b/>
          <w:i/>
        </w:rPr>
        <w:t>Commissioner</w:t>
      </w:r>
      <w:r w:rsidR="005E219E">
        <w:rPr>
          <w:b/>
          <w:i/>
        </w:rPr>
        <w:noBreakHyphen/>
      </w:r>
      <w:r w:rsidRPr="00AD519A">
        <w:rPr>
          <w:b/>
          <w:i/>
        </w:rPr>
        <w:t>initiated assessment</w:t>
      </w:r>
      <w:r w:rsidR="0048482C">
        <w:t xml:space="preserve"> has the meaning given by subsection </w:t>
      </w:r>
      <w:r w:rsidR="0018199C">
        <w:t>13C</w:t>
      </w:r>
      <w:r w:rsidR="0048482C" w:rsidRPr="0048482C">
        <w:t>(3).</w:t>
      </w:r>
    </w:p>
    <w:p w14:paraId="24DBE8D0" w14:textId="4E1EB16B" w:rsidR="00224C28" w:rsidRDefault="0047639E" w:rsidP="00224C28">
      <w:pPr>
        <w:pStyle w:val="ItemHead"/>
      </w:pPr>
      <w:r>
        <w:t>3</w:t>
      </w:r>
      <w:r w:rsidR="00224C28">
        <w:t xml:space="preserve">  </w:t>
      </w:r>
      <w:r w:rsidR="00AA108F">
        <w:t>Part 4</w:t>
      </w:r>
    </w:p>
    <w:p w14:paraId="237F4C5B" w14:textId="77777777" w:rsidR="00224C28" w:rsidRDefault="00224C28" w:rsidP="00224C28">
      <w:pPr>
        <w:pStyle w:val="Item"/>
      </w:pPr>
      <w:r>
        <w:t>Repeal the Part, substitute:</w:t>
      </w:r>
    </w:p>
    <w:p w14:paraId="65A0FBE6" w14:textId="77777777" w:rsidR="00224C28" w:rsidRDefault="00AA108F" w:rsidP="00224C28">
      <w:pPr>
        <w:pStyle w:val="ActHead2"/>
      </w:pPr>
      <w:bookmarkStart w:id="3" w:name="_Toc189757118"/>
      <w:r w:rsidRPr="00C23D29">
        <w:rPr>
          <w:rStyle w:val="CharPartNo"/>
        </w:rPr>
        <w:t>Part 4</w:t>
      </w:r>
      <w:r w:rsidR="00224C28">
        <w:t>—</w:t>
      </w:r>
      <w:r w:rsidR="00224C28" w:rsidRPr="00C23D29">
        <w:rPr>
          <w:rStyle w:val="CharPartText"/>
        </w:rPr>
        <w:t>Liability of employers to superannuation guarantee charge</w:t>
      </w:r>
      <w:bookmarkEnd w:id="3"/>
    </w:p>
    <w:p w14:paraId="6BEC9346" w14:textId="77777777" w:rsidR="00224C28" w:rsidRDefault="00AA108F" w:rsidP="00224C28">
      <w:pPr>
        <w:pStyle w:val="ActHead3"/>
      </w:pPr>
      <w:bookmarkStart w:id="4" w:name="_Toc189757119"/>
      <w:r w:rsidRPr="00C23D29">
        <w:rPr>
          <w:rStyle w:val="CharDivNo"/>
        </w:rPr>
        <w:t>Division 1</w:t>
      </w:r>
      <w:r w:rsidR="00224C28">
        <w:t>—</w:t>
      </w:r>
      <w:r w:rsidR="000C4E8E" w:rsidRPr="00C23D29">
        <w:rPr>
          <w:rStyle w:val="CharDivText"/>
        </w:rPr>
        <w:t>Exclusions</w:t>
      </w:r>
      <w:bookmarkEnd w:id="4"/>
    </w:p>
    <w:p w14:paraId="7EFB29C5" w14:textId="77777777" w:rsidR="00224C28" w:rsidRDefault="00AA108F" w:rsidP="00224C28">
      <w:pPr>
        <w:pStyle w:val="ActHead3"/>
      </w:pPr>
      <w:bookmarkStart w:id="5" w:name="_Toc189757120"/>
      <w:r w:rsidRPr="00C23D29">
        <w:rPr>
          <w:rStyle w:val="CharDivNo"/>
        </w:rPr>
        <w:t>Division 2</w:t>
      </w:r>
      <w:r w:rsidR="00224C28">
        <w:t>—</w:t>
      </w:r>
      <w:r w:rsidR="00224C28" w:rsidRPr="00C23D29">
        <w:rPr>
          <w:rStyle w:val="CharDivText"/>
        </w:rPr>
        <w:t>Administrative uplift amounts for superannuation guarantee shortfalls</w:t>
      </w:r>
      <w:bookmarkEnd w:id="5"/>
    </w:p>
    <w:p w14:paraId="047E587D" w14:textId="1D6A52BA" w:rsidR="0066129A" w:rsidRDefault="0018199C" w:rsidP="00224C28">
      <w:pPr>
        <w:pStyle w:val="ActHead5"/>
      </w:pPr>
      <w:bookmarkStart w:id="6" w:name="_Toc189757121"/>
      <w:r w:rsidRPr="00C23D29">
        <w:rPr>
          <w:rStyle w:val="CharSectno"/>
        </w:rPr>
        <w:t>13A</w:t>
      </w:r>
      <w:r w:rsidR="00443BAB">
        <w:t xml:space="preserve">  Simplified outline of this Division</w:t>
      </w:r>
      <w:bookmarkEnd w:id="6"/>
    </w:p>
    <w:p w14:paraId="7E1578DD" w14:textId="7CA7B49E" w:rsidR="008D53D9" w:rsidRDefault="00C37AC7" w:rsidP="008D53D9">
      <w:pPr>
        <w:pStyle w:val="SOText"/>
      </w:pPr>
      <w:r>
        <w:t xml:space="preserve">An employer’s administrative uplift amount for a </w:t>
      </w:r>
      <w:r w:rsidR="00757835">
        <w:t>QE day</w:t>
      </w:r>
      <w:r>
        <w:t xml:space="preserve"> is 60% of</w:t>
      </w:r>
      <w:r w:rsidR="008D53D9">
        <w:t xml:space="preserve"> the sum of the totals of its </w:t>
      </w:r>
      <w:r w:rsidR="008D53D9" w:rsidRPr="008D53D9">
        <w:t>individual final superannuation guarantee shortfalls</w:t>
      </w:r>
      <w:r w:rsidR="008D53D9">
        <w:t>,</w:t>
      </w:r>
      <w:r w:rsidR="008D53D9" w:rsidRPr="008D53D9">
        <w:t xml:space="preserve"> and</w:t>
      </w:r>
      <w:r w:rsidR="008D53D9">
        <w:t xml:space="preserve"> individual notional earnings components, for the </w:t>
      </w:r>
      <w:r w:rsidR="00757835">
        <w:t>QE day</w:t>
      </w:r>
      <w:r w:rsidR="008D53D9">
        <w:t>.</w:t>
      </w:r>
    </w:p>
    <w:p w14:paraId="18CAC51A" w14:textId="5E1AC4D5" w:rsidR="008D53D9" w:rsidRDefault="008D53D9" w:rsidP="00443BAB">
      <w:pPr>
        <w:pStyle w:val="SOText"/>
      </w:pPr>
      <w:r>
        <w:t>However, this 60% can be</w:t>
      </w:r>
      <w:r w:rsidR="00757835">
        <w:t xml:space="preserve"> reduced </w:t>
      </w:r>
      <w:r w:rsidR="00332151">
        <w:t xml:space="preserve">by this Division </w:t>
      </w:r>
      <w:r w:rsidR="00757835">
        <w:t>in 2 ways</w:t>
      </w:r>
      <w:r w:rsidR="005F6DAB">
        <w:t xml:space="preserve"> and can be reduced to 0%.</w:t>
      </w:r>
    </w:p>
    <w:p w14:paraId="648E4BCE" w14:textId="751D82BF" w:rsidR="00757835" w:rsidRDefault="00757835" w:rsidP="00443BAB">
      <w:pPr>
        <w:pStyle w:val="SOText"/>
      </w:pPr>
      <w:r>
        <w:t>The first way can reduce the percentage to 40% if the Commissioner has not initiated an assessment of superannuation guarantee charge for the employer during the past 24 months.</w:t>
      </w:r>
    </w:p>
    <w:p w14:paraId="62BCDBD9" w14:textId="3F584AB0" w:rsidR="00757835" w:rsidRDefault="00757835" w:rsidP="00757835">
      <w:pPr>
        <w:pStyle w:val="SOText"/>
      </w:pPr>
      <w:r>
        <w:t>The second way can reduce the percentage if the employer lodges a voluntary disclosure statement for the QE day:</w:t>
      </w:r>
    </w:p>
    <w:p w14:paraId="3991CC5B" w14:textId="77777777" w:rsidR="00757835" w:rsidRDefault="00757835" w:rsidP="00757835">
      <w:pPr>
        <w:pStyle w:val="SOPara"/>
      </w:pPr>
      <w:r>
        <w:tab/>
        <w:t>(a)</w:t>
      </w:r>
      <w:r>
        <w:tab/>
        <w:t>in the approved form; and</w:t>
      </w:r>
    </w:p>
    <w:p w14:paraId="018E29F8" w14:textId="14636DA2" w:rsidR="00757835" w:rsidRDefault="00757835" w:rsidP="00757835">
      <w:pPr>
        <w:pStyle w:val="SOPara"/>
      </w:pPr>
      <w:r>
        <w:tab/>
        <w:t>(b)</w:t>
      </w:r>
      <w:r>
        <w:tab/>
        <w:t>before the day an assessment is made for the employer and the QE day.</w:t>
      </w:r>
    </w:p>
    <w:p w14:paraId="55695F5D" w14:textId="76A616A6" w:rsidR="00224C28" w:rsidRDefault="0018199C" w:rsidP="00224C28">
      <w:pPr>
        <w:pStyle w:val="ActHead5"/>
      </w:pPr>
      <w:bookmarkStart w:id="7" w:name="_Toc189757122"/>
      <w:r w:rsidRPr="00C23D29">
        <w:rPr>
          <w:rStyle w:val="CharSectno"/>
        </w:rPr>
        <w:lastRenderedPageBreak/>
        <w:t>13B</w:t>
      </w:r>
      <w:r w:rsidR="00224C28">
        <w:t xml:space="preserve">  </w:t>
      </w:r>
      <w:r w:rsidR="007A1EDC">
        <w:t xml:space="preserve">Reducing </w:t>
      </w:r>
      <w:r w:rsidR="00224C28">
        <w:t>an employer’s administrative uplift amount</w:t>
      </w:r>
      <w:bookmarkEnd w:id="7"/>
    </w:p>
    <w:p w14:paraId="455B4DD5" w14:textId="68E74019" w:rsidR="001705E1" w:rsidRDefault="00224C28" w:rsidP="00224C28">
      <w:pPr>
        <w:pStyle w:val="subsection"/>
      </w:pPr>
      <w:r>
        <w:tab/>
      </w:r>
      <w:r w:rsidR="001705E1">
        <w:t>(1)</w:t>
      </w:r>
      <w:r>
        <w:tab/>
      </w:r>
      <w:r w:rsidR="007A1EDC">
        <w:t xml:space="preserve">This Division sets out how </w:t>
      </w:r>
      <w:r w:rsidR="001705E1">
        <w:t xml:space="preserve">an employer’s </w:t>
      </w:r>
      <w:r w:rsidR="001705E1" w:rsidRPr="001705E1">
        <w:rPr>
          <w:bCs/>
          <w:iCs/>
        </w:rPr>
        <w:t>administrative uplift amount</w:t>
      </w:r>
      <w:r w:rsidR="001705E1">
        <w:t xml:space="preserve"> for a </w:t>
      </w:r>
      <w:r w:rsidR="00D40997">
        <w:t>Q</w:t>
      </w:r>
      <w:r w:rsidR="001705E1">
        <w:t>E day can be reduced.</w:t>
      </w:r>
    </w:p>
    <w:p w14:paraId="106D1484" w14:textId="21270706" w:rsidR="001705E1" w:rsidRPr="0047639E" w:rsidRDefault="001705E1" w:rsidP="001705E1">
      <w:pPr>
        <w:pStyle w:val="subsection"/>
      </w:pPr>
      <w:r>
        <w:tab/>
        <w:t>(2)</w:t>
      </w:r>
      <w:r>
        <w:tab/>
        <w:t xml:space="preserve">This amount is reduced (but not below nil) if either or both of sections </w:t>
      </w:r>
      <w:r w:rsidR="0018199C">
        <w:t>13C</w:t>
      </w:r>
      <w:r>
        <w:t xml:space="preserve"> or </w:t>
      </w:r>
      <w:r w:rsidR="0018199C">
        <w:t>13D</w:t>
      </w:r>
      <w:r>
        <w:t xml:space="preserve"> apply to reduce the percentage in </w:t>
      </w:r>
      <w:r w:rsidR="0018199C">
        <w:t>subsectio</w:t>
      </w:r>
      <w:r w:rsidR="0018199C" w:rsidRPr="0047639E">
        <w:t>n </w:t>
      </w:r>
      <w:r w:rsidR="0047639E" w:rsidRPr="0047639E">
        <w:t>19C</w:t>
      </w:r>
      <w:r w:rsidRPr="0047639E">
        <w:t>(1)</w:t>
      </w:r>
      <w:r w:rsidR="00FD62F7" w:rsidRPr="0047639E">
        <w:t xml:space="preserve"> of the Act</w:t>
      </w:r>
      <w:r w:rsidRPr="0047639E">
        <w:t>.</w:t>
      </w:r>
    </w:p>
    <w:p w14:paraId="4AAFB304" w14:textId="3A2489E6" w:rsidR="00FD62F7" w:rsidRPr="00FD62F7" w:rsidRDefault="00FD62F7" w:rsidP="00FD62F7">
      <w:pPr>
        <w:pStyle w:val="notetext"/>
      </w:pPr>
      <w:r w:rsidRPr="0047639E">
        <w:t>Note:</w:t>
      </w:r>
      <w:r w:rsidRPr="0047639E">
        <w:tab/>
        <w:t xml:space="preserve">That percentage is 60% of the sum of the totals of the employer’s individual final superannuation guarantee shortfalls, and individual notional earnings components, for the QE day (see </w:t>
      </w:r>
      <w:r w:rsidR="0018199C" w:rsidRPr="0047639E">
        <w:t>subsection </w:t>
      </w:r>
      <w:r w:rsidR="0047639E" w:rsidRPr="0047639E">
        <w:t>19C</w:t>
      </w:r>
      <w:r w:rsidRPr="0047639E">
        <w:t>(1) of the Act).</w:t>
      </w:r>
    </w:p>
    <w:p w14:paraId="31010D4C" w14:textId="71452ED8" w:rsidR="00224C28" w:rsidRDefault="0018199C" w:rsidP="00224C28">
      <w:pPr>
        <w:pStyle w:val="ActHead5"/>
      </w:pPr>
      <w:bookmarkStart w:id="8" w:name="_Toc189757123"/>
      <w:r w:rsidRPr="00C23D29">
        <w:rPr>
          <w:rStyle w:val="CharSectno"/>
        </w:rPr>
        <w:t>13C</w:t>
      </w:r>
      <w:r w:rsidR="00224C28">
        <w:t xml:space="preserve">  </w:t>
      </w:r>
      <w:r w:rsidR="0073306E">
        <w:t xml:space="preserve">Reduction if </w:t>
      </w:r>
      <w:r w:rsidR="00EF3B11">
        <w:t>n</w:t>
      </w:r>
      <w:r w:rsidR="00197880">
        <w:t xml:space="preserve">o </w:t>
      </w:r>
      <w:r w:rsidR="001860EC" w:rsidRPr="0065276F">
        <w:t>Commissioner</w:t>
      </w:r>
      <w:r w:rsidR="005E219E">
        <w:noBreakHyphen/>
      </w:r>
      <w:r w:rsidR="001860EC" w:rsidRPr="0065276F">
        <w:t xml:space="preserve">initiated </w:t>
      </w:r>
      <w:r w:rsidR="00197880">
        <w:t xml:space="preserve">assessment </w:t>
      </w:r>
      <w:r w:rsidR="00EF3B11">
        <w:t>in</w:t>
      </w:r>
      <w:r w:rsidR="00197880">
        <w:t xml:space="preserve"> the </w:t>
      </w:r>
      <w:r w:rsidR="00DC0B08">
        <w:t>past 24 months</w:t>
      </w:r>
      <w:bookmarkEnd w:id="8"/>
    </w:p>
    <w:p w14:paraId="1067F4BA" w14:textId="6A054069" w:rsidR="00DC0B08" w:rsidRDefault="00DC0B08" w:rsidP="00DC0B08">
      <w:pPr>
        <w:pStyle w:val="subsection"/>
      </w:pPr>
      <w:r>
        <w:tab/>
        <w:t>(1)</w:t>
      </w:r>
      <w:r>
        <w:tab/>
        <w:t xml:space="preserve">This section applies to reduce the percentage </w:t>
      </w:r>
      <w:r w:rsidR="00D40997">
        <w:t xml:space="preserve">for the QE day </w:t>
      </w:r>
      <w:r w:rsidR="00362927">
        <w:t>by 20% if</w:t>
      </w:r>
      <w:r w:rsidR="0052234F">
        <w:t xml:space="preserve"> </w:t>
      </w:r>
      <w:r w:rsidR="000C0313">
        <w:t>no</w:t>
      </w:r>
      <w:r w:rsidR="0065276F">
        <w:t xml:space="preserve"> </w:t>
      </w:r>
      <w:r w:rsidR="0065276F" w:rsidRPr="0065276F">
        <w:t>Commissioner</w:t>
      </w:r>
      <w:r w:rsidR="005E219E">
        <w:noBreakHyphen/>
      </w:r>
      <w:r w:rsidR="0065276F" w:rsidRPr="0065276F">
        <w:t>initiated assessment</w:t>
      </w:r>
      <w:r w:rsidR="0065276F">
        <w:t xml:space="preserve"> has been made for the employer</w:t>
      </w:r>
      <w:r w:rsidR="00AC6095">
        <w:t xml:space="preserve"> during the </w:t>
      </w:r>
      <w:r w:rsidR="00B81731">
        <w:t>24</w:t>
      </w:r>
      <w:r w:rsidR="005E219E">
        <w:noBreakHyphen/>
      </w:r>
      <w:r w:rsidR="00B81731">
        <w:t xml:space="preserve">month period </w:t>
      </w:r>
      <w:r w:rsidR="00AC6095">
        <w:t xml:space="preserve">ending on the </w:t>
      </w:r>
      <w:r w:rsidR="00757835">
        <w:t>QE day</w:t>
      </w:r>
      <w:r w:rsidR="00B81731">
        <w:t>.</w:t>
      </w:r>
    </w:p>
    <w:p w14:paraId="7F244E6C" w14:textId="67FDC87C" w:rsidR="00585639" w:rsidRPr="00585639" w:rsidRDefault="00585639" w:rsidP="00585639">
      <w:pPr>
        <w:pStyle w:val="notetext"/>
      </w:pPr>
      <w:r>
        <w:t>Note:</w:t>
      </w:r>
      <w:r>
        <w:tab/>
      </w:r>
      <w:r w:rsidR="00AE2B85">
        <w:t>This means</w:t>
      </w:r>
      <w:r>
        <w:t xml:space="preserve"> the 60% </w:t>
      </w:r>
      <w:r w:rsidR="00765666">
        <w:t xml:space="preserve">in </w:t>
      </w:r>
      <w:r w:rsidR="0018199C">
        <w:t>subsection </w:t>
      </w:r>
      <w:r w:rsidR="0047639E" w:rsidRPr="0047639E">
        <w:t>19C</w:t>
      </w:r>
      <w:r w:rsidR="00765666" w:rsidRPr="0047639E">
        <w:t>(1) o</w:t>
      </w:r>
      <w:r w:rsidR="00765666">
        <w:t xml:space="preserve">f the Act </w:t>
      </w:r>
      <w:r w:rsidR="00AE2B85">
        <w:t>is reduced to 40%.</w:t>
      </w:r>
    </w:p>
    <w:p w14:paraId="2EE170AF" w14:textId="1473CF26" w:rsidR="00B81731" w:rsidRDefault="00B81731" w:rsidP="00DC0B08">
      <w:pPr>
        <w:pStyle w:val="subsection"/>
      </w:pPr>
      <w:r>
        <w:tab/>
        <w:t>(2)</w:t>
      </w:r>
      <w:r>
        <w:tab/>
      </w:r>
      <w:r w:rsidR="003A01AE">
        <w:t>However, i</w:t>
      </w:r>
      <w:r w:rsidR="00F81B77">
        <w:t xml:space="preserve">f the </w:t>
      </w:r>
      <w:r w:rsidR="00757835">
        <w:t>QE day</w:t>
      </w:r>
      <w:r w:rsidR="00F81B77">
        <w:t xml:space="preserve"> is </w:t>
      </w:r>
      <w:r w:rsidR="003A01AE">
        <w:t xml:space="preserve">between </w:t>
      </w:r>
      <w:r w:rsidR="00AA108F">
        <w:t>1 July</w:t>
      </w:r>
      <w:r w:rsidR="003A01AE">
        <w:t xml:space="preserve"> 2026 and </w:t>
      </w:r>
      <w:r w:rsidR="00AA108F">
        <w:t>30 June</w:t>
      </w:r>
      <w:r w:rsidR="003A01AE">
        <w:t xml:space="preserve"> 2028</w:t>
      </w:r>
      <w:r w:rsidR="00D018DE">
        <w:t xml:space="preserve"> (inclusive)</w:t>
      </w:r>
      <w:r w:rsidR="003A01AE">
        <w:t xml:space="preserve">, </w:t>
      </w:r>
      <w:r w:rsidR="00D018DE">
        <w:t xml:space="preserve">then </w:t>
      </w:r>
      <w:r w:rsidR="003A01AE">
        <w:t xml:space="preserve">treat the period mentioned in </w:t>
      </w:r>
      <w:r w:rsidR="0018199C">
        <w:t>subsection (</w:t>
      </w:r>
      <w:r w:rsidR="003A01AE">
        <w:t xml:space="preserve">1) as </w:t>
      </w:r>
      <w:r w:rsidR="005726B0">
        <w:t xml:space="preserve">if it </w:t>
      </w:r>
      <w:r w:rsidR="003A01AE">
        <w:t>start</w:t>
      </w:r>
      <w:r w:rsidR="005726B0">
        <w:t>ed</w:t>
      </w:r>
      <w:r w:rsidR="003A01AE">
        <w:t xml:space="preserve"> on </w:t>
      </w:r>
      <w:r w:rsidR="00AA108F">
        <w:t>1 July</w:t>
      </w:r>
      <w:r w:rsidR="003A01AE">
        <w:t xml:space="preserve"> 2026.</w:t>
      </w:r>
    </w:p>
    <w:p w14:paraId="4DACB2E7" w14:textId="157E8344" w:rsidR="00B30846" w:rsidRDefault="00B30846" w:rsidP="00B30846">
      <w:pPr>
        <w:pStyle w:val="subsection"/>
      </w:pPr>
      <w:r>
        <w:tab/>
        <w:t>(3)</w:t>
      </w:r>
      <w:r>
        <w:tab/>
        <w:t xml:space="preserve">A </w:t>
      </w:r>
      <w:r w:rsidRPr="00E64180">
        <w:rPr>
          <w:b/>
          <w:i/>
        </w:rPr>
        <w:t>Commissioner</w:t>
      </w:r>
      <w:r w:rsidR="005E219E">
        <w:rPr>
          <w:b/>
          <w:i/>
        </w:rPr>
        <w:noBreakHyphen/>
      </w:r>
      <w:r w:rsidRPr="00E64180">
        <w:rPr>
          <w:b/>
          <w:i/>
        </w:rPr>
        <w:t>initiated assessment</w:t>
      </w:r>
      <w:r>
        <w:t>, for the employer, is an assessment, under subsection 36(1) of the Act for the employer and a QE day, that:</w:t>
      </w:r>
    </w:p>
    <w:p w14:paraId="75583456" w14:textId="16431ED0" w:rsidR="00B30846" w:rsidRDefault="00B30846" w:rsidP="00B30846">
      <w:pPr>
        <w:pStyle w:val="paragraph"/>
      </w:pPr>
      <w:r>
        <w:tab/>
        <w:t>(a)</w:t>
      </w:r>
      <w:r>
        <w:tab/>
        <w:t>was made on the Commissioner’s own initiative; or</w:t>
      </w:r>
    </w:p>
    <w:p w14:paraId="53DCC113" w14:textId="18157027" w:rsidR="00B30846" w:rsidRDefault="00B30846" w:rsidP="00B30846">
      <w:pPr>
        <w:pStyle w:val="paragraph"/>
      </w:pPr>
      <w:r>
        <w:tab/>
        <w:t>(b)</w:t>
      </w:r>
      <w:r>
        <w:tab/>
        <w:t>was made because a statement purportedly lodged by the employer under section 33 of the Act is not a voluntary disclosure statement.</w:t>
      </w:r>
    </w:p>
    <w:p w14:paraId="06D996B0" w14:textId="6019B969" w:rsidR="00CD6373" w:rsidRPr="00CD6373" w:rsidRDefault="00CD6373" w:rsidP="00CD6373">
      <w:pPr>
        <w:pStyle w:val="notetext"/>
      </w:pPr>
      <w:r>
        <w:t>Note:</w:t>
      </w:r>
      <w:r>
        <w:tab/>
        <w:t xml:space="preserve">To </w:t>
      </w:r>
      <w:r w:rsidR="00CF4371">
        <w:t xml:space="preserve">be a voluntary disclosure statement, the statement will need to be </w:t>
      </w:r>
      <w:r w:rsidR="000B5C93">
        <w:t xml:space="preserve">lodged </w:t>
      </w:r>
      <w:r w:rsidR="00CF4371">
        <w:t xml:space="preserve">in the approved form (see </w:t>
      </w:r>
      <w:r w:rsidR="002353D0">
        <w:t>subsection 3</w:t>
      </w:r>
      <w:r w:rsidR="00CF4371">
        <w:t>3(2) of the Act).</w:t>
      </w:r>
      <w:r w:rsidR="000E4187">
        <w:t xml:space="preserve"> A statement that </w:t>
      </w:r>
      <w:r w:rsidR="00A24B4D">
        <w:t xml:space="preserve">is inaccurate or incomplete </w:t>
      </w:r>
      <w:r w:rsidR="000654E5">
        <w:t xml:space="preserve">may not be in the approved form </w:t>
      </w:r>
      <w:r w:rsidR="00641980">
        <w:t>due to it not containing</w:t>
      </w:r>
      <w:r w:rsidR="00E31AEE">
        <w:t xml:space="preserve"> the information required by the form (see </w:t>
      </w:r>
      <w:r w:rsidR="0018199C">
        <w:t>paragraph 3</w:t>
      </w:r>
      <w:r w:rsidR="00E31AEE">
        <w:t>88</w:t>
      </w:r>
      <w:r w:rsidR="005E219E">
        <w:noBreakHyphen/>
      </w:r>
      <w:r w:rsidR="00E31AEE">
        <w:t xml:space="preserve">50(1)(c) in </w:t>
      </w:r>
      <w:r w:rsidR="0018199C">
        <w:t>Schedule 1</w:t>
      </w:r>
      <w:r w:rsidR="00E31AEE">
        <w:t xml:space="preserve"> </w:t>
      </w:r>
      <w:r w:rsidR="00641980">
        <w:t xml:space="preserve">to the </w:t>
      </w:r>
      <w:r w:rsidR="00641980" w:rsidRPr="00641980">
        <w:rPr>
          <w:i/>
          <w:iCs/>
        </w:rPr>
        <w:t>Taxation Administration Act 1953</w:t>
      </w:r>
      <w:r w:rsidR="001A124C">
        <w:t>)</w:t>
      </w:r>
      <w:r w:rsidR="00641980" w:rsidRPr="00641980">
        <w:t>.</w:t>
      </w:r>
    </w:p>
    <w:p w14:paraId="3EBB09EA" w14:textId="768611D1" w:rsidR="00362927" w:rsidRPr="001906F8" w:rsidRDefault="0018199C" w:rsidP="001906F8">
      <w:pPr>
        <w:pStyle w:val="ActHead5"/>
      </w:pPr>
      <w:bookmarkStart w:id="9" w:name="_Toc189757124"/>
      <w:r w:rsidRPr="00C23D29">
        <w:rPr>
          <w:rStyle w:val="CharSectno"/>
        </w:rPr>
        <w:t>13D</w:t>
      </w:r>
      <w:r w:rsidR="001906F8">
        <w:t xml:space="preserve">  </w:t>
      </w:r>
      <w:r w:rsidR="0073306E">
        <w:t>R</w:t>
      </w:r>
      <w:r w:rsidR="00EF3B11">
        <w:t xml:space="preserve">eduction if a </w:t>
      </w:r>
      <w:r w:rsidR="00EF3B11" w:rsidRPr="00EF3B11">
        <w:t>superannuation guarantee statement</w:t>
      </w:r>
      <w:r w:rsidR="001572A8">
        <w:t xml:space="preserve"> is lodged for the </w:t>
      </w:r>
      <w:r w:rsidR="00757835">
        <w:t>QE day</w:t>
      </w:r>
      <w:bookmarkEnd w:id="9"/>
    </w:p>
    <w:p w14:paraId="287831DF" w14:textId="3E42639E" w:rsidR="008C2950" w:rsidRDefault="001572A8" w:rsidP="00DC0B08">
      <w:pPr>
        <w:pStyle w:val="subsection"/>
      </w:pPr>
      <w:r>
        <w:tab/>
        <w:t>(1)</w:t>
      </w:r>
      <w:r>
        <w:tab/>
        <w:t xml:space="preserve">This section applies to reduce the percentage </w:t>
      </w:r>
      <w:r w:rsidR="00D40997">
        <w:t xml:space="preserve">for the QE day </w:t>
      </w:r>
      <w:r>
        <w:t xml:space="preserve">by the </w:t>
      </w:r>
      <w:r w:rsidR="00521F0B">
        <w:t xml:space="preserve">percentage in </w:t>
      </w:r>
      <w:r w:rsidR="005953BB">
        <w:t xml:space="preserve">column 1 of </w:t>
      </w:r>
      <w:r w:rsidR="00521F0B">
        <w:t>an item of the following table if the employer</w:t>
      </w:r>
      <w:r w:rsidR="00D40997">
        <w:t xml:space="preserve"> lodges a voluntary disclosure</w:t>
      </w:r>
      <w:r w:rsidR="00D40997" w:rsidRPr="00EF3B11">
        <w:t xml:space="preserve"> statement</w:t>
      </w:r>
      <w:r w:rsidR="00D40997">
        <w:t xml:space="preserve"> for the QE day</w:t>
      </w:r>
      <w:r w:rsidR="008C2950">
        <w:t>:</w:t>
      </w:r>
    </w:p>
    <w:p w14:paraId="7ACF284F" w14:textId="551BB097" w:rsidR="00362927" w:rsidRPr="00D40997" w:rsidRDefault="00341A2E" w:rsidP="00D40997">
      <w:pPr>
        <w:pStyle w:val="paragraph"/>
      </w:pPr>
      <w:r>
        <w:tab/>
        <w:t>(</w:t>
      </w:r>
      <w:r w:rsidR="00D40997">
        <w:t>a</w:t>
      </w:r>
      <w:r>
        <w:t>)</w:t>
      </w:r>
      <w:r>
        <w:tab/>
      </w:r>
      <w:r w:rsidR="005F6E41">
        <w:t>on a d</w:t>
      </w:r>
      <w:r w:rsidR="005F6E41" w:rsidRPr="00D40997">
        <w:t>ay</w:t>
      </w:r>
      <w:r w:rsidR="00ED573D" w:rsidRPr="00D40997">
        <w:t xml:space="preserve"> covered by</w:t>
      </w:r>
      <w:r w:rsidR="006C6DDC" w:rsidRPr="00D40997">
        <w:t xml:space="preserve"> </w:t>
      </w:r>
      <w:r w:rsidR="0069426E" w:rsidRPr="00D40997">
        <w:t xml:space="preserve">column 2 of </w:t>
      </w:r>
      <w:r w:rsidR="006C6DDC" w:rsidRPr="00D40997">
        <w:t xml:space="preserve">that </w:t>
      </w:r>
      <w:r w:rsidR="00057E4F" w:rsidRPr="00D40997">
        <w:t xml:space="preserve">table </w:t>
      </w:r>
      <w:r w:rsidR="006C6DDC" w:rsidRPr="00D40997">
        <w:t>item</w:t>
      </w:r>
      <w:r w:rsidR="00170802">
        <w:t xml:space="preserve"> (the </w:t>
      </w:r>
      <w:r w:rsidR="00170802" w:rsidRPr="00170802">
        <w:rPr>
          <w:b/>
          <w:bCs/>
          <w:i/>
          <w:iCs/>
        </w:rPr>
        <w:t>lodgement day</w:t>
      </w:r>
      <w:r w:rsidR="00170802">
        <w:t>)</w:t>
      </w:r>
      <w:r w:rsidRPr="00D40997">
        <w:t>; and</w:t>
      </w:r>
    </w:p>
    <w:p w14:paraId="784A64D1" w14:textId="72D702F1" w:rsidR="00ED573D" w:rsidRDefault="00ED573D" w:rsidP="00D40997">
      <w:pPr>
        <w:pStyle w:val="paragraph"/>
      </w:pPr>
      <w:r w:rsidRPr="00D40997">
        <w:tab/>
        <w:t>(</w:t>
      </w:r>
      <w:r w:rsidR="00D40997">
        <w:t>b</w:t>
      </w:r>
      <w:r w:rsidRPr="00D40997">
        <w:t>)</w:t>
      </w:r>
      <w:r w:rsidRPr="00D40997">
        <w:tab/>
      </w:r>
      <w:r w:rsidR="00D92324" w:rsidRPr="00D40997">
        <w:t xml:space="preserve">before </w:t>
      </w:r>
      <w:r w:rsidR="00D428C4" w:rsidRPr="00D40997">
        <w:t xml:space="preserve">the day </w:t>
      </w:r>
      <w:r w:rsidR="00D428C4">
        <w:t xml:space="preserve">an assessment </w:t>
      </w:r>
      <w:r w:rsidR="00D40997">
        <w:t xml:space="preserve">under </w:t>
      </w:r>
      <w:r w:rsidR="002353D0">
        <w:t>subsection 3</w:t>
      </w:r>
      <w:r w:rsidR="00D40997">
        <w:t xml:space="preserve">6(1) of the Act </w:t>
      </w:r>
      <w:r w:rsidR="00D428C4">
        <w:t xml:space="preserve">is </w:t>
      </w:r>
      <w:r w:rsidR="00F7085F">
        <w:t xml:space="preserve">made for </w:t>
      </w:r>
      <w:r w:rsidR="00D428C4">
        <w:t xml:space="preserve">the employer </w:t>
      </w:r>
      <w:r w:rsidR="00F7085F">
        <w:t>and</w:t>
      </w:r>
      <w:r w:rsidR="00D428C4">
        <w:t xml:space="preserve"> the </w:t>
      </w:r>
      <w:r w:rsidR="00757835">
        <w:t>QE day</w:t>
      </w:r>
      <w:r w:rsidR="00D428C4">
        <w:t>.</w:t>
      </w:r>
    </w:p>
    <w:p w14:paraId="590AAB86" w14:textId="77777777" w:rsidR="001572A8" w:rsidRDefault="001572A8" w:rsidP="001E6A6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49"/>
        <w:gridCol w:w="6049"/>
      </w:tblGrid>
      <w:tr w:rsidR="001E6A6F" w14:paraId="374701C9" w14:textId="77777777" w:rsidTr="001E6A6F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963086D" w14:textId="2BDBF9A1" w:rsidR="001E6A6F" w:rsidRDefault="001E6A6F" w:rsidP="001E6A6F">
            <w:pPr>
              <w:pStyle w:val="TableHeading"/>
            </w:pPr>
            <w:r>
              <w:t xml:space="preserve">Reductions in percentage if a </w:t>
            </w:r>
            <w:r w:rsidR="00FB3219">
              <w:t>voluntary disclosure</w:t>
            </w:r>
            <w:r w:rsidRPr="00EF3B11">
              <w:t xml:space="preserve"> statement</w:t>
            </w:r>
            <w:r>
              <w:t xml:space="preserve"> is lodged for the </w:t>
            </w:r>
            <w:r w:rsidR="00757835">
              <w:t>QE day</w:t>
            </w:r>
          </w:p>
        </w:tc>
      </w:tr>
      <w:tr w:rsidR="00963BCE" w14:paraId="06395F80" w14:textId="77777777" w:rsidTr="007022A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C3ABC" w14:textId="77777777" w:rsidR="001E6A6F" w:rsidRDefault="001E6A6F" w:rsidP="001E6A6F">
            <w:pPr>
              <w:pStyle w:val="TableHeading"/>
            </w:pPr>
          </w:p>
        </w:tc>
        <w:tc>
          <w:tcPr>
            <w:tcW w:w="15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61968" w14:textId="77777777" w:rsidR="001E6A6F" w:rsidRDefault="001E6A6F" w:rsidP="001E6A6F">
            <w:pPr>
              <w:pStyle w:val="TableHeading"/>
            </w:pPr>
            <w:r>
              <w:t>Column 1</w:t>
            </w:r>
          </w:p>
        </w:tc>
        <w:tc>
          <w:tcPr>
            <w:tcW w:w="60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9A630" w14:textId="77777777" w:rsidR="001E6A6F" w:rsidRDefault="001E6A6F" w:rsidP="001E6A6F">
            <w:pPr>
              <w:pStyle w:val="TableHeading"/>
            </w:pPr>
            <w:r>
              <w:t>Column 2</w:t>
            </w:r>
          </w:p>
        </w:tc>
      </w:tr>
      <w:tr w:rsidR="007022A0" w14:paraId="6297964A" w14:textId="77777777" w:rsidTr="007022A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115FBB" w14:textId="77777777" w:rsidR="001E6A6F" w:rsidRDefault="001E6A6F" w:rsidP="001E6A6F">
            <w:pPr>
              <w:pStyle w:val="TableHeading"/>
            </w:pPr>
            <w:r>
              <w:t>Item</w:t>
            </w:r>
          </w:p>
        </w:tc>
        <w:tc>
          <w:tcPr>
            <w:tcW w:w="154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F92658B" w14:textId="77777777" w:rsidR="001E6A6F" w:rsidRDefault="001E6A6F" w:rsidP="001E6A6F">
            <w:pPr>
              <w:pStyle w:val="TableHeading"/>
            </w:pPr>
            <w:r>
              <w:t>Reduce the percentage by:</w:t>
            </w:r>
          </w:p>
        </w:tc>
        <w:tc>
          <w:tcPr>
            <w:tcW w:w="604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4E72D1" w14:textId="1C02528D" w:rsidR="001E6A6F" w:rsidRDefault="001E6A6F" w:rsidP="001E6A6F">
            <w:pPr>
              <w:pStyle w:val="TableHeading"/>
            </w:pPr>
            <w:r>
              <w:t>... if the lodge</w:t>
            </w:r>
            <w:r w:rsidR="00170802">
              <w:t>ment day is</w:t>
            </w:r>
            <w:r>
              <w:t>:</w:t>
            </w:r>
          </w:p>
        </w:tc>
      </w:tr>
      <w:tr w:rsidR="001E6A6F" w14:paraId="443D534C" w14:textId="77777777" w:rsidTr="007022A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C6D70F8" w14:textId="77777777" w:rsidR="001E6A6F" w:rsidRDefault="001E6A6F" w:rsidP="00E64180">
            <w:pPr>
              <w:pStyle w:val="Tabletext"/>
            </w:pPr>
            <w:r>
              <w:t>1</w:t>
            </w:r>
          </w:p>
        </w:tc>
        <w:tc>
          <w:tcPr>
            <w:tcW w:w="1549" w:type="dxa"/>
            <w:tcBorders>
              <w:top w:val="single" w:sz="12" w:space="0" w:color="auto"/>
            </w:tcBorders>
            <w:shd w:val="clear" w:color="auto" w:fill="auto"/>
          </w:tcPr>
          <w:p w14:paraId="3D93BD00" w14:textId="77777777" w:rsidR="001E6A6F" w:rsidRDefault="001E6A6F" w:rsidP="00E64180">
            <w:pPr>
              <w:pStyle w:val="Tabletext"/>
            </w:pPr>
            <w:r>
              <w:t>40%</w:t>
            </w:r>
          </w:p>
        </w:tc>
        <w:tc>
          <w:tcPr>
            <w:tcW w:w="6049" w:type="dxa"/>
            <w:tcBorders>
              <w:top w:val="single" w:sz="12" w:space="0" w:color="auto"/>
            </w:tcBorders>
            <w:shd w:val="clear" w:color="auto" w:fill="auto"/>
          </w:tcPr>
          <w:p w14:paraId="67C679D8" w14:textId="2E261871" w:rsidR="001E6A6F" w:rsidRDefault="001E6A6F" w:rsidP="00E64180">
            <w:pPr>
              <w:pStyle w:val="Tabletext"/>
            </w:pPr>
            <w:r>
              <w:t>before the end of the 30</w:t>
            </w:r>
            <w:r w:rsidR="005E219E">
              <w:noBreakHyphen/>
            </w:r>
            <w:r>
              <w:t xml:space="preserve">day period starting on the </w:t>
            </w:r>
            <w:r w:rsidR="00757835">
              <w:t>QE day</w:t>
            </w:r>
            <w:r>
              <w:t>.</w:t>
            </w:r>
          </w:p>
        </w:tc>
      </w:tr>
      <w:tr w:rsidR="001E6A6F" w14:paraId="4AC03345" w14:textId="77777777" w:rsidTr="007022A0">
        <w:tc>
          <w:tcPr>
            <w:tcW w:w="714" w:type="dxa"/>
            <w:shd w:val="clear" w:color="auto" w:fill="auto"/>
          </w:tcPr>
          <w:p w14:paraId="7FB15FCD" w14:textId="77777777" w:rsidR="001E6A6F" w:rsidRDefault="001E6A6F" w:rsidP="00E64180">
            <w:pPr>
              <w:pStyle w:val="Tabletext"/>
            </w:pPr>
            <w:r>
              <w:t>2</w:t>
            </w:r>
          </w:p>
        </w:tc>
        <w:tc>
          <w:tcPr>
            <w:tcW w:w="1549" w:type="dxa"/>
            <w:shd w:val="clear" w:color="auto" w:fill="auto"/>
          </w:tcPr>
          <w:p w14:paraId="52B52977" w14:textId="77777777" w:rsidR="001E6A6F" w:rsidRDefault="001E6A6F" w:rsidP="00E64180">
            <w:pPr>
              <w:pStyle w:val="Tabletext"/>
            </w:pPr>
            <w:r>
              <w:t>35%</w:t>
            </w:r>
          </w:p>
        </w:tc>
        <w:tc>
          <w:tcPr>
            <w:tcW w:w="6049" w:type="dxa"/>
            <w:shd w:val="clear" w:color="auto" w:fill="auto"/>
          </w:tcPr>
          <w:p w14:paraId="0B04ACF3" w14:textId="77777777" w:rsidR="001E6A6F" w:rsidRDefault="001E6A6F" w:rsidP="00E64180">
            <w:pPr>
              <w:pStyle w:val="Tabletext"/>
            </w:pPr>
            <w:r>
              <w:t>during the period:</w:t>
            </w:r>
          </w:p>
          <w:p w14:paraId="4D6B9D46" w14:textId="77777777" w:rsidR="001E6A6F" w:rsidRDefault="001E6A6F" w:rsidP="00E64180">
            <w:pPr>
              <w:pStyle w:val="Tablea"/>
            </w:pPr>
            <w:r>
              <w:t>(a) starting immediately after the end of the period mentioned in item 1; and</w:t>
            </w:r>
          </w:p>
          <w:p w14:paraId="347D6CB5" w14:textId="20FEA2C8" w:rsidR="001E6A6F" w:rsidRPr="006A0144" w:rsidRDefault="001E6A6F" w:rsidP="00E64180">
            <w:pPr>
              <w:pStyle w:val="Tablea"/>
            </w:pPr>
            <w:r>
              <w:t>(b) ending at the end of the 60</w:t>
            </w:r>
            <w:r w:rsidR="005E219E">
              <w:noBreakHyphen/>
            </w:r>
            <w:r>
              <w:t xml:space="preserve">day period starting on the </w:t>
            </w:r>
            <w:r w:rsidR="00757835">
              <w:t>QE day</w:t>
            </w:r>
            <w:r>
              <w:t>.</w:t>
            </w:r>
          </w:p>
        </w:tc>
      </w:tr>
      <w:tr w:rsidR="001E6A6F" w14:paraId="34987F61" w14:textId="77777777" w:rsidTr="007022A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A7BBDE6" w14:textId="77777777" w:rsidR="001E6A6F" w:rsidRDefault="001E6A6F" w:rsidP="00E64180">
            <w:pPr>
              <w:pStyle w:val="Tabletext"/>
            </w:pPr>
            <w:r>
              <w:t>3</w:t>
            </w:r>
          </w:p>
        </w:tc>
        <w:tc>
          <w:tcPr>
            <w:tcW w:w="1549" w:type="dxa"/>
            <w:tcBorders>
              <w:bottom w:val="single" w:sz="2" w:space="0" w:color="auto"/>
            </w:tcBorders>
            <w:shd w:val="clear" w:color="auto" w:fill="auto"/>
          </w:tcPr>
          <w:p w14:paraId="0831069C" w14:textId="77777777" w:rsidR="001E6A6F" w:rsidRDefault="001E6A6F" w:rsidP="00E64180">
            <w:pPr>
              <w:pStyle w:val="Tabletext"/>
            </w:pPr>
            <w:r>
              <w:t>30%</w:t>
            </w:r>
          </w:p>
        </w:tc>
        <w:tc>
          <w:tcPr>
            <w:tcW w:w="6049" w:type="dxa"/>
            <w:tcBorders>
              <w:bottom w:val="single" w:sz="2" w:space="0" w:color="auto"/>
            </w:tcBorders>
            <w:shd w:val="clear" w:color="auto" w:fill="auto"/>
          </w:tcPr>
          <w:p w14:paraId="5BD75148" w14:textId="77777777" w:rsidR="001E6A6F" w:rsidRDefault="001E6A6F" w:rsidP="00E64180">
            <w:pPr>
              <w:pStyle w:val="Tabletext"/>
            </w:pPr>
            <w:r>
              <w:t>during the period:</w:t>
            </w:r>
          </w:p>
          <w:p w14:paraId="6E56235A" w14:textId="77777777" w:rsidR="001E6A6F" w:rsidRDefault="001E6A6F" w:rsidP="00E64180">
            <w:pPr>
              <w:pStyle w:val="Tablea"/>
            </w:pPr>
            <w:r>
              <w:lastRenderedPageBreak/>
              <w:t>(a) starting immediately after the end of the period mentioned in item 2; and</w:t>
            </w:r>
          </w:p>
          <w:p w14:paraId="7997189F" w14:textId="1725240A" w:rsidR="001E6A6F" w:rsidRDefault="001E6A6F" w:rsidP="00CD7A81">
            <w:pPr>
              <w:pStyle w:val="Tablea"/>
            </w:pPr>
            <w:r>
              <w:t>(b) ending at the end of the 120</w:t>
            </w:r>
            <w:r w:rsidR="005E219E">
              <w:noBreakHyphen/>
            </w:r>
            <w:r>
              <w:t xml:space="preserve">day period starting on the </w:t>
            </w:r>
            <w:r w:rsidR="00757835">
              <w:t>QE day</w:t>
            </w:r>
            <w:r>
              <w:t>.</w:t>
            </w:r>
          </w:p>
        </w:tc>
      </w:tr>
      <w:tr w:rsidR="001E6A6F" w14:paraId="3D4DEE90" w14:textId="77777777" w:rsidTr="007022A0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95B6A34" w14:textId="77777777" w:rsidR="001E6A6F" w:rsidRDefault="001E6A6F" w:rsidP="00E64180">
            <w:pPr>
              <w:pStyle w:val="Tabletext"/>
            </w:pPr>
            <w:r>
              <w:lastRenderedPageBreak/>
              <w:t>4</w:t>
            </w:r>
          </w:p>
        </w:tc>
        <w:tc>
          <w:tcPr>
            <w:tcW w:w="154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3062F0C" w14:textId="77777777" w:rsidR="001E6A6F" w:rsidRDefault="001E6A6F" w:rsidP="00E64180">
            <w:pPr>
              <w:pStyle w:val="Tabletext"/>
            </w:pPr>
            <w:r>
              <w:t>15%</w:t>
            </w:r>
          </w:p>
        </w:tc>
        <w:tc>
          <w:tcPr>
            <w:tcW w:w="604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F47B740" w14:textId="7D695BC6" w:rsidR="001E6A6F" w:rsidRDefault="001E6A6F" w:rsidP="00E64180">
            <w:pPr>
              <w:pStyle w:val="Tabletext"/>
            </w:pPr>
            <w:r>
              <w:t>after the end of the 120</w:t>
            </w:r>
            <w:r w:rsidR="005E219E">
              <w:noBreakHyphen/>
            </w:r>
            <w:r>
              <w:t xml:space="preserve">day period starting on the </w:t>
            </w:r>
            <w:r w:rsidR="00757835">
              <w:t>QE day</w:t>
            </w:r>
            <w:r>
              <w:t>.</w:t>
            </w:r>
          </w:p>
        </w:tc>
      </w:tr>
    </w:tbl>
    <w:p w14:paraId="71C5DBC2" w14:textId="7F6026E4" w:rsidR="00AE2B85" w:rsidRPr="0047639E" w:rsidRDefault="00EF7A55" w:rsidP="00AE2B85">
      <w:pPr>
        <w:pStyle w:val="notetext"/>
      </w:pPr>
      <w:r>
        <w:t>Example 1</w:t>
      </w:r>
      <w:r w:rsidR="00AE2B85">
        <w:t>:</w:t>
      </w:r>
      <w:r w:rsidR="00AE2B85">
        <w:tab/>
      </w:r>
      <w:r>
        <w:t xml:space="preserve">If section </w:t>
      </w:r>
      <w:r w:rsidR="0018199C">
        <w:t>13C</w:t>
      </w:r>
      <w:r>
        <w:t xml:space="preserve"> applies and table </w:t>
      </w:r>
      <w:r w:rsidR="00AA108F">
        <w:t>item 1</w:t>
      </w:r>
      <w:r>
        <w:t xml:space="preserve"> applies, the 60% in </w:t>
      </w:r>
      <w:r w:rsidR="0018199C">
        <w:t>subsec</w:t>
      </w:r>
      <w:r w:rsidR="0018199C" w:rsidRPr="0047639E">
        <w:t>tion </w:t>
      </w:r>
      <w:r w:rsidR="0047639E" w:rsidRPr="0047639E">
        <w:t>19C</w:t>
      </w:r>
      <w:r w:rsidR="00FB3219" w:rsidRPr="0047639E">
        <w:t xml:space="preserve">(1) of the Act </w:t>
      </w:r>
      <w:r w:rsidRPr="0047639E">
        <w:t>is reduced to 0%.</w:t>
      </w:r>
    </w:p>
    <w:p w14:paraId="4E8C8C53" w14:textId="26C0F536" w:rsidR="00EF7A55" w:rsidRPr="00AE2B85" w:rsidRDefault="00EF7A55" w:rsidP="00AE2B85">
      <w:pPr>
        <w:pStyle w:val="notetext"/>
      </w:pPr>
      <w:r w:rsidRPr="0047639E">
        <w:t>Example 2:</w:t>
      </w:r>
      <w:r w:rsidRPr="0047639E">
        <w:tab/>
        <w:t xml:space="preserve">If section </w:t>
      </w:r>
      <w:r w:rsidR="0018199C" w:rsidRPr="0047639E">
        <w:t>13C</w:t>
      </w:r>
      <w:r w:rsidRPr="0047639E">
        <w:t xml:space="preserve"> does not apply but table </w:t>
      </w:r>
      <w:r w:rsidR="00AA108F" w:rsidRPr="0047639E">
        <w:t>item 2</w:t>
      </w:r>
      <w:r w:rsidRPr="0047639E">
        <w:t xml:space="preserve"> applies, the 60% </w:t>
      </w:r>
      <w:r w:rsidR="00FB3219" w:rsidRPr="0047639E">
        <w:t xml:space="preserve">in </w:t>
      </w:r>
      <w:r w:rsidR="0018199C" w:rsidRPr="0047639E">
        <w:t>subsection </w:t>
      </w:r>
      <w:r w:rsidR="0047639E" w:rsidRPr="0047639E">
        <w:t>19C</w:t>
      </w:r>
      <w:r w:rsidR="00FB3219" w:rsidRPr="0047639E">
        <w:t>(1)</w:t>
      </w:r>
      <w:r w:rsidR="00FB3219">
        <w:t xml:space="preserve"> of the Act </w:t>
      </w:r>
      <w:r>
        <w:t>is reduced to 25%.</w:t>
      </w:r>
    </w:p>
    <w:p w14:paraId="3DBAC834" w14:textId="2A3E0896" w:rsidR="00AF58D6" w:rsidRDefault="000E21AB" w:rsidP="000E21AB">
      <w:pPr>
        <w:pStyle w:val="notetext"/>
      </w:pPr>
      <w:r>
        <w:t>Note:</w:t>
      </w:r>
      <w:r>
        <w:tab/>
        <w:t xml:space="preserve">To be a voluntary disclosure statement, the statement will need to be lodged in the approved form (see </w:t>
      </w:r>
      <w:r w:rsidR="002353D0">
        <w:t>subsection 3</w:t>
      </w:r>
      <w:r>
        <w:t xml:space="preserve">3(2) of the Act). A statement </w:t>
      </w:r>
      <w:r w:rsidR="0079558B">
        <w:t xml:space="preserve">lodged on a particular day </w:t>
      </w:r>
      <w:r>
        <w:t>that is inaccurate or incomplete</w:t>
      </w:r>
      <w:r w:rsidR="00AF58D6">
        <w:t>:</w:t>
      </w:r>
    </w:p>
    <w:p w14:paraId="46D3419E" w14:textId="72752AF1" w:rsidR="000E21AB" w:rsidRDefault="00AF58D6" w:rsidP="00AF58D6">
      <w:pPr>
        <w:pStyle w:val="notepara"/>
      </w:pPr>
      <w:r>
        <w:t>(a)</w:t>
      </w:r>
      <w:r>
        <w:tab/>
      </w:r>
      <w:r w:rsidR="0079558B">
        <w:t xml:space="preserve">may </w:t>
      </w:r>
      <w:r w:rsidR="000E21AB">
        <w:t xml:space="preserve">not be in the approved form due to it not containing the information required by the form (see </w:t>
      </w:r>
      <w:r w:rsidR="0018199C">
        <w:t>paragraph 3</w:t>
      </w:r>
      <w:r w:rsidR="000E21AB">
        <w:t>88</w:t>
      </w:r>
      <w:r w:rsidR="005E219E">
        <w:noBreakHyphen/>
      </w:r>
      <w:r w:rsidR="000E21AB">
        <w:t xml:space="preserve">50(1)(c) in </w:t>
      </w:r>
      <w:r w:rsidR="0018199C">
        <w:t>Schedule 1</w:t>
      </w:r>
      <w:r w:rsidR="000E21AB">
        <w:t xml:space="preserve"> to the </w:t>
      </w:r>
      <w:r w:rsidR="000E21AB" w:rsidRPr="00641980">
        <w:rPr>
          <w:i/>
          <w:iCs/>
        </w:rPr>
        <w:t>Taxation Administration Act 1953</w:t>
      </w:r>
      <w:r w:rsidR="001A124C">
        <w:t>)</w:t>
      </w:r>
      <w:r>
        <w:t>; and</w:t>
      </w:r>
    </w:p>
    <w:p w14:paraId="0300B3E4" w14:textId="30EF687C" w:rsidR="00AF58D6" w:rsidRPr="00CD6373" w:rsidRDefault="00AF58D6" w:rsidP="00AF58D6">
      <w:pPr>
        <w:pStyle w:val="notepara"/>
      </w:pPr>
      <w:r>
        <w:t>(b)</w:t>
      </w:r>
      <w:r>
        <w:tab/>
      </w:r>
      <w:r w:rsidR="00510AB0">
        <w:t xml:space="preserve">as a result, may </w:t>
      </w:r>
      <w:r>
        <w:t>not be</w:t>
      </w:r>
      <w:r w:rsidR="00413A35">
        <w:t xml:space="preserve"> a voluntary disclosure statement</w:t>
      </w:r>
      <w:r w:rsidR="0079558B">
        <w:t xml:space="preserve"> lodged on that day</w:t>
      </w:r>
      <w:r w:rsidR="000B5C93">
        <w:t>.</w:t>
      </w:r>
    </w:p>
    <w:p w14:paraId="00F026E5" w14:textId="7A5DDA61" w:rsidR="00C9526C" w:rsidRPr="00C9526C" w:rsidRDefault="00C9526C" w:rsidP="00C9526C">
      <w:pPr>
        <w:pStyle w:val="SubsectionHead"/>
      </w:pPr>
      <w:r>
        <w:t xml:space="preserve">Adjustment if </w:t>
      </w:r>
      <w:r w:rsidR="00EE7B3F">
        <w:t>a purported</w:t>
      </w:r>
      <w:r>
        <w:t xml:space="preserve"> </w:t>
      </w:r>
      <w:r w:rsidR="00215E82">
        <w:t xml:space="preserve">voluntary disclosure </w:t>
      </w:r>
      <w:r>
        <w:t>statement is inaccurate or incomplete</w:t>
      </w:r>
      <w:r w:rsidR="00EE7B3F">
        <w:t xml:space="preserve"> but suggested a hig</w:t>
      </w:r>
      <w:r w:rsidR="00E4252D">
        <w:t>her shortfall</w:t>
      </w:r>
    </w:p>
    <w:p w14:paraId="700B374E" w14:textId="14D097CC" w:rsidR="00F22191" w:rsidRDefault="009E2599" w:rsidP="00F22191">
      <w:pPr>
        <w:pStyle w:val="subsection"/>
      </w:pPr>
      <w:r>
        <w:tab/>
        <w:t>(2)</w:t>
      </w:r>
      <w:r>
        <w:tab/>
        <w:t xml:space="preserve">However, </w:t>
      </w:r>
      <w:r w:rsidR="00F22191">
        <w:t>if the Commissioner is satisfied that:</w:t>
      </w:r>
    </w:p>
    <w:p w14:paraId="7968F3FD" w14:textId="2046259E" w:rsidR="00021C5C" w:rsidRDefault="00021C5C" w:rsidP="00F22191">
      <w:pPr>
        <w:pStyle w:val="paragraph"/>
      </w:pPr>
      <w:r>
        <w:tab/>
        <w:t>(a)</w:t>
      </w:r>
      <w:r>
        <w:tab/>
        <w:t xml:space="preserve">a statement purportedly lodged by the employer under </w:t>
      </w:r>
      <w:r w:rsidR="002353D0">
        <w:t>section 3</w:t>
      </w:r>
      <w:r>
        <w:t xml:space="preserve">3 of the Act </w:t>
      </w:r>
      <w:r w:rsidR="009900FB">
        <w:t xml:space="preserve">on a particular day </w:t>
      </w:r>
      <w:r w:rsidR="002370C6">
        <w:t xml:space="preserve">(the </w:t>
      </w:r>
      <w:r w:rsidR="002370C6" w:rsidRPr="002370C6">
        <w:rPr>
          <w:b/>
          <w:bCs/>
          <w:i/>
          <w:iCs/>
        </w:rPr>
        <w:t>initial day</w:t>
      </w:r>
      <w:r w:rsidR="002370C6">
        <w:t xml:space="preserve">) </w:t>
      </w:r>
      <w:r>
        <w:t>is not a voluntary disclosure statement</w:t>
      </w:r>
      <w:r w:rsidR="009900FB">
        <w:t>; and</w:t>
      </w:r>
    </w:p>
    <w:p w14:paraId="04DD23EC" w14:textId="77777777" w:rsidR="004206BE" w:rsidRDefault="00F22191" w:rsidP="00F22191">
      <w:pPr>
        <w:pStyle w:val="paragraph"/>
      </w:pPr>
      <w:r w:rsidRPr="00317995">
        <w:tab/>
        <w:t>(</w:t>
      </w:r>
      <w:r>
        <w:t>b</w:t>
      </w:r>
      <w:r w:rsidRPr="00317995">
        <w:t>)</w:t>
      </w:r>
      <w:r w:rsidRPr="00317995">
        <w:tab/>
      </w:r>
      <w:r w:rsidR="004206BE">
        <w:t>either:</w:t>
      </w:r>
    </w:p>
    <w:p w14:paraId="443BF35B" w14:textId="77777777" w:rsidR="004206BE" w:rsidRDefault="004206BE" w:rsidP="004206BE">
      <w:pPr>
        <w:pStyle w:val="paragraphsub"/>
      </w:pPr>
      <w:r>
        <w:tab/>
        <w:t>(i)</w:t>
      </w:r>
      <w:r>
        <w:tab/>
      </w:r>
      <w:r w:rsidR="00F22191">
        <w:t xml:space="preserve">the statement </w:t>
      </w:r>
      <w:r w:rsidR="004A3180">
        <w:t>becomes</w:t>
      </w:r>
      <w:r w:rsidR="00F22191">
        <w:t xml:space="preserve"> </w:t>
      </w:r>
      <w:r w:rsidR="004A3180">
        <w:t xml:space="preserve">a </w:t>
      </w:r>
      <w:r w:rsidR="009900FB">
        <w:t xml:space="preserve">voluntary disclosure statement </w:t>
      </w:r>
      <w:r w:rsidR="00F22191">
        <w:t>on a later day when the statement is read with other information lodged by the employer</w:t>
      </w:r>
      <w:r>
        <w:t>; or</w:t>
      </w:r>
    </w:p>
    <w:p w14:paraId="627B0EBA" w14:textId="1D677DBE" w:rsidR="00F22191" w:rsidRDefault="004206BE" w:rsidP="004206BE">
      <w:pPr>
        <w:pStyle w:val="paragraphsub"/>
      </w:pPr>
      <w:r>
        <w:tab/>
        <w:t>(ii)</w:t>
      </w:r>
      <w:r>
        <w:tab/>
        <w:t xml:space="preserve">on a later day </w:t>
      </w:r>
      <w:r w:rsidR="00F22191">
        <w:t xml:space="preserve">an assessment under </w:t>
      </w:r>
      <w:r w:rsidR="002353D0">
        <w:t>subsection 3</w:t>
      </w:r>
      <w:r w:rsidR="00F22191">
        <w:t>6(1) of the Act is made for the employer and the QE day; and</w:t>
      </w:r>
    </w:p>
    <w:p w14:paraId="25F0F2A1" w14:textId="4F6DCB7F" w:rsidR="00F22191" w:rsidRDefault="00F22191" w:rsidP="00F22191">
      <w:pPr>
        <w:pStyle w:val="paragraph"/>
      </w:pPr>
      <w:r>
        <w:tab/>
        <w:t>(c)</w:t>
      </w:r>
      <w:r>
        <w:tab/>
      </w:r>
      <w:r w:rsidR="00877D06">
        <w:t xml:space="preserve">the result of </w:t>
      </w:r>
      <w:r w:rsidR="0018199C">
        <w:t>paragraph (</w:t>
      </w:r>
      <w:r w:rsidR="00877D06">
        <w:t xml:space="preserve">b) is a </w:t>
      </w:r>
      <w:r w:rsidR="005F283F">
        <w:t>lower</w:t>
      </w:r>
      <w:r>
        <w:t xml:space="preserve"> superannuation guarantee shortfall for the employer and the QE day than the shortfall that would have resulted from the statement in its form on the </w:t>
      </w:r>
      <w:r w:rsidR="002370C6">
        <w:t>initial</w:t>
      </w:r>
      <w:r>
        <w:t xml:space="preserve"> day;</w:t>
      </w:r>
    </w:p>
    <w:p w14:paraId="2798C409" w14:textId="2B23183A" w:rsidR="00F22191" w:rsidRPr="00FF4D02" w:rsidRDefault="00F22191" w:rsidP="00F22191">
      <w:pPr>
        <w:pStyle w:val="subsection2"/>
      </w:pPr>
      <w:r>
        <w:t>then</w:t>
      </w:r>
      <w:r w:rsidR="00CA21B9">
        <w:t xml:space="preserve">, for the purposes of </w:t>
      </w:r>
      <w:r w:rsidR="0018199C">
        <w:t>subsection (</w:t>
      </w:r>
      <w:r w:rsidR="00CA21B9">
        <w:t>1),</w:t>
      </w:r>
      <w:r>
        <w:t xml:space="preserve"> treat the</w:t>
      </w:r>
      <w:r w:rsidR="00E4252D">
        <w:t xml:space="preserve"> statement as if it were a voluntary disclosure statement lodged by the employer </w:t>
      </w:r>
      <w:r>
        <w:t>on th</w:t>
      </w:r>
      <w:r w:rsidR="005F283F">
        <w:t xml:space="preserve">e initial </w:t>
      </w:r>
      <w:r>
        <w:t>day.</w:t>
      </w:r>
    </w:p>
    <w:p w14:paraId="48C3CF4F" w14:textId="14F17DBB" w:rsidR="00901A2E" w:rsidRDefault="0018199C" w:rsidP="00901A2E">
      <w:pPr>
        <w:pStyle w:val="ActHead7"/>
        <w:pageBreakBefore/>
      </w:pPr>
      <w:bookmarkStart w:id="10" w:name="_Toc189757125"/>
      <w:r w:rsidRPr="00C23D29">
        <w:rPr>
          <w:rStyle w:val="CharAmPartNo"/>
        </w:rPr>
        <w:lastRenderedPageBreak/>
        <w:t>Part 2</w:t>
      </w:r>
      <w:r w:rsidR="00901A2E">
        <w:t>—</w:t>
      </w:r>
      <w:r w:rsidR="00901A2E" w:rsidRPr="00C23D29">
        <w:rPr>
          <w:rStyle w:val="CharAmPartText"/>
        </w:rPr>
        <w:t>Other amendments</w:t>
      </w:r>
      <w:bookmarkEnd w:id="10"/>
    </w:p>
    <w:p w14:paraId="048EABB1" w14:textId="77777777" w:rsidR="00901A2E" w:rsidRDefault="00901A2E" w:rsidP="00901A2E">
      <w:pPr>
        <w:pStyle w:val="ActHead9"/>
      </w:pPr>
      <w:bookmarkStart w:id="11" w:name="_Toc189757126"/>
      <w:r w:rsidRPr="00224C28">
        <w:t>Superannuation Guarantee (Administration) Regulations 2018</w:t>
      </w:r>
      <w:bookmarkEnd w:id="11"/>
    </w:p>
    <w:p w14:paraId="1DD6221A" w14:textId="4C2EC855" w:rsidR="00901A2E" w:rsidRDefault="0047639E" w:rsidP="0056332F">
      <w:pPr>
        <w:pStyle w:val="ItemHead"/>
      </w:pPr>
      <w:r>
        <w:t>4</w:t>
      </w:r>
      <w:r w:rsidR="00901A2E">
        <w:t xml:space="preserve">  </w:t>
      </w:r>
      <w:r w:rsidR="0018199C">
        <w:t>Paragraph 7</w:t>
      </w:r>
      <w:r w:rsidR="0056332F">
        <w:t>(1)(a)</w:t>
      </w:r>
    </w:p>
    <w:p w14:paraId="03315C15" w14:textId="792DFCD2" w:rsidR="0056332F" w:rsidRDefault="0056332F" w:rsidP="0056332F">
      <w:pPr>
        <w:pStyle w:val="Item"/>
      </w:pPr>
      <w:r>
        <w:t>Repeal the paragraph.</w:t>
      </w:r>
    </w:p>
    <w:p w14:paraId="5313BCDC" w14:textId="51CD4E02" w:rsidR="0056332F" w:rsidRDefault="0047639E" w:rsidP="0056332F">
      <w:pPr>
        <w:pStyle w:val="ItemHead"/>
      </w:pPr>
      <w:r>
        <w:t>5</w:t>
      </w:r>
      <w:r w:rsidR="0056332F">
        <w:t xml:space="preserve">  </w:t>
      </w:r>
      <w:r w:rsidR="0018199C">
        <w:t>Paragraph 7</w:t>
      </w:r>
      <w:r w:rsidR="0056332F">
        <w:t>(1)(b)</w:t>
      </w:r>
    </w:p>
    <w:p w14:paraId="08ACB309" w14:textId="7916C091" w:rsidR="0056332F" w:rsidRDefault="0056332F" w:rsidP="0056332F">
      <w:pPr>
        <w:pStyle w:val="Item"/>
      </w:pPr>
      <w:r>
        <w:t>Omit “if the employer is not required to lodge a superannuation guarantee statement—”.</w:t>
      </w:r>
    </w:p>
    <w:p w14:paraId="159C31A8" w14:textId="1B1E3E7C" w:rsidR="0056332F" w:rsidRDefault="00D77A93" w:rsidP="00D77A93">
      <w:pPr>
        <w:pStyle w:val="ActHead9"/>
      </w:pPr>
      <w:bookmarkStart w:id="12" w:name="_Toc189757127"/>
      <w:r w:rsidRPr="00D77A93">
        <w:t>Superannuation Industry (Supervision) Regulations 1994</w:t>
      </w:r>
      <w:bookmarkEnd w:id="12"/>
    </w:p>
    <w:p w14:paraId="19A52173" w14:textId="60B1BFB8" w:rsidR="00D77A93" w:rsidRDefault="0047639E" w:rsidP="00D77A93">
      <w:pPr>
        <w:pStyle w:val="ItemHead"/>
      </w:pPr>
      <w:r>
        <w:t>6</w:t>
      </w:r>
      <w:r w:rsidR="00D77A93">
        <w:t xml:space="preserve">  </w:t>
      </w:r>
      <w:r w:rsidR="0018199C">
        <w:t>Subregulation 7</w:t>
      </w:r>
      <w:r w:rsidR="00D77A93">
        <w:t>.07B(4)</w:t>
      </w:r>
    </w:p>
    <w:p w14:paraId="1BBA5787" w14:textId="1F276118" w:rsidR="00D77A93" w:rsidRDefault="00D77A93" w:rsidP="00D77A93">
      <w:pPr>
        <w:pStyle w:val="Item"/>
      </w:pPr>
      <w:r>
        <w:t>Omit “3 business days”, substitute “2 business days”.</w:t>
      </w:r>
    </w:p>
    <w:p w14:paraId="1E4EABF4" w14:textId="201416E0" w:rsidR="00D77A93" w:rsidRDefault="0047639E" w:rsidP="00BE371C">
      <w:pPr>
        <w:pStyle w:val="ItemHead"/>
      </w:pPr>
      <w:r>
        <w:t>7</w:t>
      </w:r>
      <w:r w:rsidR="00BE371C">
        <w:t xml:space="preserve">  </w:t>
      </w:r>
      <w:r w:rsidR="0018199C">
        <w:t>Subregulation 7</w:t>
      </w:r>
      <w:r w:rsidR="00BE371C">
        <w:t>.07D(2)</w:t>
      </w:r>
    </w:p>
    <w:p w14:paraId="5377753D" w14:textId="48116455" w:rsidR="00BE371C" w:rsidRDefault="00BE371C" w:rsidP="00BE371C">
      <w:pPr>
        <w:pStyle w:val="Item"/>
      </w:pPr>
      <w:r>
        <w:t>Omit “5 business days”, substitute “2 business days”.</w:t>
      </w:r>
    </w:p>
    <w:p w14:paraId="003FF19F" w14:textId="4C10DD93" w:rsidR="00BE371C" w:rsidRDefault="0047639E" w:rsidP="00FE75CF">
      <w:pPr>
        <w:pStyle w:val="ItemHead"/>
      </w:pPr>
      <w:r>
        <w:t>8</w:t>
      </w:r>
      <w:r w:rsidR="00FE75CF">
        <w:t xml:space="preserve">  </w:t>
      </w:r>
      <w:r w:rsidR="0018199C">
        <w:t>Subregulations 7</w:t>
      </w:r>
      <w:r w:rsidR="00FE75CF">
        <w:t xml:space="preserve">.07G(2) </w:t>
      </w:r>
      <w:r w:rsidR="00205CBD">
        <w:t>to (</w:t>
      </w:r>
      <w:r w:rsidR="008B4DEA">
        <w:t>5</w:t>
      </w:r>
      <w:r w:rsidR="00205CBD">
        <w:t>)</w:t>
      </w:r>
    </w:p>
    <w:p w14:paraId="0530BEE7" w14:textId="2202919D" w:rsidR="00FE75CF" w:rsidRDefault="00FE75CF" w:rsidP="00FE75CF">
      <w:pPr>
        <w:pStyle w:val="Item"/>
      </w:pPr>
      <w:r>
        <w:t>Repeal the sub</w:t>
      </w:r>
      <w:r w:rsidR="00205CBD">
        <w:t>regulations, substitute:</w:t>
      </w:r>
    </w:p>
    <w:p w14:paraId="4CAC771C" w14:textId="77777777" w:rsidR="006167CE" w:rsidRDefault="00E24F6B" w:rsidP="006167CE">
      <w:pPr>
        <w:pStyle w:val="subsection"/>
      </w:pPr>
      <w:r>
        <w:tab/>
        <w:t>(2)</w:t>
      </w:r>
      <w:r>
        <w:tab/>
      </w:r>
      <w:r w:rsidR="00570B5C">
        <w:t xml:space="preserve">If the trustee is unable to allocate the contribution to </w:t>
      </w:r>
      <w:r w:rsidR="006167CE">
        <w:t>the</w:t>
      </w:r>
      <w:r w:rsidR="00570B5C">
        <w:t xml:space="preserve"> member, t</w:t>
      </w:r>
      <w:r>
        <w:t>he trustee must refund the contribution to the employer</w:t>
      </w:r>
      <w:r w:rsidR="006167CE">
        <w:t>:</w:t>
      </w:r>
    </w:p>
    <w:p w14:paraId="71DCC2A4" w14:textId="77777777" w:rsidR="006167CE" w:rsidRDefault="006167CE" w:rsidP="006167CE">
      <w:pPr>
        <w:pStyle w:val="paragraph"/>
      </w:pPr>
      <w:r>
        <w:tab/>
        <w:t>(a)</w:t>
      </w:r>
      <w:r>
        <w:tab/>
      </w:r>
      <w:r w:rsidR="00E24F6B">
        <w:t>as soon as practicable</w:t>
      </w:r>
      <w:r>
        <w:t>;</w:t>
      </w:r>
      <w:r w:rsidR="00E24F6B">
        <w:t xml:space="preserve"> and</w:t>
      </w:r>
    </w:p>
    <w:p w14:paraId="220C666F" w14:textId="77637278" w:rsidR="00E24F6B" w:rsidRDefault="006167CE" w:rsidP="006167CE">
      <w:pPr>
        <w:pStyle w:val="paragraph"/>
      </w:pPr>
      <w:r>
        <w:tab/>
        <w:t>(b)</w:t>
      </w:r>
      <w:r>
        <w:tab/>
        <w:t>in any case,</w:t>
      </w:r>
      <w:r w:rsidR="00E24F6B">
        <w:t xml:space="preserve"> no later than 3 business days after receiving the contribution.</w:t>
      </w:r>
    </w:p>
    <w:p w14:paraId="50C27E19" w14:textId="77777777" w:rsidR="00E24F6B" w:rsidRDefault="00E24F6B" w:rsidP="00E24F6B">
      <w:pPr>
        <w:pStyle w:val="subsection"/>
      </w:pPr>
      <w:r w:rsidRPr="008B4DEA">
        <w:tab/>
        <w:t>(</w:t>
      </w:r>
      <w:r>
        <w:t>3</w:t>
      </w:r>
      <w:r w:rsidRPr="008B4DEA">
        <w:t>)</w:t>
      </w:r>
      <w:r w:rsidRPr="008B4DEA">
        <w:tab/>
        <w:t>If a contribution is refunded under subregulation (</w:t>
      </w:r>
      <w:r>
        <w:t>2</w:t>
      </w:r>
      <w:r w:rsidRPr="008B4DEA">
        <w:t>), the contribution is taken not to have been made to the fund by the employer.</w:t>
      </w:r>
    </w:p>
    <w:p w14:paraId="67A10349" w14:textId="35DBA3AF" w:rsidR="00C30811" w:rsidRDefault="0047639E" w:rsidP="002254CB">
      <w:pPr>
        <w:pStyle w:val="ItemHead"/>
      </w:pPr>
      <w:r>
        <w:t>9</w:t>
      </w:r>
      <w:r w:rsidR="00C30811">
        <w:t xml:space="preserve">  </w:t>
      </w:r>
      <w:r w:rsidR="0018199C">
        <w:t>Regulation 7</w:t>
      </w:r>
      <w:r w:rsidR="002254CB">
        <w:t>.11</w:t>
      </w:r>
    </w:p>
    <w:p w14:paraId="7A05A692" w14:textId="6BE38B01" w:rsidR="002254CB" w:rsidRDefault="002254CB" w:rsidP="002254CB">
      <w:pPr>
        <w:pStyle w:val="Item"/>
      </w:pPr>
      <w:r>
        <w:t>Omit “in a month”.</w:t>
      </w:r>
    </w:p>
    <w:p w14:paraId="6A986EAD" w14:textId="52B9B861" w:rsidR="002254CB" w:rsidRDefault="0047639E" w:rsidP="002254CB">
      <w:pPr>
        <w:pStyle w:val="ItemHead"/>
      </w:pPr>
      <w:r>
        <w:t>10</w:t>
      </w:r>
      <w:r w:rsidR="002254CB">
        <w:t xml:space="preserve">  </w:t>
      </w:r>
      <w:r w:rsidR="0018199C">
        <w:t>Subparagraph 7</w:t>
      </w:r>
      <w:r w:rsidR="002254CB">
        <w:t>.11(a)(i)</w:t>
      </w:r>
    </w:p>
    <w:p w14:paraId="36140919" w14:textId="508118F4" w:rsidR="002254CB" w:rsidRDefault="002254CB" w:rsidP="002254CB">
      <w:pPr>
        <w:pStyle w:val="Item"/>
      </w:pPr>
      <w:r>
        <w:t>Repeal the subparagraph, substitute:</w:t>
      </w:r>
    </w:p>
    <w:p w14:paraId="4AD9A787" w14:textId="3F1AED9D" w:rsidR="002254CB" w:rsidRPr="002254CB" w:rsidRDefault="002254CB" w:rsidP="002254CB">
      <w:pPr>
        <w:pStyle w:val="paragraphsub"/>
      </w:pPr>
      <w:r>
        <w:tab/>
      </w:r>
      <w:r w:rsidRPr="002254CB">
        <w:t>(i)</w:t>
      </w:r>
      <w:r w:rsidRPr="002254CB">
        <w:tab/>
        <w:t xml:space="preserve">within </w:t>
      </w:r>
      <w:r w:rsidR="006A58BE">
        <w:t>5 business d</w:t>
      </w:r>
      <w:r w:rsidRPr="002254CB">
        <w:t xml:space="preserve">ays after </w:t>
      </w:r>
      <w:r w:rsidR="006A58BE">
        <w:t>receiving the contribution</w:t>
      </w:r>
      <w:r w:rsidRPr="002254CB">
        <w:t>; or</w:t>
      </w:r>
    </w:p>
    <w:sectPr w:rsidR="002254CB" w:rsidRPr="002254CB" w:rsidSect="00BC1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871D" w14:textId="77777777" w:rsidR="00D70CCA" w:rsidRDefault="00D70CCA" w:rsidP="00664C63">
      <w:pPr>
        <w:spacing w:line="240" w:lineRule="auto"/>
      </w:pPr>
      <w:r>
        <w:separator/>
      </w:r>
    </w:p>
  </w:endnote>
  <w:endnote w:type="continuationSeparator" w:id="0">
    <w:p w14:paraId="42C2E55D" w14:textId="77777777" w:rsidR="00D70CCA" w:rsidRDefault="00D70CCA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20B5" w14:textId="77777777" w:rsidR="00E64180" w:rsidRPr="00BB4623" w:rsidRDefault="00E64180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742284E9" w14:textId="77777777" w:rsidR="00E64180" w:rsidRPr="00BB4623" w:rsidRDefault="00E64180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6B51D195" w14:textId="3823E3BB" w:rsidR="00E64180" w:rsidRPr="00BB4623" w:rsidRDefault="00E64180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436C" w14:textId="77777777" w:rsidR="00E64180" w:rsidRDefault="00E64180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E64180" w14:paraId="2E1EAED8" w14:textId="77777777" w:rsidTr="00BC112E">
      <w:tc>
        <w:tcPr>
          <w:tcW w:w="5000" w:type="pct"/>
        </w:tcPr>
        <w:p w14:paraId="52875D9A" w14:textId="77777777" w:rsidR="00E64180" w:rsidRPr="00A6121F" w:rsidRDefault="00E64180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E64180" w14:paraId="5CB39D47" w14:textId="77777777" w:rsidTr="00BC112E">
      <w:tc>
        <w:tcPr>
          <w:tcW w:w="5000" w:type="pct"/>
        </w:tcPr>
        <w:p w14:paraId="6A265C66" w14:textId="7B06EE68" w:rsidR="00E64180" w:rsidRPr="00A6121F" w:rsidRDefault="00E64180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71A5A008" w14:textId="77777777" w:rsidR="00E64180" w:rsidRPr="00A6121F" w:rsidRDefault="00E641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A8B7406" wp14:editId="22EEB916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B1383" w14:textId="621DA213" w:rsidR="00E64180" w:rsidRPr="00324EB0" w:rsidRDefault="00876685" w:rsidP="00E6418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B740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714B1383" w14:textId="621DA213" w:rsidR="00E64180" w:rsidRPr="00324EB0" w:rsidRDefault="00876685" w:rsidP="00E6418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E2CF" w14:textId="77777777" w:rsidR="00E64180" w:rsidRPr="00BB4623" w:rsidRDefault="00E64180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BF47" w14:textId="77777777" w:rsidR="00D70CCA" w:rsidRDefault="00D70CCA" w:rsidP="00664C63">
      <w:pPr>
        <w:spacing w:line="240" w:lineRule="auto"/>
      </w:pPr>
      <w:r>
        <w:separator/>
      </w:r>
    </w:p>
  </w:footnote>
  <w:footnote w:type="continuationSeparator" w:id="0">
    <w:p w14:paraId="4E187EC9" w14:textId="77777777" w:rsidR="00D70CCA" w:rsidRDefault="00D70CCA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B0C8" w14:textId="77777777" w:rsidR="00E64180" w:rsidRPr="00BB4623" w:rsidRDefault="00E64180" w:rsidP="00664C63">
    <w:pPr>
      <w:rPr>
        <w:sz w:val="24"/>
      </w:rPr>
    </w:pPr>
  </w:p>
  <w:p w14:paraId="4774AA5E" w14:textId="77777777" w:rsidR="00E64180" w:rsidRPr="00BB4623" w:rsidRDefault="00E64180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D4CD" w14:textId="77777777" w:rsidR="00E64180" w:rsidRPr="00BB4623" w:rsidRDefault="00E641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D94DE7" wp14:editId="038E70D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F4F98" w14:textId="0BD3F648" w:rsidR="00E64180" w:rsidRPr="00324EB0" w:rsidRDefault="00876685" w:rsidP="00E6418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94DE7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3B3F4F98" w14:textId="0BD3F648" w:rsidR="00E64180" w:rsidRPr="00324EB0" w:rsidRDefault="00876685" w:rsidP="00E6418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10185ECB" w14:textId="77777777" w:rsidR="00E64180" w:rsidRPr="00BB4623" w:rsidRDefault="00E64180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1514" w14:textId="77777777" w:rsidR="00E64180" w:rsidRPr="00BB4623" w:rsidRDefault="00E64180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674848546">
    <w:abstractNumId w:val="9"/>
  </w:num>
  <w:num w:numId="2" w16cid:durableId="1772697551">
    <w:abstractNumId w:val="7"/>
  </w:num>
  <w:num w:numId="3" w16cid:durableId="1357584990">
    <w:abstractNumId w:val="6"/>
  </w:num>
  <w:num w:numId="4" w16cid:durableId="1995137927">
    <w:abstractNumId w:val="5"/>
  </w:num>
  <w:num w:numId="5" w16cid:durableId="467090891">
    <w:abstractNumId w:val="4"/>
  </w:num>
  <w:num w:numId="6" w16cid:durableId="921715489">
    <w:abstractNumId w:val="8"/>
  </w:num>
  <w:num w:numId="7" w16cid:durableId="1232959092">
    <w:abstractNumId w:val="3"/>
  </w:num>
  <w:num w:numId="8" w16cid:durableId="508525262">
    <w:abstractNumId w:val="2"/>
  </w:num>
  <w:num w:numId="9" w16cid:durableId="1669942855">
    <w:abstractNumId w:val="1"/>
  </w:num>
  <w:num w:numId="10" w16cid:durableId="1573923790">
    <w:abstractNumId w:val="0"/>
  </w:num>
  <w:num w:numId="11" w16cid:durableId="2012558457">
    <w:abstractNumId w:val="15"/>
  </w:num>
  <w:num w:numId="12" w16cid:durableId="2140150360">
    <w:abstractNumId w:val="11"/>
  </w:num>
  <w:num w:numId="13" w16cid:durableId="1969388118">
    <w:abstractNumId w:val="12"/>
  </w:num>
  <w:num w:numId="14" w16cid:durableId="688799178">
    <w:abstractNumId w:val="14"/>
  </w:num>
  <w:num w:numId="15" w16cid:durableId="1084842177">
    <w:abstractNumId w:val="13"/>
  </w:num>
  <w:num w:numId="16" w16cid:durableId="206919536">
    <w:abstractNumId w:val="10"/>
  </w:num>
  <w:num w:numId="17" w16cid:durableId="1173495357">
    <w:abstractNumId w:val="17"/>
  </w:num>
  <w:num w:numId="18" w16cid:durableId="522016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6BE3"/>
    <w:rsid w:val="00001C80"/>
    <w:rsid w:val="000032BD"/>
    <w:rsid w:val="000136AF"/>
    <w:rsid w:val="00014B9A"/>
    <w:rsid w:val="00021C5C"/>
    <w:rsid w:val="000279D9"/>
    <w:rsid w:val="00036E9A"/>
    <w:rsid w:val="00041BB9"/>
    <w:rsid w:val="00042E52"/>
    <w:rsid w:val="00057E4F"/>
    <w:rsid w:val="000607FB"/>
    <w:rsid w:val="000614BF"/>
    <w:rsid w:val="000654E5"/>
    <w:rsid w:val="00065542"/>
    <w:rsid w:val="00066B42"/>
    <w:rsid w:val="00076F88"/>
    <w:rsid w:val="00087033"/>
    <w:rsid w:val="000B3D63"/>
    <w:rsid w:val="000B5C93"/>
    <w:rsid w:val="000C0313"/>
    <w:rsid w:val="000C365A"/>
    <w:rsid w:val="000C4E8E"/>
    <w:rsid w:val="000D05EF"/>
    <w:rsid w:val="000D41F5"/>
    <w:rsid w:val="000D69F0"/>
    <w:rsid w:val="000E21AB"/>
    <w:rsid w:val="000E4187"/>
    <w:rsid w:val="000F21C1"/>
    <w:rsid w:val="001016D1"/>
    <w:rsid w:val="001017B2"/>
    <w:rsid w:val="0010745C"/>
    <w:rsid w:val="00110587"/>
    <w:rsid w:val="001109E1"/>
    <w:rsid w:val="0011206D"/>
    <w:rsid w:val="00117687"/>
    <w:rsid w:val="001411AB"/>
    <w:rsid w:val="00150830"/>
    <w:rsid w:val="001572A8"/>
    <w:rsid w:val="001660EB"/>
    <w:rsid w:val="00166C2F"/>
    <w:rsid w:val="001705E1"/>
    <w:rsid w:val="00170802"/>
    <w:rsid w:val="0018199C"/>
    <w:rsid w:val="0018435F"/>
    <w:rsid w:val="001860EC"/>
    <w:rsid w:val="001906F8"/>
    <w:rsid w:val="001939E1"/>
    <w:rsid w:val="00195382"/>
    <w:rsid w:val="00197880"/>
    <w:rsid w:val="001A124C"/>
    <w:rsid w:val="001A3C07"/>
    <w:rsid w:val="001B0F61"/>
    <w:rsid w:val="001B3F2B"/>
    <w:rsid w:val="001B6FD7"/>
    <w:rsid w:val="001C69C4"/>
    <w:rsid w:val="001D3E64"/>
    <w:rsid w:val="001E177C"/>
    <w:rsid w:val="001E2498"/>
    <w:rsid w:val="001E3186"/>
    <w:rsid w:val="001E3590"/>
    <w:rsid w:val="001E55B3"/>
    <w:rsid w:val="001E6A6F"/>
    <w:rsid w:val="001E6B22"/>
    <w:rsid w:val="001E7407"/>
    <w:rsid w:val="00203BC9"/>
    <w:rsid w:val="00204F82"/>
    <w:rsid w:val="00205CBD"/>
    <w:rsid w:val="00215E82"/>
    <w:rsid w:val="0022001F"/>
    <w:rsid w:val="00221F19"/>
    <w:rsid w:val="00224C28"/>
    <w:rsid w:val="002254CB"/>
    <w:rsid w:val="002353D0"/>
    <w:rsid w:val="002370C6"/>
    <w:rsid w:val="00240749"/>
    <w:rsid w:val="0024239A"/>
    <w:rsid w:val="0024309E"/>
    <w:rsid w:val="002509F1"/>
    <w:rsid w:val="00251DEF"/>
    <w:rsid w:val="00256091"/>
    <w:rsid w:val="00275C31"/>
    <w:rsid w:val="00291E4E"/>
    <w:rsid w:val="002941F1"/>
    <w:rsid w:val="00297ECB"/>
    <w:rsid w:val="002A03FE"/>
    <w:rsid w:val="002A6B23"/>
    <w:rsid w:val="002B7C75"/>
    <w:rsid w:val="002C1131"/>
    <w:rsid w:val="002C29B0"/>
    <w:rsid w:val="002D043A"/>
    <w:rsid w:val="002F077C"/>
    <w:rsid w:val="002F48EA"/>
    <w:rsid w:val="002F6A08"/>
    <w:rsid w:val="00303085"/>
    <w:rsid w:val="00304218"/>
    <w:rsid w:val="003054A7"/>
    <w:rsid w:val="00313C6F"/>
    <w:rsid w:val="00317995"/>
    <w:rsid w:val="00327727"/>
    <w:rsid w:val="00332151"/>
    <w:rsid w:val="0033252C"/>
    <w:rsid w:val="003346E0"/>
    <w:rsid w:val="00336635"/>
    <w:rsid w:val="003415D3"/>
    <w:rsid w:val="00341A2E"/>
    <w:rsid w:val="00352B0F"/>
    <w:rsid w:val="00356198"/>
    <w:rsid w:val="00362927"/>
    <w:rsid w:val="00366A72"/>
    <w:rsid w:val="003719B4"/>
    <w:rsid w:val="0037452F"/>
    <w:rsid w:val="00393190"/>
    <w:rsid w:val="00393DD1"/>
    <w:rsid w:val="003A01AE"/>
    <w:rsid w:val="003A354C"/>
    <w:rsid w:val="003A7736"/>
    <w:rsid w:val="003B7C0A"/>
    <w:rsid w:val="003C1B9B"/>
    <w:rsid w:val="003D0BFE"/>
    <w:rsid w:val="003D1AD3"/>
    <w:rsid w:val="003D4958"/>
    <w:rsid w:val="003D5700"/>
    <w:rsid w:val="003E115E"/>
    <w:rsid w:val="003F78E7"/>
    <w:rsid w:val="004116CD"/>
    <w:rsid w:val="00413A35"/>
    <w:rsid w:val="004206BE"/>
    <w:rsid w:val="00422B6F"/>
    <w:rsid w:val="0042467A"/>
    <w:rsid w:val="00424CA9"/>
    <w:rsid w:val="0043512F"/>
    <w:rsid w:val="00437038"/>
    <w:rsid w:val="0044291A"/>
    <w:rsid w:val="00443BAB"/>
    <w:rsid w:val="00454783"/>
    <w:rsid w:val="00476126"/>
    <w:rsid w:val="0047639E"/>
    <w:rsid w:val="0048482C"/>
    <w:rsid w:val="00487973"/>
    <w:rsid w:val="00496F97"/>
    <w:rsid w:val="004A29E9"/>
    <w:rsid w:val="004A3180"/>
    <w:rsid w:val="004A489C"/>
    <w:rsid w:val="004B33F7"/>
    <w:rsid w:val="004C70F7"/>
    <w:rsid w:val="004E35CF"/>
    <w:rsid w:val="004F1FAE"/>
    <w:rsid w:val="005001C3"/>
    <w:rsid w:val="005008A1"/>
    <w:rsid w:val="005047A2"/>
    <w:rsid w:val="0050623D"/>
    <w:rsid w:val="00510AB0"/>
    <w:rsid w:val="00516088"/>
    <w:rsid w:val="00516B8D"/>
    <w:rsid w:val="00521F0B"/>
    <w:rsid w:val="0052234F"/>
    <w:rsid w:val="005230DA"/>
    <w:rsid w:val="005242CA"/>
    <w:rsid w:val="00532416"/>
    <w:rsid w:val="005330DA"/>
    <w:rsid w:val="00537FBC"/>
    <w:rsid w:val="0054286F"/>
    <w:rsid w:val="00551862"/>
    <w:rsid w:val="0055552A"/>
    <w:rsid w:val="00561D21"/>
    <w:rsid w:val="0056332F"/>
    <w:rsid w:val="00570B5C"/>
    <w:rsid w:val="005726B0"/>
    <w:rsid w:val="005805E2"/>
    <w:rsid w:val="00584811"/>
    <w:rsid w:val="00585639"/>
    <w:rsid w:val="00593AA6"/>
    <w:rsid w:val="00594161"/>
    <w:rsid w:val="00594749"/>
    <w:rsid w:val="005953BB"/>
    <w:rsid w:val="005A1112"/>
    <w:rsid w:val="005A6709"/>
    <w:rsid w:val="005B4067"/>
    <w:rsid w:val="005C3F41"/>
    <w:rsid w:val="005E219E"/>
    <w:rsid w:val="005E7D5F"/>
    <w:rsid w:val="005F283F"/>
    <w:rsid w:val="005F3CEA"/>
    <w:rsid w:val="005F6DAB"/>
    <w:rsid w:val="005F6E41"/>
    <w:rsid w:val="00600219"/>
    <w:rsid w:val="006167CE"/>
    <w:rsid w:val="00621D89"/>
    <w:rsid w:val="00621F4D"/>
    <w:rsid w:val="00641980"/>
    <w:rsid w:val="006426E9"/>
    <w:rsid w:val="0065276F"/>
    <w:rsid w:val="00656781"/>
    <w:rsid w:val="0066129A"/>
    <w:rsid w:val="00661F72"/>
    <w:rsid w:val="00664C63"/>
    <w:rsid w:val="00666906"/>
    <w:rsid w:val="00671304"/>
    <w:rsid w:val="00671BE7"/>
    <w:rsid w:val="0067699F"/>
    <w:rsid w:val="00676F86"/>
    <w:rsid w:val="00677CC2"/>
    <w:rsid w:val="00690757"/>
    <w:rsid w:val="0069207B"/>
    <w:rsid w:val="0069426E"/>
    <w:rsid w:val="00695BB3"/>
    <w:rsid w:val="006A0144"/>
    <w:rsid w:val="006A33E1"/>
    <w:rsid w:val="006A58BE"/>
    <w:rsid w:val="006B0CF5"/>
    <w:rsid w:val="006C229C"/>
    <w:rsid w:val="006C5791"/>
    <w:rsid w:val="006C6DDC"/>
    <w:rsid w:val="006C7F8C"/>
    <w:rsid w:val="006D4DA8"/>
    <w:rsid w:val="006D5408"/>
    <w:rsid w:val="006E02F1"/>
    <w:rsid w:val="00700B2C"/>
    <w:rsid w:val="007022A0"/>
    <w:rsid w:val="00706213"/>
    <w:rsid w:val="00713084"/>
    <w:rsid w:val="00731E00"/>
    <w:rsid w:val="0073306E"/>
    <w:rsid w:val="00736810"/>
    <w:rsid w:val="007440B7"/>
    <w:rsid w:val="00757835"/>
    <w:rsid w:val="00765666"/>
    <w:rsid w:val="007715C9"/>
    <w:rsid w:val="00774EDD"/>
    <w:rsid w:val="00774F33"/>
    <w:rsid w:val="007757EC"/>
    <w:rsid w:val="007846CC"/>
    <w:rsid w:val="00791CEB"/>
    <w:rsid w:val="00791D8D"/>
    <w:rsid w:val="00794E19"/>
    <w:rsid w:val="0079558B"/>
    <w:rsid w:val="007A1EDC"/>
    <w:rsid w:val="007B3321"/>
    <w:rsid w:val="007C074C"/>
    <w:rsid w:val="007D20F7"/>
    <w:rsid w:val="007E335B"/>
    <w:rsid w:val="007E6EB5"/>
    <w:rsid w:val="007E76C6"/>
    <w:rsid w:val="007F39D7"/>
    <w:rsid w:val="007F499C"/>
    <w:rsid w:val="008104F2"/>
    <w:rsid w:val="00830815"/>
    <w:rsid w:val="00836D7D"/>
    <w:rsid w:val="0084221A"/>
    <w:rsid w:val="00856A31"/>
    <w:rsid w:val="00860F85"/>
    <w:rsid w:val="008643EB"/>
    <w:rsid w:val="00873D39"/>
    <w:rsid w:val="008754D0"/>
    <w:rsid w:val="00876685"/>
    <w:rsid w:val="00877D06"/>
    <w:rsid w:val="00880868"/>
    <w:rsid w:val="008871E9"/>
    <w:rsid w:val="008918CB"/>
    <w:rsid w:val="008B4DEA"/>
    <w:rsid w:val="008B7DE8"/>
    <w:rsid w:val="008C2950"/>
    <w:rsid w:val="008D0EE0"/>
    <w:rsid w:val="008D53D9"/>
    <w:rsid w:val="008E5828"/>
    <w:rsid w:val="008E7E6E"/>
    <w:rsid w:val="008F0FE5"/>
    <w:rsid w:val="00901A2E"/>
    <w:rsid w:val="00904271"/>
    <w:rsid w:val="00910953"/>
    <w:rsid w:val="00912710"/>
    <w:rsid w:val="00932377"/>
    <w:rsid w:val="00935EA5"/>
    <w:rsid w:val="00943801"/>
    <w:rsid w:val="009620C2"/>
    <w:rsid w:val="00963BCE"/>
    <w:rsid w:val="00964CC3"/>
    <w:rsid w:val="009853C6"/>
    <w:rsid w:val="0098615D"/>
    <w:rsid w:val="009900FB"/>
    <w:rsid w:val="009A27CC"/>
    <w:rsid w:val="009B74A1"/>
    <w:rsid w:val="009D041B"/>
    <w:rsid w:val="009D1079"/>
    <w:rsid w:val="009D1D59"/>
    <w:rsid w:val="009D6031"/>
    <w:rsid w:val="009E2599"/>
    <w:rsid w:val="009E4570"/>
    <w:rsid w:val="00A036CC"/>
    <w:rsid w:val="00A231E2"/>
    <w:rsid w:val="00A24B4D"/>
    <w:rsid w:val="00A24CB9"/>
    <w:rsid w:val="00A25627"/>
    <w:rsid w:val="00A3190B"/>
    <w:rsid w:val="00A32DE3"/>
    <w:rsid w:val="00A40155"/>
    <w:rsid w:val="00A44A84"/>
    <w:rsid w:val="00A47DC9"/>
    <w:rsid w:val="00A6121F"/>
    <w:rsid w:val="00A623C8"/>
    <w:rsid w:val="00A64912"/>
    <w:rsid w:val="00A65123"/>
    <w:rsid w:val="00A70A74"/>
    <w:rsid w:val="00A73589"/>
    <w:rsid w:val="00A76A53"/>
    <w:rsid w:val="00A85AF0"/>
    <w:rsid w:val="00A96BE3"/>
    <w:rsid w:val="00AA108F"/>
    <w:rsid w:val="00AA3309"/>
    <w:rsid w:val="00AA353F"/>
    <w:rsid w:val="00AA4C92"/>
    <w:rsid w:val="00AB4FDE"/>
    <w:rsid w:val="00AC0E3B"/>
    <w:rsid w:val="00AC10D3"/>
    <w:rsid w:val="00AC6095"/>
    <w:rsid w:val="00AD519A"/>
    <w:rsid w:val="00AD5641"/>
    <w:rsid w:val="00AE1C0A"/>
    <w:rsid w:val="00AE2B85"/>
    <w:rsid w:val="00AE59F7"/>
    <w:rsid w:val="00AE7BD7"/>
    <w:rsid w:val="00AF58D6"/>
    <w:rsid w:val="00B30846"/>
    <w:rsid w:val="00B33B3C"/>
    <w:rsid w:val="00B340B6"/>
    <w:rsid w:val="00B43C4B"/>
    <w:rsid w:val="00B478B5"/>
    <w:rsid w:val="00B54EF4"/>
    <w:rsid w:val="00B563DB"/>
    <w:rsid w:val="00B61B67"/>
    <w:rsid w:val="00B7416C"/>
    <w:rsid w:val="00B81731"/>
    <w:rsid w:val="00B842FC"/>
    <w:rsid w:val="00B90D47"/>
    <w:rsid w:val="00B95BE9"/>
    <w:rsid w:val="00BA50EB"/>
    <w:rsid w:val="00BA6223"/>
    <w:rsid w:val="00BC112E"/>
    <w:rsid w:val="00BD5689"/>
    <w:rsid w:val="00BD6B2E"/>
    <w:rsid w:val="00BD7CCF"/>
    <w:rsid w:val="00BE0470"/>
    <w:rsid w:val="00BE371C"/>
    <w:rsid w:val="00BE719A"/>
    <w:rsid w:val="00BE720A"/>
    <w:rsid w:val="00BF1892"/>
    <w:rsid w:val="00BF5D7D"/>
    <w:rsid w:val="00C07005"/>
    <w:rsid w:val="00C10DCA"/>
    <w:rsid w:val="00C23D29"/>
    <w:rsid w:val="00C25255"/>
    <w:rsid w:val="00C255AB"/>
    <w:rsid w:val="00C25E32"/>
    <w:rsid w:val="00C30811"/>
    <w:rsid w:val="00C37AC7"/>
    <w:rsid w:val="00C4132F"/>
    <w:rsid w:val="00C42BF8"/>
    <w:rsid w:val="00C46558"/>
    <w:rsid w:val="00C47225"/>
    <w:rsid w:val="00C50043"/>
    <w:rsid w:val="00C72B27"/>
    <w:rsid w:val="00C7573B"/>
    <w:rsid w:val="00C939E7"/>
    <w:rsid w:val="00C9526C"/>
    <w:rsid w:val="00CA21B9"/>
    <w:rsid w:val="00CC46E6"/>
    <w:rsid w:val="00CD6373"/>
    <w:rsid w:val="00CD7A81"/>
    <w:rsid w:val="00CE1287"/>
    <w:rsid w:val="00CE42CE"/>
    <w:rsid w:val="00CF0BB2"/>
    <w:rsid w:val="00CF4371"/>
    <w:rsid w:val="00CF4975"/>
    <w:rsid w:val="00D018DE"/>
    <w:rsid w:val="00D06750"/>
    <w:rsid w:val="00D07E0E"/>
    <w:rsid w:val="00D13441"/>
    <w:rsid w:val="00D210F7"/>
    <w:rsid w:val="00D276F3"/>
    <w:rsid w:val="00D3213F"/>
    <w:rsid w:val="00D33894"/>
    <w:rsid w:val="00D40997"/>
    <w:rsid w:val="00D428C4"/>
    <w:rsid w:val="00D708A1"/>
    <w:rsid w:val="00D70CCA"/>
    <w:rsid w:val="00D70DFB"/>
    <w:rsid w:val="00D766DF"/>
    <w:rsid w:val="00D77A93"/>
    <w:rsid w:val="00D92324"/>
    <w:rsid w:val="00D9675F"/>
    <w:rsid w:val="00D9762D"/>
    <w:rsid w:val="00DA3F87"/>
    <w:rsid w:val="00DA64C7"/>
    <w:rsid w:val="00DA7A88"/>
    <w:rsid w:val="00DB1162"/>
    <w:rsid w:val="00DC0B08"/>
    <w:rsid w:val="00DE0560"/>
    <w:rsid w:val="00DE1855"/>
    <w:rsid w:val="00DE3DDF"/>
    <w:rsid w:val="00DF09AC"/>
    <w:rsid w:val="00DF65A0"/>
    <w:rsid w:val="00E00AA1"/>
    <w:rsid w:val="00E024E7"/>
    <w:rsid w:val="00E05704"/>
    <w:rsid w:val="00E1425E"/>
    <w:rsid w:val="00E209B6"/>
    <w:rsid w:val="00E232C4"/>
    <w:rsid w:val="00E24F6B"/>
    <w:rsid w:val="00E31AEE"/>
    <w:rsid w:val="00E4146C"/>
    <w:rsid w:val="00E4252D"/>
    <w:rsid w:val="00E45967"/>
    <w:rsid w:val="00E64180"/>
    <w:rsid w:val="00E74DC7"/>
    <w:rsid w:val="00E75112"/>
    <w:rsid w:val="00E75BA7"/>
    <w:rsid w:val="00E9136A"/>
    <w:rsid w:val="00EC2AD3"/>
    <w:rsid w:val="00EC5026"/>
    <w:rsid w:val="00ED1A6C"/>
    <w:rsid w:val="00ED573D"/>
    <w:rsid w:val="00EE7B3F"/>
    <w:rsid w:val="00EF2E3A"/>
    <w:rsid w:val="00EF3B11"/>
    <w:rsid w:val="00EF7A55"/>
    <w:rsid w:val="00F01CCD"/>
    <w:rsid w:val="00F03C20"/>
    <w:rsid w:val="00F078DC"/>
    <w:rsid w:val="00F13C7A"/>
    <w:rsid w:val="00F1779C"/>
    <w:rsid w:val="00F22191"/>
    <w:rsid w:val="00F32355"/>
    <w:rsid w:val="00F336B7"/>
    <w:rsid w:val="00F360FB"/>
    <w:rsid w:val="00F5076A"/>
    <w:rsid w:val="00F549A0"/>
    <w:rsid w:val="00F67A41"/>
    <w:rsid w:val="00F7085F"/>
    <w:rsid w:val="00F7094A"/>
    <w:rsid w:val="00F712C5"/>
    <w:rsid w:val="00F807A5"/>
    <w:rsid w:val="00F81B77"/>
    <w:rsid w:val="00F85793"/>
    <w:rsid w:val="00FA01DA"/>
    <w:rsid w:val="00FA14E4"/>
    <w:rsid w:val="00FA3991"/>
    <w:rsid w:val="00FB3219"/>
    <w:rsid w:val="00FC2F03"/>
    <w:rsid w:val="00FC57E8"/>
    <w:rsid w:val="00FD62F7"/>
    <w:rsid w:val="00FD66DD"/>
    <w:rsid w:val="00FE75CF"/>
    <w:rsid w:val="00FF2295"/>
    <w:rsid w:val="00FF4D02"/>
    <w:rsid w:val="00FF6F6E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6A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E219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9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19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19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219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219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219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219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219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219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E219E"/>
  </w:style>
  <w:style w:type="paragraph" w:customStyle="1" w:styleId="OPCParaBase">
    <w:name w:val="OPCParaBase"/>
    <w:qFormat/>
    <w:rsid w:val="005E219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E219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E219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E219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E219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E219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E219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E219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E219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E219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E219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E219E"/>
  </w:style>
  <w:style w:type="paragraph" w:customStyle="1" w:styleId="Blocks">
    <w:name w:val="Blocks"/>
    <w:aliases w:val="bb"/>
    <w:basedOn w:val="OPCParaBase"/>
    <w:qFormat/>
    <w:rsid w:val="005E219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E21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E219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E219E"/>
    <w:rPr>
      <w:i/>
    </w:rPr>
  </w:style>
  <w:style w:type="paragraph" w:customStyle="1" w:styleId="BoxList">
    <w:name w:val="BoxList"/>
    <w:aliases w:val="bl"/>
    <w:basedOn w:val="BoxText"/>
    <w:qFormat/>
    <w:rsid w:val="005E219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E219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E219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E219E"/>
    <w:pPr>
      <w:ind w:left="1985" w:hanging="851"/>
    </w:pPr>
  </w:style>
  <w:style w:type="character" w:customStyle="1" w:styleId="CharAmPartNo">
    <w:name w:val="CharAmPartNo"/>
    <w:basedOn w:val="OPCCharBase"/>
    <w:qFormat/>
    <w:rsid w:val="005E219E"/>
  </w:style>
  <w:style w:type="character" w:customStyle="1" w:styleId="CharAmPartText">
    <w:name w:val="CharAmPartText"/>
    <w:basedOn w:val="OPCCharBase"/>
    <w:qFormat/>
    <w:rsid w:val="005E219E"/>
  </w:style>
  <w:style w:type="character" w:customStyle="1" w:styleId="CharAmSchNo">
    <w:name w:val="CharAmSchNo"/>
    <w:basedOn w:val="OPCCharBase"/>
    <w:qFormat/>
    <w:rsid w:val="005E219E"/>
  </w:style>
  <w:style w:type="character" w:customStyle="1" w:styleId="CharAmSchText">
    <w:name w:val="CharAmSchText"/>
    <w:basedOn w:val="OPCCharBase"/>
    <w:qFormat/>
    <w:rsid w:val="005E219E"/>
  </w:style>
  <w:style w:type="character" w:customStyle="1" w:styleId="CharBoldItalic">
    <w:name w:val="CharBoldItalic"/>
    <w:basedOn w:val="OPCCharBase"/>
    <w:uiPriority w:val="1"/>
    <w:qFormat/>
    <w:rsid w:val="005E219E"/>
    <w:rPr>
      <w:b/>
      <w:i/>
    </w:rPr>
  </w:style>
  <w:style w:type="character" w:customStyle="1" w:styleId="CharChapNo">
    <w:name w:val="CharChapNo"/>
    <w:basedOn w:val="OPCCharBase"/>
    <w:uiPriority w:val="1"/>
    <w:qFormat/>
    <w:rsid w:val="005E219E"/>
  </w:style>
  <w:style w:type="character" w:customStyle="1" w:styleId="CharChapText">
    <w:name w:val="CharChapText"/>
    <w:basedOn w:val="OPCCharBase"/>
    <w:uiPriority w:val="1"/>
    <w:qFormat/>
    <w:rsid w:val="005E219E"/>
  </w:style>
  <w:style w:type="character" w:customStyle="1" w:styleId="CharDivNo">
    <w:name w:val="CharDivNo"/>
    <w:basedOn w:val="OPCCharBase"/>
    <w:uiPriority w:val="1"/>
    <w:qFormat/>
    <w:rsid w:val="005E219E"/>
  </w:style>
  <w:style w:type="character" w:customStyle="1" w:styleId="CharDivText">
    <w:name w:val="CharDivText"/>
    <w:basedOn w:val="OPCCharBase"/>
    <w:uiPriority w:val="1"/>
    <w:qFormat/>
    <w:rsid w:val="005E219E"/>
  </w:style>
  <w:style w:type="character" w:customStyle="1" w:styleId="CharItalic">
    <w:name w:val="CharItalic"/>
    <w:basedOn w:val="OPCCharBase"/>
    <w:uiPriority w:val="1"/>
    <w:qFormat/>
    <w:rsid w:val="005E219E"/>
    <w:rPr>
      <w:i/>
    </w:rPr>
  </w:style>
  <w:style w:type="character" w:customStyle="1" w:styleId="CharPartNo">
    <w:name w:val="CharPartNo"/>
    <w:basedOn w:val="OPCCharBase"/>
    <w:uiPriority w:val="1"/>
    <w:qFormat/>
    <w:rsid w:val="005E219E"/>
  </w:style>
  <w:style w:type="character" w:customStyle="1" w:styleId="CharPartText">
    <w:name w:val="CharPartText"/>
    <w:basedOn w:val="OPCCharBase"/>
    <w:uiPriority w:val="1"/>
    <w:qFormat/>
    <w:rsid w:val="005E219E"/>
  </w:style>
  <w:style w:type="character" w:customStyle="1" w:styleId="CharSectno">
    <w:name w:val="CharSectno"/>
    <w:basedOn w:val="OPCCharBase"/>
    <w:qFormat/>
    <w:rsid w:val="005E219E"/>
  </w:style>
  <w:style w:type="character" w:customStyle="1" w:styleId="CharSubdNo">
    <w:name w:val="CharSubdNo"/>
    <w:basedOn w:val="OPCCharBase"/>
    <w:uiPriority w:val="1"/>
    <w:qFormat/>
    <w:rsid w:val="005E219E"/>
  </w:style>
  <w:style w:type="character" w:customStyle="1" w:styleId="CharSubdText">
    <w:name w:val="CharSubdText"/>
    <w:basedOn w:val="OPCCharBase"/>
    <w:uiPriority w:val="1"/>
    <w:qFormat/>
    <w:rsid w:val="005E219E"/>
  </w:style>
  <w:style w:type="paragraph" w:customStyle="1" w:styleId="CTA--">
    <w:name w:val="CTA --"/>
    <w:basedOn w:val="OPCParaBase"/>
    <w:next w:val="Normal"/>
    <w:rsid w:val="005E219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E219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E219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E219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E219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E219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E219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E219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E219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E219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E219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E219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E219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E219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E219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E219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E21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E219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E21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E21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E219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E219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E219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E219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E219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E219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E219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E219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E219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E219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E219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E219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E219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E219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E219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E219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E219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E219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E219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E219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E219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E219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E219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E219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E219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E219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E219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E219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E219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E219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5E219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E21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E219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E219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E219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E219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E219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E219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E219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E219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E219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E219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E219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E219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E219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E219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E219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E219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E219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E219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E219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E219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E219E"/>
    <w:rPr>
      <w:sz w:val="16"/>
    </w:rPr>
  </w:style>
  <w:style w:type="table" w:customStyle="1" w:styleId="CFlag">
    <w:name w:val="CFlag"/>
    <w:basedOn w:val="TableNormal"/>
    <w:uiPriority w:val="99"/>
    <w:rsid w:val="005E219E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5E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5E219E"/>
    <w:pPr>
      <w:spacing w:before="120"/>
    </w:pPr>
  </w:style>
  <w:style w:type="paragraph" w:customStyle="1" w:styleId="CompiledActNo">
    <w:name w:val="CompiledActNo"/>
    <w:basedOn w:val="OPCParaBase"/>
    <w:next w:val="Normal"/>
    <w:rsid w:val="005E219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E219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E219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E219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E21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E21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E21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E219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E219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E219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E219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E219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E219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E219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E219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E219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E219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E219E"/>
  </w:style>
  <w:style w:type="character" w:customStyle="1" w:styleId="CharSubPartNoCASA">
    <w:name w:val="CharSubPartNo(CASA)"/>
    <w:basedOn w:val="OPCCharBase"/>
    <w:uiPriority w:val="1"/>
    <w:rsid w:val="005E219E"/>
  </w:style>
  <w:style w:type="paragraph" w:customStyle="1" w:styleId="ENoteTTIndentHeadingSub">
    <w:name w:val="ENoteTTIndentHeadingSub"/>
    <w:aliases w:val="enTTHis"/>
    <w:basedOn w:val="OPCParaBase"/>
    <w:rsid w:val="005E219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E219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E219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E219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E219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E219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E21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E219E"/>
    <w:rPr>
      <w:sz w:val="22"/>
    </w:rPr>
  </w:style>
  <w:style w:type="paragraph" w:customStyle="1" w:styleId="SOTextNote">
    <w:name w:val="SO TextNote"/>
    <w:aliases w:val="sont"/>
    <w:basedOn w:val="SOText"/>
    <w:qFormat/>
    <w:rsid w:val="005E219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E219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E219E"/>
    <w:rPr>
      <w:sz w:val="22"/>
    </w:rPr>
  </w:style>
  <w:style w:type="paragraph" w:customStyle="1" w:styleId="FileName">
    <w:name w:val="FileName"/>
    <w:basedOn w:val="Normal"/>
    <w:rsid w:val="005E219E"/>
  </w:style>
  <w:style w:type="paragraph" w:customStyle="1" w:styleId="TableHeading">
    <w:name w:val="TableHeading"/>
    <w:aliases w:val="th"/>
    <w:basedOn w:val="OPCParaBase"/>
    <w:next w:val="Tabletext"/>
    <w:rsid w:val="005E219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E219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E219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E219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E219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E219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E219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E219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E219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E21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E219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E219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E2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219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E219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E219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E219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E219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E219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E21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5E21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219E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5E219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E219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E219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E219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E219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E219E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E219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E219E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5E219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E219E"/>
    <w:pPr>
      <w:ind w:left="240" w:hanging="240"/>
    </w:pPr>
  </w:style>
  <w:style w:type="paragraph" w:styleId="Index2">
    <w:name w:val="index 2"/>
    <w:basedOn w:val="Normal"/>
    <w:next w:val="Normal"/>
    <w:autoRedefine/>
    <w:rsid w:val="005E219E"/>
    <w:pPr>
      <w:ind w:left="480" w:hanging="240"/>
    </w:pPr>
  </w:style>
  <w:style w:type="paragraph" w:styleId="Index3">
    <w:name w:val="index 3"/>
    <w:basedOn w:val="Normal"/>
    <w:next w:val="Normal"/>
    <w:autoRedefine/>
    <w:rsid w:val="005E219E"/>
    <w:pPr>
      <w:ind w:left="720" w:hanging="240"/>
    </w:pPr>
  </w:style>
  <w:style w:type="paragraph" w:styleId="Index4">
    <w:name w:val="index 4"/>
    <w:basedOn w:val="Normal"/>
    <w:next w:val="Normal"/>
    <w:autoRedefine/>
    <w:rsid w:val="005E219E"/>
    <w:pPr>
      <w:ind w:left="960" w:hanging="240"/>
    </w:pPr>
  </w:style>
  <w:style w:type="paragraph" w:styleId="Index5">
    <w:name w:val="index 5"/>
    <w:basedOn w:val="Normal"/>
    <w:next w:val="Normal"/>
    <w:autoRedefine/>
    <w:rsid w:val="005E219E"/>
    <w:pPr>
      <w:ind w:left="1200" w:hanging="240"/>
    </w:pPr>
  </w:style>
  <w:style w:type="paragraph" w:styleId="Index6">
    <w:name w:val="index 6"/>
    <w:basedOn w:val="Normal"/>
    <w:next w:val="Normal"/>
    <w:autoRedefine/>
    <w:rsid w:val="005E219E"/>
    <w:pPr>
      <w:ind w:left="1440" w:hanging="240"/>
    </w:pPr>
  </w:style>
  <w:style w:type="paragraph" w:styleId="Index7">
    <w:name w:val="index 7"/>
    <w:basedOn w:val="Normal"/>
    <w:next w:val="Normal"/>
    <w:autoRedefine/>
    <w:rsid w:val="005E219E"/>
    <w:pPr>
      <w:ind w:left="1680" w:hanging="240"/>
    </w:pPr>
  </w:style>
  <w:style w:type="paragraph" w:styleId="Index8">
    <w:name w:val="index 8"/>
    <w:basedOn w:val="Normal"/>
    <w:next w:val="Normal"/>
    <w:autoRedefine/>
    <w:rsid w:val="005E219E"/>
    <w:pPr>
      <w:ind w:left="1920" w:hanging="240"/>
    </w:pPr>
  </w:style>
  <w:style w:type="paragraph" w:styleId="Index9">
    <w:name w:val="index 9"/>
    <w:basedOn w:val="Normal"/>
    <w:next w:val="Normal"/>
    <w:autoRedefine/>
    <w:rsid w:val="005E219E"/>
    <w:pPr>
      <w:ind w:left="2160" w:hanging="240"/>
    </w:pPr>
  </w:style>
  <w:style w:type="paragraph" w:styleId="NormalIndent">
    <w:name w:val="Normal Indent"/>
    <w:basedOn w:val="Normal"/>
    <w:rsid w:val="005E219E"/>
    <w:pPr>
      <w:ind w:left="720"/>
    </w:pPr>
  </w:style>
  <w:style w:type="paragraph" w:styleId="FootnoteText">
    <w:name w:val="footnote text"/>
    <w:basedOn w:val="Normal"/>
    <w:link w:val="FootnoteTextChar"/>
    <w:rsid w:val="005E219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219E"/>
  </w:style>
  <w:style w:type="paragraph" w:styleId="CommentText">
    <w:name w:val="annotation text"/>
    <w:basedOn w:val="Normal"/>
    <w:link w:val="CommentTextChar"/>
    <w:rsid w:val="005E21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219E"/>
  </w:style>
  <w:style w:type="paragraph" w:styleId="IndexHeading">
    <w:name w:val="index heading"/>
    <w:basedOn w:val="Normal"/>
    <w:next w:val="Index1"/>
    <w:rsid w:val="005E219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E219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E219E"/>
    <w:pPr>
      <w:ind w:left="480" w:hanging="480"/>
    </w:pPr>
  </w:style>
  <w:style w:type="paragraph" w:styleId="EnvelopeAddress">
    <w:name w:val="envelope address"/>
    <w:basedOn w:val="Normal"/>
    <w:rsid w:val="005E2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219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E219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E219E"/>
    <w:rPr>
      <w:sz w:val="16"/>
      <w:szCs w:val="16"/>
    </w:rPr>
  </w:style>
  <w:style w:type="character" w:styleId="PageNumber">
    <w:name w:val="page number"/>
    <w:basedOn w:val="DefaultParagraphFont"/>
    <w:rsid w:val="005E219E"/>
  </w:style>
  <w:style w:type="character" w:styleId="EndnoteReference">
    <w:name w:val="endnote reference"/>
    <w:basedOn w:val="DefaultParagraphFont"/>
    <w:rsid w:val="005E219E"/>
    <w:rPr>
      <w:vertAlign w:val="superscript"/>
    </w:rPr>
  </w:style>
  <w:style w:type="paragraph" w:styleId="EndnoteText">
    <w:name w:val="endnote text"/>
    <w:basedOn w:val="Normal"/>
    <w:link w:val="EndnoteTextChar"/>
    <w:rsid w:val="005E219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E219E"/>
  </w:style>
  <w:style w:type="paragraph" w:styleId="TableofAuthorities">
    <w:name w:val="table of authorities"/>
    <w:basedOn w:val="Normal"/>
    <w:next w:val="Normal"/>
    <w:rsid w:val="005E219E"/>
    <w:pPr>
      <w:ind w:left="240" w:hanging="240"/>
    </w:pPr>
  </w:style>
  <w:style w:type="paragraph" w:styleId="MacroText">
    <w:name w:val="macro"/>
    <w:link w:val="MacroTextChar"/>
    <w:rsid w:val="005E21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E219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E219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E219E"/>
    <w:pPr>
      <w:ind w:left="283" w:hanging="283"/>
    </w:pPr>
  </w:style>
  <w:style w:type="paragraph" w:styleId="ListBullet">
    <w:name w:val="List Bullet"/>
    <w:basedOn w:val="Normal"/>
    <w:autoRedefine/>
    <w:rsid w:val="005E219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E219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E219E"/>
    <w:pPr>
      <w:ind w:left="566" w:hanging="283"/>
    </w:pPr>
  </w:style>
  <w:style w:type="paragraph" w:styleId="List3">
    <w:name w:val="List 3"/>
    <w:basedOn w:val="Normal"/>
    <w:rsid w:val="005E219E"/>
    <w:pPr>
      <w:ind w:left="849" w:hanging="283"/>
    </w:pPr>
  </w:style>
  <w:style w:type="paragraph" w:styleId="List4">
    <w:name w:val="List 4"/>
    <w:basedOn w:val="Normal"/>
    <w:rsid w:val="005E219E"/>
    <w:pPr>
      <w:ind w:left="1132" w:hanging="283"/>
    </w:pPr>
  </w:style>
  <w:style w:type="paragraph" w:styleId="List5">
    <w:name w:val="List 5"/>
    <w:basedOn w:val="Normal"/>
    <w:rsid w:val="005E219E"/>
    <w:pPr>
      <w:ind w:left="1415" w:hanging="283"/>
    </w:pPr>
  </w:style>
  <w:style w:type="paragraph" w:styleId="ListBullet2">
    <w:name w:val="List Bullet 2"/>
    <w:basedOn w:val="Normal"/>
    <w:autoRedefine/>
    <w:rsid w:val="005E219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E219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E219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E219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E219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E219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E219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E219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E219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219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E219E"/>
    <w:pPr>
      <w:ind w:left="4252"/>
    </w:pPr>
  </w:style>
  <w:style w:type="character" w:customStyle="1" w:styleId="ClosingChar">
    <w:name w:val="Closing Char"/>
    <w:basedOn w:val="DefaultParagraphFont"/>
    <w:link w:val="Closing"/>
    <w:rsid w:val="005E219E"/>
    <w:rPr>
      <w:sz w:val="22"/>
    </w:rPr>
  </w:style>
  <w:style w:type="paragraph" w:styleId="Signature">
    <w:name w:val="Signature"/>
    <w:basedOn w:val="Normal"/>
    <w:link w:val="SignatureChar"/>
    <w:rsid w:val="005E219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E219E"/>
    <w:rPr>
      <w:sz w:val="22"/>
    </w:rPr>
  </w:style>
  <w:style w:type="paragraph" w:styleId="BodyText">
    <w:name w:val="Body Text"/>
    <w:basedOn w:val="Normal"/>
    <w:link w:val="BodyTextChar"/>
    <w:rsid w:val="005E21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219E"/>
    <w:rPr>
      <w:sz w:val="22"/>
    </w:rPr>
  </w:style>
  <w:style w:type="paragraph" w:styleId="BodyTextIndent">
    <w:name w:val="Body Text Indent"/>
    <w:basedOn w:val="Normal"/>
    <w:link w:val="BodyTextIndentChar"/>
    <w:rsid w:val="005E21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E219E"/>
    <w:rPr>
      <w:sz w:val="22"/>
    </w:rPr>
  </w:style>
  <w:style w:type="paragraph" w:styleId="ListContinue">
    <w:name w:val="List Continue"/>
    <w:basedOn w:val="Normal"/>
    <w:rsid w:val="005E219E"/>
    <w:pPr>
      <w:spacing w:after="120"/>
      <w:ind w:left="283"/>
    </w:pPr>
  </w:style>
  <w:style w:type="paragraph" w:styleId="ListContinue2">
    <w:name w:val="List Continue 2"/>
    <w:basedOn w:val="Normal"/>
    <w:rsid w:val="005E219E"/>
    <w:pPr>
      <w:spacing w:after="120"/>
      <w:ind w:left="566"/>
    </w:pPr>
  </w:style>
  <w:style w:type="paragraph" w:styleId="ListContinue3">
    <w:name w:val="List Continue 3"/>
    <w:basedOn w:val="Normal"/>
    <w:rsid w:val="005E219E"/>
    <w:pPr>
      <w:spacing w:after="120"/>
      <w:ind w:left="849"/>
    </w:pPr>
  </w:style>
  <w:style w:type="paragraph" w:styleId="ListContinue4">
    <w:name w:val="List Continue 4"/>
    <w:basedOn w:val="Normal"/>
    <w:rsid w:val="005E219E"/>
    <w:pPr>
      <w:spacing w:after="120"/>
      <w:ind w:left="1132"/>
    </w:pPr>
  </w:style>
  <w:style w:type="paragraph" w:styleId="ListContinue5">
    <w:name w:val="List Continue 5"/>
    <w:basedOn w:val="Normal"/>
    <w:rsid w:val="005E219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E2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E219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E219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E219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E219E"/>
  </w:style>
  <w:style w:type="character" w:customStyle="1" w:styleId="SalutationChar">
    <w:name w:val="Salutation Char"/>
    <w:basedOn w:val="DefaultParagraphFont"/>
    <w:link w:val="Salutation"/>
    <w:rsid w:val="005E219E"/>
    <w:rPr>
      <w:sz w:val="22"/>
    </w:rPr>
  </w:style>
  <w:style w:type="paragraph" w:styleId="Date">
    <w:name w:val="Date"/>
    <w:basedOn w:val="Normal"/>
    <w:next w:val="Normal"/>
    <w:link w:val="DateChar"/>
    <w:rsid w:val="005E219E"/>
  </w:style>
  <w:style w:type="character" w:customStyle="1" w:styleId="DateChar">
    <w:name w:val="Date Char"/>
    <w:basedOn w:val="DefaultParagraphFont"/>
    <w:link w:val="Date"/>
    <w:rsid w:val="005E219E"/>
    <w:rPr>
      <w:sz w:val="22"/>
    </w:rPr>
  </w:style>
  <w:style w:type="paragraph" w:styleId="BodyTextFirstIndent">
    <w:name w:val="Body Text First Indent"/>
    <w:basedOn w:val="BodyText"/>
    <w:link w:val="BodyTextFirstIndentChar"/>
    <w:rsid w:val="005E219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E219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E219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E219E"/>
    <w:rPr>
      <w:sz w:val="22"/>
    </w:rPr>
  </w:style>
  <w:style w:type="paragraph" w:styleId="BodyText2">
    <w:name w:val="Body Text 2"/>
    <w:basedOn w:val="Normal"/>
    <w:link w:val="BodyText2Char"/>
    <w:rsid w:val="005E21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219E"/>
    <w:rPr>
      <w:sz w:val="22"/>
    </w:rPr>
  </w:style>
  <w:style w:type="paragraph" w:styleId="BodyText3">
    <w:name w:val="Body Text 3"/>
    <w:basedOn w:val="Normal"/>
    <w:link w:val="BodyText3Char"/>
    <w:rsid w:val="005E21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E219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E21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E219E"/>
    <w:rPr>
      <w:sz w:val="22"/>
    </w:rPr>
  </w:style>
  <w:style w:type="paragraph" w:styleId="BodyTextIndent3">
    <w:name w:val="Body Text Indent 3"/>
    <w:basedOn w:val="Normal"/>
    <w:link w:val="BodyTextIndent3Char"/>
    <w:rsid w:val="005E21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219E"/>
    <w:rPr>
      <w:sz w:val="16"/>
      <w:szCs w:val="16"/>
    </w:rPr>
  </w:style>
  <w:style w:type="paragraph" w:styleId="BlockText">
    <w:name w:val="Block Text"/>
    <w:basedOn w:val="Normal"/>
    <w:rsid w:val="005E219E"/>
    <w:pPr>
      <w:spacing w:after="120"/>
      <w:ind w:left="1440" w:right="1440"/>
    </w:pPr>
  </w:style>
  <w:style w:type="character" w:styleId="Hyperlink">
    <w:name w:val="Hyperlink"/>
    <w:basedOn w:val="DefaultParagraphFont"/>
    <w:rsid w:val="005E219E"/>
    <w:rPr>
      <w:color w:val="0000FF"/>
      <w:u w:val="single"/>
    </w:rPr>
  </w:style>
  <w:style w:type="character" w:styleId="FollowedHyperlink">
    <w:name w:val="FollowedHyperlink"/>
    <w:basedOn w:val="DefaultParagraphFont"/>
    <w:rsid w:val="005E219E"/>
    <w:rPr>
      <w:color w:val="800080"/>
      <w:u w:val="single"/>
    </w:rPr>
  </w:style>
  <w:style w:type="character" w:styleId="Strong">
    <w:name w:val="Strong"/>
    <w:basedOn w:val="DefaultParagraphFont"/>
    <w:qFormat/>
    <w:rsid w:val="005E219E"/>
    <w:rPr>
      <w:b/>
      <w:bCs/>
    </w:rPr>
  </w:style>
  <w:style w:type="character" w:styleId="Emphasis">
    <w:name w:val="Emphasis"/>
    <w:basedOn w:val="DefaultParagraphFont"/>
    <w:qFormat/>
    <w:rsid w:val="005E219E"/>
    <w:rPr>
      <w:i/>
      <w:iCs/>
    </w:rPr>
  </w:style>
  <w:style w:type="paragraph" w:styleId="DocumentMap">
    <w:name w:val="Document Map"/>
    <w:basedOn w:val="Normal"/>
    <w:link w:val="DocumentMapChar"/>
    <w:rsid w:val="005E219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E219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E219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E219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E219E"/>
  </w:style>
  <w:style w:type="character" w:customStyle="1" w:styleId="E-mailSignatureChar">
    <w:name w:val="E-mail Signature Char"/>
    <w:basedOn w:val="DefaultParagraphFont"/>
    <w:link w:val="E-mailSignature"/>
    <w:rsid w:val="005E219E"/>
    <w:rPr>
      <w:sz w:val="22"/>
    </w:rPr>
  </w:style>
  <w:style w:type="paragraph" w:styleId="NormalWeb">
    <w:name w:val="Normal (Web)"/>
    <w:basedOn w:val="Normal"/>
    <w:rsid w:val="005E219E"/>
  </w:style>
  <w:style w:type="character" w:styleId="HTMLAcronym">
    <w:name w:val="HTML Acronym"/>
    <w:basedOn w:val="DefaultParagraphFont"/>
    <w:rsid w:val="005E219E"/>
  </w:style>
  <w:style w:type="paragraph" w:styleId="HTMLAddress">
    <w:name w:val="HTML Address"/>
    <w:basedOn w:val="Normal"/>
    <w:link w:val="HTMLAddressChar"/>
    <w:rsid w:val="005E219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E219E"/>
    <w:rPr>
      <w:i/>
      <w:iCs/>
      <w:sz w:val="22"/>
    </w:rPr>
  </w:style>
  <w:style w:type="character" w:styleId="HTMLCite">
    <w:name w:val="HTML Cite"/>
    <w:basedOn w:val="DefaultParagraphFont"/>
    <w:rsid w:val="005E219E"/>
    <w:rPr>
      <w:i/>
      <w:iCs/>
    </w:rPr>
  </w:style>
  <w:style w:type="character" w:styleId="HTMLCode">
    <w:name w:val="HTML Code"/>
    <w:basedOn w:val="DefaultParagraphFont"/>
    <w:rsid w:val="005E2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E219E"/>
    <w:rPr>
      <w:i/>
      <w:iCs/>
    </w:rPr>
  </w:style>
  <w:style w:type="character" w:styleId="HTMLKeyboard">
    <w:name w:val="HTML Keyboard"/>
    <w:basedOn w:val="DefaultParagraphFont"/>
    <w:rsid w:val="005E2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E219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E219E"/>
    <w:rPr>
      <w:rFonts w:ascii="Courier New" w:hAnsi="Courier New" w:cs="Courier New"/>
    </w:rPr>
  </w:style>
  <w:style w:type="character" w:styleId="HTMLSample">
    <w:name w:val="HTML Sample"/>
    <w:basedOn w:val="DefaultParagraphFont"/>
    <w:rsid w:val="005E219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E219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E219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E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219E"/>
    <w:rPr>
      <w:b/>
      <w:bCs/>
    </w:rPr>
  </w:style>
  <w:style w:type="numbering" w:styleId="1ai">
    <w:name w:val="Outline List 1"/>
    <w:basedOn w:val="NoList"/>
    <w:rsid w:val="005E219E"/>
    <w:pPr>
      <w:numPr>
        <w:numId w:val="14"/>
      </w:numPr>
    </w:pPr>
  </w:style>
  <w:style w:type="numbering" w:styleId="111111">
    <w:name w:val="Outline List 2"/>
    <w:basedOn w:val="NoList"/>
    <w:rsid w:val="005E219E"/>
    <w:pPr>
      <w:numPr>
        <w:numId w:val="15"/>
      </w:numPr>
    </w:pPr>
  </w:style>
  <w:style w:type="numbering" w:styleId="ArticleSection">
    <w:name w:val="Outline List 3"/>
    <w:basedOn w:val="NoList"/>
    <w:rsid w:val="005E219E"/>
    <w:pPr>
      <w:numPr>
        <w:numId w:val="17"/>
      </w:numPr>
    </w:pPr>
  </w:style>
  <w:style w:type="table" w:styleId="TableSimple1">
    <w:name w:val="Table Simple 1"/>
    <w:basedOn w:val="TableNormal"/>
    <w:rsid w:val="005E219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E219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E21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E21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E21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E219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219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E219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E219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E219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E219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E219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E219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E219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E219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E21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E219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219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E219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E21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E21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E219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E219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E219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E219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E21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E21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E21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E219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E219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E219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E219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E219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E219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E219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219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E21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E219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E219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E219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E219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E219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E219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E219E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5E219E"/>
  </w:style>
  <w:style w:type="paragraph" w:styleId="Bibliography">
    <w:name w:val="Bibliography"/>
    <w:basedOn w:val="Normal"/>
    <w:next w:val="Normal"/>
    <w:uiPriority w:val="37"/>
    <w:semiHidden/>
    <w:unhideWhenUsed/>
    <w:rsid w:val="005E219E"/>
  </w:style>
  <w:style w:type="character" w:styleId="BookTitle">
    <w:name w:val="Book Title"/>
    <w:basedOn w:val="DefaultParagraphFont"/>
    <w:uiPriority w:val="33"/>
    <w:qFormat/>
    <w:rsid w:val="005E219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E21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E219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E219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E219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E219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E219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E219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E21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E219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E219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E219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E219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E219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E219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E21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E219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E219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E219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E219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E219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E219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E21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E219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E219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E219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E219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E219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E219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E21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E21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E21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E21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E21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E21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E21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E21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E21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E21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E21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E21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E21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E21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E21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E21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E21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E21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E21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E21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E21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E219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E219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19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19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E219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E21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E219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E219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E219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E219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E219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E219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E21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E219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E219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E219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E219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E219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E219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E21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E219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E219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E219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E219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E219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E219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E21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E2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E2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E2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E2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E2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E2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E2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E21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E219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E219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E219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E219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E219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E219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E219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E21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E21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E219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E219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E219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E219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E219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E219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E21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E21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E21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E21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E21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E21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E21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E21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E219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E219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E219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E219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E219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E219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E21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E219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E219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E219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E219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E219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E219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E21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E21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E21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E21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E21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E21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E21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E219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E21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E21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E219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E219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E219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E219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E219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E219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E21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E21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E21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E21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E21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E21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E21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E219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E219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E219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E219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E219E"/>
    <w:rPr>
      <w:color w:val="808080"/>
    </w:rPr>
  </w:style>
  <w:style w:type="table" w:styleId="PlainTable1">
    <w:name w:val="Plain Table 1"/>
    <w:basedOn w:val="TableNormal"/>
    <w:uiPriority w:val="41"/>
    <w:rsid w:val="005E219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E21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E21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E21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E21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E21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19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E219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E21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E219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E21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219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E219E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224C28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E45967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1292</Words>
  <Characters>6556</Characters>
  <Application>Microsoft Office Word</Application>
  <DocSecurity>2</DocSecurity>
  <PresentationFormat/>
  <Lines>192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Instrument 2025: SG reforms to address unpaid super</vt:lpstr>
    </vt:vector>
  </TitlesOfParts>
  <Manager/>
  <Company/>
  <LinksUpToDate>false</LinksUpToDate>
  <CharactersWithSpaces>7708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Instrument 2025: SG reforms to address unpaid super</dc:title>
  <dc:subject/>
  <dc:creator>Treasury</dc:creator>
  <cp:keywords/>
  <dc:description/>
  <cp:lastModifiedBy/>
  <cp:revision>1</cp:revision>
  <dcterms:created xsi:type="dcterms:W3CDTF">2025-03-06T05:18:00Z</dcterms:created>
  <dcterms:modified xsi:type="dcterms:W3CDTF">2025-03-06T05:20:00Z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2025-03-06T05:21:03Z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29d026a4-f619-4bf6-b2f2-df71335c627f</vt:lpwstr>
  </property>
  <property fmtid="{D5CDD505-2E9C-101B-9397-08002B2CF9AE}" pid="9" name="MSIP_Label_4f932d64-9ab1-4d9b-81d2-a3a8b82dd47d_ContentBits">
    <vt:lpwstr>0</vt:lpwstr>
  </property>
</Properties>
</file>