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sz w:val="22"/>
        </w:rPr>
        <w:id w:val="875589956"/>
        <w:docPartObj>
          <w:docPartGallery w:val="Cover Pages"/>
          <w:docPartUnique/>
        </w:docPartObj>
      </w:sdtPr>
      <w:sdtEndPr/>
      <w:sdtContent>
        <w:p w14:paraId="56E0D40F" w14:textId="77777777" w:rsidR="00CE7B45" w:rsidRPr="006D0240" w:rsidRDefault="00CE7B45" w:rsidP="008C5EC0">
          <w:pPr>
            <w:pStyle w:val="Header"/>
          </w:pPr>
          <w:r>
            <w:rPr>
              <w:noProof/>
            </w:rPr>
            <w:drawing>
              <wp:inline distT="0" distB="0" distL="0" distR="0" wp14:anchorId="0AA6EA48" wp14:editId="7A87BC96">
                <wp:extent cx="2203708" cy="536449"/>
                <wp:effectExtent l="0" t="0" r="635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r>
            <w:rPr>
              <w:noProof/>
            </w:rPr>
            <mc:AlternateContent>
              <mc:Choice Requires="wps">
                <w:drawing>
                  <wp:anchor distT="0" distB="0" distL="114300" distR="114300" simplePos="0" relativeHeight="251658240" behindDoc="1" locked="1" layoutInCell="1" allowOverlap="1" wp14:anchorId="1E7B2AF9" wp14:editId="762C4F12">
                    <wp:simplePos x="0" y="0"/>
                    <wp:positionH relativeFrom="column">
                      <wp:align>center</wp:align>
                    </wp:positionH>
                    <wp:positionV relativeFrom="page">
                      <wp:align>center</wp:align>
                    </wp:positionV>
                    <wp:extent cx="7200000" cy="10332000"/>
                    <wp:effectExtent l="0" t="0" r="127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0" cy="103320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3856F" id="Rectangle 10" o:spid="_x0000_s1026" alt="&quot;&quot;" style="position:absolute;margin-left:0;margin-top:0;width:566.95pt;height:813.55pt;z-index:-25165824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Q9nwIAALAFAAAOAAAAZHJzL2Uyb0RvYy54bWysVMFu2zAMvQ/YPwi6r47TdluNOEWQosOA&#10;rA3WDj0rshQbk0VNUuJkXz9Kst2sK3YY5oNgiuQj+URydn1oFdkL6xrQJc3PJpQIzaFq9Lak3x5v&#10;332kxHmmK6ZAi5IehaPX87dvZp0pxBRqUJWwBEG0KzpT0tp7U2SZ47VomTsDIzQqJdiWeRTtNqss&#10;6xC9Vdl0MnmfdWArY4EL5/D2JinpPOJLKbi/l9IJT1RJMTcfTxvPTTiz+YwVW8tM3fA+DfYPWbSs&#10;0Rh0hLphnpGdbf6AahtuwYH0ZxzaDKRsuIg1YDX55EU1DzUzItaC5Dgz0uT+Hyy/2z+YtQ2pO7MC&#10;/t0RDcua6a1YOIP04aMGkrLOuGI0DoLr3Q7StsEdayGHSOxxJFYcPOF4+QGfCj9KOOryyfl5kCMs&#10;KwZ/Y53/JKAl4aekFmNHRtl+5XzIgBWDScwWVFPdNkpFIbSLWCpL9gwferOdRle1a79Ale6uYgIJ&#10;J3ZXMI+o7hRJ6YCnISAn43ATq08Fx9L9UYlgp/RXIUlTYYkp4oicgjLOhfZ5TMbVrBLpOr98Ln/0&#10;iLlEwIAsMf6I3QP8XuSAnbLs7YOriG0/Ok9S9L85jx4xMmg/OreNBvsagMKq+sjJfiApURNY2kB1&#10;XFtiIQ2dM/y2waddMefXzOKUYT/g5vD3eEgFXUmh/6OkBvvztftgj82PWko6nNqSuh87ZgUl6rPG&#10;sbjKLy7CmEfh4hL7jhJ7qtmcavSuXQL2S447yvD4G+y9Gn6lhfYJF8wiREUV0xxjl5R7OwhLn7YJ&#10;riguFotohqNtmF/pB8MDeGA1tO7j4YlZ0/e3x9m4g2HCWfGizZNt8NSw2HmQTZyBZ157vnEtxMbp&#10;V1jYO6dytHpetPNfAAAA//8DAFBLAwQUAAYACAAAACEAPFmXAd0AAAAHAQAADwAAAGRycy9kb3du&#10;cmV2LnhtbEyPQU/DMAyF70j7D5EncWNpN7Gx0nQCJq4gNjjsliamrWic0mRr9+/xuMDFetaz3vuc&#10;b0bXihP2ofGkIJ0lIJCMtw1VCt73zzd3IELUZHXrCRWcMcCmmFzlOrN+oDc87WIlOIRCphXUMXaZ&#10;lMHU6HSY+Q6JvU/fOx157Stpez1wuGvlPEmW0umGuKHWHT7VaL52R6cglGd5uO0+Xh7N92G93Q6v&#10;jbFSqevp+HAPIuIY/47hgs/oUDBT6Y9kg2gV8CPxd168dLFYgyhZLeerFGSRy//8xQ8AAAD//wMA&#10;UEsBAi0AFAAGAAgAAAAhALaDOJL+AAAA4QEAABMAAAAAAAAAAAAAAAAAAAAAAFtDb250ZW50X1R5&#10;cGVzXS54bWxQSwECLQAUAAYACAAAACEAOP0h/9YAAACUAQAACwAAAAAAAAAAAAAAAAAvAQAAX3Jl&#10;bHMvLnJlbHNQSwECLQAUAAYACAAAACEA1Fu0PZ8CAACwBQAADgAAAAAAAAAAAAAAAAAuAgAAZHJz&#10;L2Uyb0RvYy54bWxQSwECLQAUAAYACAAAACEAPFmXAd0AAAAHAQAADwAAAAAAAAAAAAAAAAD5BAAA&#10;ZHJzL2Rvd25yZXYueG1sUEsFBgAAAAAEAAQA8wAAAAMGAAAAAA==&#10;" fillcolor="#dedede [2894]" stroked="f" strokeweight="2pt">
                    <o:lock v:ext="edit" aspectratio="t"/>
                    <w10:wrap anchory="page"/>
                    <w10:anchorlock/>
                  </v:rect>
                </w:pict>
              </mc:Fallback>
            </mc:AlternateContent>
          </w:r>
        </w:p>
        <w:p w14:paraId="0A342070" w14:textId="4E0AF8E4" w:rsidR="00CE7B45" w:rsidRPr="00E14C06" w:rsidRDefault="002D1A7E" w:rsidP="00B95A30">
          <w:pPr>
            <w:pStyle w:val="Title"/>
            <w:outlineLvl w:val="9"/>
          </w:pPr>
          <w:r>
            <w:t xml:space="preserve">Government response to the </w:t>
          </w:r>
          <w:r w:rsidR="0070091E">
            <w:t>Statutory Review of the Meetings and Documents Amendments</w:t>
          </w:r>
        </w:p>
        <w:p w14:paraId="0CCD2C20" w14:textId="4A56BAEA" w:rsidR="00CE7B45" w:rsidRPr="008C5EC0" w:rsidRDefault="00CE7B45" w:rsidP="00F53A8B"/>
        <w:p w14:paraId="0F2FC4EC" w14:textId="77777777" w:rsidR="003C3A6C" w:rsidRDefault="00E2119F" w:rsidP="000A5A86">
          <w:pPr>
            <w:pStyle w:val="ReportDate"/>
            <w:rPr>
              <w:rStyle w:val="ReportDateChar"/>
            </w:rPr>
          </w:pPr>
          <w:r>
            <w:rPr>
              <w:rStyle w:val="ReportDateChar"/>
            </w:rPr>
            <w:t>4 February 2025</w:t>
          </w:r>
        </w:p>
        <w:p w14:paraId="36F8B1FF" w14:textId="77777777" w:rsidR="003C3A6C" w:rsidRDefault="003C3A6C" w:rsidP="007D0BB7">
          <w:pPr>
            <w:pStyle w:val="SingleParagraph"/>
            <w:rPr>
              <w:rStyle w:val="ReportDateChar"/>
              <w:color w:val="auto"/>
            </w:rPr>
          </w:pPr>
          <w:r>
            <w:rPr>
              <w:rStyle w:val="ReportDateChar"/>
            </w:rPr>
            <w:br w:type="page"/>
          </w:r>
        </w:p>
        <w:p w14:paraId="3B30CAD6" w14:textId="045ADFF1" w:rsidR="003C3A6C" w:rsidRDefault="003C3A6C" w:rsidP="003C3A6C">
          <w:pPr>
            <w:spacing w:before="0" w:after="160" w:line="259" w:lineRule="auto"/>
          </w:pPr>
          <w:r w:rsidRPr="001C1523">
            <w:lastRenderedPageBreak/>
            <w:t>© Commonwealth of Australia 2025</w:t>
          </w:r>
        </w:p>
        <w:p w14:paraId="607DB547" w14:textId="3CD21874" w:rsidR="003C3A6C" w:rsidRPr="003C3A6C" w:rsidRDefault="003C3A6C" w:rsidP="003C3A6C">
          <w:pPr>
            <w:spacing w:before="0" w:after="0"/>
            <w:rPr>
              <w:rFonts w:ascii="Arial" w:hAnsi="Arial" w:cs="Arial"/>
              <w:color w:val="333333"/>
              <w:sz w:val="20"/>
            </w:rPr>
          </w:pPr>
          <w:r>
            <w:t>ISBN:</w:t>
          </w:r>
          <w:r w:rsidR="001C1523" w:rsidRPr="001C1523">
            <w:t xml:space="preserve"> 978-1-923278-10-3</w:t>
          </w:r>
        </w:p>
        <w:p w14:paraId="5623C8B4" w14:textId="4FFE5D32" w:rsidR="003C3A6C" w:rsidRPr="00086F82" w:rsidRDefault="003C3A6C" w:rsidP="003C3A6C">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AC102B">
              <w:rPr>
                <w:rStyle w:val="Hyperlink"/>
              </w:rPr>
              <w:t>Creative Commons Attribution 4.0 International</w:t>
            </w:r>
          </w:hyperlink>
          <w:r>
            <w:rPr>
              <w:rFonts w:cstheme="minorHAnsi"/>
              <w:sz w:val="24"/>
              <w:szCs w:val="24"/>
            </w:rPr>
            <w:t xml:space="preserve"> </w:t>
          </w:r>
          <w:r w:rsidRPr="002F1BC2">
            <w:t xml:space="preserve">licence, with the exception of the Commonwealth Coat of Arms, the </w:t>
          </w:r>
          <w:r w:rsidR="009C7D75">
            <w:t xml:space="preserve">Australian Government </w:t>
          </w:r>
          <w:r w:rsidRPr="002F1BC2">
            <w:t>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9" w:history="1">
            <w:r>
              <w:rPr>
                <w:rStyle w:val="Hyperlink"/>
              </w:rPr>
              <w:t>creativecommons.org/licenses/by/4.0/legalcode</w:t>
            </w:r>
          </w:hyperlink>
          <w:r>
            <w:rPr>
              <w:rFonts w:cstheme="minorHAnsi"/>
              <w:sz w:val="24"/>
              <w:szCs w:val="24"/>
            </w:rPr>
            <w:t xml:space="preserve">. </w:t>
          </w:r>
        </w:p>
        <w:p w14:paraId="35D7734A" w14:textId="77777777" w:rsidR="003C3A6C" w:rsidRDefault="003C3A6C" w:rsidP="003C3A6C">
          <w:pPr>
            <w:pStyle w:val="ChartGraphic"/>
            <w:jc w:val="left"/>
          </w:pPr>
          <w:r w:rsidRPr="00E56DFB">
            <w:rPr>
              <w:noProof/>
            </w:rPr>
            <w:drawing>
              <wp:inline distT="0" distB="0" distL="0" distR="0" wp14:anchorId="1B95BF35" wp14:editId="6FFA6768">
                <wp:extent cx="809625" cy="285750"/>
                <wp:effectExtent l="0" t="0" r="9525" b="0"/>
                <wp:docPr id="3" name="Picture 1" descr="Creative Commons icon&#10;&#10;Creative Commons attribution licence 4.0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icon&#10;&#10;Creative Commons attribution licence 4.0 ic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6EA5D1" w14:textId="4B25A65E" w:rsidR="003C3A6C" w:rsidRPr="006627B4" w:rsidRDefault="003C3A6C" w:rsidP="003C3A6C">
          <w:pPr>
            <w:tabs>
              <w:tab w:val="left" w:pos="1650"/>
            </w:tabs>
          </w:pPr>
          <w:r w:rsidRPr="006627B4">
            <w:t xml:space="preserve">Use of </w:t>
          </w:r>
          <w:r w:rsidR="00D71D5D" w:rsidRPr="00D71D5D">
            <w:t xml:space="preserve">Commonwealth of Australia </w:t>
          </w:r>
          <w:r w:rsidRPr="006627B4">
            <w:t>material under a</w:t>
          </w:r>
          <w:r w:rsidRPr="00476F09">
            <w:rPr>
              <w:rFonts w:cstheme="minorHAnsi"/>
              <w:sz w:val="24"/>
              <w:szCs w:val="24"/>
            </w:rPr>
            <w:t xml:space="preserve"> </w:t>
          </w:r>
          <w:hyperlink r:id="rId11" w:history="1">
            <w:r w:rsidRPr="00AC102B">
              <w:rPr>
                <w:rStyle w:val="Hyperlink"/>
              </w:rPr>
              <w:t>Creative Commons Attribution 4.0 International</w:t>
            </w:r>
          </w:hyperlink>
          <w:r w:rsidRPr="00AC102B">
            <w:rPr>
              <w:rFonts w:ascii="Calibri" w:hAnsi="Calibri"/>
              <w:color w:val="000000"/>
            </w:rPr>
            <w:t xml:space="preserve"> </w:t>
          </w:r>
          <w:r w:rsidRPr="006627B4">
            <w:t xml:space="preserve">licence requires you to attribute the work (but not in any way that suggests that </w:t>
          </w:r>
          <w:r w:rsidR="009C7D75">
            <w:t xml:space="preserve">the </w:t>
          </w:r>
          <w:r w:rsidR="00D71D5D" w:rsidRPr="00D71D5D">
            <w:t xml:space="preserve">Commonwealth of Australia </w:t>
          </w:r>
          <w:r w:rsidRPr="006627B4">
            <w:t>endorse</w:t>
          </w:r>
          <w:r>
            <w:t>s you or your use of the work).</w:t>
          </w:r>
        </w:p>
        <w:p w14:paraId="20DC04CA" w14:textId="4BD80E3B" w:rsidR="003C3A6C" w:rsidRPr="00372D99" w:rsidRDefault="00D71D5D" w:rsidP="003C3A6C">
          <w:pPr>
            <w:rPr>
              <w:rStyle w:val="Strong"/>
            </w:rPr>
          </w:pPr>
          <w:r>
            <w:rPr>
              <w:rStyle w:val="Strong"/>
            </w:rPr>
            <w:t>Commonwealth of Australia</w:t>
          </w:r>
          <w:r w:rsidR="003C3A6C" w:rsidRPr="00372D99">
            <w:rPr>
              <w:rStyle w:val="Strong"/>
            </w:rPr>
            <w:t xml:space="preserve"> material used ‘as supplied’</w:t>
          </w:r>
        </w:p>
        <w:p w14:paraId="33B08643" w14:textId="520703FC" w:rsidR="003C3A6C" w:rsidRPr="00476F09" w:rsidRDefault="003C3A6C" w:rsidP="003C3A6C">
          <w:r w:rsidRPr="00476F09">
            <w:t xml:space="preserve">Provided you have not modified or transformed </w:t>
          </w:r>
          <w:r w:rsidR="00D71D5D" w:rsidRPr="00D71D5D">
            <w:t xml:space="preserve">Commonwealth of Australia </w:t>
          </w:r>
          <w:r w:rsidRPr="00476F09">
            <w:t>material in any way including, for example, by</w:t>
          </w:r>
          <w:r>
            <w:t xml:space="preserve"> </w:t>
          </w:r>
          <w:r w:rsidRPr="0096692D">
            <w:t xml:space="preserve">changing the </w:t>
          </w:r>
          <w:r w:rsidR="00D71D5D" w:rsidRPr="00D71D5D">
            <w:t xml:space="preserve">Commonwealth of Australia </w:t>
          </w:r>
          <w:r w:rsidRPr="0096692D">
            <w:t>text; calculating percentage changes; graphing or charting data</w:t>
          </w:r>
          <w:r>
            <w:t>;</w:t>
          </w:r>
          <w:r w:rsidRPr="0096692D">
            <w:t xml:space="preserve"> or deriving new statistics from published </w:t>
          </w:r>
          <w:r w:rsidR="00D71D5D" w:rsidRPr="00D71D5D">
            <w:t xml:space="preserve">Commonwealth of Australia </w:t>
          </w:r>
          <w:r w:rsidRPr="0096692D">
            <w:t>statistics</w:t>
          </w:r>
          <w:r>
            <w:t xml:space="preserve"> – then </w:t>
          </w:r>
          <w:r w:rsidR="00D71D5D">
            <w:t xml:space="preserve">the </w:t>
          </w:r>
          <w:r w:rsidR="00D71D5D" w:rsidRPr="00D71D5D">
            <w:t xml:space="preserve">Commonwealth of Australia </w:t>
          </w:r>
          <w:r>
            <w:t>prefers t</w:t>
          </w:r>
          <w:r w:rsidRPr="00476F09">
            <w:t xml:space="preserve">he following attribution: </w:t>
          </w:r>
        </w:p>
        <w:p w14:paraId="161B79C1" w14:textId="77777777" w:rsidR="003C3A6C" w:rsidRPr="00372D99" w:rsidRDefault="003C3A6C" w:rsidP="003C3A6C">
          <w:pPr>
            <w:ind w:firstLine="720"/>
            <w:rPr>
              <w:rStyle w:val="Emphasis"/>
            </w:rPr>
          </w:pPr>
          <w:r w:rsidRPr="00D71D5D">
            <w:t>Source:</w:t>
          </w:r>
          <w:r w:rsidRPr="00D71D5D">
            <w:rPr>
              <w:rStyle w:val="Emphasis"/>
            </w:rPr>
            <w:t xml:space="preserve"> The Commonwealth of Australia.</w:t>
          </w:r>
        </w:p>
        <w:p w14:paraId="371AAA8B" w14:textId="77777777" w:rsidR="003C3A6C" w:rsidRPr="00372D99" w:rsidRDefault="003C3A6C" w:rsidP="003C3A6C">
          <w:pPr>
            <w:rPr>
              <w:rStyle w:val="Strong"/>
            </w:rPr>
          </w:pPr>
          <w:r w:rsidRPr="00372D99">
            <w:rPr>
              <w:rStyle w:val="Strong"/>
            </w:rPr>
            <w:t>Derivative material</w:t>
          </w:r>
        </w:p>
        <w:p w14:paraId="150D70A3" w14:textId="655C1E4E" w:rsidR="003C3A6C" w:rsidRPr="006627B4" w:rsidRDefault="003C3A6C" w:rsidP="003C3A6C">
          <w:r w:rsidRPr="006627B4">
            <w:t>If you have modified or transformed</w:t>
          </w:r>
          <w:r w:rsidR="00D71D5D" w:rsidRPr="00D71D5D">
            <w:t xml:space="preserve"> Commonwealth of Australia</w:t>
          </w:r>
          <w:r w:rsidRPr="006627B4">
            <w:t xml:space="preserve"> material, or derived new material from those of the </w:t>
          </w:r>
          <w:r w:rsidR="00D71D5D" w:rsidRPr="00D71D5D">
            <w:t>Commonwealth of Australia</w:t>
          </w:r>
          <w:r w:rsidRPr="006627B4">
            <w:t xml:space="preserve"> in any way, then </w:t>
          </w:r>
          <w:r w:rsidR="00D71D5D">
            <w:t xml:space="preserve">the </w:t>
          </w:r>
          <w:r w:rsidR="00D71D5D" w:rsidRPr="00D71D5D">
            <w:t>Commonwealth of Australia</w:t>
          </w:r>
          <w:r w:rsidRPr="006627B4">
            <w:t xml:space="preserve"> prefers the following attribution: </w:t>
          </w:r>
        </w:p>
        <w:p w14:paraId="3FA6E466" w14:textId="77777777" w:rsidR="003C3A6C" w:rsidRPr="00372D99" w:rsidRDefault="003C3A6C" w:rsidP="003C3A6C">
          <w:pPr>
            <w:ind w:firstLine="720"/>
            <w:rPr>
              <w:rStyle w:val="Emphasis"/>
            </w:rPr>
          </w:pPr>
          <w:r w:rsidRPr="00D71D5D">
            <w:rPr>
              <w:rStyle w:val="Emphasis"/>
            </w:rPr>
            <w:t>Based on Commonwealth of Australia</w:t>
          </w:r>
          <w:r w:rsidRPr="00D71D5D" w:rsidDel="002A3368">
            <w:rPr>
              <w:rStyle w:val="Emphasis"/>
            </w:rPr>
            <w:t xml:space="preserve"> </w:t>
          </w:r>
          <w:r w:rsidRPr="00D71D5D">
            <w:rPr>
              <w:rStyle w:val="Emphasis"/>
            </w:rPr>
            <w:t>data.</w:t>
          </w:r>
        </w:p>
        <w:p w14:paraId="0094E5F7" w14:textId="77777777" w:rsidR="003C3A6C" w:rsidRPr="00372D99" w:rsidRDefault="003C3A6C" w:rsidP="003C3A6C">
          <w:pPr>
            <w:rPr>
              <w:rStyle w:val="Strong"/>
            </w:rPr>
          </w:pPr>
          <w:r w:rsidRPr="00372D99">
            <w:rPr>
              <w:rStyle w:val="Strong"/>
            </w:rPr>
            <w:t>Use of the Coat of Arms</w:t>
          </w:r>
        </w:p>
        <w:p w14:paraId="6B46DE17" w14:textId="2AB1CD1F" w:rsidR="003C3A6C" w:rsidRPr="005C503A" w:rsidRDefault="003C3A6C" w:rsidP="003C3A6C">
          <w:r w:rsidRPr="005C503A">
            <w:t xml:space="preserve">The terms under which the Coat of Arms can be used are set out on the Department of the Prime Minister and Cabinet website (see </w:t>
          </w:r>
          <w:hyperlink r:id="rId12" w:history="1">
            <w:r w:rsidR="009C7D75">
              <w:rPr>
                <w:rStyle w:val="Hyperlink"/>
              </w:rPr>
              <w:t>www.pmc.gov.au/government/commonwealth-coat-arms</w:t>
            </w:r>
          </w:hyperlink>
          <w:r w:rsidRPr="005C503A">
            <w:t>).</w:t>
          </w:r>
        </w:p>
        <w:p w14:paraId="18C2FC63" w14:textId="77777777" w:rsidR="003C3A6C" w:rsidRPr="00372D99" w:rsidRDefault="003C3A6C" w:rsidP="003C3A6C">
          <w:pPr>
            <w:rPr>
              <w:rStyle w:val="Strong"/>
            </w:rPr>
          </w:pPr>
          <w:r w:rsidRPr="00372D99">
            <w:rPr>
              <w:rStyle w:val="Strong"/>
            </w:rPr>
            <w:t>Other uses</w:t>
          </w:r>
        </w:p>
        <w:p w14:paraId="0B5933DD" w14:textId="77777777" w:rsidR="003C3A6C" w:rsidRPr="006627B4" w:rsidRDefault="003C3A6C" w:rsidP="003C3A6C">
          <w:r>
            <w:t>E</w:t>
          </w:r>
          <w:r w:rsidRPr="006627B4">
            <w:t>nquiries regarding this licence and any other use of this document are welcome at:</w:t>
          </w:r>
        </w:p>
        <w:p w14:paraId="78276D37" w14:textId="77777777" w:rsidR="003C3A6C" w:rsidRDefault="003C3A6C" w:rsidP="003C3A6C">
          <w:pPr>
            <w:ind w:left="720"/>
            <w:rPr>
              <w:rStyle w:val="Hyperlink"/>
            </w:rPr>
          </w:pPr>
          <w:r w:rsidRPr="00D71D5D">
            <w:t>Manager</w:t>
          </w:r>
          <w:r w:rsidRPr="00D71D5D">
            <w:br/>
            <w:t>Media Unit</w:t>
          </w:r>
          <w:r w:rsidRPr="00D71D5D">
            <w:br/>
            <w:t>The Treasury</w:t>
          </w:r>
          <w:r w:rsidRPr="00D71D5D">
            <w:br/>
            <w:t xml:space="preserve">Langton Crescent </w:t>
          </w:r>
          <w:r w:rsidRPr="00D71D5D">
            <w:br/>
            <w:t>Parkes</w:t>
          </w:r>
          <w:r w:rsidRPr="00D71D5D">
            <w:t> </w:t>
          </w:r>
          <w:r w:rsidRPr="00D71D5D">
            <w:t>ACT</w:t>
          </w:r>
          <w:r w:rsidRPr="00D71D5D">
            <w:t> </w:t>
          </w:r>
          <w:r w:rsidRPr="00D71D5D">
            <w:t>2600</w:t>
          </w:r>
          <w:r w:rsidRPr="00D71D5D">
            <w:br/>
            <w:t xml:space="preserve">Email: </w:t>
          </w:r>
          <w:hyperlink r:id="rId13" w:history="1">
            <w:r w:rsidRPr="00D71D5D">
              <w:rPr>
                <w:rStyle w:val="Hyperlink"/>
              </w:rPr>
              <w:t>media@treasury.gov.au</w:t>
            </w:r>
          </w:hyperlink>
        </w:p>
        <w:p w14:paraId="46B98C36" w14:textId="32F9F9AA" w:rsidR="003D56F2" w:rsidRDefault="003E1038" w:rsidP="00D5548C">
          <w:pPr>
            <w:pStyle w:val="SingleParagraph"/>
            <w:sectPr w:rsidR="003D56F2" w:rsidSect="00713514">
              <w:type w:val="evenPage"/>
              <w:pgSz w:w="11906" w:h="16838" w:code="9"/>
              <w:pgMar w:top="1843" w:right="1418" w:bottom="1418" w:left="1418" w:header="709" w:footer="709" w:gutter="0"/>
              <w:pgNumType w:fmt="lowerRoman" w:start="0"/>
              <w:cols w:space="708"/>
              <w:titlePg/>
              <w:docGrid w:linePitch="360"/>
            </w:sectPr>
          </w:pPr>
        </w:p>
      </w:sdtContent>
    </w:sdt>
    <w:p w14:paraId="4034E6F4" w14:textId="77777777" w:rsidR="000E0B74" w:rsidRPr="00D5548C" w:rsidRDefault="000E0B74" w:rsidP="003D56F2">
      <w:pPr>
        <w:pStyle w:val="Heading1noTOC"/>
      </w:pPr>
      <w:r w:rsidRPr="003D56F2">
        <w:lastRenderedPageBreak/>
        <w:t>Contents</w:t>
      </w:r>
    </w:p>
    <w:bookmarkStart w:id="0" w:name="_Toc432067103"/>
    <w:bookmarkStart w:id="1" w:name="_Toc452635030"/>
    <w:p w14:paraId="25A00D9F" w14:textId="16967E8C" w:rsidR="00B96AA3" w:rsidRDefault="00964E17">
      <w:pPr>
        <w:pStyle w:val="TOC1"/>
        <w:rPr>
          <w:rFonts w:eastAsiaTheme="minorEastAsia" w:cstheme="minorBidi"/>
          <w:b w:val="0"/>
          <w:color w:val="auto"/>
          <w:kern w:val="2"/>
          <w:sz w:val="22"/>
          <w14:ligatures w14:val="standardContextual"/>
        </w:rPr>
      </w:pPr>
      <w:r>
        <w:rPr>
          <w:b w:val="0"/>
          <w:color w:val="004A7F"/>
        </w:rPr>
        <w:fldChar w:fldCharType="begin"/>
      </w:r>
      <w:r>
        <w:rPr>
          <w:b w:val="0"/>
          <w:color w:val="004A7F"/>
        </w:rPr>
        <w:instrText xml:space="preserve"> TOC \o "1-2" \h \z \u </w:instrText>
      </w:r>
      <w:r>
        <w:rPr>
          <w:b w:val="0"/>
          <w:color w:val="004A7F"/>
        </w:rPr>
        <w:fldChar w:fldCharType="separate"/>
      </w:r>
      <w:hyperlink w:anchor="_Toc184377549" w:history="1">
        <w:r w:rsidR="00B96AA3" w:rsidRPr="006A432F">
          <w:rPr>
            <w:rStyle w:val="Hyperlink"/>
          </w:rPr>
          <w:t>Minister</w:t>
        </w:r>
        <w:r w:rsidR="00FA4415">
          <w:rPr>
            <w:rStyle w:val="Hyperlink"/>
          </w:rPr>
          <w:t>’</w:t>
        </w:r>
        <w:r w:rsidR="00B96AA3" w:rsidRPr="006A432F">
          <w:rPr>
            <w:rStyle w:val="Hyperlink"/>
          </w:rPr>
          <w:t>s Foreword</w:t>
        </w:r>
        <w:r w:rsidR="00B96AA3">
          <w:rPr>
            <w:webHidden/>
          </w:rPr>
          <w:tab/>
        </w:r>
        <w:r w:rsidR="00B96AA3">
          <w:rPr>
            <w:webHidden/>
          </w:rPr>
          <w:fldChar w:fldCharType="begin"/>
        </w:r>
        <w:r w:rsidR="00B96AA3">
          <w:rPr>
            <w:webHidden/>
          </w:rPr>
          <w:instrText xml:space="preserve"> PAGEREF _Toc184377549 \h </w:instrText>
        </w:r>
        <w:r w:rsidR="00B96AA3">
          <w:rPr>
            <w:webHidden/>
          </w:rPr>
        </w:r>
        <w:r w:rsidR="00B96AA3">
          <w:rPr>
            <w:webHidden/>
          </w:rPr>
          <w:fldChar w:fldCharType="separate"/>
        </w:r>
        <w:r w:rsidR="007207E1">
          <w:rPr>
            <w:webHidden/>
          </w:rPr>
          <w:t>1</w:t>
        </w:r>
        <w:r w:rsidR="00B96AA3">
          <w:rPr>
            <w:webHidden/>
          </w:rPr>
          <w:fldChar w:fldCharType="end"/>
        </w:r>
      </w:hyperlink>
    </w:p>
    <w:p w14:paraId="0837464F" w14:textId="46729B41" w:rsidR="00B96AA3" w:rsidRDefault="003E1038">
      <w:pPr>
        <w:pStyle w:val="TOC1"/>
        <w:rPr>
          <w:rFonts w:eastAsiaTheme="minorEastAsia" w:cstheme="minorBidi"/>
          <w:b w:val="0"/>
          <w:color w:val="auto"/>
          <w:kern w:val="2"/>
          <w:sz w:val="22"/>
          <w14:ligatures w14:val="standardContextual"/>
        </w:rPr>
      </w:pPr>
      <w:hyperlink w:anchor="_Toc184377550" w:history="1">
        <w:r w:rsidR="00B96AA3" w:rsidRPr="006A432F">
          <w:rPr>
            <w:rStyle w:val="Hyperlink"/>
          </w:rPr>
          <w:t>Background</w:t>
        </w:r>
        <w:r w:rsidR="00B96AA3">
          <w:rPr>
            <w:webHidden/>
          </w:rPr>
          <w:tab/>
        </w:r>
        <w:r w:rsidR="00B96AA3">
          <w:rPr>
            <w:webHidden/>
          </w:rPr>
          <w:fldChar w:fldCharType="begin"/>
        </w:r>
        <w:r w:rsidR="00B96AA3">
          <w:rPr>
            <w:webHidden/>
          </w:rPr>
          <w:instrText xml:space="preserve"> PAGEREF _Toc184377550 \h </w:instrText>
        </w:r>
        <w:r w:rsidR="00B96AA3">
          <w:rPr>
            <w:webHidden/>
          </w:rPr>
        </w:r>
        <w:r w:rsidR="00B96AA3">
          <w:rPr>
            <w:webHidden/>
          </w:rPr>
          <w:fldChar w:fldCharType="separate"/>
        </w:r>
        <w:r w:rsidR="007207E1">
          <w:rPr>
            <w:webHidden/>
          </w:rPr>
          <w:t>2</w:t>
        </w:r>
        <w:r w:rsidR="00B96AA3">
          <w:rPr>
            <w:webHidden/>
          </w:rPr>
          <w:fldChar w:fldCharType="end"/>
        </w:r>
      </w:hyperlink>
    </w:p>
    <w:p w14:paraId="4B910B5B" w14:textId="5FF0CD3F" w:rsidR="00B96AA3" w:rsidRDefault="003E1038">
      <w:pPr>
        <w:pStyle w:val="TOC1"/>
        <w:rPr>
          <w:rFonts w:eastAsiaTheme="minorEastAsia" w:cstheme="minorBidi"/>
          <w:b w:val="0"/>
          <w:color w:val="auto"/>
          <w:kern w:val="2"/>
          <w:sz w:val="22"/>
          <w14:ligatures w14:val="standardContextual"/>
        </w:rPr>
      </w:pPr>
      <w:hyperlink w:anchor="_Toc184377551" w:history="1">
        <w:r w:rsidR="00B96AA3" w:rsidRPr="006A432F">
          <w:rPr>
            <w:rStyle w:val="Hyperlink"/>
          </w:rPr>
          <w:t>Company Meetings</w:t>
        </w:r>
        <w:r w:rsidR="00B96AA3">
          <w:rPr>
            <w:webHidden/>
          </w:rPr>
          <w:tab/>
        </w:r>
        <w:r w:rsidR="00B96AA3">
          <w:rPr>
            <w:webHidden/>
          </w:rPr>
          <w:fldChar w:fldCharType="begin"/>
        </w:r>
        <w:r w:rsidR="00B96AA3">
          <w:rPr>
            <w:webHidden/>
          </w:rPr>
          <w:instrText xml:space="preserve"> PAGEREF _Toc184377551 \h </w:instrText>
        </w:r>
        <w:r w:rsidR="00B96AA3">
          <w:rPr>
            <w:webHidden/>
          </w:rPr>
        </w:r>
        <w:r w:rsidR="00B96AA3">
          <w:rPr>
            <w:webHidden/>
          </w:rPr>
          <w:fldChar w:fldCharType="separate"/>
        </w:r>
        <w:r w:rsidR="007207E1">
          <w:rPr>
            <w:webHidden/>
          </w:rPr>
          <w:t>4</w:t>
        </w:r>
        <w:r w:rsidR="00B96AA3">
          <w:rPr>
            <w:webHidden/>
          </w:rPr>
          <w:fldChar w:fldCharType="end"/>
        </w:r>
      </w:hyperlink>
    </w:p>
    <w:p w14:paraId="166D86EA" w14:textId="54E02C1B" w:rsidR="00B96AA3" w:rsidRDefault="003E1038">
      <w:pPr>
        <w:pStyle w:val="TOC2"/>
        <w:rPr>
          <w:rFonts w:eastAsiaTheme="minorEastAsia" w:cstheme="minorBidi"/>
          <w:color w:val="auto"/>
          <w:kern w:val="2"/>
          <w:szCs w:val="22"/>
          <w14:ligatures w14:val="standardContextual"/>
        </w:rPr>
      </w:pPr>
      <w:hyperlink w:anchor="_Toc184377552" w:history="1">
        <w:r w:rsidR="00B96AA3" w:rsidRPr="006A432F">
          <w:rPr>
            <w:rStyle w:val="Hyperlink"/>
          </w:rPr>
          <w:t>Recommendation 1: listed entities</w:t>
        </w:r>
        <w:r w:rsidR="00B96AA3">
          <w:rPr>
            <w:webHidden/>
          </w:rPr>
          <w:tab/>
        </w:r>
        <w:r w:rsidR="00B96AA3">
          <w:rPr>
            <w:webHidden/>
          </w:rPr>
          <w:fldChar w:fldCharType="begin"/>
        </w:r>
        <w:r w:rsidR="00B96AA3">
          <w:rPr>
            <w:webHidden/>
          </w:rPr>
          <w:instrText xml:space="preserve"> PAGEREF _Toc184377552 \h </w:instrText>
        </w:r>
        <w:r w:rsidR="00B96AA3">
          <w:rPr>
            <w:webHidden/>
          </w:rPr>
        </w:r>
        <w:r w:rsidR="00B96AA3">
          <w:rPr>
            <w:webHidden/>
          </w:rPr>
          <w:fldChar w:fldCharType="separate"/>
        </w:r>
        <w:r w:rsidR="007207E1">
          <w:rPr>
            <w:webHidden/>
          </w:rPr>
          <w:t>4</w:t>
        </w:r>
        <w:r w:rsidR="00B96AA3">
          <w:rPr>
            <w:webHidden/>
          </w:rPr>
          <w:fldChar w:fldCharType="end"/>
        </w:r>
      </w:hyperlink>
    </w:p>
    <w:p w14:paraId="02DD8538" w14:textId="6AFC0C84" w:rsidR="00B96AA3" w:rsidRDefault="003E1038">
      <w:pPr>
        <w:pStyle w:val="TOC2"/>
        <w:rPr>
          <w:rFonts w:eastAsiaTheme="minorEastAsia" w:cstheme="minorBidi"/>
          <w:color w:val="auto"/>
          <w:kern w:val="2"/>
          <w:szCs w:val="22"/>
          <w14:ligatures w14:val="standardContextual"/>
        </w:rPr>
      </w:pPr>
      <w:hyperlink w:anchor="_Toc184377553" w:history="1">
        <w:r w:rsidR="00B96AA3" w:rsidRPr="006A432F">
          <w:rPr>
            <w:rStyle w:val="Hyperlink"/>
          </w:rPr>
          <w:t>Recommendation 2: non</w:t>
        </w:r>
        <w:r w:rsidR="00FA4415">
          <w:rPr>
            <w:rStyle w:val="Hyperlink"/>
          </w:rPr>
          <w:noBreakHyphen/>
        </w:r>
        <w:r w:rsidR="00B96AA3" w:rsidRPr="006A432F">
          <w:rPr>
            <w:rStyle w:val="Hyperlink"/>
          </w:rPr>
          <w:t>listed entities</w:t>
        </w:r>
        <w:r w:rsidR="00B96AA3">
          <w:rPr>
            <w:webHidden/>
          </w:rPr>
          <w:tab/>
        </w:r>
        <w:r w:rsidR="00B96AA3">
          <w:rPr>
            <w:webHidden/>
          </w:rPr>
          <w:fldChar w:fldCharType="begin"/>
        </w:r>
        <w:r w:rsidR="00B96AA3">
          <w:rPr>
            <w:webHidden/>
          </w:rPr>
          <w:instrText xml:space="preserve"> PAGEREF _Toc184377553 \h </w:instrText>
        </w:r>
        <w:r w:rsidR="00B96AA3">
          <w:rPr>
            <w:webHidden/>
          </w:rPr>
        </w:r>
        <w:r w:rsidR="00B96AA3">
          <w:rPr>
            <w:webHidden/>
          </w:rPr>
          <w:fldChar w:fldCharType="separate"/>
        </w:r>
        <w:r w:rsidR="007207E1">
          <w:rPr>
            <w:webHidden/>
          </w:rPr>
          <w:t>5</w:t>
        </w:r>
        <w:r w:rsidR="00B96AA3">
          <w:rPr>
            <w:webHidden/>
          </w:rPr>
          <w:fldChar w:fldCharType="end"/>
        </w:r>
      </w:hyperlink>
    </w:p>
    <w:p w14:paraId="074C7064" w14:textId="5C1F47B2" w:rsidR="00B96AA3" w:rsidRDefault="003E1038">
      <w:pPr>
        <w:pStyle w:val="TOC2"/>
        <w:rPr>
          <w:rFonts w:eastAsiaTheme="minorEastAsia" w:cstheme="minorBidi"/>
          <w:color w:val="auto"/>
          <w:kern w:val="2"/>
          <w:szCs w:val="22"/>
          <w14:ligatures w14:val="standardContextual"/>
        </w:rPr>
      </w:pPr>
      <w:hyperlink w:anchor="_Toc184377554" w:history="1">
        <w:r w:rsidR="00B96AA3" w:rsidRPr="006A432F">
          <w:rPr>
            <w:rStyle w:val="Hyperlink"/>
          </w:rPr>
          <w:t>Recommendation 3: increased guidance</w:t>
        </w:r>
        <w:r w:rsidR="00B96AA3">
          <w:rPr>
            <w:webHidden/>
          </w:rPr>
          <w:tab/>
        </w:r>
        <w:r w:rsidR="00B96AA3">
          <w:rPr>
            <w:webHidden/>
          </w:rPr>
          <w:fldChar w:fldCharType="begin"/>
        </w:r>
        <w:r w:rsidR="00B96AA3">
          <w:rPr>
            <w:webHidden/>
          </w:rPr>
          <w:instrText xml:space="preserve"> PAGEREF _Toc184377554 \h </w:instrText>
        </w:r>
        <w:r w:rsidR="00B96AA3">
          <w:rPr>
            <w:webHidden/>
          </w:rPr>
        </w:r>
        <w:r w:rsidR="00B96AA3">
          <w:rPr>
            <w:webHidden/>
          </w:rPr>
          <w:fldChar w:fldCharType="separate"/>
        </w:r>
        <w:r w:rsidR="007207E1">
          <w:rPr>
            <w:webHidden/>
          </w:rPr>
          <w:t>6</w:t>
        </w:r>
        <w:r w:rsidR="00B96AA3">
          <w:rPr>
            <w:webHidden/>
          </w:rPr>
          <w:fldChar w:fldCharType="end"/>
        </w:r>
      </w:hyperlink>
    </w:p>
    <w:p w14:paraId="1A8064E7" w14:textId="3AB5BAE8" w:rsidR="00B96AA3" w:rsidRDefault="003E1038">
      <w:pPr>
        <w:pStyle w:val="TOC2"/>
        <w:rPr>
          <w:rFonts w:eastAsiaTheme="minorEastAsia" w:cstheme="minorBidi"/>
          <w:color w:val="auto"/>
          <w:kern w:val="2"/>
          <w:szCs w:val="22"/>
          <w14:ligatures w14:val="standardContextual"/>
        </w:rPr>
      </w:pPr>
      <w:hyperlink w:anchor="_Toc184377555" w:history="1">
        <w:r w:rsidR="00B96AA3" w:rsidRPr="006A432F">
          <w:rPr>
            <w:rStyle w:val="Hyperlink"/>
          </w:rPr>
          <w:t>Recommendation 4: future review of meetings laws</w:t>
        </w:r>
        <w:r w:rsidR="00B96AA3">
          <w:rPr>
            <w:webHidden/>
          </w:rPr>
          <w:tab/>
        </w:r>
        <w:r w:rsidR="00B96AA3">
          <w:rPr>
            <w:webHidden/>
          </w:rPr>
          <w:fldChar w:fldCharType="begin"/>
        </w:r>
        <w:r w:rsidR="00B96AA3">
          <w:rPr>
            <w:webHidden/>
          </w:rPr>
          <w:instrText xml:space="preserve"> PAGEREF _Toc184377555 \h </w:instrText>
        </w:r>
        <w:r w:rsidR="00B96AA3">
          <w:rPr>
            <w:webHidden/>
          </w:rPr>
        </w:r>
        <w:r w:rsidR="00B96AA3">
          <w:rPr>
            <w:webHidden/>
          </w:rPr>
          <w:fldChar w:fldCharType="separate"/>
        </w:r>
        <w:r w:rsidR="007207E1">
          <w:rPr>
            <w:webHidden/>
          </w:rPr>
          <w:t>7</w:t>
        </w:r>
        <w:r w:rsidR="00B96AA3">
          <w:rPr>
            <w:webHidden/>
          </w:rPr>
          <w:fldChar w:fldCharType="end"/>
        </w:r>
      </w:hyperlink>
    </w:p>
    <w:p w14:paraId="4AABC1B5" w14:textId="1676BF91" w:rsidR="00B96AA3" w:rsidRDefault="003E1038">
      <w:pPr>
        <w:pStyle w:val="TOC2"/>
        <w:rPr>
          <w:rFonts w:eastAsiaTheme="minorEastAsia" w:cstheme="minorBidi"/>
          <w:color w:val="auto"/>
          <w:kern w:val="2"/>
          <w:szCs w:val="22"/>
          <w14:ligatures w14:val="standardContextual"/>
        </w:rPr>
      </w:pPr>
      <w:hyperlink w:anchor="_Toc184377556" w:history="1">
        <w:r w:rsidR="00B96AA3" w:rsidRPr="006A432F">
          <w:rPr>
            <w:rStyle w:val="Hyperlink"/>
          </w:rPr>
          <w:t>Recommendation 5: mandatory polls</w:t>
        </w:r>
        <w:r w:rsidR="00B96AA3">
          <w:rPr>
            <w:webHidden/>
          </w:rPr>
          <w:tab/>
        </w:r>
        <w:r w:rsidR="00B96AA3">
          <w:rPr>
            <w:webHidden/>
          </w:rPr>
          <w:fldChar w:fldCharType="begin"/>
        </w:r>
        <w:r w:rsidR="00B96AA3">
          <w:rPr>
            <w:webHidden/>
          </w:rPr>
          <w:instrText xml:space="preserve"> PAGEREF _Toc184377556 \h </w:instrText>
        </w:r>
        <w:r w:rsidR="00B96AA3">
          <w:rPr>
            <w:webHidden/>
          </w:rPr>
        </w:r>
        <w:r w:rsidR="00B96AA3">
          <w:rPr>
            <w:webHidden/>
          </w:rPr>
          <w:fldChar w:fldCharType="separate"/>
        </w:r>
        <w:r w:rsidR="007207E1">
          <w:rPr>
            <w:webHidden/>
          </w:rPr>
          <w:t>8</w:t>
        </w:r>
        <w:r w:rsidR="00B96AA3">
          <w:rPr>
            <w:webHidden/>
          </w:rPr>
          <w:fldChar w:fldCharType="end"/>
        </w:r>
      </w:hyperlink>
    </w:p>
    <w:p w14:paraId="3A331881" w14:textId="61613FC3" w:rsidR="00B96AA3" w:rsidRDefault="003E1038">
      <w:pPr>
        <w:pStyle w:val="TOC2"/>
        <w:rPr>
          <w:rFonts w:eastAsiaTheme="minorEastAsia" w:cstheme="minorBidi"/>
          <w:color w:val="auto"/>
          <w:kern w:val="2"/>
          <w:szCs w:val="22"/>
          <w14:ligatures w14:val="standardContextual"/>
        </w:rPr>
      </w:pPr>
      <w:hyperlink w:anchor="_Toc184377557" w:history="1">
        <w:r w:rsidR="00B96AA3" w:rsidRPr="006A432F">
          <w:rPr>
            <w:rStyle w:val="Hyperlink"/>
          </w:rPr>
          <w:t>Recommendation 6: independent reports on polls</w:t>
        </w:r>
        <w:r w:rsidR="00B96AA3">
          <w:rPr>
            <w:webHidden/>
          </w:rPr>
          <w:tab/>
        </w:r>
        <w:r w:rsidR="00B96AA3">
          <w:rPr>
            <w:webHidden/>
          </w:rPr>
          <w:fldChar w:fldCharType="begin"/>
        </w:r>
        <w:r w:rsidR="00B96AA3">
          <w:rPr>
            <w:webHidden/>
          </w:rPr>
          <w:instrText xml:space="preserve"> PAGEREF _Toc184377557 \h </w:instrText>
        </w:r>
        <w:r w:rsidR="00B96AA3">
          <w:rPr>
            <w:webHidden/>
          </w:rPr>
        </w:r>
        <w:r w:rsidR="00B96AA3">
          <w:rPr>
            <w:webHidden/>
          </w:rPr>
          <w:fldChar w:fldCharType="separate"/>
        </w:r>
        <w:r w:rsidR="007207E1">
          <w:rPr>
            <w:webHidden/>
          </w:rPr>
          <w:t>8</w:t>
        </w:r>
        <w:r w:rsidR="00B96AA3">
          <w:rPr>
            <w:webHidden/>
          </w:rPr>
          <w:fldChar w:fldCharType="end"/>
        </w:r>
      </w:hyperlink>
    </w:p>
    <w:p w14:paraId="553FE3A1" w14:textId="7C462B5E" w:rsidR="00B96AA3" w:rsidRDefault="003E1038">
      <w:pPr>
        <w:pStyle w:val="TOC1"/>
        <w:rPr>
          <w:rFonts w:eastAsiaTheme="minorEastAsia" w:cstheme="minorBidi"/>
          <w:b w:val="0"/>
          <w:color w:val="auto"/>
          <w:kern w:val="2"/>
          <w:sz w:val="22"/>
          <w14:ligatures w14:val="standardContextual"/>
        </w:rPr>
      </w:pPr>
      <w:hyperlink w:anchor="_Toc184377558" w:history="1">
        <w:r w:rsidR="00B96AA3" w:rsidRPr="006A432F">
          <w:rPr>
            <w:rStyle w:val="Hyperlink"/>
          </w:rPr>
          <w:t>Treatment of documents</w:t>
        </w:r>
        <w:r w:rsidR="00B96AA3">
          <w:rPr>
            <w:webHidden/>
          </w:rPr>
          <w:tab/>
        </w:r>
        <w:r w:rsidR="00B96AA3">
          <w:rPr>
            <w:webHidden/>
          </w:rPr>
          <w:fldChar w:fldCharType="begin"/>
        </w:r>
        <w:r w:rsidR="00B96AA3">
          <w:rPr>
            <w:webHidden/>
          </w:rPr>
          <w:instrText xml:space="preserve"> PAGEREF _Toc184377558 \h </w:instrText>
        </w:r>
        <w:r w:rsidR="00B96AA3">
          <w:rPr>
            <w:webHidden/>
          </w:rPr>
        </w:r>
        <w:r w:rsidR="00B96AA3">
          <w:rPr>
            <w:webHidden/>
          </w:rPr>
          <w:fldChar w:fldCharType="separate"/>
        </w:r>
        <w:r w:rsidR="007207E1">
          <w:rPr>
            <w:webHidden/>
          </w:rPr>
          <w:t>9</w:t>
        </w:r>
        <w:r w:rsidR="00B96AA3">
          <w:rPr>
            <w:webHidden/>
          </w:rPr>
          <w:fldChar w:fldCharType="end"/>
        </w:r>
      </w:hyperlink>
    </w:p>
    <w:p w14:paraId="0F0C7E5E" w14:textId="6EDE1182" w:rsidR="00B96AA3" w:rsidRDefault="003E1038">
      <w:pPr>
        <w:pStyle w:val="TOC2"/>
        <w:rPr>
          <w:rFonts w:eastAsiaTheme="minorEastAsia" w:cstheme="minorBidi"/>
          <w:color w:val="auto"/>
          <w:kern w:val="2"/>
          <w:szCs w:val="22"/>
          <w14:ligatures w14:val="standardContextual"/>
        </w:rPr>
      </w:pPr>
      <w:hyperlink w:anchor="_Toc184377559" w:history="1">
        <w:r w:rsidR="00B96AA3" w:rsidRPr="006A432F">
          <w:rPr>
            <w:rStyle w:val="Hyperlink"/>
          </w:rPr>
          <w:t>Recommendation 7: electronic distribution of meeting</w:t>
        </w:r>
        <w:r w:rsidR="00FA4415">
          <w:rPr>
            <w:rStyle w:val="Hyperlink"/>
          </w:rPr>
          <w:noBreakHyphen/>
        </w:r>
        <w:r w:rsidR="00B96AA3" w:rsidRPr="006A432F">
          <w:rPr>
            <w:rStyle w:val="Hyperlink"/>
          </w:rPr>
          <w:t>related materials</w:t>
        </w:r>
        <w:r w:rsidR="00B96AA3">
          <w:rPr>
            <w:webHidden/>
          </w:rPr>
          <w:tab/>
        </w:r>
        <w:r w:rsidR="00B96AA3">
          <w:rPr>
            <w:webHidden/>
          </w:rPr>
          <w:fldChar w:fldCharType="begin"/>
        </w:r>
        <w:r w:rsidR="00B96AA3">
          <w:rPr>
            <w:webHidden/>
          </w:rPr>
          <w:instrText xml:space="preserve"> PAGEREF _Toc184377559 \h </w:instrText>
        </w:r>
        <w:r w:rsidR="00B96AA3">
          <w:rPr>
            <w:webHidden/>
          </w:rPr>
        </w:r>
        <w:r w:rsidR="00B96AA3">
          <w:rPr>
            <w:webHidden/>
          </w:rPr>
          <w:fldChar w:fldCharType="separate"/>
        </w:r>
        <w:r w:rsidR="007207E1">
          <w:rPr>
            <w:webHidden/>
          </w:rPr>
          <w:t>9</w:t>
        </w:r>
        <w:r w:rsidR="00B96AA3">
          <w:rPr>
            <w:webHidden/>
          </w:rPr>
          <w:fldChar w:fldCharType="end"/>
        </w:r>
      </w:hyperlink>
    </w:p>
    <w:p w14:paraId="6D589EAF" w14:textId="75707D27" w:rsidR="00B96AA3" w:rsidRDefault="003E1038">
      <w:pPr>
        <w:pStyle w:val="TOC2"/>
        <w:rPr>
          <w:rFonts w:eastAsiaTheme="minorEastAsia" w:cstheme="minorBidi"/>
          <w:color w:val="auto"/>
          <w:kern w:val="2"/>
          <w:szCs w:val="22"/>
          <w14:ligatures w14:val="standardContextual"/>
        </w:rPr>
      </w:pPr>
      <w:hyperlink w:anchor="_Toc184377560" w:history="1">
        <w:r w:rsidR="00B96AA3" w:rsidRPr="006A432F">
          <w:rPr>
            <w:rStyle w:val="Hyperlink"/>
          </w:rPr>
          <w:t>Recommendation 8: meeting</w:t>
        </w:r>
        <w:r w:rsidR="00FA4415">
          <w:rPr>
            <w:rStyle w:val="Hyperlink"/>
          </w:rPr>
          <w:noBreakHyphen/>
        </w:r>
        <w:r w:rsidR="00B96AA3" w:rsidRPr="006A432F">
          <w:rPr>
            <w:rStyle w:val="Hyperlink"/>
          </w:rPr>
          <w:t>related materials of not</w:t>
        </w:r>
        <w:r w:rsidR="00FA4415">
          <w:rPr>
            <w:rStyle w:val="Hyperlink"/>
          </w:rPr>
          <w:noBreakHyphen/>
        </w:r>
        <w:r w:rsidR="00B96AA3" w:rsidRPr="006A432F">
          <w:rPr>
            <w:rStyle w:val="Hyperlink"/>
          </w:rPr>
          <w:t>for</w:t>
        </w:r>
        <w:r w:rsidR="00FA4415">
          <w:rPr>
            <w:rStyle w:val="Hyperlink"/>
          </w:rPr>
          <w:noBreakHyphen/>
        </w:r>
        <w:r w:rsidR="00B96AA3" w:rsidRPr="006A432F">
          <w:rPr>
            <w:rStyle w:val="Hyperlink"/>
          </w:rPr>
          <w:t>profit entities</w:t>
        </w:r>
        <w:r w:rsidR="00B96AA3">
          <w:rPr>
            <w:webHidden/>
          </w:rPr>
          <w:tab/>
        </w:r>
        <w:r w:rsidR="00B96AA3">
          <w:rPr>
            <w:webHidden/>
          </w:rPr>
          <w:fldChar w:fldCharType="begin"/>
        </w:r>
        <w:r w:rsidR="00B96AA3">
          <w:rPr>
            <w:webHidden/>
          </w:rPr>
          <w:instrText xml:space="preserve"> PAGEREF _Toc184377560 \h </w:instrText>
        </w:r>
        <w:r w:rsidR="00B96AA3">
          <w:rPr>
            <w:webHidden/>
          </w:rPr>
        </w:r>
        <w:r w:rsidR="00B96AA3">
          <w:rPr>
            <w:webHidden/>
          </w:rPr>
          <w:fldChar w:fldCharType="separate"/>
        </w:r>
        <w:r w:rsidR="007207E1">
          <w:rPr>
            <w:webHidden/>
          </w:rPr>
          <w:t>9</w:t>
        </w:r>
        <w:r w:rsidR="00B96AA3">
          <w:rPr>
            <w:webHidden/>
          </w:rPr>
          <w:fldChar w:fldCharType="end"/>
        </w:r>
      </w:hyperlink>
    </w:p>
    <w:p w14:paraId="7BCC84CD" w14:textId="3E996E1F" w:rsidR="00B96AA3" w:rsidRDefault="003E1038">
      <w:pPr>
        <w:pStyle w:val="TOC2"/>
        <w:rPr>
          <w:rFonts w:eastAsiaTheme="minorEastAsia" w:cstheme="minorBidi"/>
          <w:color w:val="auto"/>
          <w:kern w:val="2"/>
          <w:szCs w:val="22"/>
          <w14:ligatures w14:val="standardContextual"/>
        </w:rPr>
      </w:pPr>
      <w:hyperlink w:anchor="_Toc184377561" w:history="1">
        <w:r w:rsidR="00B96AA3" w:rsidRPr="006A432F">
          <w:rPr>
            <w:rStyle w:val="Hyperlink"/>
          </w:rPr>
          <w:t>Recommendation 9: electronic signing and execution</w:t>
        </w:r>
        <w:r w:rsidR="00B96AA3">
          <w:rPr>
            <w:webHidden/>
          </w:rPr>
          <w:tab/>
        </w:r>
        <w:r w:rsidR="00B96AA3">
          <w:rPr>
            <w:webHidden/>
          </w:rPr>
          <w:fldChar w:fldCharType="begin"/>
        </w:r>
        <w:r w:rsidR="00B96AA3">
          <w:rPr>
            <w:webHidden/>
          </w:rPr>
          <w:instrText xml:space="preserve"> PAGEREF _Toc184377561 \h </w:instrText>
        </w:r>
        <w:r w:rsidR="00B96AA3">
          <w:rPr>
            <w:webHidden/>
          </w:rPr>
        </w:r>
        <w:r w:rsidR="00B96AA3">
          <w:rPr>
            <w:webHidden/>
          </w:rPr>
          <w:fldChar w:fldCharType="separate"/>
        </w:r>
        <w:r w:rsidR="007207E1">
          <w:rPr>
            <w:webHidden/>
          </w:rPr>
          <w:t>10</w:t>
        </w:r>
        <w:r w:rsidR="00B96AA3">
          <w:rPr>
            <w:webHidden/>
          </w:rPr>
          <w:fldChar w:fldCharType="end"/>
        </w:r>
      </w:hyperlink>
    </w:p>
    <w:p w14:paraId="700F9598" w14:textId="09632791" w:rsidR="00B96AA3" w:rsidRDefault="003E1038">
      <w:pPr>
        <w:pStyle w:val="TOC2"/>
        <w:rPr>
          <w:rFonts w:eastAsiaTheme="minorEastAsia" w:cstheme="minorBidi"/>
          <w:color w:val="auto"/>
          <w:kern w:val="2"/>
          <w:szCs w:val="22"/>
          <w14:ligatures w14:val="standardContextual"/>
        </w:rPr>
      </w:pPr>
      <w:hyperlink w:anchor="_Toc184377562" w:history="1">
        <w:r w:rsidR="00B96AA3" w:rsidRPr="006A432F">
          <w:rPr>
            <w:rStyle w:val="Hyperlink"/>
          </w:rPr>
          <w:t>Recommendation 10: corporate agents</w:t>
        </w:r>
        <w:r w:rsidR="00B96AA3">
          <w:rPr>
            <w:webHidden/>
          </w:rPr>
          <w:tab/>
        </w:r>
        <w:r w:rsidR="00B96AA3">
          <w:rPr>
            <w:webHidden/>
          </w:rPr>
          <w:fldChar w:fldCharType="begin"/>
        </w:r>
        <w:r w:rsidR="00B96AA3">
          <w:rPr>
            <w:webHidden/>
          </w:rPr>
          <w:instrText xml:space="preserve"> PAGEREF _Toc184377562 \h </w:instrText>
        </w:r>
        <w:r w:rsidR="00B96AA3">
          <w:rPr>
            <w:webHidden/>
          </w:rPr>
        </w:r>
        <w:r w:rsidR="00B96AA3">
          <w:rPr>
            <w:webHidden/>
          </w:rPr>
          <w:fldChar w:fldCharType="separate"/>
        </w:r>
        <w:r w:rsidR="007207E1">
          <w:rPr>
            <w:webHidden/>
          </w:rPr>
          <w:t>10</w:t>
        </w:r>
        <w:r w:rsidR="00B96AA3">
          <w:rPr>
            <w:webHidden/>
          </w:rPr>
          <w:fldChar w:fldCharType="end"/>
        </w:r>
      </w:hyperlink>
    </w:p>
    <w:p w14:paraId="20EAE26E" w14:textId="3FEBEF10" w:rsidR="00B96AA3" w:rsidRDefault="003E1038">
      <w:pPr>
        <w:pStyle w:val="TOC2"/>
        <w:rPr>
          <w:rFonts w:eastAsiaTheme="minorEastAsia" w:cstheme="minorBidi"/>
          <w:color w:val="auto"/>
          <w:kern w:val="2"/>
          <w:szCs w:val="22"/>
          <w14:ligatures w14:val="standardContextual"/>
        </w:rPr>
      </w:pPr>
      <w:hyperlink w:anchor="_Toc184377563" w:history="1">
        <w:r w:rsidR="00B96AA3" w:rsidRPr="006A432F">
          <w:rPr>
            <w:rStyle w:val="Hyperlink"/>
          </w:rPr>
          <w:t>Recommendation 11: future review of electronic signing and execution</w:t>
        </w:r>
        <w:r w:rsidR="00B96AA3">
          <w:rPr>
            <w:webHidden/>
          </w:rPr>
          <w:tab/>
        </w:r>
        <w:r w:rsidR="00B96AA3">
          <w:rPr>
            <w:webHidden/>
          </w:rPr>
          <w:fldChar w:fldCharType="begin"/>
        </w:r>
        <w:r w:rsidR="00B96AA3">
          <w:rPr>
            <w:webHidden/>
          </w:rPr>
          <w:instrText xml:space="preserve"> PAGEREF _Toc184377563 \h </w:instrText>
        </w:r>
        <w:r w:rsidR="00B96AA3">
          <w:rPr>
            <w:webHidden/>
          </w:rPr>
        </w:r>
        <w:r w:rsidR="00B96AA3">
          <w:rPr>
            <w:webHidden/>
          </w:rPr>
          <w:fldChar w:fldCharType="separate"/>
        </w:r>
        <w:r w:rsidR="007207E1">
          <w:rPr>
            <w:webHidden/>
          </w:rPr>
          <w:t>11</w:t>
        </w:r>
        <w:r w:rsidR="00B96AA3">
          <w:rPr>
            <w:webHidden/>
          </w:rPr>
          <w:fldChar w:fldCharType="end"/>
        </w:r>
      </w:hyperlink>
    </w:p>
    <w:p w14:paraId="3EDFDEEA" w14:textId="36A02F8F" w:rsidR="004E7897" w:rsidRPr="00D5548C" w:rsidRDefault="00964E17" w:rsidP="00D5548C">
      <w:pPr>
        <w:pStyle w:val="SingleParagraph"/>
        <w:sectPr w:rsidR="004E7897" w:rsidRPr="00D5548C" w:rsidSect="00713514">
          <w:headerReference w:type="even" r:id="rId14"/>
          <w:headerReference w:type="default" r:id="rId15"/>
          <w:footerReference w:type="even" r:id="rId16"/>
          <w:headerReference w:type="first" r:id="rId17"/>
          <w:footerReference w:type="first" r:id="rId18"/>
          <w:type w:val="evenPage"/>
          <w:pgSz w:w="11906" w:h="16838" w:code="9"/>
          <w:pgMar w:top="1843" w:right="1418" w:bottom="1418" w:left="1418" w:header="709" w:footer="709" w:gutter="0"/>
          <w:pgNumType w:fmt="lowerRoman" w:start="2"/>
          <w:cols w:space="708"/>
          <w:titlePg/>
          <w:docGrid w:linePitch="360"/>
        </w:sectPr>
      </w:pPr>
      <w:r>
        <w:rPr>
          <w:noProof/>
        </w:rPr>
        <w:fldChar w:fldCharType="end"/>
      </w:r>
    </w:p>
    <w:p w14:paraId="2D778502" w14:textId="524C8766" w:rsidR="00475085" w:rsidRPr="009A5F34" w:rsidRDefault="002D1A7E" w:rsidP="009A5F34">
      <w:pPr>
        <w:pStyle w:val="Heading1"/>
      </w:pPr>
      <w:bookmarkStart w:id="2" w:name="_Toc184377549"/>
      <w:r w:rsidRPr="009A5F34">
        <w:lastRenderedPageBreak/>
        <w:t>Minister</w:t>
      </w:r>
      <w:r w:rsidR="00FA4415" w:rsidRPr="009A5F34">
        <w:t>’</w:t>
      </w:r>
      <w:r w:rsidR="00315D94" w:rsidRPr="009A5F34">
        <w:t>s</w:t>
      </w:r>
      <w:r w:rsidRPr="009A5F34">
        <w:t xml:space="preserve"> </w:t>
      </w:r>
      <w:r w:rsidR="00475085" w:rsidRPr="009A5F34">
        <w:t>Foreword</w:t>
      </w:r>
      <w:bookmarkEnd w:id="0"/>
      <w:bookmarkEnd w:id="1"/>
      <w:bookmarkEnd w:id="2"/>
    </w:p>
    <w:p w14:paraId="0B7BB2EE" w14:textId="26DEFB72" w:rsidR="00150C57" w:rsidRPr="00D402CF" w:rsidRDefault="002D1A7E" w:rsidP="002D1A7E">
      <w:r w:rsidRPr="00D402CF">
        <w:t xml:space="preserve">I am pleased to release the </w:t>
      </w:r>
      <w:r w:rsidR="000F3019" w:rsidRPr="00D402CF">
        <w:t>G</w:t>
      </w:r>
      <w:r w:rsidR="00E7144B" w:rsidRPr="00D402CF">
        <w:t>overnment</w:t>
      </w:r>
      <w:r w:rsidR="00FA4415">
        <w:t>’</w:t>
      </w:r>
      <w:r w:rsidR="00665773" w:rsidRPr="00D402CF">
        <w:t>s</w:t>
      </w:r>
      <w:r w:rsidRPr="00D402CF">
        <w:t xml:space="preserve"> response to </w:t>
      </w:r>
      <w:r w:rsidR="007D2375" w:rsidRPr="00D402CF">
        <w:t xml:space="preserve">the final report of the </w:t>
      </w:r>
      <w:r w:rsidRPr="00D402CF">
        <w:t xml:space="preserve">independent </w:t>
      </w:r>
      <w:r w:rsidR="007D2375" w:rsidRPr="00D402CF">
        <w:t>Statutory Review of the Meetings and Documents Amendments</w:t>
      </w:r>
      <w:r w:rsidR="00DB2898" w:rsidRPr="00D402CF">
        <w:t>.</w:t>
      </w:r>
      <w:r w:rsidR="004F6257" w:rsidRPr="00D402CF">
        <w:t xml:space="preserve"> The </w:t>
      </w:r>
      <w:r w:rsidR="00B5651E" w:rsidRPr="00D402CF">
        <w:t>review assessed the effective</w:t>
      </w:r>
      <w:r w:rsidR="00D161C1" w:rsidRPr="00D402CF">
        <w:t>ness</w:t>
      </w:r>
      <w:r w:rsidR="00B5651E" w:rsidRPr="00D402CF">
        <w:t xml:space="preserve"> of amendments made in 2021 and 2022 to provide for a technology</w:t>
      </w:r>
      <w:r w:rsidR="00FA4415">
        <w:noBreakHyphen/>
      </w:r>
      <w:r w:rsidR="00B5651E" w:rsidRPr="00D402CF">
        <w:t xml:space="preserve">neutral approach to </w:t>
      </w:r>
      <w:r w:rsidR="009D1199" w:rsidRPr="00D402CF">
        <w:t>company meetings, and to the electronic communication, signing and execution of documents.</w:t>
      </w:r>
    </w:p>
    <w:p w14:paraId="1F87B106" w14:textId="7352F9D6" w:rsidR="002D1A7E" w:rsidRPr="00D402CF" w:rsidRDefault="002D1A7E" w:rsidP="002D1A7E">
      <w:pPr>
        <w:rPr>
          <w:szCs w:val="22"/>
        </w:rPr>
      </w:pPr>
      <w:r w:rsidRPr="00D402CF">
        <w:rPr>
          <w:szCs w:val="22"/>
        </w:rPr>
        <w:t xml:space="preserve">I thank </w:t>
      </w:r>
      <w:r w:rsidR="0014047D" w:rsidRPr="00D402CF">
        <w:rPr>
          <w:szCs w:val="22"/>
        </w:rPr>
        <w:t xml:space="preserve">the </w:t>
      </w:r>
      <w:r w:rsidR="002E2182" w:rsidRPr="00D402CF">
        <w:rPr>
          <w:szCs w:val="22"/>
        </w:rPr>
        <w:t xml:space="preserve">members of the </w:t>
      </w:r>
      <w:r w:rsidR="0014047D" w:rsidRPr="00D402CF">
        <w:rPr>
          <w:szCs w:val="22"/>
        </w:rPr>
        <w:t xml:space="preserve">Panel </w:t>
      </w:r>
      <w:r w:rsidR="00A22B2C">
        <w:rPr>
          <w:szCs w:val="22"/>
        </w:rPr>
        <w:t>who</w:t>
      </w:r>
      <w:r w:rsidR="002E2182" w:rsidRPr="00D402CF">
        <w:rPr>
          <w:szCs w:val="22"/>
        </w:rPr>
        <w:t xml:space="preserve"> conducted the review </w:t>
      </w:r>
      <w:r w:rsidR="0014047D" w:rsidRPr="00D402CF">
        <w:rPr>
          <w:szCs w:val="22"/>
        </w:rPr>
        <w:t xml:space="preserve">– the Hon </w:t>
      </w:r>
      <w:r w:rsidR="00790CDE" w:rsidRPr="00D402CF">
        <w:rPr>
          <w:szCs w:val="22"/>
        </w:rPr>
        <w:t>Robert Austin </w:t>
      </w:r>
      <w:r w:rsidR="00E762E6" w:rsidRPr="00D402CF">
        <w:rPr>
          <w:szCs w:val="22"/>
        </w:rPr>
        <w:t xml:space="preserve">AM, as Chair, and Ms Helen Bird and </w:t>
      </w:r>
      <w:r w:rsidR="00AB0C3B" w:rsidRPr="00D402CF">
        <w:rPr>
          <w:szCs w:val="22"/>
        </w:rPr>
        <w:t xml:space="preserve">Ms </w:t>
      </w:r>
      <w:r w:rsidR="00E762E6" w:rsidRPr="00D402CF">
        <w:rPr>
          <w:szCs w:val="22"/>
        </w:rPr>
        <w:t>Judith Fox</w:t>
      </w:r>
      <w:r w:rsidR="005746D9" w:rsidRPr="00D402CF">
        <w:rPr>
          <w:szCs w:val="22"/>
        </w:rPr>
        <w:t xml:space="preserve"> –</w:t>
      </w:r>
      <w:r w:rsidRPr="00D402CF">
        <w:rPr>
          <w:szCs w:val="22"/>
        </w:rPr>
        <w:t xml:space="preserve"> for the </w:t>
      </w:r>
      <w:r w:rsidR="002E2182" w:rsidRPr="00D402CF">
        <w:rPr>
          <w:szCs w:val="22"/>
        </w:rPr>
        <w:t xml:space="preserve">considered </w:t>
      </w:r>
      <w:r w:rsidRPr="00D402CF">
        <w:rPr>
          <w:szCs w:val="22"/>
        </w:rPr>
        <w:t>report</w:t>
      </w:r>
      <w:r w:rsidR="005746D9" w:rsidRPr="00D402CF">
        <w:rPr>
          <w:szCs w:val="22"/>
        </w:rPr>
        <w:t xml:space="preserve"> provided </w:t>
      </w:r>
      <w:r w:rsidR="005458B4" w:rsidRPr="00D402CF">
        <w:rPr>
          <w:szCs w:val="22"/>
        </w:rPr>
        <w:t xml:space="preserve">to </w:t>
      </w:r>
      <w:r w:rsidR="005746D9" w:rsidRPr="00D402CF">
        <w:rPr>
          <w:szCs w:val="22"/>
        </w:rPr>
        <w:t xml:space="preserve">the </w:t>
      </w:r>
      <w:r w:rsidR="000F3019" w:rsidRPr="00D402CF">
        <w:rPr>
          <w:szCs w:val="22"/>
        </w:rPr>
        <w:t>G</w:t>
      </w:r>
      <w:r w:rsidR="005746D9" w:rsidRPr="00D402CF">
        <w:rPr>
          <w:szCs w:val="22"/>
        </w:rPr>
        <w:t>overnment</w:t>
      </w:r>
      <w:r w:rsidRPr="00D402CF">
        <w:rPr>
          <w:szCs w:val="22"/>
        </w:rPr>
        <w:t>.</w:t>
      </w:r>
    </w:p>
    <w:p w14:paraId="339EFDBC" w14:textId="547FB3EB" w:rsidR="002D1A7E" w:rsidRPr="00D402CF" w:rsidRDefault="002D1A7E" w:rsidP="002D1A7E">
      <w:r w:rsidRPr="00D402CF">
        <w:t>The Government is committed to ensuring the</w:t>
      </w:r>
      <w:r w:rsidR="001607A0" w:rsidRPr="00D402CF">
        <w:t xml:space="preserve"> framework </w:t>
      </w:r>
      <w:r w:rsidR="00764E16" w:rsidRPr="00D402CF">
        <w:t>of corporate governance in Australia</w:t>
      </w:r>
      <w:r w:rsidR="00B14CD7" w:rsidRPr="00D402CF">
        <w:t xml:space="preserve"> is </w:t>
      </w:r>
      <w:r w:rsidR="00A7426F" w:rsidRPr="00D402CF">
        <w:t>robust</w:t>
      </w:r>
      <w:r w:rsidRPr="00D402CF">
        <w:t>.</w:t>
      </w:r>
      <w:r w:rsidR="00A7426F" w:rsidRPr="00D402CF">
        <w:t xml:space="preserve"> </w:t>
      </w:r>
      <w:r w:rsidR="00855C40" w:rsidRPr="00D402CF">
        <w:t>Strong corporate governance supports the efficient and effective operation of Australian companies and capital markets.</w:t>
      </w:r>
      <w:r w:rsidR="00E67849" w:rsidRPr="00D402CF">
        <w:t xml:space="preserve"> </w:t>
      </w:r>
      <w:r w:rsidR="00A112C6">
        <w:t>B</w:t>
      </w:r>
      <w:r w:rsidR="00201AB1" w:rsidRPr="00D402CF">
        <w:t>oth members</w:t>
      </w:r>
      <w:r w:rsidR="00FA4415">
        <w:t>’</w:t>
      </w:r>
      <w:r w:rsidR="00201AB1" w:rsidRPr="00D402CF">
        <w:t xml:space="preserve"> and companies</w:t>
      </w:r>
      <w:r w:rsidR="00FA4415">
        <w:t>’</w:t>
      </w:r>
      <w:r w:rsidR="00201AB1" w:rsidRPr="00D402CF">
        <w:t xml:space="preserve"> interests need to be balanced </w:t>
      </w:r>
      <w:r w:rsidR="000A6C17">
        <w:t xml:space="preserve">– </w:t>
      </w:r>
      <w:r w:rsidR="004F49B5" w:rsidRPr="00D402CF">
        <w:t xml:space="preserve">members </w:t>
      </w:r>
      <w:r w:rsidR="00AB53C6" w:rsidRPr="00D402CF">
        <w:t xml:space="preserve">need to </w:t>
      </w:r>
      <w:r w:rsidR="000B4E2D" w:rsidRPr="00D402CF">
        <w:t>be able to fairly exercise their rights while</w:t>
      </w:r>
      <w:r w:rsidR="008F5C7C" w:rsidRPr="00D402CF">
        <w:t xml:space="preserve"> companies need to </w:t>
      </w:r>
      <w:r w:rsidR="00F832B5" w:rsidRPr="00D402CF">
        <w:t>be able to efficiently</w:t>
      </w:r>
      <w:r w:rsidR="000B4E2D" w:rsidRPr="00D402CF">
        <w:t xml:space="preserve"> </w:t>
      </w:r>
      <w:r w:rsidR="004308F7" w:rsidRPr="00D402CF">
        <w:t>make decisions</w:t>
      </w:r>
      <w:r w:rsidR="00853F7B" w:rsidRPr="00D402CF">
        <w:t>.</w:t>
      </w:r>
    </w:p>
    <w:p w14:paraId="543D617A" w14:textId="291EDAAB" w:rsidR="001143DF" w:rsidRPr="00D402CF" w:rsidRDefault="008D26AC" w:rsidP="002D1A7E">
      <w:pPr>
        <w:rPr>
          <w:bCs/>
        </w:rPr>
      </w:pPr>
      <w:r w:rsidRPr="00D402CF">
        <w:rPr>
          <w:bCs/>
        </w:rPr>
        <w:t xml:space="preserve">The 2021 and 2022 amendments </w:t>
      </w:r>
      <w:r w:rsidR="001079BE">
        <w:rPr>
          <w:bCs/>
        </w:rPr>
        <w:t>provided for</w:t>
      </w:r>
      <w:r w:rsidR="00E002D9" w:rsidRPr="00D402CF">
        <w:rPr>
          <w:bCs/>
        </w:rPr>
        <w:t xml:space="preserve"> a technology</w:t>
      </w:r>
      <w:r w:rsidR="00FA4415">
        <w:rPr>
          <w:bCs/>
        </w:rPr>
        <w:noBreakHyphen/>
      </w:r>
      <w:r w:rsidR="00E002D9" w:rsidRPr="00D402CF">
        <w:rPr>
          <w:bCs/>
        </w:rPr>
        <w:t>neutral approach to company meetings</w:t>
      </w:r>
      <w:r w:rsidR="00E66933" w:rsidRPr="00D402CF">
        <w:rPr>
          <w:bCs/>
        </w:rPr>
        <w:t xml:space="preserve"> </w:t>
      </w:r>
      <w:r w:rsidR="00453CB7">
        <w:rPr>
          <w:bCs/>
        </w:rPr>
        <w:t xml:space="preserve">and </w:t>
      </w:r>
      <w:r w:rsidR="000C1F14" w:rsidRPr="00D402CF">
        <w:rPr>
          <w:bCs/>
        </w:rPr>
        <w:t>ha</w:t>
      </w:r>
      <w:r w:rsidR="000C1F14">
        <w:rPr>
          <w:bCs/>
        </w:rPr>
        <w:t>ve</w:t>
      </w:r>
      <w:r w:rsidR="000C1F14" w:rsidRPr="00D402CF">
        <w:rPr>
          <w:bCs/>
        </w:rPr>
        <w:t xml:space="preserve"> </w:t>
      </w:r>
      <w:r w:rsidR="009835D3" w:rsidRPr="00D402CF">
        <w:rPr>
          <w:bCs/>
        </w:rPr>
        <w:t>increased flexibility for members and companies</w:t>
      </w:r>
      <w:r w:rsidR="00EE2C12" w:rsidRPr="00D402CF">
        <w:rPr>
          <w:bCs/>
        </w:rPr>
        <w:t xml:space="preserve">. The ability to attend and participate </w:t>
      </w:r>
      <w:r w:rsidR="00D31C9D" w:rsidRPr="00D402CF">
        <w:rPr>
          <w:bCs/>
        </w:rPr>
        <w:t xml:space="preserve">in </w:t>
      </w:r>
      <w:r w:rsidR="002E7060" w:rsidRPr="00D402CF">
        <w:rPr>
          <w:bCs/>
        </w:rPr>
        <w:t xml:space="preserve">a meeting </w:t>
      </w:r>
      <w:r w:rsidR="00EE2C12" w:rsidRPr="00D402CF">
        <w:rPr>
          <w:bCs/>
        </w:rPr>
        <w:t xml:space="preserve">from </w:t>
      </w:r>
      <w:r w:rsidR="00B50DC3">
        <w:rPr>
          <w:bCs/>
        </w:rPr>
        <w:t>many</w:t>
      </w:r>
      <w:r w:rsidR="00BF66DA" w:rsidRPr="00D402CF">
        <w:rPr>
          <w:bCs/>
        </w:rPr>
        <w:t xml:space="preserve"> </w:t>
      </w:r>
      <w:r w:rsidR="002E7060" w:rsidRPr="00D402CF">
        <w:rPr>
          <w:bCs/>
        </w:rPr>
        <w:t>location</w:t>
      </w:r>
      <w:r w:rsidR="00B50DC3">
        <w:rPr>
          <w:bCs/>
        </w:rPr>
        <w:t>s</w:t>
      </w:r>
      <w:r w:rsidR="002E7060" w:rsidRPr="00D402CF">
        <w:rPr>
          <w:bCs/>
        </w:rPr>
        <w:t xml:space="preserve"> has opened opportunities</w:t>
      </w:r>
      <w:r w:rsidR="006E1956" w:rsidRPr="00D402CF">
        <w:rPr>
          <w:bCs/>
        </w:rPr>
        <w:t xml:space="preserve">, particularly for those </w:t>
      </w:r>
      <w:r w:rsidR="005C2589" w:rsidRPr="00D402CF">
        <w:rPr>
          <w:bCs/>
        </w:rPr>
        <w:t xml:space="preserve">in remote locations or </w:t>
      </w:r>
      <w:r w:rsidR="004B2F84">
        <w:rPr>
          <w:bCs/>
        </w:rPr>
        <w:t xml:space="preserve">those who </w:t>
      </w:r>
      <w:r w:rsidR="005C2589" w:rsidRPr="00D402CF">
        <w:rPr>
          <w:bCs/>
        </w:rPr>
        <w:t>have accessibility issues</w:t>
      </w:r>
      <w:r w:rsidR="002E7060" w:rsidRPr="00D402CF">
        <w:rPr>
          <w:bCs/>
        </w:rPr>
        <w:t>.</w:t>
      </w:r>
    </w:p>
    <w:p w14:paraId="797BFE82" w14:textId="0F611D74" w:rsidR="00726A8F" w:rsidRPr="00D402CF" w:rsidRDefault="005F39F6" w:rsidP="002D1A7E">
      <w:pPr>
        <w:rPr>
          <w:bCs/>
        </w:rPr>
      </w:pPr>
      <w:r>
        <w:rPr>
          <w:bCs/>
        </w:rPr>
        <w:t>The Panel</w:t>
      </w:r>
      <w:r w:rsidR="00FA4415">
        <w:rPr>
          <w:bCs/>
        </w:rPr>
        <w:t>’</w:t>
      </w:r>
      <w:r>
        <w:rPr>
          <w:bCs/>
        </w:rPr>
        <w:t xml:space="preserve">s review also highlighted </w:t>
      </w:r>
      <w:r w:rsidR="00BD7E1F" w:rsidRPr="00D402CF">
        <w:rPr>
          <w:bCs/>
        </w:rPr>
        <w:t>concerns that</w:t>
      </w:r>
      <w:r w:rsidR="00A24157" w:rsidRPr="00D402CF">
        <w:rPr>
          <w:bCs/>
        </w:rPr>
        <w:t xml:space="preserve"> companies could use </w:t>
      </w:r>
      <w:r w:rsidR="00BD7E1F" w:rsidRPr="00D402CF">
        <w:rPr>
          <w:bCs/>
        </w:rPr>
        <w:t>wholly</w:t>
      </w:r>
      <w:r w:rsidR="00CB69C2" w:rsidRPr="00D402CF">
        <w:rPr>
          <w:bCs/>
        </w:rPr>
        <w:t xml:space="preserve"> </w:t>
      </w:r>
      <w:r w:rsidR="00BD7E1F" w:rsidRPr="00D402CF">
        <w:rPr>
          <w:bCs/>
        </w:rPr>
        <w:t xml:space="preserve">virtual meetings </w:t>
      </w:r>
      <w:r w:rsidR="00A24157" w:rsidRPr="00D402CF">
        <w:rPr>
          <w:bCs/>
        </w:rPr>
        <w:t xml:space="preserve">to avoid scrutiny </w:t>
      </w:r>
      <w:r w:rsidR="00667216" w:rsidRPr="00D402CF">
        <w:rPr>
          <w:bCs/>
        </w:rPr>
        <w:t>or diminish members</w:t>
      </w:r>
      <w:r w:rsidR="00FA4415">
        <w:rPr>
          <w:bCs/>
        </w:rPr>
        <w:t>’</w:t>
      </w:r>
      <w:r w:rsidR="00667216" w:rsidRPr="00D402CF">
        <w:rPr>
          <w:bCs/>
        </w:rPr>
        <w:t xml:space="preserve"> rights.</w:t>
      </w:r>
      <w:r w:rsidR="009D4DA2" w:rsidRPr="00D402CF">
        <w:rPr>
          <w:bCs/>
        </w:rPr>
        <w:t xml:space="preserve"> </w:t>
      </w:r>
      <w:r w:rsidR="00707078" w:rsidRPr="00D402CF">
        <w:rPr>
          <w:bCs/>
        </w:rPr>
        <w:t xml:space="preserve">The Panel found that </w:t>
      </w:r>
      <w:r w:rsidR="001D669F" w:rsidRPr="00D402CF">
        <w:t>Australia</w:t>
      </w:r>
      <w:r w:rsidR="00FA4415">
        <w:t>’</w:t>
      </w:r>
      <w:r w:rsidR="001D669F" w:rsidRPr="00D402CF">
        <w:t xml:space="preserve">s businesses and investors are still </w:t>
      </w:r>
      <w:r w:rsidR="00104A34" w:rsidRPr="00D402CF">
        <w:t xml:space="preserve">transitioning to </w:t>
      </w:r>
      <w:r w:rsidR="00F95478" w:rsidRPr="00D402CF">
        <w:t xml:space="preserve">the use of </w:t>
      </w:r>
      <w:r w:rsidR="00104A34" w:rsidRPr="00D402CF">
        <w:t>wholly virtual</w:t>
      </w:r>
      <w:r w:rsidR="00F95478" w:rsidRPr="00D402CF">
        <w:t xml:space="preserve"> meetings and</w:t>
      </w:r>
      <w:r w:rsidR="001D669F" w:rsidRPr="00D402CF">
        <w:t xml:space="preserve"> </w:t>
      </w:r>
      <w:r w:rsidR="00DF764C" w:rsidRPr="00D402CF">
        <w:t xml:space="preserve">accordingly, </w:t>
      </w:r>
      <w:r w:rsidR="00983E81" w:rsidRPr="00D402CF">
        <w:t xml:space="preserve">there remains </w:t>
      </w:r>
      <w:r w:rsidR="00EB2BA5">
        <w:t xml:space="preserve">some </w:t>
      </w:r>
      <w:r w:rsidR="00983E81" w:rsidRPr="00D402CF">
        <w:t>scepticism amongst investors about</w:t>
      </w:r>
      <w:r w:rsidR="0028316A" w:rsidRPr="00D402CF">
        <w:t xml:space="preserve"> </w:t>
      </w:r>
      <w:r>
        <w:t xml:space="preserve">how </w:t>
      </w:r>
      <w:r w:rsidR="00EB2BA5">
        <w:t xml:space="preserve">some </w:t>
      </w:r>
      <w:r w:rsidR="0028316A" w:rsidRPr="00D402CF">
        <w:t>businesse</w:t>
      </w:r>
      <w:r w:rsidR="00F75D31" w:rsidRPr="00D402CF">
        <w:t>s</w:t>
      </w:r>
      <w:r>
        <w:t xml:space="preserve"> have adopted virtual meetings</w:t>
      </w:r>
      <w:r w:rsidR="00F75D31" w:rsidRPr="00D402CF">
        <w:t xml:space="preserve">. </w:t>
      </w:r>
      <w:r w:rsidR="00E92D62" w:rsidRPr="00D402CF">
        <w:t>This concern is not shared</w:t>
      </w:r>
      <w:r w:rsidR="00686889" w:rsidRPr="00D402CF">
        <w:t xml:space="preserve"> equally across the corporate landscape and the</w:t>
      </w:r>
      <w:r w:rsidR="00E34FBC" w:rsidRPr="00D402CF">
        <w:t xml:space="preserve"> Panel has suggested ways to </w:t>
      </w:r>
      <w:r w:rsidR="00E92D62" w:rsidRPr="00D402CF">
        <w:t>improve</w:t>
      </w:r>
      <w:r w:rsidR="00261793" w:rsidRPr="00D402CF">
        <w:t xml:space="preserve"> </w:t>
      </w:r>
      <w:r w:rsidR="005E2AA1" w:rsidRPr="00D402CF">
        <w:t xml:space="preserve">outcomes while maintaining </w:t>
      </w:r>
      <w:r w:rsidR="00261793" w:rsidRPr="00D402CF">
        <w:t>the balance</w:t>
      </w:r>
      <w:r w:rsidR="005E2AA1" w:rsidRPr="00D402CF">
        <w:t xml:space="preserve"> of interests.</w:t>
      </w:r>
      <w:r w:rsidR="00261793" w:rsidRPr="00D402CF">
        <w:t xml:space="preserve"> </w:t>
      </w:r>
    </w:p>
    <w:p w14:paraId="39F1151B" w14:textId="53D070F8" w:rsidR="002D1A7E" w:rsidRPr="00D402CF" w:rsidRDefault="00726A8F" w:rsidP="002D1A7E">
      <w:pPr>
        <w:rPr>
          <w:b/>
        </w:rPr>
      </w:pPr>
      <w:r w:rsidRPr="00D402CF">
        <w:t xml:space="preserve">I am pleased to note </w:t>
      </w:r>
      <w:r w:rsidR="00C6769E">
        <w:t>the Panel</w:t>
      </w:r>
      <w:r w:rsidR="00FA4415">
        <w:t>’</w:t>
      </w:r>
      <w:r w:rsidR="00C6769E">
        <w:t xml:space="preserve">s findings </w:t>
      </w:r>
      <w:r w:rsidRPr="00D402CF">
        <w:t xml:space="preserve">that the other aspects of the amendments </w:t>
      </w:r>
      <w:r w:rsidR="00CC593C" w:rsidRPr="00D402CF">
        <w:t>to allow greater electronic communication, sig</w:t>
      </w:r>
      <w:r w:rsidR="0042517D" w:rsidRPr="00D402CF">
        <w:t>n</w:t>
      </w:r>
      <w:r w:rsidR="00CC593C" w:rsidRPr="00D402CF">
        <w:t xml:space="preserve">ing and execution of documents </w:t>
      </w:r>
      <w:r w:rsidR="00CF6C7F" w:rsidRPr="00D402CF">
        <w:t xml:space="preserve">are </w:t>
      </w:r>
      <w:r w:rsidR="00CC593C" w:rsidRPr="00D402CF">
        <w:t xml:space="preserve">largely </w:t>
      </w:r>
      <w:r w:rsidR="005F074F" w:rsidRPr="00D402CF">
        <w:t>operating effectively</w:t>
      </w:r>
      <w:r w:rsidR="00CC593C" w:rsidRPr="00D402CF">
        <w:t xml:space="preserve">. </w:t>
      </w:r>
      <w:r w:rsidR="00D72140" w:rsidRPr="00D402CF">
        <w:t xml:space="preserve">The Government remains committed to addressing </w:t>
      </w:r>
      <w:r w:rsidR="0042517D" w:rsidRPr="00D402CF">
        <w:t xml:space="preserve">legacy </w:t>
      </w:r>
      <w:r w:rsidR="00D72140" w:rsidRPr="00D402CF">
        <w:t xml:space="preserve">barriers to the use of technology </w:t>
      </w:r>
      <w:r w:rsidR="0042517D" w:rsidRPr="00D402CF">
        <w:t>in our laws.</w:t>
      </w:r>
    </w:p>
    <w:p w14:paraId="70C37B68" w14:textId="0E647994" w:rsidR="002D1A7E" w:rsidRDefault="00A80EBD" w:rsidP="002D1A7E">
      <w:r w:rsidRPr="00684D7E">
        <w:rPr>
          <w:rFonts w:ascii="Calibri Light" w:hAnsi="Calibri Light"/>
          <w:noProof/>
          <w:color w:val="auto"/>
          <w:szCs w:val="22"/>
        </w:rPr>
        <w:drawing>
          <wp:anchor distT="0" distB="0" distL="114300" distR="114300" simplePos="0" relativeHeight="251659264" behindDoc="1" locked="0" layoutInCell="1" allowOverlap="1" wp14:anchorId="13C72119" wp14:editId="2BD35629">
            <wp:simplePos x="0" y="0"/>
            <wp:positionH relativeFrom="column">
              <wp:posOffset>-635</wp:posOffset>
            </wp:positionH>
            <wp:positionV relativeFrom="paragraph">
              <wp:posOffset>251075</wp:posOffset>
            </wp:positionV>
            <wp:extent cx="1381125" cy="984250"/>
            <wp:effectExtent l="0" t="0" r="9525"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81125" cy="984250"/>
                    </a:xfrm>
                    <a:prstGeom prst="rect">
                      <a:avLst/>
                    </a:prstGeom>
                  </pic:spPr>
                </pic:pic>
              </a:graphicData>
            </a:graphic>
            <wp14:sizeRelH relativeFrom="page">
              <wp14:pctWidth>0</wp14:pctWidth>
            </wp14:sizeRelH>
            <wp14:sizeRelV relativeFrom="page">
              <wp14:pctHeight>0</wp14:pctHeight>
            </wp14:sizeRelV>
          </wp:anchor>
        </w:drawing>
      </w:r>
      <w:r w:rsidR="00CC307B" w:rsidRPr="00D402CF">
        <w:t xml:space="preserve">Finally, I also wish to extend my thanks to </w:t>
      </w:r>
      <w:r w:rsidR="00E755A2" w:rsidRPr="00D402CF">
        <w:t xml:space="preserve">those who participated in the </w:t>
      </w:r>
      <w:r w:rsidR="0001657A" w:rsidRPr="00D402CF">
        <w:t>Panel</w:t>
      </w:r>
      <w:r w:rsidR="00FA4415">
        <w:t>’</w:t>
      </w:r>
      <w:r w:rsidR="0001657A" w:rsidRPr="00D402CF">
        <w:t xml:space="preserve">s </w:t>
      </w:r>
      <w:r w:rsidR="00E755A2" w:rsidRPr="00D402CF">
        <w:t>consultation process</w:t>
      </w:r>
      <w:r w:rsidR="002D1A7E" w:rsidRPr="00D402CF">
        <w:t>.</w:t>
      </w:r>
      <w:r w:rsidR="002D1A7E" w:rsidRPr="1F866AB0">
        <w:t xml:space="preserve"> </w:t>
      </w:r>
    </w:p>
    <w:p w14:paraId="72B17095" w14:textId="5E5C1A29" w:rsidR="00042DBB" w:rsidRDefault="00A80EBD" w:rsidP="000A5A86">
      <w:pPr>
        <w:pStyle w:val="SingleParagraph"/>
        <w:rPr>
          <w:rStyle w:val="Strong"/>
        </w:rPr>
      </w:pPr>
      <w:r>
        <w:rPr>
          <w:rStyle w:val="Strong"/>
        </w:rPr>
        <w:br/>
      </w:r>
      <w:r>
        <w:rPr>
          <w:rStyle w:val="Strong"/>
        </w:rPr>
        <w:br/>
      </w:r>
      <w:r>
        <w:rPr>
          <w:rStyle w:val="Strong"/>
        </w:rPr>
        <w:br/>
      </w:r>
      <w:r>
        <w:rPr>
          <w:rStyle w:val="Strong"/>
        </w:rPr>
        <w:br/>
      </w:r>
    </w:p>
    <w:p w14:paraId="286E17CE" w14:textId="567F74D2" w:rsidR="00475085" w:rsidRPr="000A5A86" w:rsidRDefault="001079BE" w:rsidP="000A5A86">
      <w:pPr>
        <w:pStyle w:val="SingleParagraph"/>
        <w:rPr>
          <w:rStyle w:val="Strong"/>
        </w:rPr>
      </w:pPr>
      <w:r w:rsidRPr="000A5A86">
        <w:rPr>
          <w:rStyle w:val="Strong"/>
        </w:rPr>
        <w:t xml:space="preserve">The Hon </w:t>
      </w:r>
      <w:r w:rsidR="002D1A7E" w:rsidRPr="000A5A86">
        <w:rPr>
          <w:rStyle w:val="Strong"/>
        </w:rPr>
        <w:t>Stephen Jones MP</w:t>
      </w:r>
    </w:p>
    <w:p w14:paraId="2293F28F" w14:textId="4DC15EB9" w:rsidR="006C5B73" w:rsidRDefault="002D1A7E" w:rsidP="000A5A86">
      <w:pPr>
        <w:pStyle w:val="SingleParagraph"/>
      </w:pPr>
      <w:r>
        <w:t>Assistant Treasurer and Minister for Financial Services</w:t>
      </w:r>
    </w:p>
    <w:p w14:paraId="6CA1733F" w14:textId="77777777" w:rsidR="000A5A86" w:rsidRPr="00B97308" w:rsidRDefault="000A5A86" w:rsidP="00F53A8B">
      <w:pPr>
        <w:rPr>
          <w:rFonts w:cs="Calibri"/>
          <w:b/>
        </w:rPr>
      </w:pPr>
    </w:p>
    <w:p w14:paraId="781EE508" w14:textId="77777777" w:rsidR="00ED5A20" w:rsidRDefault="00ED5A20" w:rsidP="00D5548C">
      <w:pPr>
        <w:pStyle w:val="SingleParagraph"/>
        <w:sectPr w:rsidR="00ED5A20" w:rsidSect="00713514">
          <w:headerReference w:type="default" r:id="rId20"/>
          <w:footerReference w:type="default" r:id="rId21"/>
          <w:type w:val="oddPage"/>
          <w:pgSz w:w="11906" w:h="16838" w:code="9"/>
          <w:pgMar w:top="1843" w:right="1418" w:bottom="1418" w:left="1418" w:header="709" w:footer="709" w:gutter="0"/>
          <w:pgNumType w:start="1"/>
          <w:cols w:space="708"/>
          <w:docGrid w:linePitch="360"/>
        </w:sectPr>
      </w:pPr>
    </w:p>
    <w:p w14:paraId="54454C5B" w14:textId="22823F2D" w:rsidR="006C5B73" w:rsidRPr="007D0BB7" w:rsidRDefault="002D1A7E" w:rsidP="007D0BB7">
      <w:pPr>
        <w:pStyle w:val="Heading1"/>
      </w:pPr>
      <w:bookmarkStart w:id="3" w:name="_Toc184377550"/>
      <w:r w:rsidRPr="007D0BB7">
        <w:lastRenderedPageBreak/>
        <w:t>Background</w:t>
      </w:r>
      <w:bookmarkEnd w:id="3"/>
    </w:p>
    <w:p w14:paraId="7CBB42DA" w14:textId="60D775DF" w:rsidR="003C561F" w:rsidRDefault="00971082" w:rsidP="00C8245D">
      <w:r>
        <w:t>During</w:t>
      </w:r>
      <w:r w:rsidR="00A146A5">
        <w:t xml:space="preserve"> the COVID</w:t>
      </w:r>
      <w:r w:rsidR="00FA4415">
        <w:noBreakHyphen/>
      </w:r>
      <w:r w:rsidR="00A146A5">
        <w:t>19 pandemic</w:t>
      </w:r>
      <w:r w:rsidR="00343659">
        <w:t xml:space="preserve">, </w:t>
      </w:r>
      <w:r w:rsidR="00AF39B4">
        <w:t xml:space="preserve">temporary changes were made in 2020 </w:t>
      </w:r>
      <w:r w:rsidR="00E52886">
        <w:t>to allow companies and registered schemes to hold meetings and execute documents in a more flexible manner</w:t>
      </w:r>
      <w:r w:rsidR="00343659">
        <w:t xml:space="preserve"> to facilitate the continuation of business and mitigate the economic impact</w:t>
      </w:r>
      <w:r w:rsidR="00E52886">
        <w:t>.</w:t>
      </w:r>
      <w:r w:rsidR="00E52886" w:rsidRPr="00E15096">
        <w:rPr>
          <w:rStyle w:val="FootnoteReference"/>
          <w:vertAlign w:val="superscript"/>
        </w:rPr>
        <w:footnoteReference w:id="2"/>
      </w:r>
    </w:p>
    <w:p w14:paraId="11902D76" w14:textId="78BABE46" w:rsidR="00745FBF" w:rsidRDefault="006F0AB0" w:rsidP="00C8245D">
      <w:r>
        <w:t xml:space="preserve">The temporary changes were progressively made permanent, with </w:t>
      </w:r>
      <w:r w:rsidR="00231BB5">
        <w:t xml:space="preserve">legislative </w:t>
      </w:r>
      <w:r>
        <w:t xml:space="preserve">changes </w:t>
      </w:r>
      <w:r w:rsidR="00A025BA">
        <w:t xml:space="preserve">made </w:t>
      </w:r>
      <w:r>
        <w:t>in 2021 and 2022</w:t>
      </w:r>
      <w:r w:rsidR="0016015E">
        <w:t xml:space="preserve"> to the </w:t>
      </w:r>
      <w:r w:rsidR="0016015E" w:rsidRPr="00E15096">
        <w:rPr>
          <w:i/>
          <w:iCs/>
        </w:rPr>
        <w:t>Corporations Act 2001</w:t>
      </w:r>
      <w:r w:rsidR="0016015E">
        <w:t xml:space="preserve"> (Corporations Act)</w:t>
      </w:r>
      <w:r>
        <w:t xml:space="preserve"> allowing:</w:t>
      </w:r>
    </w:p>
    <w:p w14:paraId="767CE704" w14:textId="665D878E" w:rsidR="00C8245D" w:rsidRDefault="00DB5E89" w:rsidP="00421E2B">
      <w:pPr>
        <w:pStyle w:val="Bullet"/>
      </w:pPr>
      <w:r>
        <w:t xml:space="preserve">electronic </w:t>
      </w:r>
      <w:r w:rsidR="00E04423">
        <w:t>signing and</w:t>
      </w:r>
      <w:r w:rsidR="00C8245D">
        <w:t xml:space="preserve"> execution of company documents</w:t>
      </w:r>
    </w:p>
    <w:p w14:paraId="30B768C9" w14:textId="0ADC32B2" w:rsidR="00C8245D" w:rsidRDefault="00CF2E71" w:rsidP="00421E2B">
      <w:pPr>
        <w:pStyle w:val="Bullet"/>
      </w:pPr>
      <w:r>
        <w:t xml:space="preserve">electronic </w:t>
      </w:r>
      <w:r w:rsidR="00E04423">
        <w:t>distribution</w:t>
      </w:r>
      <w:r w:rsidR="00C8245D">
        <w:t xml:space="preserve"> of meeting</w:t>
      </w:r>
      <w:r w:rsidR="00FA4415">
        <w:noBreakHyphen/>
      </w:r>
      <w:r w:rsidR="00C8245D">
        <w:t>related documents for companies, registered schemes and disclosing entities</w:t>
      </w:r>
    </w:p>
    <w:p w14:paraId="073BA2E4" w14:textId="69819CCF" w:rsidR="00C8245D" w:rsidRDefault="005C1728" w:rsidP="00421E2B">
      <w:pPr>
        <w:pStyle w:val="Bullet"/>
      </w:pPr>
      <w:r>
        <w:t xml:space="preserve">companies and registered schemes to hold hybrid meetings </w:t>
      </w:r>
      <w:r w:rsidR="00854E2E">
        <w:t xml:space="preserve">(including </w:t>
      </w:r>
      <w:r w:rsidR="004C6F88">
        <w:t>annual general meeting</w:t>
      </w:r>
      <w:r w:rsidR="00C8245D">
        <w:t>s)</w:t>
      </w:r>
      <w:r w:rsidR="00C456C3">
        <w:t>,</w:t>
      </w:r>
      <w:r w:rsidR="00C8245D">
        <w:t xml:space="preserve"> and wholly virtual meetings where expressly required or permitted by the</w:t>
      </w:r>
      <w:r w:rsidR="00730772">
        <w:t>ir</w:t>
      </w:r>
      <w:r w:rsidR="00C8245D">
        <w:t xml:space="preserve"> constitution.</w:t>
      </w:r>
      <w:r w:rsidR="004E748B" w:rsidRPr="008F40A7">
        <w:rPr>
          <w:rStyle w:val="FootnoteReference"/>
          <w:vertAlign w:val="superscript"/>
        </w:rPr>
        <w:footnoteReference w:id="3"/>
      </w:r>
    </w:p>
    <w:p w14:paraId="018F20FE" w14:textId="100509E8" w:rsidR="006C5B73" w:rsidRDefault="0016015E" w:rsidP="00DE3374">
      <w:r>
        <w:t>T</w:t>
      </w:r>
      <w:r w:rsidR="00C8245D">
        <w:t xml:space="preserve">he </w:t>
      </w:r>
      <w:r w:rsidR="00EE2319">
        <w:t>amendments made</w:t>
      </w:r>
      <w:r w:rsidR="00C8245D">
        <w:t xml:space="preserve"> by the 202</w:t>
      </w:r>
      <w:r w:rsidR="002F033E">
        <w:t>1</w:t>
      </w:r>
      <w:r w:rsidR="00C8245D">
        <w:t xml:space="preserve"> Act and the 202</w:t>
      </w:r>
      <w:r w:rsidR="002F033E">
        <w:t>2</w:t>
      </w:r>
      <w:r w:rsidR="00C8245D">
        <w:t xml:space="preserve"> Act</w:t>
      </w:r>
      <w:r w:rsidR="00EE2319">
        <w:t xml:space="preserve"> w</w:t>
      </w:r>
      <w:r w:rsidR="00295FBE">
        <w:t>ere</w:t>
      </w:r>
      <w:r w:rsidR="00EE2319">
        <w:t xml:space="preserve"> required to be reviewed</w:t>
      </w:r>
      <w:r w:rsidR="002072BB">
        <w:t>, with the amendments regard</w:t>
      </w:r>
      <w:r w:rsidR="00295FBE">
        <w:t>ing</w:t>
      </w:r>
      <w:r w:rsidR="002072BB">
        <w:t xml:space="preserve"> virtual meetings </w:t>
      </w:r>
      <w:r w:rsidR="0020480D">
        <w:t xml:space="preserve">requiring </w:t>
      </w:r>
      <w:r w:rsidR="002072BB">
        <w:t xml:space="preserve">review by an independent panel of experts with experience in corporate governance and the role of company directors, representing the interests of shareholders and advocating for corporate social responsibility </w:t>
      </w:r>
      <w:r>
        <w:t>(subsection</w:t>
      </w:r>
      <w:r w:rsidR="00295FBE">
        <w:t>s</w:t>
      </w:r>
      <w:r w:rsidR="00F42DB1">
        <w:t> </w:t>
      </w:r>
      <w:r>
        <w:t xml:space="preserve">1687J(1) </w:t>
      </w:r>
      <w:r w:rsidR="00295FBE">
        <w:t xml:space="preserve">and 1687J(2A) </w:t>
      </w:r>
      <w:r>
        <w:t>of the Corporations Act)</w:t>
      </w:r>
      <w:r w:rsidR="00C8245D">
        <w:t>.</w:t>
      </w:r>
    </w:p>
    <w:p w14:paraId="73949F75" w14:textId="5FB63005" w:rsidR="00421E2B" w:rsidRDefault="00F10C08" w:rsidP="00C8245D">
      <w:r>
        <w:t xml:space="preserve">The Government appointed </w:t>
      </w:r>
      <w:r w:rsidR="00252D65">
        <w:t>an independent p</w:t>
      </w:r>
      <w:r>
        <w:t>anel to conduct the review in June 2024</w:t>
      </w:r>
      <w:r w:rsidR="00FA5F9D">
        <w:t xml:space="preserve"> </w:t>
      </w:r>
      <w:r w:rsidR="00072CFD">
        <w:t xml:space="preserve">in accordance with the </w:t>
      </w:r>
      <w:r w:rsidR="00FA5F9D">
        <w:t>Terms of Referenc</w:t>
      </w:r>
      <w:r w:rsidR="00072CFD">
        <w:t>e</w:t>
      </w:r>
      <w:r w:rsidR="002405AD">
        <w:t>. The Terms of Reference</w:t>
      </w:r>
      <w:r w:rsidR="00072CFD">
        <w:t xml:space="preserve"> are </w:t>
      </w:r>
      <w:r w:rsidR="006B6EBA">
        <w:t>available on the Treasury website.</w:t>
      </w:r>
      <w:r w:rsidR="0020480D" w:rsidRPr="00571514">
        <w:rPr>
          <w:rStyle w:val="FootnoteReference"/>
          <w:vertAlign w:val="superscript"/>
        </w:rPr>
        <w:footnoteReference w:id="4"/>
      </w:r>
      <w:r>
        <w:t xml:space="preserve"> </w:t>
      </w:r>
      <w:r w:rsidR="006B6EBA">
        <w:t xml:space="preserve">The </w:t>
      </w:r>
      <w:r w:rsidR="00252D65">
        <w:t>p</w:t>
      </w:r>
      <w:r w:rsidR="006B6EBA">
        <w:t>anel</w:t>
      </w:r>
      <w:r>
        <w:t xml:space="preserve"> consisted of:</w:t>
      </w:r>
    </w:p>
    <w:p w14:paraId="39E13414" w14:textId="49F2DC5A" w:rsidR="00F10C08" w:rsidRDefault="002405AD" w:rsidP="003F655C">
      <w:pPr>
        <w:pStyle w:val="Bullet"/>
      </w:pPr>
      <w:r>
        <w:t>T</w:t>
      </w:r>
      <w:r w:rsidR="003F655C">
        <w:t xml:space="preserve">he Hon </w:t>
      </w:r>
      <w:r>
        <w:t xml:space="preserve">Dr </w:t>
      </w:r>
      <w:r w:rsidR="003F655C">
        <w:t>Robert Austin AM</w:t>
      </w:r>
      <w:r w:rsidR="006954B6">
        <w:t xml:space="preserve"> – </w:t>
      </w:r>
      <w:r w:rsidR="000A14E1" w:rsidRPr="000A14E1">
        <w:t>a barrister practising in areas such as commercial and corporations law, with significant corporate governance experience. Dr Austin is a former Judge of the New South Wales Supreme Court and has written extensively on corporate law and governance.</w:t>
      </w:r>
    </w:p>
    <w:p w14:paraId="0BB0C4F2" w14:textId="6501315C" w:rsidR="006954B6" w:rsidRDefault="002405AD" w:rsidP="003F655C">
      <w:pPr>
        <w:pStyle w:val="Bullet"/>
      </w:pPr>
      <w:r>
        <w:t xml:space="preserve">Ms </w:t>
      </w:r>
      <w:r w:rsidR="006954B6">
        <w:t>Helen Bird –</w:t>
      </w:r>
      <w:r w:rsidR="00433DF0">
        <w:t xml:space="preserve"> </w:t>
      </w:r>
      <w:r w:rsidR="00661FFF" w:rsidRPr="00661FFF">
        <w:t>a senior lecturer at Swinburne University of Technology</w:t>
      </w:r>
      <w:r w:rsidR="00E5731B">
        <w:t>.</w:t>
      </w:r>
      <w:r w:rsidR="00661FFF">
        <w:t xml:space="preserve"> </w:t>
      </w:r>
      <w:r w:rsidR="00661FFF" w:rsidRPr="00661FFF">
        <w:t>She has a history of corporate social governance advocacy and is a regular commentator on corporate law, governance and corporate social responsibility.</w:t>
      </w:r>
    </w:p>
    <w:p w14:paraId="08911682" w14:textId="53C5C9E2" w:rsidR="006954B6" w:rsidRDefault="00433DF0" w:rsidP="003F655C">
      <w:pPr>
        <w:pStyle w:val="Bullet"/>
      </w:pPr>
      <w:r>
        <w:lastRenderedPageBreak/>
        <w:t xml:space="preserve">Ms </w:t>
      </w:r>
      <w:r w:rsidR="006954B6">
        <w:t xml:space="preserve">Judith Fox – </w:t>
      </w:r>
      <w:r w:rsidR="002149CD">
        <w:t xml:space="preserve">she is </w:t>
      </w:r>
      <w:r w:rsidR="00314FFE" w:rsidRPr="00314FFE">
        <w:t>the CEO of the Stockbrokers and Investment Advisers Association</w:t>
      </w:r>
      <w:r w:rsidR="002149CD">
        <w:t xml:space="preserve"> and </w:t>
      </w:r>
      <w:r w:rsidR="00314FFE" w:rsidRPr="00314FFE">
        <w:t>is experienced in representing the interests of shareholders</w:t>
      </w:r>
      <w:r w:rsidR="002149CD">
        <w:t>. She</w:t>
      </w:r>
      <w:r w:rsidR="00314FFE" w:rsidRPr="00314FFE">
        <w:t xml:space="preserve"> was previously the CEO of the Australian Shareholders</w:t>
      </w:r>
      <w:r w:rsidR="00FA4415">
        <w:t>’</w:t>
      </w:r>
      <w:r w:rsidR="00314FFE" w:rsidRPr="00314FFE">
        <w:t xml:space="preserve"> Association.</w:t>
      </w:r>
    </w:p>
    <w:p w14:paraId="3E20336A" w14:textId="235560B6" w:rsidR="00F10C08" w:rsidRDefault="000F0911" w:rsidP="00C8245D">
      <w:r>
        <w:t>T</w:t>
      </w:r>
      <w:r w:rsidR="00476F17">
        <w:t xml:space="preserve">he Panel </w:t>
      </w:r>
      <w:r w:rsidR="002C6740">
        <w:t>provided its report</w:t>
      </w:r>
      <w:r>
        <w:t xml:space="preserve"> to the </w:t>
      </w:r>
      <w:r w:rsidR="00CF0041">
        <w:t>Government on 14 August 2024.</w:t>
      </w:r>
      <w:r w:rsidR="00377C59">
        <w:t xml:space="preserve"> The Government tabled the report in Parliament on 9 September 2024.</w:t>
      </w:r>
    </w:p>
    <w:p w14:paraId="64AF7182" w14:textId="77777777" w:rsidR="002D1A7E" w:rsidRDefault="00A400E3" w:rsidP="00975EC4">
      <w:r>
        <w:t xml:space="preserve">The Government is required </w:t>
      </w:r>
      <w:r w:rsidR="00FC61E4">
        <w:t xml:space="preserve">to respond to the report by the first sitting day following three months after the report </w:t>
      </w:r>
      <w:r w:rsidR="00A9190C">
        <w:t>i</w:t>
      </w:r>
      <w:r w:rsidR="00FC61E4">
        <w:t>s tabled in Parliament.</w:t>
      </w:r>
    </w:p>
    <w:p w14:paraId="6F8FCC85" w14:textId="77777777" w:rsidR="00D5548C" w:rsidRDefault="00D5548C" w:rsidP="00975EC4"/>
    <w:p w14:paraId="4BF30D9B" w14:textId="7BA04EC0" w:rsidR="00D5548C" w:rsidRDefault="00D5548C" w:rsidP="00D5548C">
      <w:pPr>
        <w:pStyle w:val="SingleParagraph"/>
        <w:sectPr w:rsidR="00D5548C" w:rsidSect="00B66783">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cols w:space="708"/>
          <w:docGrid w:linePitch="360"/>
        </w:sectPr>
      </w:pPr>
    </w:p>
    <w:p w14:paraId="6AF17342" w14:textId="50FAF713" w:rsidR="004E7897" w:rsidRPr="007D0BB7" w:rsidRDefault="002D1A7E" w:rsidP="007D0BB7">
      <w:pPr>
        <w:pStyle w:val="Heading1"/>
      </w:pPr>
      <w:bookmarkStart w:id="4" w:name="_Toc184377551"/>
      <w:r w:rsidRPr="007D0BB7">
        <w:lastRenderedPageBreak/>
        <w:t>Company Meetings</w:t>
      </w:r>
      <w:bookmarkEnd w:id="4"/>
    </w:p>
    <w:p w14:paraId="24E69443" w14:textId="7AECF6F0" w:rsidR="00E05B9E" w:rsidRDefault="00E05B9E" w:rsidP="00E05B9E">
      <w:pPr>
        <w:pStyle w:val="Heading2"/>
      </w:pPr>
      <w:bookmarkStart w:id="5" w:name="_Toc184377552"/>
      <w:r>
        <w:t>Recommendation 1</w:t>
      </w:r>
      <w:r w:rsidR="00964E17">
        <w:t xml:space="preserve">: </w:t>
      </w:r>
      <w:r w:rsidR="00FA55CB">
        <w:t>l</w:t>
      </w:r>
      <w:r w:rsidR="00964E17">
        <w:t>isted entit</w:t>
      </w:r>
      <w:r w:rsidR="003550C0">
        <w:t>i</w:t>
      </w:r>
      <w:r w:rsidR="00964E17">
        <w:t>es</w:t>
      </w:r>
      <w:bookmarkEnd w:id="5"/>
    </w:p>
    <w:tbl>
      <w:tblPr>
        <w:tblStyle w:val="BoxStyle"/>
        <w:tblW w:w="5000" w:type="pct"/>
        <w:tblLook w:val="0600" w:firstRow="0" w:lastRow="0" w:firstColumn="0" w:lastColumn="0" w:noHBand="1" w:noVBand="1"/>
      </w:tblPr>
      <w:tblGrid>
        <w:gridCol w:w="9070"/>
      </w:tblGrid>
      <w:tr w:rsidR="00346F98" w14:paraId="0AD68876" w14:textId="77777777" w:rsidTr="004E7897">
        <w:tc>
          <w:tcPr>
            <w:tcW w:w="5000" w:type="pct"/>
            <w:hideMark/>
          </w:tcPr>
          <w:p w14:paraId="74A8CD3D" w14:textId="2B256E6F" w:rsidR="00346F98" w:rsidRPr="00901B7A" w:rsidRDefault="00346F98" w:rsidP="00346F98">
            <w:pPr>
              <w:pStyle w:val="BoxText"/>
              <w:rPr>
                <w:sz w:val="22"/>
                <w:szCs w:val="22"/>
              </w:rPr>
            </w:pPr>
            <w:r w:rsidRPr="00901B7A">
              <w:rPr>
                <w:sz w:val="22"/>
                <w:szCs w:val="22"/>
              </w:rPr>
              <w:t xml:space="preserve">The Panel recommends to the Government that no legislative change be made in relation to the meeting formats available for listed public companies and listed registered schemes. That is, listed public companies and listed registered schemes should be allowed to hold a wholly virtual meeting only if </w:t>
            </w:r>
            <w:r w:rsidR="00DC335E">
              <w:rPr>
                <w:sz w:val="22"/>
                <w:szCs w:val="22"/>
              </w:rPr>
              <w:t>this</w:t>
            </w:r>
            <w:r w:rsidRPr="00901B7A">
              <w:rPr>
                <w:sz w:val="22"/>
                <w:szCs w:val="22"/>
              </w:rPr>
              <w:t xml:space="preserve"> is permitted in their constitution.</w:t>
            </w:r>
          </w:p>
        </w:tc>
      </w:tr>
    </w:tbl>
    <w:p w14:paraId="633DCE89" w14:textId="43C1132C" w:rsidR="00346F98" w:rsidRPr="003074FE" w:rsidRDefault="00E7144B" w:rsidP="00346F98">
      <w:pPr>
        <w:pStyle w:val="Heading3"/>
      </w:pPr>
      <w:r>
        <w:t>Government</w:t>
      </w:r>
      <w:r w:rsidR="00346F98">
        <w:t xml:space="preserve"> response</w:t>
      </w:r>
    </w:p>
    <w:p w14:paraId="77499CF4" w14:textId="77777777" w:rsidR="00901B7A" w:rsidRPr="00975EC4" w:rsidRDefault="00901B7A" w:rsidP="00975EC4">
      <w:pPr>
        <w:rPr>
          <w:rStyle w:val="Strong"/>
        </w:rPr>
      </w:pPr>
      <w:r w:rsidRPr="00975EC4">
        <w:rPr>
          <w:rStyle w:val="Strong"/>
        </w:rPr>
        <w:t>The Government agrees to recommendation 1.</w:t>
      </w:r>
    </w:p>
    <w:p w14:paraId="1C607BD9" w14:textId="43903566" w:rsidR="00593BE2" w:rsidRDefault="008E46D6" w:rsidP="00901B7A">
      <w:r>
        <w:t>The Government is committed to maintaining high standards of corporate governance and behaviour.</w:t>
      </w:r>
      <w:r w:rsidR="00C83185">
        <w:t xml:space="preserve"> </w:t>
      </w:r>
      <w:r w:rsidR="00B8731F">
        <w:t xml:space="preserve">Maintaining these arrangements </w:t>
      </w:r>
      <w:r w:rsidR="00C7779A">
        <w:t>will</w:t>
      </w:r>
      <w:r w:rsidR="00B8731F">
        <w:t xml:space="preserve"> </w:t>
      </w:r>
      <w:r w:rsidR="00FD1D02">
        <w:t xml:space="preserve">support a broad range of meeting formats and </w:t>
      </w:r>
      <w:r w:rsidR="006B4D99">
        <w:t>ensur</w:t>
      </w:r>
      <w:r w:rsidR="00A717F8">
        <w:t>e</w:t>
      </w:r>
      <w:r w:rsidR="006B4D99">
        <w:t xml:space="preserve"> investors</w:t>
      </w:r>
      <w:r w:rsidR="00FA4415">
        <w:t>’</w:t>
      </w:r>
      <w:r w:rsidR="006B4D99">
        <w:t xml:space="preserve"> ability to </w:t>
      </w:r>
      <w:r w:rsidR="00202C1E">
        <w:t xml:space="preserve">reasonably </w:t>
      </w:r>
      <w:r w:rsidR="006B4D99">
        <w:t>participate and vote in meetings of listed companies and registered schemes (listed entities).</w:t>
      </w:r>
      <w:r w:rsidR="00821727">
        <w:t xml:space="preserve"> </w:t>
      </w:r>
      <w:r w:rsidR="00FD1D02">
        <w:t xml:space="preserve">A </w:t>
      </w:r>
      <w:r w:rsidR="00863B57">
        <w:t>listed entity</w:t>
      </w:r>
      <w:r w:rsidR="00FA4415">
        <w:t>’</w:t>
      </w:r>
      <w:r w:rsidR="00863B57">
        <w:t>s constitution will continue to reflect its members</w:t>
      </w:r>
      <w:r w:rsidR="00FA4415">
        <w:t>’</w:t>
      </w:r>
      <w:r w:rsidR="00863B57">
        <w:t xml:space="preserve"> wishes </w:t>
      </w:r>
      <w:r w:rsidR="00FD1D02">
        <w:t xml:space="preserve">about </w:t>
      </w:r>
      <w:r w:rsidR="00863B57">
        <w:t>the formats available to hold member</w:t>
      </w:r>
      <w:r w:rsidR="00041342">
        <w:t>s</w:t>
      </w:r>
      <w:r w:rsidR="00FA4415">
        <w:t>’</w:t>
      </w:r>
      <w:r w:rsidR="00863B57">
        <w:t xml:space="preserve"> meetings. </w:t>
      </w:r>
      <w:r w:rsidR="005163BE">
        <w:t>As these entities are widely</w:t>
      </w:r>
      <w:r w:rsidR="00FA4415">
        <w:noBreakHyphen/>
      </w:r>
      <w:r w:rsidR="005163BE">
        <w:t>held, t</w:t>
      </w:r>
      <w:r w:rsidR="00821727">
        <w:t xml:space="preserve">his is </w:t>
      </w:r>
      <w:r w:rsidR="00E74CEB">
        <w:t>important</w:t>
      </w:r>
      <w:r w:rsidR="00821727">
        <w:t xml:space="preserve"> to maintain </w:t>
      </w:r>
      <w:r w:rsidR="00A02753">
        <w:t>corporate governance</w:t>
      </w:r>
      <w:r w:rsidR="00E042A6">
        <w:t xml:space="preserve"> oversight</w:t>
      </w:r>
      <w:r w:rsidR="00551981">
        <w:t xml:space="preserve"> and transparency</w:t>
      </w:r>
      <w:r w:rsidR="00E042A6">
        <w:t>.</w:t>
      </w:r>
      <w:r w:rsidR="00D5600B" w:rsidRPr="00D5600B">
        <w:t xml:space="preserve"> </w:t>
      </w:r>
    </w:p>
    <w:p w14:paraId="67625FD2" w14:textId="044B3231" w:rsidR="00975EC4" w:rsidRDefault="00F019AA" w:rsidP="00975EC4">
      <w:r>
        <w:t xml:space="preserve">Maintaining the arrangements will </w:t>
      </w:r>
      <w:r w:rsidR="00FD1D02">
        <w:t xml:space="preserve">give time to </w:t>
      </w:r>
      <w:r w:rsidR="00455FDD">
        <w:rPr>
          <w:szCs w:val="22"/>
        </w:rPr>
        <w:t>listed entities</w:t>
      </w:r>
      <w:r w:rsidR="00455FDD" w:rsidRPr="00EC609C">
        <w:rPr>
          <w:szCs w:val="22"/>
        </w:rPr>
        <w:t xml:space="preserve"> and </w:t>
      </w:r>
      <w:r w:rsidR="00455FDD">
        <w:rPr>
          <w:szCs w:val="22"/>
        </w:rPr>
        <w:t xml:space="preserve">their </w:t>
      </w:r>
      <w:r w:rsidR="00455FDD" w:rsidRPr="00EC609C">
        <w:rPr>
          <w:szCs w:val="22"/>
        </w:rPr>
        <w:t xml:space="preserve">members </w:t>
      </w:r>
      <w:r w:rsidR="004627FE" w:rsidDel="00FD1D02">
        <w:rPr>
          <w:szCs w:val="22"/>
        </w:rPr>
        <w:t>t</w:t>
      </w:r>
      <w:r w:rsidR="00164FB3" w:rsidDel="00FD1D02">
        <w:rPr>
          <w:szCs w:val="22"/>
        </w:rPr>
        <w:t xml:space="preserve">o </w:t>
      </w:r>
      <w:r w:rsidR="00455FDD" w:rsidRPr="00EC609C">
        <w:rPr>
          <w:szCs w:val="22"/>
        </w:rPr>
        <w:t xml:space="preserve">become adept with </w:t>
      </w:r>
      <w:r w:rsidR="001F114A">
        <w:rPr>
          <w:szCs w:val="22"/>
        </w:rPr>
        <w:t xml:space="preserve">virtual meeting </w:t>
      </w:r>
      <w:r w:rsidR="00455FDD" w:rsidRPr="00EC609C">
        <w:rPr>
          <w:szCs w:val="22"/>
        </w:rPr>
        <w:t>technology</w:t>
      </w:r>
      <w:r w:rsidR="00CC33EE">
        <w:rPr>
          <w:szCs w:val="22"/>
        </w:rPr>
        <w:t xml:space="preserve"> and </w:t>
      </w:r>
      <w:r w:rsidR="00C77156">
        <w:rPr>
          <w:szCs w:val="22"/>
        </w:rPr>
        <w:t>for listed entities to</w:t>
      </w:r>
      <w:r w:rsidR="00455FDD" w:rsidRPr="00EC609C">
        <w:rPr>
          <w:szCs w:val="22"/>
        </w:rPr>
        <w:t xml:space="preserve"> </w:t>
      </w:r>
      <w:r w:rsidR="0034001A">
        <w:rPr>
          <w:szCs w:val="22"/>
        </w:rPr>
        <w:t xml:space="preserve">engage more with their members and communicate more clearly to </w:t>
      </w:r>
      <w:r w:rsidR="007307A5">
        <w:rPr>
          <w:szCs w:val="22"/>
        </w:rPr>
        <w:t>manage concerns.</w:t>
      </w:r>
    </w:p>
    <w:p w14:paraId="6998F73E" w14:textId="77777777" w:rsidR="00975EC4" w:rsidRDefault="008974A9" w:rsidP="00975EC4">
      <w:pPr>
        <w:pStyle w:val="SingleParagraph"/>
      </w:pPr>
      <w:r>
        <w:br w:type="page"/>
      </w:r>
      <w:bookmarkStart w:id="6" w:name="_Toc184377553"/>
    </w:p>
    <w:p w14:paraId="548F4171" w14:textId="435C9E7D" w:rsidR="00E05B9E" w:rsidRDefault="00E05B9E" w:rsidP="00E05B9E">
      <w:pPr>
        <w:pStyle w:val="Heading2"/>
      </w:pPr>
      <w:r>
        <w:lastRenderedPageBreak/>
        <w:t>Recommendation 2</w:t>
      </w:r>
      <w:r w:rsidR="00964E17">
        <w:t xml:space="preserve">: </w:t>
      </w:r>
      <w:r w:rsidR="00FA55CB">
        <w:t>n</w:t>
      </w:r>
      <w:r w:rsidR="00964E17">
        <w:t>on</w:t>
      </w:r>
      <w:r w:rsidR="00FA4415">
        <w:noBreakHyphen/>
      </w:r>
      <w:r w:rsidR="00964E17">
        <w:t>listed entities</w:t>
      </w:r>
      <w:bookmarkEnd w:id="6"/>
    </w:p>
    <w:tbl>
      <w:tblPr>
        <w:tblStyle w:val="BoxStyle"/>
        <w:tblW w:w="5000" w:type="pct"/>
        <w:tblLook w:val="0600" w:firstRow="0" w:lastRow="0" w:firstColumn="0" w:lastColumn="0" w:noHBand="1" w:noVBand="1"/>
      </w:tblPr>
      <w:tblGrid>
        <w:gridCol w:w="9070"/>
      </w:tblGrid>
      <w:tr w:rsidR="00346F98" w:rsidRPr="006F4814" w14:paraId="59A6128F" w14:textId="77777777" w:rsidTr="004E7897">
        <w:tc>
          <w:tcPr>
            <w:tcW w:w="5000" w:type="pct"/>
            <w:hideMark/>
          </w:tcPr>
          <w:p w14:paraId="74D63B19" w14:textId="4CF42E17" w:rsidR="00346F98" w:rsidRPr="006F4814" w:rsidRDefault="00346F98" w:rsidP="00346F98">
            <w:pPr>
              <w:pStyle w:val="BoxText"/>
              <w:rPr>
                <w:sz w:val="22"/>
                <w:szCs w:val="22"/>
              </w:rPr>
            </w:pPr>
            <w:r w:rsidRPr="006F4814">
              <w:rPr>
                <w:sz w:val="22"/>
                <w:szCs w:val="22"/>
              </w:rPr>
              <w:t>The Panel recommends to the Government that other entities, such as proprietary companies, unlisted public companies, unlisted registered schemes, not</w:t>
            </w:r>
            <w:r w:rsidR="00FA4415">
              <w:rPr>
                <w:sz w:val="22"/>
                <w:szCs w:val="22"/>
              </w:rPr>
              <w:noBreakHyphen/>
            </w:r>
            <w:r w:rsidRPr="006F4814">
              <w:rPr>
                <w:sz w:val="22"/>
                <w:szCs w:val="22"/>
              </w:rPr>
              <w:t>for</w:t>
            </w:r>
            <w:r w:rsidR="00FA4415">
              <w:rPr>
                <w:sz w:val="22"/>
                <w:szCs w:val="22"/>
              </w:rPr>
              <w:noBreakHyphen/>
            </w:r>
            <w:r w:rsidRPr="006F4814">
              <w:rPr>
                <w:sz w:val="22"/>
                <w:szCs w:val="22"/>
              </w:rPr>
              <w:t>profits and companies limited by guarantee, should be permitted to determine the appropriate meeting format. For those companies, there should be no statutory requirement of constitutional permission before a wholly virtual meeting may be held.</w:t>
            </w:r>
          </w:p>
        </w:tc>
      </w:tr>
    </w:tbl>
    <w:p w14:paraId="619D50A7" w14:textId="27B97E80" w:rsidR="00346F98" w:rsidRPr="003074FE" w:rsidRDefault="00E7144B" w:rsidP="00346F98">
      <w:pPr>
        <w:pStyle w:val="Heading3"/>
      </w:pPr>
      <w:r>
        <w:t>Government</w:t>
      </w:r>
      <w:r w:rsidR="00346F98">
        <w:t xml:space="preserve"> response</w:t>
      </w:r>
    </w:p>
    <w:p w14:paraId="66E8BA60" w14:textId="59B8D1B7" w:rsidR="00901B7A" w:rsidRPr="00975EC4" w:rsidRDefault="00901B7A" w:rsidP="00901B7A">
      <w:pPr>
        <w:rPr>
          <w:rStyle w:val="Strong"/>
        </w:rPr>
      </w:pPr>
      <w:r w:rsidRPr="00975EC4">
        <w:rPr>
          <w:rStyle w:val="Strong"/>
        </w:rPr>
        <w:t>The Government agrees to recommendation 2.</w:t>
      </w:r>
    </w:p>
    <w:p w14:paraId="7B5415C7" w14:textId="002FBC36" w:rsidR="00346F98" w:rsidRPr="00346F98" w:rsidRDefault="00DD20FC" w:rsidP="00975EC4">
      <w:r w:rsidRPr="00246792">
        <w:t xml:space="preserve">The Government supports reducing costs and increasing member participation for </w:t>
      </w:r>
      <w:r w:rsidR="005024E9">
        <w:t>non</w:t>
      </w:r>
      <w:r w:rsidR="00FA4415">
        <w:noBreakHyphen/>
      </w:r>
      <w:r w:rsidRPr="00246792">
        <w:t>listed entities by allowing them to choose the meeting format that best suits their needs.</w:t>
      </w:r>
      <w:r>
        <w:t xml:space="preserve"> </w:t>
      </w:r>
      <w:r w:rsidR="008563A5">
        <w:t>L</w:t>
      </w:r>
      <w:r>
        <w:t xml:space="preserve">egislative change would </w:t>
      </w:r>
      <w:r w:rsidR="008563A5">
        <w:t>allow</w:t>
      </w:r>
      <w:r>
        <w:t xml:space="preserve"> </w:t>
      </w:r>
      <w:r w:rsidR="00F10B27">
        <w:t>non</w:t>
      </w:r>
      <w:r w:rsidR="00FA4415">
        <w:noBreakHyphen/>
      </w:r>
      <w:r w:rsidR="00F10B27">
        <w:t xml:space="preserve">listed entities </w:t>
      </w:r>
      <w:r w:rsidR="00C70AC2">
        <w:t>(</w:t>
      </w:r>
      <w:r w:rsidR="005D599D">
        <w:t xml:space="preserve">which </w:t>
      </w:r>
      <w:r w:rsidR="00FD1D02">
        <w:t xml:space="preserve">are </w:t>
      </w:r>
      <w:r w:rsidR="00C70AC2">
        <w:t>generally</w:t>
      </w:r>
      <w:r w:rsidR="00890DF4" w:rsidDel="00FD1D02">
        <w:t xml:space="preserve"> </w:t>
      </w:r>
      <w:r w:rsidR="009E1F7A">
        <w:t>smaller and less</w:t>
      </w:r>
      <w:r w:rsidR="00FA4415">
        <w:noBreakHyphen/>
      </w:r>
      <w:r w:rsidR="009E1F7A">
        <w:t>resourced</w:t>
      </w:r>
      <w:r w:rsidR="00C70AC2">
        <w:t>,</w:t>
      </w:r>
      <w:r w:rsidR="009E1F7A">
        <w:t xml:space="preserve"> such as not</w:t>
      </w:r>
      <w:r w:rsidR="00FA4415">
        <w:noBreakHyphen/>
      </w:r>
      <w:r w:rsidR="009E1F7A">
        <w:t>for</w:t>
      </w:r>
      <w:r w:rsidR="00FA4415">
        <w:noBreakHyphen/>
      </w:r>
      <w:r w:rsidR="009E1F7A">
        <w:t>profits</w:t>
      </w:r>
      <w:r w:rsidR="005D599D">
        <w:t>,</w:t>
      </w:r>
      <w:r w:rsidR="009E1F7A">
        <w:t xml:space="preserve"> and other entities not seeking capital on the public market) </w:t>
      </w:r>
      <w:r w:rsidR="00A55D4B" w:rsidRPr="00A55D4B">
        <w:t>the flexibility to access wholly virtual meetings</w:t>
      </w:r>
      <w:r w:rsidR="005B512B">
        <w:t>.</w:t>
      </w:r>
      <w:r w:rsidR="00A55D4B" w:rsidRPr="00A55D4B">
        <w:t xml:space="preserve"> </w:t>
      </w:r>
    </w:p>
    <w:p w14:paraId="5006D5EC" w14:textId="77777777" w:rsidR="008974A9" w:rsidRDefault="008974A9" w:rsidP="00D5548C">
      <w:pPr>
        <w:pStyle w:val="SingleParagraph"/>
        <w:rPr>
          <w:rFonts w:asciiTheme="majorHAnsi" w:hAnsiTheme="majorHAnsi" w:cs="Arial"/>
          <w:color w:val="4D4D4D" w:themeColor="accent6"/>
          <w:kern w:val="32"/>
          <w:sz w:val="48"/>
          <w:szCs w:val="28"/>
        </w:rPr>
      </w:pPr>
      <w:r>
        <w:br w:type="page"/>
      </w:r>
    </w:p>
    <w:p w14:paraId="10EEF000" w14:textId="32F36992" w:rsidR="00E05B9E" w:rsidRDefault="00E05B9E" w:rsidP="00E05B9E">
      <w:pPr>
        <w:pStyle w:val="Heading2"/>
      </w:pPr>
      <w:bookmarkStart w:id="7" w:name="_Toc184377554"/>
      <w:r>
        <w:lastRenderedPageBreak/>
        <w:t>Recommendation 3</w:t>
      </w:r>
      <w:r w:rsidR="00964E17">
        <w:t xml:space="preserve">: </w:t>
      </w:r>
      <w:r w:rsidR="00302DAA">
        <w:t>i</w:t>
      </w:r>
      <w:r w:rsidR="00947A5D">
        <w:t>ncreased guidance</w:t>
      </w:r>
      <w:bookmarkEnd w:id="7"/>
    </w:p>
    <w:tbl>
      <w:tblPr>
        <w:tblStyle w:val="BoxStyle"/>
        <w:tblW w:w="5000" w:type="pct"/>
        <w:tblLook w:val="0600" w:firstRow="0" w:lastRow="0" w:firstColumn="0" w:lastColumn="0" w:noHBand="1" w:noVBand="1"/>
      </w:tblPr>
      <w:tblGrid>
        <w:gridCol w:w="9070"/>
      </w:tblGrid>
      <w:tr w:rsidR="00346F98" w:rsidRPr="006F4814" w14:paraId="0751328D" w14:textId="77777777" w:rsidTr="004E7897">
        <w:tc>
          <w:tcPr>
            <w:tcW w:w="5000" w:type="pct"/>
            <w:hideMark/>
          </w:tcPr>
          <w:p w14:paraId="4DA67E89" w14:textId="434DB03C" w:rsidR="00346F98" w:rsidRPr="006F4814" w:rsidRDefault="00346F98" w:rsidP="00346F98">
            <w:pPr>
              <w:pStyle w:val="BoxText"/>
              <w:rPr>
                <w:sz w:val="22"/>
                <w:szCs w:val="22"/>
              </w:rPr>
            </w:pPr>
            <w:r w:rsidRPr="006F4814">
              <w:rPr>
                <w:sz w:val="22"/>
                <w:szCs w:val="22"/>
              </w:rPr>
              <w:t>The Panel recommends to the Government that entities such as ASIC, Australian Securities Exchange (ASX) and other bodies which provide guidance on matters of corporate governance should consider publishing recommended standards to be adopted by listed public companies, to give members confidence that if they support a constitutional amendment to permit wholly virtual meetings, their company will not engage in practices that were the subject of complaints by some members in submissions to the Panel. This should give members some confidence that they can support a special resolution to permit wholly virtual meetings in their company without putting themselves at risk that their company</w:t>
            </w:r>
            <w:r w:rsidR="00FA4415">
              <w:rPr>
                <w:sz w:val="22"/>
                <w:szCs w:val="22"/>
              </w:rPr>
              <w:t>’</w:t>
            </w:r>
            <w:r w:rsidRPr="006F4814">
              <w:rPr>
                <w:sz w:val="22"/>
                <w:szCs w:val="22"/>
              </w:rPr>
              <w:t>s management will compromise their basic member rights. Standards should address matters such as using technology to replicate the in</w:t>
            </w:r>
            <w:r w:rsidR="00FA4415">
              <w:rPr>
                <w:sz w:val="22"/>
                <w:szCs w:val="22"/>
              </w:rPr>
              <w:noBreakHyphen/>
            </w:r>
            <w:r w:rsidRPr="006F4814">
              <w:rPr>
                <w:sz w:val="22"/>
                <w:szCs w:val="22"/>
              </w:rPr>
              <w:t>person experience, how the chair engages with members in a virtual setting, how questions are taken and managed, how questions are displayed to members and whether the company will appoint an independent supervisor of the processes adopted by the company for voting and handling questions at members</w:t>
            </w:r>
            <w:r w:rsidR="00FA4415">
              <w:rPr>
                <w:sz w:val="22"/>
                <w:szCs w:val="22"/>
              </w:rPr>
              <w:t>’</w:t>
            </w:r>
            <w:r w:rsidRPr="006F4814">
              <w:rPr>
                <w:sz w:val="22"/>
                <w:szCs w:val="22"/>
              </w:rPr>
              <w:t xml:space="preserve"> meetings.</w:t>
            </w:r>
          </w:p>
        </w:tc>
      </w:tr>
    </w:tbl>
    <w:p w14:paraId="5F618E21" w14:textId="56A8CA0D" w:rsidR="00346F98" w:rsidRPr="003074FE" w:rsidRDefault="00E7144B" w:rsidP="00346F98">
      <w:pPr>
        <w:pStyle w:val="Heading3"/>
      </w:pPr>
      <w:r>
        <w:t>Government</w:t>
      </w:r>
      <w:r w:rsidR="00346F98">
        <w:t xml:space="preserve"> response</w:t>
      </w:r>
    </w:p>
    <w:p w14:paraId="0196F639" w14:textId="5ADE84B3" w:rsidR="00901B7A" w:rsidRPr="00975EC4" w:rsidRDefault="00901B7A" w:rsidP="00975EC4">
      <w:pPr>
        <w:rPr>
          <w:rStyle w:val="Strong"/>
        </w:rPr>
      </w:pPr>
      <w:r w:rsidRPr="00975EC4">
        <w:rPr>
          <w:rStyle w:val="Strong"/>
        </w:rPr>
        <w:t>The Government agrees in principle to recommendation 3.</w:t>
      </w:r>
    </w:p>
    <w:p w14:paraId="510D0A76" w14:textId="46340308" w:rsidR="00346F98" w:rsidRPr="003074FE" w:rsidRDefault="00915C9C" w:rsidP="00975EC4">
      <w:r w:rsidRPr="00915C9C">
        <w:t xml:space="preserve">The Government supports </w:t>
      </w:r>
      <w:r w:rsidR="002717FD">
        <w:t>relevant</w:t>
      </w:r>
      <w:r>
        <w:t xml:space="preserve"> bodies providing </w:t>
      </w:r>
      <w:r w:rsidR="0092200B">
        <w:t>increased</w:t>
      </w:r>
      <w:r w:rsidR="0092200B" w:rsidRPr="00915C9C">
        <w:t xml:space="preserve"> </w:t>
      </w:r>
      <w:r w:rsidRPr="00915C9C">
        <w:t xml:space="preserve">guidance </w:t>
      </w:r>
      <w:r w:rsidR="00A22DEA">
        <w:t>for</w:t>
      </w:r>
      <w:r w:rsidRPr="00915C9C">
        <w:t xml:space="preserve"> </w:t>
      </w:r>
      <w:r w:rsidR="00AC637C">
        <w:t xml:space="preserve">listed </w:t>
      </w:r>
      <w:r>
        <w:t xml:space="preserve">entities </w:t>
      </w:r>
      <w:r w:rsidR="00AC637C">
        <w:t xml:space="preserve">(and others) </w:t>
      </w:r>
      <w:r w:rsidR="00865E4E">
        <w:t>on the conduct of members</w:t>
      </w:r>
      <w:r w:rsidR="00FA4415">
        <w:t>’</w:t>
      </w:r>
      <w:r w:rsidR="00865E4E">
        <w:t xml:space="preserve"> meetings</w:t>
      </w:r>
      <w:r w:rsidR="00AC637C">
        <w:t xml:space="preserve">, particularly </w:t>
      </w:r>
      <w:r w:rsidR="008E2CB1">
        <w:t xml:space="preserve">the conduct of </w:t>
      </w:r>
      <w:r w:rsidR="00AC637C">
        <w:t>wholly virtual meetings</w:t>
      </w:r>
      <w:r w:rsidR="00865E4E">
        <w:t>.</w:t>
      </w:r>
      <w:r w:rsidR="00251A93">
        <w:t xml:space="preserve"> </w:t>
      </w:r>
      <w:r w:rsidR="00DF25A4" w:rsidRPr="00DF25A4">
        <w:t>The Government understands the Australian Securities and Investments Commission will review its existing guidance taking into account the Panel</w:t>
      </w:r>
      <w:r w:rsidR="00FA4415">
        <w:t>’</w:t>
      </w:r>
      <w:r w:rsidR="00DF25A4" w:rsidRPr="00DF25A4">
        <w:t>s findings.</w:t>
      </w:r>
      <w:r w:rsidR="00DF25A4">
        <w:t xml:space="preserve"> </w:t>
      </w:r>
      <w:r w:rsidR="00251A93">
        <w:t xml:space="preserve">The Government encourages </w:t>
      </w:r>
      <w:r w:rsidR="000A4103">
        <w:t>the Australian Securities and Investments Commission</w:t>
      </w:r>
      <w:r w:rsidR="00DF25A4">
        <w:t xml:space="preserve"> and other independent bodies including </w:t>
      </w:r>
      <w:r w:rsidR="00A41122">
        <w:t>the Australian Securities Exchange</w:t>
      </w:r>
      <w:r w:rsidR="00251A93">
        <w:t xml:space="preserve">, </w:t>
      </w:r>
      <w:r w:rsidR="0020112B">
        <w:t xml:space="preserve">the </w:t>
      </w:r>
      <w:r w:rsidR="000A4103">
        <w:t>Australian Institute of Company Directors</w:t>
      </w:r>
      <w:r w:rsidR="00251A93">
        <w:t xml:space="preserve"> and </w:t>
      </w:r>
      <w:r w:rsidR="0020112B">
        <w:t xml:space="preserve">the </w:t>
      </w:r>
      <w:r w:rsidR="000A4103">
        <w:t>Governance</w:t>
      </w:r>
      <w:r w:rsidR="00FA4415">
        <w:t> </w:t>
      </w:r>
      <w:r w:rsidR="000A4103">
        <w:t>Institute of Australia</w:t>
      </w:r>
      <w:r w:rsidR="00876A90">
        <w:t xml:space="preserve">, </w:t>
      </w:r>
      <w:r w:rsidR="000A4103">
        <w:t>and any</w:t>
      </w:r>
      <w:r w:rsidR="00876A90">
        <w:t xml:space="preserve"> others</w:t>
      </w:r>
      <w:r w:rsidR="000A4103">
        <w:t>,</w:t>
      </w:r>
      <w:r w:rsidR="00876A90">
        <w:t xml:space="preserve"> to </w:t>
      </w:r>
      <w:r w:rsidR="00066640">
        <w:t xml:space="preserve">develop </w:t>
      </w:r>
      <w:r w:rsidR="000A4103">
        <w:t xml:space="preserve">and provide </w:t>
      </w:r>
      <w:r w:rsidR="00066640">
        <w:t>guidance</w:t>
      </w:r>
      <w:r w:rsidR="00046FBC">
        <w:t xml:space="preserve"> </w:t>
      </w:r>
      <w:r w:rsidR="00CD06E7">
        <w:t>consistent with their respective roles as a regulator, market operator or industry association</w:t>
      </w:r>
      <w:r w:rsidR="00066640">
        <w:t>.</w:t>
      </w:r>
      <w:r w:rsidR="00865E4E">
        <w:t xml:space="preserve"> This </w:t>
      </w:r>
      <w:r w:rsidR="00150CCA">
        <w:t xml:space="preserve">increased guidance </w:t>
      </w:r>
      <w:r w:rsidR="00865E4E">
        <w:t xml:space="preserve">will </w:t>
      </w:r>
      <w:r w:rsidR="00150CCA">
        <w:t>promote</w:t>
      </w:r>
      <w:r w:rsidR="00150CCA" w:rsidRPr="00915C9C">
        <w:t xml:space="preserve"> </w:t>
      </w:r>
      <w:r w:rsidRPr="00915C9C">
        <w:t xml:space="preserve">greater confidence and </w:t>
      </w:r>
      <w:r w:rsidR="002E362B">
        <w:t xml:space="preserve">provide </w:t>
      </w:r>
      <w:r w:rsidRPr="00915C9C">
        <w:t>clarity to entities and their members on the expected conduct and use of technology at members</w:t>
      </w:r>
      <w:r w:rsidR="00FA4415">
        <w:t>’</w:t>
      </w:r>
      <w:r w:rsidRPr="00915C9C">
        <w:t xml:space="preserve"> meetings.</w:t>
      </w:r>
    </w:p>
    <w:p w14:paraId="49BBFCF2" w14:textId="7B68505E" w:rsidR="00346F98" w:rsidRPr="00346F98" w:rsidRDefault="000E7544" w:rsidP="00975EC4">
      <w:r>
        <w:t xml:space="preserve">The Government agrees </w:t>
      </w:r>
      <w:r w:rsidR="004A6489">
        <w:t xml:space="preserve">with the Panel </w:t>
      </w:r>
      <w:r>
        <w:t xml:space="preserve">that this guidance could assist with the transition noted by the Panel </w:t>
      </w:r>
      <w:r w:rsidR="003F58ED">
        <w:t>at recommendation 1</w:t>
      </w:r>
      <w:r>
        <w:t xml:space="preserve"> and provide greater assurance to members of listed entities.</w:t>
      </w:r>
    </w:p>
    <w:p w14:paraId="63657FE0" w14:textId="6C926E11" w:rsidR="008974A9" w:rsidRDefault="008974A9" w:rsidP="00D5548C">
      <w:pPr>
        <w:pStyle w:val="SingleParagraph"/>
        <w:rPr>
          <w:rFonts w:asciiTheme="majorHAnsi" w:hAnsiTheme="majorHAnsi" w:cs="Arial"/>
          <w:color w:val="4D4D4D" w:themeColor="accent6"/>
          <w:kern w:val="32"/>
          <w:sz w:val="48"/>
          <w:szCs w:val="28"/>
        </w:rPr>
      </w:pPr>
      <w:r>
        <w:br w:type="page"/>
      </w:r>
    </w:p>
    <w:p w14:paraId="41EA1F62" w14:textId="63DB11A9" w:rsidR="00E05B9E" w:rsidRDefault="00E05B9E" w:rsidP="00E05B9E">
      <w:pPr>
        <w:pStyle w:val="Heading2"/>
      </w:pPr>
      <w:bookmarkStart w:id="8" w:name="_Toc184377555"/>
      <w:r>
        <w:lastRenderedPageBreak/>
        <w:t>Recommendation 4</w:t>
      </w:r>
      <w:r w:rsidR="00947A5D">
        <w:t xml:space="preserve">: </w:t>
      </w:r>
      <w:r w:rsidR="00302DAA">
        <w:t>f</w:t>
      </w:r>
      <w:r w:rsidR="00947A5D">
        <w:t>uture review of meetings</w:t>
      </w:r>
      <w:r w:rsidR="001442D8">
        <w:t xml:space="preserve"> laws</w:t>
      </w:r>
      <w:bookmarkEnd w:id="8"/>
    </w:p>
    <w:tbl>
      <w:tblPr>
        <w:tblStyle w:val="BoxStyle"/>
        <w:tblW w:w="5000" w:type="pct"/>
        <w:tblLook w:val="0600" w:firstRow="0" w:lastRow="0" w:firstColumn="0" w:lastColumn="0" w:noHBand="1" w:noVBand="1"/>
      </w:tblPr>
      <w:tblGrid>
        <w:gridCol w:w="9070"/>
      </w:tblGrid>
      <w:tr w:rsidR="00346F98" w14:paraId="018B1A27" w14:textId="77777777" w:rsidTr="004E7897">
        <w:tc>
          <w:tcPr>
            <w:tcW w:w="5000" w:type="pct"/>
            <w:hideMark/>
          </w:tcPr>
          <w:p w14:paraId="775FDF24" w14:textId="2CF084F2" w:rsidR="00346F98" w:rsidRPr="004A6489" w:rsidRDefault="00346F98" w:rsidP="00346F98">
            <w:pPr>
              <w:pStyle w:val="BoxText"/>
              <w:rPr>
                <w:sz w:val="22"/>
                <w:szCs w:val="22"/>
              </w:rPr>
            </w:pPr>
            <w:r w:rsidRPr="004A6489">
              <w:rPr>
                <w:sz w:val="22"/>
                <w:szCs w:val="22"/>
              </w:rPr>
              <w:t>The Panel recommends to the Government that a review of the formats of AGMs and other members</w:t>
            </w:r>
            <w:r w:rsidR="00FA4415">
              <w:rPr>
                <w:sz w:val="22"/>
                <w:szCs w:val="22"/>
              </w:rPr>
              <w:t>’</w:t>
            </w:r>
            <w:r w:rsidRPr="004A6489">
              <w:rPr>
                <w:sz w:val="22"/>
                <w:szCs w:val="22"/>
              </w:rPr>
              <w:t xml:space="preserve"> meetings be undertaken in 5 years</w:t>
            </w:r>
            <w:r w:rsidR="00FA4415">
              <w:rPr>
                <w:sz w:val="22"/>
                <w:szCs w:val="22"/>
              </w:rPr>
              <w:t>’</w:t>
            </w:r>
            <w:r w:rsidRPr="004A6489">
              <w:rPr>
                <w:sz w:val="22"/>
                <w:szCs w:val="22"/>
              </w:rPr>
              <w:t xml:space="preserve"> time. This would provide opportunities to observe how the conduct of meetings has evolved during the transition and whether any significant issues have arisen. The future review could consider whether the present requirement of constitutional permission for a wholly virtual meeting remains appropriate. This would also allow time for:</w:t>
            </w:r>
          </w:p>
          <w:p w14:paraId="340063C9" w14:textId="6BB041F2" w:rsidR="00346F98" w:rsidRPr="004A6489" w:rsidRDefault="00346F98" w:rsidP="00346F98">
            <w:pPr>
              <w:pStyle w:val="Boxbullet"/>
              <w:rPr>
                <w:sz w:val="22"/>
                <w:szCs w:val="22"/>
              </w:rPr>
            </w:pPr>
            <w:r w:rsidRPr="004A6489">
              <w:rPr>
                <w:sz w:val="22"/>
                <w:szCs w:val="22"/>
              </w:rPr>
              <w:t>members to develop confidence that companies will hold meetings that enable them to participate and vote in the meeting</w:t>
            </w:r>
          </w:p>
          <w:p w14:paraId="0E00EBAA" w14:textId="3BC0DB08" w:rsidR="00346F98" w:rsidRPr="004A6489" w:rsidRDefault="00346F98" w:rsidP="00346F98">
            <w:pPr>
              <w:pStyle w:val="Boxbullet"/>
              <w:rPr>
                <w:sz w:val="22"/>
                <w:szCs w:val="22"/>
              </w:rPr>
            </w:pPr>
            <w:r w:rsidRPr="004A6489">
              <w:rPr>
                <w:sz w:val="22"/>
                <w:szCs w:val="22"/>
              </w:rPr>
              <w:t>companies to better investigate member experiences and develop mutually agreed ways to mediate those concerns and to demonstrate responsiveness that will reinforce trust by members and c</w:t>
            </w:r>
            <w:r w:rsidR="00C81A0B">
              <w:rPr>
                <w:sz w:val="22"/>
                <w:szCs w:val="22"/>
              </w:rPr>
              <w:t>o</w:t>
            </w:r>
            <w:r w:rsidR="00FA4415">
              <w:rPr>
                <w:sz w:val="22"/>
                <w:szCs w:val="22"/>
              </w:rPr>
              <w:noBreakHyphen/>
            </w:r>
            <w:r w:rsidRPr="004A6489">
              <w:rPr>
                <w:sz w:val="22"/>
                <w:szCs w:val="22"/>
              </w:rPr>
              <w:t>operation between members and management in the virtual meeting process</w:t>
            </w:r>
          </w:p>
          <w:p w14:paraId="545DA3D6" w14:textId="3512CC7A" w:rsidR="00346F98" w:rsidRPr="004A6489" w:rsidRDefault="00346F98" w:rsidP="00346F98">
            <w:pPr>
              <w:pStyle w:val="Boxbullet"/>
              <w:rPr>
                <w:sz w:val="22"/>
                <w:szCs w:val="22"/>
              </w:rPr>
            </w:pPr>
            <w:r w:rsidRPr="004A6489">
              <w:rPr>
                <w:sz w:val="22"/>
                <w:szCs w:val="22"/>
              </w:rPr>
              <w:t>technology to further improve and companies to gain a better understanding to allow companies to provide members with a more seamless real</w:t>
            </w:r>
            <w:r w:rsidR="00FA4415">
              <w:rPr>
                <w:sz w:val="22"/>
                <w:szCs w:val="22"/>
              </w:rPr>
              <w:noBreakHyphen/>
            </w:r>
            <w:r w:rsidRPr="004A6489">
              <w:rPr>
                <w:sz w:val="22"/>
                <w:szCs w:val="22"/>
              </w:rPr>
              <w:t>time experience to participate and vote at meetings</w:t>
            </w:r>
          </w:p>
          <w:p w14:paraId="6D76CC5E" w14:textId="10A61140" w:rsidR="00346F98" w:rsidRDefault="00346F98" w:rsidP="00346F98">
            <w:pPr>
              <w:pStyle w:val="Boxbullet"/>
            </w:pPr>
            <w:r w:rsidRPr="004A6489">
              <w:rPr>
                <w:sz w:val="22"/>
                <w:szCs w:val="22"/>
              </w:rPr>
              <w:t>companies to better communicate with their members to manage expectations about the meeting format and ensure members can reasonably participate and vote in meetings.</w:t>
            </w:r>
          </w:p>
        </w:tc>
      </w:tr>
    </w:tbl>
    <w:p w14:paraId="06ED9D63" w14:textId="004AB24A" w:rsidR="00346F98" w:rsidRPr="003074FE" w:rsidRDefault="00E7144B" w:rsidP="00346F98">
      <w:pPr>
        <w:pStyle w:val="Heading3"/>
      </w:pPr>
      <w:r>
        <w:t>Government</w:t>
      </w:r>
      <w:r w:rsidR="00346F98">
        <w:t xml:space="preserve"> response</w:t>
      </w:r>
    </w:p>
    <w:p w14:paraId="0D40F5E4" w14:textId="3180794D" w:rsidR="00901B7A" w:rsidRPr="00975EC4" w:rsidRDefault="00901B7A" w:rsidP="00975EC4">
      <w:pPr>
        <w:rPr>
          <w:rStyle w:val="Strong"/>
        </w:rPr>
      </w:pPr>
      <w:r w:rsidRPr="00975EC4">
        <w:rPr>
          <w:rStyle w:val="Strong"/>
        </w:rPr>
        <w:t>The Government agrees to recommendation 4.</w:t>
      </w:r>
    </w:p>
    <w:p w14:paraId="01754362" w14:textId="4A6249C3" w:rsidR="00744E28" w:rsidRDefault="00AB4A4A" w:rsidP="004A6489">
      <w:r>
        <w:t>The Government acknowledges that t</w:t>
      </w:r>
      <w:r w:rsidR="00D522A8">
        <w:t xml:space="preserve">here can be benefits </w:t>
      </w:r>
      <w:r>
        <w:t xml:space="preserve">from wholly virtual meetings </w:t>
      </w:r>
      <w:r w:rsidR="00C37BE7">
        <w:t>through</w:t>
      </w:r>
      <w:r w:rsidR="00A67630">
        <w:t xml:space="preserve"> offering</w:t>
      </w:r>
      <w:r>
        <w:t xml:space="preserve"> </w:t>
      </w:r>
      <w:r w:rsidR="00D522A8">
        <w:t xml:space="preserve">greater access to </w:t>
      </w:r>
      <w:r w:rsidR="00063FCB">
        <w:t>and participation in the meetings and reduced costs for entities</w:t>
      </w:r>
      <w:r w:rsidR="009077F5">
        <w:t xml:space="preserve">. </w:t>
      </w:r>
      <w:r w:rsidR="000663BA">
        <w:t>T</w:t>
      </w:r>
      <w:r w:rsidR="00371761">
        <w:t>he Government encourages companies</w:t>
      </w:r>
      <w:r w:rsidR="00F17F36">
        <w:t xml:space="preserve"> and registered schemes </w:t>
      </w:r>
      <w:r w:rsidR="001424D6">
        <w:t xml:space="preserve">to engage </w:t>
      </w:r>
      <w:r w:rsidR="000663BA">
        <w:t xml:space="preserve">with </w:t>
      </w:r>
      <w:r w:rsidR="009077F5">
        <w:t xml:space="preserve">their membership </w:t>
      </w:r>
      <w:r w:rsidR="00490B4C">
        <w:t>o</w:t>
      </w:r>
      <w:r w:rsidR="000663BA">
        <w:t>n</w:t>
      </w:r>
      <w:r w:rsidR="00490B4C">
        <w:t xml:space="preserve"> the benefits </w:t>
      </w:r>
      <w:r w:rsidR="002A0F88">
        <w:t>of such meetings</w:t>
      </w:r>
      <w:r w:rsidR="000663BA">
        <w:t xml:space="preserve">, while working </w:t>
      </w:r>
      <w:r w:rsidR="00CE4B8F">
        <w:t>to</w:t>
      </w:r>
      <w:r w:rsidR="00490B4C" w:rsidDel="000663BA">
        <w:t xml:space="preserve"> </w:t>
      </w:r>
      <w:r w:rsidR="000663BA">
        <w:t xml:space="preserve">address the </w:t>
      </w:r>
      <w:r w:rsidR="00490B4C">
        <w:t>concerns</w:t>
      </w:r>
      <w:r w:rsidR="000663BA">
        <w:t xml:space="preserve"> highlighted in the review and strengthen member experience and participation</w:t>
      </w:r>
      <w:r w:rsidR="00490B4C">
        <w:t>.</w:t>
      </w:r>
      <w:r w:rsidR="001B15E6">
        <w:t xml:space="preserve"> The guidance </w:t>
      </w:r>
      <w:r w:rsidR="00A9384F">
        <w:t xml:space="preserve">recommended by the Panel </w:t>
      </w:r>
      <w:r w:rsidR="0067192A">
        <w:t xml:space="preserve">(under recommendation 3) </w:t>
      </w:r>
      <w:r w:rsidR="00A9384F">
        <w:t xml:space="preserve">will go some way to establishing </w:t>
      </w:r>
      <w:r w:rsidR="00744E28">
        <w:t xml:space="preserve">a </w:t>
      </w:r>
      <w:r w:rsidR="004466EA">
        <w:t xml:space="preserve">clearer </w:t>
      </w:r>
      <w:r w:rsidR="00415F51">
        <w:t>standard</w:t>
      </w:r>
      <w:r w:rsidR="00744E28">
        <w:t>.</w:t>
      </w:r>
    </w:p>
    <w:p w14:paraId="50770224" w14:textId="23FB9A1D" w:rsidR="00346F98" w:rsidRPr="003074FE" w:rsidRDefault="00DA01E0" w:rsidP="004A6489">
      <w:r>
        <w:t>In agreeing to this recommendation, t</w:t>
      </w:r>
      <w:r w:rsidR="001B15E6">
        <w:t xml:space="preserve">he Government </w:t>
      </w:r>
      <w:r w:rsidR="007E0F89">
        <w:t>is</w:t>
      </w:r>
      <w:r w:rsidR="001B15E6">
        <w:t xml:space="preserve"> provid</w:t>
      </w:r>
      <w:r w:rsidR="007E0F89">
        <w:t>ing</w:t>
      </w:r>
      <w:r w:rsidR="001B15E6">
        <w:t xml:space="preserve"> </w:t>
      </w:r>
      <w:r w:rsidR="00744E28">
        <w:t xml:space="preserve">companies </w:t>
      </w:r>
      <w:r>
        <w:t>and registered schemes</w:t>
      </w:r>
      <w:r w:rsidR="00744E28">
        <w:t xml:space="preserve"> the time to </w:t>
      </w:r>
      <w:r w:rsidR="00C14A48">
        <w:t xml:space="preserve">make the case </w:t>
      </w:r>
      <w:r w:rsidR="003433EF">
        <w:t xml:space="preserve">for change </w:t>
      </w:r>
      <w:r w:rsidR="00C14A48">
        <w:t>to their membership</w:t>
      </w:r>
      <w:r w:rsidR="003433EF">
        <w:t xml:space="preserve">. It will also </w:t>
      </w:r>
      <w:r>
        <w:t xml:space="preserve">provide an opportunity to examine the effect of the changes introduced in response to recommendation 2 </w:t>
      </w:r>
      <w:r w:rsidR="000167A3">
        <w:t xml:space="preserve">and whether the changes </w:t>
      </w:r>
      <w:r>
        <w:t>are working as intended.</w:t>
      </w:r>
    </w:p>
    <w:p w14:paraId="4B93FF23" w14:textId="77777777" w:rsidR="008974A9" w:rsidRDefault="008974A9" w:rsidP="00D5548C">
      <w:pPr>
        <w:pStyle w:val="SingleParagraph"/>
        <w:rPr>
          <w:rFonts w:asciiTheme="majorHAnsi" w:hAnsiTheme="majorHAnsi" w:cs="Arial"/>
          <w:color w:val="4D4D4D" w:themeColor="accent6"/>
          <w:kern w:val="32"/>
          <w:sz w:val="48"/>
          <w:szCs w:val="28"/>
        </w:rPr>
      </w:pPr>
      <w:r>
        <w:br w:type="page"/>
      </w:r>
    </w:p>
    <w:p w14:paraId="63067C7B" w14:textId="2A943010" w:rsidR="00E05B9E" w:rsidRDefault="00E05B9E" w:rsidP="00E05B9E">
      <w:pPr>
        <w:pStyle w:val="Heading2"/>
      </w:pPr>
      <w:bookmarkStart w:id="9" w:name="_Toc184377556"/>
      <w:r>
        <w:lastRenderedPageBreak/>
        <w:t>Recommendation 5</w:t>
      </w:r>
      <w:r w:rsidR="00947A5D">
        <w:t xml:space="preserve">: </w:t>
      </w:r>
      <w:r w:rsidR="001442D8">
        <w:t>m</w:t>
      </w:r>
      <w:r w:rsidR="00947A5D">
        <w:t>andatory polls</w:t>
      </w:r>
      <w:bookmarkEnd w:id="9"/>
    </w:p>
    <w:tbl>
      <w:tblPr>
        <w:tblStyle w:val="BoxStyle"/>
        <w:tblW w:w="5000" w:type="pct"/>
        <w:tblLook w:val="0600" w:firstRow="0" w:lastRow="0" w:firstColumn="0" w:lastColumn="0" w:noHBand="1" w:noVBand="1"/>
      </w:tblPr>
      <w:tblGrid>
        <w:gridCol w:w="9070"/>
      </w:tblGrid>
      <w:tr w:rsidR="00346F98" w:rsidRPr="00410B57" w14:paraId="230BC4B4" w14:textId="77777777" w:rsidTr="004E7897">
        <w:tc>
          <w:tcPr>
            <w:tcW w:w="5000" w:type="pct"/>
            <w:hideMark/>
          </w:tcPr>
          <w:p w14:paraId="23B99EBF" w14:textId="1F278BFE" w:rsidR="00346F98" w:rsidRPr="00410B57" w:rsidRDefault="00346F98" w:rsidP="00410B57">
            <w:pPr>
              <w:pStyle w:val="BoxText"/>
            </w:pPr>
            <w:r w:rsidRPr="00410B57">
              <w:rPr>
                <w:sz w:val="22"/>
                <w:szCs w:val="22"/>
              </w:rPr>
              <w:t>The Panel recommends to the Government that the laws requiring listed companies and registered schemes to vote on substantive resolutions via poll be maintained.</w:t>
            </w:r>
          </w:p>
        </w:tc>
      </w:tr>
    </w:tbl>
    <w:p w14:paraId="2F7B2644" w14:textId="286623A0" w:rsidR="00346F98" w:rsidRPr="003074FE" w:rsidRDefault="00E7144B" w:rsidP="00346F98">
      <w:pPr>
        <w:pStyle w:val="Heading3"/>
      </w:pPr>
      <w:r>
        <w:t>Government</w:t>
      </w:r>
      <w:r w:rsidR="00346F98">
        <w:t xml:space="preserve"> response</w:t>
      </w:r>
    </w:p>
    <w:p w14:paraId="3CCDFF0A" w14:textId="0B8E54AB" w:rsidR="00901B7A" w:rsidRPr="00975EC4" w:rsidRDefault="00901B7A" w:rsidP="00901B7A">
      <w:pPr>
        <w:rPr>
          <w:rStyle w:val="Strong"/>
        </w:rPr>
      </w:pPr>
      <w:r w:rsidRPr="00975EC4">
        <w:rPr>
          <w:rStyle w:val="Strong"/>
        </w:rPr>
        <w:t>The Government agrees to recommendation 5.</w:t>
      </w:r>
    </w:p>
    <w:p w14:paraId="5B520754" w14:textId="3C5A4821" w:rsidR="00E05B9E" w:rsidRDefault="00E05B9E" w:rsidP="00E05B9E">
      <w:pPr>
        <w:pStyle w:val="Heading2"/>
      </w:pPr>
      <w:bookmarkStart w:id="10" w:name="_Toc184377557"/>
      <w:r>
        <w:t>Recommendation 6</w:t>
      </w:r>
      <w:r w:rsidR="00947A5D">
        <w:t xml:space="preserve">: </w:t>
      </w:r>
      <w:r w:rsidR="001442D8">
        <w:t>i</w:t>
      </w:r>
      <w:r w:rsidR="00947A5D">
        <w:t>ndependent reports on polls</w:t>
      </w:r>
      <w:bookmarkEnd w:id="10"/>
    </w:p>
    <w:tbl>
      <w:tblPr>
        <w:tblStyle w:val="BoxStyle"/>
        <w:tblW w:w="5000" w:type="pct"/>
        <w:tblLook w:val="0600" w:firstRow="0" w:lastRow="0" w:firstColumn="0" w:lastColumn="0" w:noHBand="1" w:noVBand="1"/>
      </w:tblPr>
      <w:tblGrid>
        <w:gridCol w:w="9070"/>
      </w:tblGrid>
      <w:tr w:rsidR="00346F98" w:rsidRPr="005C20B9" w14:paraId="368D532E" w14:textId="77777777" w:rsidTr="004E7897">
        <w:tc>
          <w:tcPr>
            <w:tcW w:w="5000" w:type="pct"/>
            <w:hideMark/>
          </w:tcPr>
          <w:p w14:paraId="6274D146" w14:textId="4B0D834E" w:rsidR="00346F98" w:rsidRPr="005C20B9" w:rsidRDefault="00346F98" w:rsidP="00346F98">
            <w:pPr>
              <w:pStyle w:val="BoxText"/>
              <w:rPr>
                <w:sz w:val="22"/>
                <w:szCs w:val="22"/>
              </w:rPr>
            </w:pPr>
            <w:r w:rsidRPr="005C20B9">
              <w:rPr>
                <w:sz w:val="22"/>
                <w:szCs w:val="22"/>
              </w:rPr>
              <w:t>The Panel recommends to the Government that the laws on independent reports on polls be maintained.</w:t>
            </w:r>
          </w:p>
        </w:tc>
      </w:tr>
    </w:tbl>
    <w:p w14:paraId="7CECBE01" w14:textId="26E25179" w:rsidR="00346F98" w:rsidRPr="003074FE" w:rsidRDefault="00E7144B" w:rsidP="00346F98">
      <w:pPr>
        <w:pStyle w:val="Heading3"/>
      </w:pPr>
      <w:r>
        <w:t>Government</w:t>
      </w:r>
      <w:r w:rsidR="00346F98">
        <w:t xml:space="preserve"> response</w:t>
      </w:r>
    </w:p>
    <w:p w14:paraId="4051CADB" w14:textId="0D1644A5" w:rsidR="00901B7A" w:rsidRPr="00FA4415" w:rsidRDefault="00901B7A" w:rsidP="00FA4415">
      <w:pPr>
        <w:rPr>
          <w:rStyle w:val="Strong"/>
        </w:rPr>
      </w:pPr>
      <w:r w:rsidRPr="00FA4415">
        <w:rPr>
          <w:rStyle w:val="Strong"/>
        </w:rPr>
        <w:t>The Government agrees to recommendation 6.</w:t>
      </w:r>
    </w:p>
    <w:p w14:paraId="2F6884C9" w14:textId="77777777" w:rsidR="00FA4415" w:rsidRPr="00975EC4" w:rsidRDefault="00FA4415" w:rsidP="00901B7A">
      <w:pPr>
        <w:rPr>
          <w:rStyle w:val="Strong"/>
        </w:rPr>
      </w:pPr>
    </w:p>
    <w:p w14:paraId="659BFFB9" w14:textId="77777777" w:rsidR="00E05B9E" w:rsidRPr="00D5548C" w:rsidRDefault="00E05B9E" w:rsidP="00D5548C">
      <w:pPr>
        <w:pStyle w:val="SingleParagraph"/>
        <w:sectPr w:rsidR="00E05B9E" w:rsidRPr="00D5548C" w:rsidSect="00B66783">
          <w:pgSz w:w="11906" w:h="16838" w:code="9"/>
          <w:pgMar w:top="1843" w:right="1418" w:bottom="1418" w:left="1418" w:header="709" w:footer="709" w:gutter="0"/>
          <w:cols w:space="708"/>
          <w:docGrid w:linePitch="360"/>
        </w:sectPr>
      </w:pPr>
    </w:p>
    <w:p w14:paraId="30133CBB" w14:textId="746317AB" w:rsidR="002D1A7E" w:rsidRDefault="00E05B9E" w:rsidP="00E05B9E">
      <w:pPr>
        <w:pStyle w:val="Heading1"/>
      </w:pPr>
      <w:bookmarkStart w:id="11" w:name="_Toc184377558"/>
      <w:r>
        <w:lastRenderedPageBreak/>
        <w:t>Treatment of documents</w:t>
      </w:r>
      <w:bookmarkEnd w:id="11"/>
    </w:p>
    <w:p w14:paraId="670C56E0" w14:textId="50CD2A9B" w:rsidR="00E05B9E" w:rsidRDefault="00E05B9E" w:rsidP="00E05B9E">
      <w:pPr>
        <w:pStyle w:val="Heading2"/>
      </w:pPr>
      <w:bookmarkStart w:id="12" w:name="_Toc184377559"/>
      <w:r>
        <w:t>Recommendation 7</w:t>
      </w:r>
      <w:r w:rsidR="00947A5D">
        <w:t xml:space="preserve">: </w:t>
      </w:r>
      <w:r w:rsidR="001442D8">
        <w:t>e</w:t>
      </w:r>
      <w:r w:rsidR="005D5DC5">
        <w:t>lectronic distribution of meeting</w:t>
      </w:r>
      <w:r w:rsidR="00FA4415">
        <w:noBreakHyphen/>
      </w:r>
      <w:r w:rsidR="005D5DC5">
        <w:t>related materials</w:t>
      </w:r>
      <w:bookmarkEnd w:id="12"/>
    </w:p>
    <w:tbl>
      <w:tblPr>
        <w:tblStyle w:val="BoxStyle"/>
        <w:tblW w:w="5000" w:type="pct"/>
        <w:tblLook w:val="0600" w:firstRow="0" w:lastRow="0" w:firstColumn="0" w:lastColumn="0" w:noHBand="1" w:noVBand="1"/>
      </w:tblPr>
      <w:tblGrid>
        <w:gridCol w:w="9070"/>
      </w:tblGrid>
      <w:tr w:rsidR="00346F98" w:rsidRPr="005C20B9" w14:paraId="278F4C0E" w14:textId="77777777" w:rsidTr="004E7897">
        <w:tc>
          <w:tcPr>
            <w:tcW w:w="5000" w:type="pct"/>
            <w:hideMark/>
          </w:tcPr>
          <w:p w14:paraId="4008AADA" w14:textId="2319258F" w:rsidR="00346F98" w:rsidRPr="005C20B9" w:rsidRDefault="00346F98" w:rsidP="00346F98">
            <w:pPr>
              <w:pStyle w:val="BoxText"/>
              <w:rPr>
                <w:sz w:val="22"/>
                <w:szCs w:val="22"/>
              </w:rPr>
            </w:pPr>
            <w:r w:rsidRPr="005C20B9">
              <w:rPr>
                <w:sz w:val="22"/>
                <w:szCs w:val="22"/>
              </w:rPr>
              <w:t>The Panel recommends to the Government that the laws concerning electronic distribution of meeting</w:t>
            </w:r>
            <w:r w:rsidR="00FA4415">
              <w:rPr>
                <w:sz w:val="22"/>
                <w:szCs w:val="22"/>
              </w:rPr>
              <w:noBreakHyphen/>
            </w:r>
            <w:r w:rsidRPr="005C20B9">
              <w:rPr>
                <w:sz w:val="22"/>
                <w:szCs w:val="22"/>
              </w:rPr>
              <w:t>related materials be maintained.</w:t>
            </w:r>
          </w:p>
        </w:tc>
      </w:tr>
    </w:tbl>
    <w:p w14:paraId="705D3B9A" w14:textId="16B51F41" w:rsidR="00346F98" w:rsidRPr="003074FE" w:rsidRDefault="00E7144B" w:rsidP="00346F98">
      <w:pPr>
        <w:pStyle w:val="Heading3"/>
      </w:pPr>
      <w:r>
        <w:t>Government</w:t>
      </w:r>
      <w:r w:rsidR="00346F98">
        <w:t xml:space="preserve"> response</w:t>
      </w:r>
    </w:p>
    <w:p w14:paraId="6B5FDEC4" w14:textId="673658B0" w:rsidR="00901B7A" w:rsidRPr="00975EC4" w:rsidRDefault="00901B7A" w:rsidP="00901B7A">
      <w:pPr>
        <w:rPr>
          <w:rStyle w:val="Strong"/>
        </w:rPr>
      </w:pPr>
      <w:r w:rsidRPr="00975EC4">
        <w:rPr>
          <w:rStyle w:val="Strong"/>
        </w:rPr>
        <w:t>The Government agrees to recommendation 7.</w:t>
      </w:r>
    </w:p>
    <w:p w14:paraId="25BF9F90" w14:textId="138F93E1" w:rsidR="00A27D18" w:rsidRDefault="009E68FE" w:rsidP="005C1F50">
      <w:r>
        <w:t xml:space="preserve">The Government </w:t>
      </w:r>
      <w:r w:rsidR="00141EF8">
        <w:t>supports</w:t>
      </w:r>
      <w:r>
        <w:t xml:space="preserve"> </w:t>
      </w:r>
      <w:r w:rsidR="00182299">
        <w:t>continued efforts to</w:t>
      </w:r>
      <w:r w:rsidR="00CC37D5">
        <w:t>wards</w:t>
      </w:r>
      <w:r w:rsidR="00182299">
        <w:t xml:space="preserve"> </w:t>
      </w:r>
      <w:r w:rsidR="00226AEC">
        <w:t>technology</w:t>
      </w:r>
      <w:r w:rsidR="006E6393">
        <w:t xml:space="preserve"> </w:t>
      </w:r>
      <w:r w:rsidR="00226AEC">
        <w:t>neutral</w:t>
      </w:r>
      <w:r w:rsidR="00F55836">
        <w:t>ity</w:t>
      </w:r>
      <w:r w:rsidR="009D0FB6">
        <w:t xml:space="preserve">. </w:t>
      </w:r>
      <w:r w:rsidR="008A6095">
        <w:t xml:space="preserve">The Government encourages </w:t>
      </w:r>
      <w:r w:rsidR="000B5D76">
        <w:t xml:space="preserve">listed entities to be clearer in their communications with their membership, including how </w:t>
      </w:r>
      <w:r w:rsidR="0089734E">
        <w:t xml:space="preserve">members </w:t>
      </w:r>
      <w:r w:rsidR="00D235F2">
        <w:t>can elect to receive materials</w:t>
      </w:r>
      <w:r w:rsidR="00E0670C">
        <w:t>.</w:t>
      </w:r>
    </w:p>
    <w:p w14:paraId="6014C90F" w14:textId="0F278671" w:rsidR="00E05B9E" w:rsidRDefault="00E05B9E" w:rsidP="00E05B9E">
      <w:pPr>
        <w:pStyle w:val="Heading2"/>
      </w:pPr>
      <w:bookmarkStart w:id="13" w:name="_Toc184377560"/>
      <w:r>
        <w:t>Recommendation 8</w:t>
      </w:r>
      <w:r w:rsidR="005D5DC5">
        <w:t xml:space="preserve">: </w:t>
      </w:r>
      <w:r w:rsidR="001442D8">
        <w:t>m</w:t>
      </w:r>
      <w:r w:rsidR="005D5DC5">
        <w:t>eeting</w:t>
      </w:r>
      <w:r w:rsidR="00FA4415">
        <w:noBreakHyphen/>
      </w:r>
      <w:r w:rsidR="005D5DC5">
        <w:t>related materials of not</w:t>
      </w:r>
      <w:r w:rsidR="00FA4415">
        <w:noBreakHyphen/>
      </w:r>
      <w:r w:rsidR="005D5DC5">
        <w:t>for</w:t>
      </w:r>
      <w:r w:rsidR="00FA4415">
        <w:noBreakHyphen/>
      </w:r>
      <w:r w:rsidR="005D5DC5">
        <w:t>profit entities</w:t>
      </w:r>
      <w:bookmarkEnd w:id="13"/>
    </w:p>
    <w:tbl>
      <w:tblPr>
        <w:tblStyle w:val="BoxStyle"/>
        <w:tblW w:w="5000" w:type="pct"/>
        <w:tblLook w:val="0600" w:firstRow="0" w:lastRow="0" w:firstColumn="0" w:lastColumn="0" w:noHBand="1" w:noVBand="1"/>
      </w:tblPr>
      <w:tblGrid>
        <w:gridCol w:w="9070"/>
      </w:tblGrid>
      <w:tr w:rsidR="00346F98" w:rsidRPr="005C20B9" w14:paraId="2EED99E1" w14:textId="77777777" w:rsidTr="004E7897">
        <w:tc>
          <w:tcPr>
            <w:tcW w:w="5000" w:type="pct"/>
            <w:hideMark/>
          </w:tcPr>
          <w:p w14:paraId="62D8B6E7" w14:textId="5DC42B3B" w:rsidR="00346F98" w:rsidRPr="005C20B9" w:rsidRDefault="00346F98" w:rsidP="005C20B9">
            <w:pPr>
              <w:pStyle w:val="BoxText"/>
              <w:rPr>
                <w:sz w:val="22"/>
                <w:szCs w:val="22"/>
              </w:rPr>
            </w:pPr>
            <w:r w:rsidRPr="005C20B9">
              <w:rPr>
                <w:sz w:val="22"/>
                <w:szCs w:val="22"/>
              </w:rPr>
              <w:t>The Panel recommends that the Government considers alignment of meeting</w:t>
            </w:r>
            <w:r w:rsidR="00FA4415">
              <w:rPr>
                <w:sz w:val="22"/>
                <w:szCs w:val="22"/>
              </w:rPr>
              <w:noBreakHyphen/>
            </w:r>
            <w:r w:rsidRPr="005C20B9">
              <w:rPr>
                <w:sz w:val="22"/>
                <w:szCs w:val="22"/>
              </w:rPr>
              <w:t>related document distribution requirements for not</w:t>
            </w:r>
            <w:r w:rsidR="00FA4415">
              <w:rPr>
                <w:sz w:val="22"/>
                <w:szCs w:val="22"/>
              </w:rPr>
              <w:noBreakHyphen/>
            </w:r>
            <w:r w:rsidRPr="005C20B9">
              <w:rPr>
                <w:sz w:val="22"/>
                <w:szCs w:val="22"/>
              </w:rPr>
              <w:t>for</w:t>
            </w:r>
            <w:r w:rsidR="00FA4415">
              <w:rPr>
                <w:sz w:val="22"/>
                <w:szCs w:val="22"/>
              </w:rPr>
              <w:noBreakHyphen/>
            </w:r>
            <w:r w:rsidRPr="005C20B9">
              <w:rPr>
                <w:sz w:val="22"/>
                <w:szCs w:val="22"/>
              </w:rPr>
              <w:t>profit entities with other not</w:t>
            </w:r>
            <w:r w:rsidR="00FA4415">
              <w:rPr>
                <w:sz w:val="22"/>
                <w:szCs w:val="22"/>
              </w:rPr>
              <w:noBreakHyphen/>
            </w:r>
            <w:r w:rsidRPr="005C20B9">
              <w:rPr>
                <w:sz w:val="22"/>
                <w:szCs w:val="22"/>
              </w:rPr>
              <w:t>for</w:t>
            </w:r>
            <w:r w:rsidR="00FA4415">
              <w:rPr>
                <w:sz w:val="22"/>
                <w:szCs w:val="22"/>
              </w:rPr>
              <w:noBreakHyphen/>
            </w:r>
            <w:r w:rsidRPr="005C20B9">
              <w:rPr>
                <w:sz w:val="22"/>
                <w:szCs w:val="22"/>
              </w:rPr>
              <w:t>profit document distribution requirements under the Corporations Act.</w:t>
            </w:r>
          </w:p>
        </w:tc>
      </w:tr>
    </w:tbl>
    <w:p w14:paraId="3CD6503B" w14:textId="7859F6E1" w:rsidR="00346F98" w:rsidRPr="003074FE" w:rsidRDefault="00E7144B" w:rsidP="00346F98">
      <w:pPr>
        <w:pStyle w:val="Heading3"/>
      </w:pPr>
      <w:r>
        <w:t>Government</w:t>
      </w:r>
      <w:r w:rsidR="00346F98">
        <w:t xml:space="preserve"> response</w:t>
      </w:r>
    </w:p>
    <w:p w14:paraId="386F1FC5" w14:textId="2144ED4F" w:rsidR="00901B7A" w:rsidRPr="00975EC4" w:rsidRDefault="00901B7A" w:rsidP="00975EC4">
      <w:pPr>
        <w:rPr>
          <w:rStyle w:val="Strong"/>
        </w:rPr>
      </w:pPr>
      <w:r w:rsidRPr="00975EC4">
        <w:rPr>
          <w:rStyle w:val="Strong"/>
        </w:rPr>
        <w:t>The Government agrees to recommendation 8.</w:t>
      </w:r>
    </w:p>
    <w:p w14:paraId="6C351E08" w14:textId="6DA32308" w:rsidR="00346F98" w:rsidRPr="003074FE" w:rsidRDefault="001E1905" w:rsidP="001E1905">
      <w:r w:rsidRPr="001E1905">
        <w:t xml:space="preserve">The Government </w:t>
      </w:r>
      <w:r w:rsidR="001D6AC1">
        <w:t>supports</w:t>
      </w:r>
      <w:r w:rsidRPr="001E1905">
        <w:t xml:space="preserve"> </w:t>
      </w:r>
      <w:r w:rsidR="00C66D76">
        <w:t xml:space="preserve">greater consistency in regulation and </w:t>
      </w:r>
      <w:r w:rsidRPr="001E1905">
        <w:t>reducing costs and burdens for not</w:t>
      </w:r>
      <w:r w:rsidR="00FA4415">
        <w:noBreakHyphen/>
      </w:r>
      <w:r w:rsidRPr="001E1905">
        <w:t>for</w:t>
      </w:r>
      <w:r w:rsidR="00FA4415">
        <w:noBreakHyphen/>
      </w:r>
      <w:r w:rsidRPr="001E1905">
        <w:t>profit</w:t>
      </w:r>
      <w:r w:rsidR="001969E0">
        <w:t xml:space="preserve"> entities</w:t>
      </w:r>
      <w:r w:rsidRPr="001E1905">
        <w:t>.</w:t>
      </w:r>
      <w:r w:rsidR="001969E0">
        <w:t xml:space="preserve"> </w:t>
      </w:r>
    </w:p>
    <w:p w14:paraId="62BAD0CC" w14:textId="2E393733" w:rsidR="00E05B9E" w:rsidRDefault="00E05B9E" w:rsidP="00E05B9E">
      <w:pPr>
        <w:pStyle w:val="Heading2"/>
      </w:pPr>
      <w:bookmarkStart w:id="14" w:name="_Toc184377561"/>
      <w:r>
        <w:lastRenderedPageBreak/>
        <w:t>Recommendation 9</w:t>
      </w:r>
      <w:r w:rsidR="005D5DC5">
        <w:t xml:space="preserve">: </w:t>
      </w:r>
      <w:r w:rsidR="001442D8">
        <w:t>e</w:t>
      </w:r>
      <w:r w:rsidR="006553D2">
        <w:t>lectronic signing and execution</w:t>
      </w:r>
      <w:bookmarkEnd w:id="14"/>
    </w:p>
    <w:tbl>
      <w:tblPr>
        <w:tblStyle w:val="BoxStyle"/>
        <w:tblW w:w="5000" w:type="pct"/>
        <w:tblLook w:val="0600" w:firstRow="0" w:lastRow="0" w:firstColumn="0" w:lastColumn="0" w:noHBand="1" w:noVBand="1"/>
      </w:tblPr>
      <w:tblGrid>
        <w:gridCol w:w="9070"/>
      </w:tblGrid>
      <w:tr w:rsidR="00346F98" w:rsidRPr="005C20B9" w14:paraId="40907F69" w14:textId="77777777" w:rsidTr="004E7897">
        <w:tc>
          <w:tcPr>
            <w:tcW w:w="5000" w:type="pct"/>
            <w:hideMark/>
          </w:tcPr>
          <w:p w14:paraId="10EBC926" w14:textId="5C618B6A" w:rsidR="00346F98" w:rsidRPr="005C20B9" w:rsidRDefault="00346F98" w:rsidP="00346F98">
            <w:pPr>
              <w:pStyle w:val="BoxText"/>
              <w:rPr>
                <w:sz w:val="22"/>
                <w:szCs w:val="22"/>
              </w:rPr>
            </w:pPr>
            <w:r w:rsidRPr="005C20B9">
              <w:rPr>
                <w:sz w:val="22"/>
                <w:szCs w:val="22"/>
              </w:rPr>
              <w:t xml:space="preserve">The Panel recommends to the Government that the laws concerning electronic signing and execution of documents be maintained. </w:t>
            </w:r>
          </w:p>
        </w:tc>
      </w:tr>
    </w:tbl>
    <w:p w14:paraId="27A70467" w14:textId="5E8AC52D" w:rsidR="00346F98" w:rsidRPr="003074FE" w:rsidRDefault="00E7144B" w:rsidP="00346F98">
      <w:pPr>
        <w:pStyle w:val="Heading3"/>
      </w:pPr>
      <w:r>
        <w:t>Government</w:t>
      </w:r>
      <w:r w:rsidR="00346F98">
        <w:t xml:space="preserve"> response</w:t>
      </w:r>
    </w:p>
    <w:p w14:paraId="6FF28175" w14:textId="2CA65DA5" w:rsidR="00901B7A" w:rsidRPr="000A2A9B" w:rsidRDefault="00901B7A" w:rsidP="00901B7A">
      <w:pPr>
        <w:rPr>
          <w:b/>
          <w:bCs/>
        </w:rPr>
      </w:pPr>
      <w:r w:rsidRPr="000A2A9B">
        <w:rPr>
          <w:b/>
          <w:bCs/>
        </w:rPr>
        <w:t xml:space="preserve">The Government agrees to recommendation </w:t>
      </w:r>
      <w:r>
        <w:rPr>
          <w:b/>
          <w:bCs/>
        </w:rPr>
        <w:t>9</w:t>
      </w:r>
      <w:r w:rsidRPr="000A2A9B">
        <w:rPr>
          <w:b/>
          <w:bCs/>
        </w:rPr>
        <w:t>.</w:t>
      </w:r>
    </w:p>
    <w:p w14:paraId="059C27B7" w14:textId="3926123D" w:rsidR="00E05B9E" w:rsidRDefault="00E05B9E" w:rsidP="00E05B9E">
      <w:pPr>
        <w:pStyle w:val="Heading2"/>
      </w:pPr>
      <w:bookmarkStart w:id="15" w:name="_Toc184377562"/>
      <w:r>
        <w:t>Recommendation 10</w:t>
      </w:r>
      <w:r w:rsidR="006553D2">
        <w:t xml:space="preserve">: </w:t>
      </w:r>
      <w:r w:rsidR="001442D8">
        <w:t>c</w:t>
      </w:r>
      <w:r w:rsidR="006553D2">
        <w:t>orporate agents</w:t>
      </w:r>
      <w:bookmarkEnd w:id="15"/>
    </w:p>
    <w:tbl>
      <w:tblPr>
        <w:tblStyle w:val="BoxStyle"/>
        <w:tblW w:w="5000" w:type="pct"/>
        <w:tblLook w:val="0600" w:firstRow="0" w:lastRow="0" w:firstColumn="0" w:lastColumn="0" w:noHBand="1" w:noVBand="1"/>
      </w:tblPr>
      <w:tblGrid>
        <w:gridCol w:w="9070"/>
      </w:tblGrid>
      <w:tr w:rsidR="00346F98" w:rsidRPr="005C20B9" w14:paraId="1BD41ED6" w14:textId="77777777" w:rsidTr="004E7897">
        <w:tc>
          <w:tcPr>
            <w:tcW w:w="5000" w:type="pct"/>
            <w:hideMark/>
          </w:tcPr>
          <w:p w14:paraId="2A766A2E" w14:textId="711C2286" w:rsidR="00346F98" w:rsidRPr="005C20B9" w:rsidRDefault="00346F98" w:rsidP="00346F98">
            <w:pPr>
              <w:pStyle w:val="BoxText"/>
              <w:rPr>
                <w:sz w:val="22"/>
                <w:szCs w:val="22"/>
              </w:rPr>
            </w:pPr>
            <w:r w:rsidRPr="005C20B9">
              <w:rPr>
                <w:sz w:val="22"/>
                <w:szCs w:val="22"/>
              </w:rPr>
              <w:t>The Panel recommends to the Government that there be an examination of whether the power to act for a company in relation to company documents should be extended to corporate entities.</w:t>
            </w:r>
          </w:p>
        </w:tc>
      </w:tr>
    </w:tbl>
    <w:p w14:paraId="3CCEDD4F" w14:textId="02C34CA4" w:rsidR="00346F98" w:rsidRPr="003074FE" w:rsidRDefault="00E7144B" w:rsidP="00346F98">
      <w:pPr>
        <w:pStyle w:val="Heading3"/>
      </w:pPr>
      <w:r>
        <w:t>Government</w:t>
      </w:r>
      <w:r w:rsidR="00346F98">
        <w:t xml:space="preserve"> response</w:t>
      </w:r>
    </w:p>
    <w:p w14:paraId="04966523" w14:textId="577F0BFB" w:rsidR="00901B7A" w:rsidRPr="00FA4415" w:rsidRDefault="00901B7A" w:rsidP="00FA4415">
      <w:pPr>
        <w:rPr>
          <w:rStyle w:val="Strong"/>
        </w:rPr>
      </w:pPr>
      <w:r w:rsidRPr="00FA4415">
        <w:rPr>
          <w:rStyle w:val="Strong"/>
        </w:rPr>
        <w:t>The Government agrees to recommendation 10.</w:t>
      </w:r>
    </w:p>
    <w:p w14:paraId="28744A4F" w14:textId="4E45B908" w:rsidR="00745FE2" w:rsidRDefault="00863874" w:rsidP="00FA4415">
      <w:r w:rsidRPr="00863874">
        <w:t>The Government will explor</w:t>
      </w:r>
      <w:r w:rsidR="003564D4">
        <w:t>e</w:t>
      </w:r>
      <w:r w:rsidRPr="00863874">
        <w:t xml:space="preserve"> extending the power for corporate entities to be able to act for a company in relation to company documents.</w:t>
      </w:r>
      <w:r w:rsidR="00444189">
        <w:t xml:space="preserve"> </w:t>
      </w:r>
      <w:r w:rsidR="0040264A">
        <w:t>T</w:t>
      </w:r>
      <w:r w:rsidR="0072486F">
        <w:t xml:space="preserve">he Government notes there may be </w:t>
      </w:r>
      <w:r w:rsidR="00B2310C">
        <w:t>interactions between Commonwealth and state and territory laws that would need to be considered.</w:t>
      </w:r>
    </w:p>
    <w:p w14:paraId="665C00F8" w14:textId="77777777" w:rsidR="00745FE2" w:rsidRDefault="00745FE2" w:rsidP="00FA4415">
      <w:pPr>
        <w:pStyle w:val="SingleParagraph"/>
      </w:pPr>
      <w:r>
        <w:br w:type="page"/>
      </w:r>
    </w:p>
    <w:p w14:paraId="060174FA" w14:textId="3EDD978C" w:rsidR="00E05B9E" w:rsidRDefault="00E05B9E" w:rsidP="00E05B9E">
      <w:pPr>
        <w:pStyle w:val="Heading2"/>
      </w:pPr>
      <w:bookmarkStart w:id="16" w:name="_Toc184377563"/>
      <w:r>
        <w:lastRenderedPageBreak/>
        <w:t>Recommendation 11</w:t>
      </w:r>
      <w:r w:rsidR="006553D2">
        <w:t xml:space="preserve">: </w:t>
      </w:r>
      <w:r w:rsidR="001442D8">
        <w:t>f</w:t>
      </w:r>
      <w:r w:rsidR="00427BEC">
        <w:t>uture review of electronic signing and execution</w:t>
      </w:r>
      <w:bookmarkEnd w:id="16"/>
    </w:p>
    <w:tbl>
      <w:tblPr>
        <w:tblStyle w:val="BoxStyle"/>
        <w:tblW w:w="5000" w:type="pct"/>
        <w:tblLook w:val="0600" w:firstRow="0" w:lastRow="0" w:firstColumn="0" w:lastColumn="0" w:noHBand="1" w:noVBand="1"/>
      </w:tblPr>
      <w:tblGrid>
        <w:gridCol w:w="9070"/>
      </w:tblGrid>
      <w:tr w:rsidR="00346F98" w14:paraId="4EE460F8" w14:textId="77777777" w:rsidTr="004E7897">
        <w:tc>
          <w:tcPr>
            <w:tcW w:w="5000" w:type="pct"/>
            <w:hideMark/>
          </w:tcPr>
          <w:p w14:paraId="61C14797" w14:textId="17CCA224" w:rsidR="00346F98" w:rsidRPr="005C20B9" w:rsidRDefault="00346F98" w:rsidP="00346F98">
            <w:pPr>
              <w:pStyle w:val="BoxText"/>
              <w:rPr>
                <w:sz w:val="22"/>
                <w:szCs w:val="22"/>
              </w:rPr>
            </w:pPr>
            <w:r w:rsidRPr="005C20B9">
              <w:rPr>
                <w:sz w:val="22"/>
                <w:szCs w:val="22"/>
              </w:rPr>
              <w:t>The Panel recommends to the Government that, due to the limited timeframe for operation of the amendments, their potential for misuse or facilitation of fraud should be examined in 5</w:t>
            </w:r>
            <w:r w:rsidR="006D794A">
              <w:rPr>
                <w:sz w:val="22"/>
                <w:szCs w:val="22"/>
              </w:rPr>
              <w:t> </w:t>
            </w:r>
            <w:r w:rsidRPr="005C20B9">
              <w:rPr>
                <w:sz w:val="22"/>
                <w:szCs w:val="22"/>
              </w:rPr>
              <w:t>years</w:t>
            </w:r>
            <w:r w:rsidR="00FA4415">
              <w:rPr>
                <w:sz w:val="22"/>
                <w:szCs w:val="22"/>
              </w:rPr>
              <w:t>’</w:t>
            </w:r>
            <w:r w:rsidRPr="005C20B9">
              <w:rPr>
                <w:sz w:val="22"/>
                <w:szCs w:val="22"/>
              </w:rPr>
              <w:t xml:space="preserve"> time to ensure no significant issues have arisen.</w:t>
            </w:r>
          </w:p>
        </w:tc>
      </w:tr>
    </w:tbl>
    <w:p w14:paraId="340E1473" w14:textId="0D239272" w:rsidR="00346F98" w:rsidRPr="003074FE" w:rsidRDefault="00E7144B" w:rsidP="00346F98">
      <w:pPr>
        <w:pStyle w:val="Heading3"/>
      </w:pPr>
      <w:r>
        <w:t>Government</w:t>
      </w:r>
      <w:r w:rsidR="00346F98">
        <w:t xml:space="preserve"> response</w:t>
      </w:r>
    </w:p>
    <w:p w14:paraId="422D3B32" w14:textId="1A60E7C2" w:rsidR="00901B7A" w:rsidRPr="00FA4415" w:rsidRDefault="00901B7A" w:rsidP="00901B7A">
      <w:pPr>
        <w:rPr>
          <w:rStyle w:val="Strong"/>
        </w:rPr>
      </w:pPr>
      <w:r w:rsidRPr="00FA4415">
        <w:rPr>
          <w:rStyle w:val="Strong"/>
        </w:rPr>
        <w:t>The Government agrees to recommendation 11.</w:t>
      </w:r>
    </w:p>
    <w:p w14:paraId="2A68E043" w14:textId="24174E75" w:rsidR="00346F98" w:rsidRPr="003074FE" w:rsidRDefault="00B62CEF" w:rsidP="00FA4415">
      <w:r>
        <w:t xml:space="preserve">The Government will </w:t>
      </w:r>
      <w:r w:rsidR="00472E4C">
        <w:t xml:space="preserve">review </w:t>
      </w:r>
      <w:r w:rsidR="00EF1F56">
        <w:t>whether</w:t>
      </w:r>
      <w:r w:rsidR="001A3707">
        <w:t xml:space="preserve"> the amendments provide for the potential for misuse or facilitation of frau</w:t>
      </w:r>
      <w:r w:rsidR="008D5344">
        <w:t>d</w:t>
      </w:r>
      <w:r w:rsidR="000A4E00">
        <w:t xml:space="preserve"> as recommended</w:t>
      </w:r>
      <w:r w:rsidR="008D5344">
        <w:t>.</w:t>
      </w:r>
    </w:p>
    <w:sectPr w:rsidR="00346F98" w:rsidRPr="003074FE" w:rsidSect="00B66783">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AC45" w14:textId="77777777" w:rsidR="00603E0E" w:rsidRDefault="00603E0E">
      <w:pPr>
        <w:spacing w:before="0" w:after="0"/>
      </w:pPr>
      <w:r>
        <w:separator/>
      </w:r>
    </w:p>
  </w:endnote>
  <w:endnote w:type="continuationSeparator" w:id="0">
    <w:p w14:paraId="716A215C" w14:textId="77777777" w:rsidR="00603E0E" w:rsidRDefault="00603E0E">
      <w:pPr>
        <w:spacing w:before="0" w:after="0"/>
      </w:pPr>
      <w:r>
        <w:continuationSeparator/>
      </w:r>
    </w:p>
  </w:endnote>
  <w:endnote w:type="continuationNotice" w:id="1">
    <w:p w14:paraId="6F0E4BD8" w14:textId="77777777" w:rsidR="00603E0E" w:rsidRDefault="00603E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63D1" w14:textId="2145E668" w:rsidR="00B55B04"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fldSimple w:instr=" STYLEREF  Title  \* MERGEFORMAT ">
      <w:r w:rsidR="007207E1">
        <w:t>Government response to the Statutory Review of the Meetings and Documents Amendments</w:t>
      </w:r>
    </w:fldSimple>
    <w:fldSimple w:instr=" STYLEREF  Title  \* MERGEFORMAT ">
      <w:r w:rsidR="007207E1">
        <w:t>Government response to the Statutory Review of the Meetings and Documents Amendments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7F39" w14:textId="67E8DCA1" w:rsidR="00B55B04" w:rsidRDefault="00B55B04" w:rsidP="003C6534">
    <w:pPr>
      <w:pStyle w:val="FooterOdd"/>
    </w:pPr>
    <w:r>
      <w:ptab w:relativeTo="margin" w:alignment="right" w:leader="none"/>
    </w:r>
    <w:fldSimple w:instr=" STYLEREF  &quot;Heading 1_no TOC&quot;  \* MERGEFORMAT ">
      <w:r w:rsidR="003E1038" w:rsidRPr="003E1038">
        <w:rPr>
          <w:b/>
          <w:bCs/>
          <w:noProof/>
          <w:lang w:val="en-US"/>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F30D" w14:textId="1C828C8C" w:rsidR="00D329F1" w:rsidRDefault="00A80EBD" w:rsidP="00191CFE">
    <w:pPr>
      <w:pStyle w:val="FooterOdd"/>
    </w:pPr>
    <w:fldSimple w:instr=" STYLEREF  &quot;Heading 1&quot;  \* MERGEFORMAT ">
      <w:r w:rsidR="003E1038">
        <w:rPr>
          <w:noProof/>
        </w:rPr>
        <w:t>Minister’s Foreword</w:t>
      </w:r>
    </w:fldSimple>
    <w:r w:rsidR="00191CFE">
      <w:t xml:space="preserve"> | </w:t>
    </w:r>
    <w:r w:rsidR="001515FD">
      <w:fldChar w:fldCharType="begin"/>
    </w:r>
    <w:r w:rsidR="001515FD">
      <w:instrText xml:space="preserve"> PAGE   \* MERGEFORMAT </w:instrText>
    </w:r>
    <w:r w:rsidR="001515FD">
      <w:fldChar w:fldCharType="separate"/>
    </w:r>
    <w:r w:rsidR="001515FD">
      <w:t>1</w:t>
    </w:r>
    <w:r w:rsidR="001515F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9E8E" w14:textId="2B0E3832" w:rsid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 STYLEREF  &quot;Heading 1&quot;  \* MERGEFORMAT ">
      <w:r w:rsidR="003E1038">
        <w:t>Treatment of documents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A83" w14:textId="25F81B45" w:rsidR="00C60B0F" w:rsidRDefault="00A80EBD" w:rsidP="00AB738A">
    <w:pPr>
      <w:pStyle w:val="FooterOdd"/>
    </w:pPr>
    <w:fldSimple w:instr=" STYLEREF  &quot;Heading 1&quot;  \* MERGEFORMAT ">
      <w:r w:rsidR="003E1038">
        <w:rPr>
          <w:noProof/>
        </w:rPr>
        <w:t>Treatment of documents</w:t>
      </w:r>
    </w:fldSimple>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0F4C"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F7B8" w14:textId="77777777" w:rsidR="00603E0E" w:rsidRPr="00ED5A20" w:rsidRDefault="00603E0E" w:rsidP="000F6233">
      <w:pPr>
        <w:rPr>
          <w:color w:val="B2B2B2" w:themeColor="accent2"/>
        </w:rPr>
      </w:pPr>
      <w:r w:rsidRPr="00ED5A20">
        <w:rPr>
          <w:color w:val="B2B2B2" w:themeColor="accent2"/>
        </w:rPr>
        <w:separator/>
      </w:r>
    </w:p>
  </w:footnote>
  <w:footnote w:type="continuationSeparator" w:id="0">
    <w:p w14:paraId="442245F4" w14:textId="77777777" w:rsidR="00603E0E" w:rsidRPr="00B737EB" w:rsidRDefault="00603E0E">
      <w:pPr>
        <w:spacing w:before="0" w:after="0"/>
        <w:rPr>
          <w:color w:val="E6E6E6" w:themeColor="accent1"/>
        </w:rPr>
      </w:pPr>
      <w:r w:rsidRPr="00B737EB">
        <w:rPr>
          <w:color w:val="E6E6E6" w:themeColor="accent1"/>
        </w:rPr>
        <w:continuationSeparator/>
      </w:r>
    </w:p>
  </w:footnote>
  <w:footnote w:type="continuationNotice" w:id="1">
    <w:p w14:paraId="189F4FBF" w14:textId="77777777" w:rsidR="00603E0E" w:rsidRDefault="00603E0E">
      <w:pPr>
        <w:spacing w:before="0" w:after="0"/>
      </w:pPr>
    </w:p>
  </w:footnote>
  <w:footnote w:id="2">
    <w:p w14:paraId="78558E5C" w14:textId="46E53A04" w:rsidR="00E52886" w:rsidRPr="000A5A86" w:rsidRDefault="00E52886" w:rsidP="000A5A86">
      <w:pPr>
        <w:pStyle w:val="FootnoteText"/>
      </w:pPr>
      <w:r w:rsidRPr="000A5A86">
        <w:rPr>
          <w:rStyle w:val="FootnoteReference"/>
          <w:sz w:val="20"/>
        </w:rPr>
        <w:footnoteRef/>
      </w:r>
      <w:r w:rsidRPr="000A5A86">
        <w:t xml:space="preserve"> </w:t>
      </w:r>
      <w:r w:rsidRPr="001C1523">
        <w:rPr>
          <w:rStyle w:val="Emphasis"/>
        </w:rPr>
        <w:t xml:space="preserve">Corporations (Coronavirus Economic Response) Determination (No. 1) 2020 </w:t>
      </w:r>
      <w:r w:rsidRPr="007207E1">
        <w:rPr>
          <w:rStyle w:val="Emphasis"/>
          <w:i w:val="0"/>
          <w:iCs w:val="0"/>
        </w:rPr>
        <w:t>and</w:t>
      </w:r>
      <w:r w:rsidRPr="001C1523">
        <w:rPr>
          <w:rStyle w:val="Emphasis"/>
        </w:rPr>
        <w:t xml:space="preserve"> Corporations (Coronavirus</w:t>
      </w:r>
      <w:r w:rsidR="000A5A86" w:rsidRPr="001C1523">
        <w:rPr>
          <w:rStyle w:val="Emphasis"/>
        </w:rPr>
        <w:t> </w:t>
      </w:r>
      <w:r w:rsidRPr="001C1523">
        <w:rPr>
          <w:rStyle w:val="Emphasis"/>
        </w:rPr>
        <w:t>Economic Response) Determination (No. 3) 2020.</w:t>
      </w:r>
    </w:p>
  </w:footnote>
  <w:footnote w:id="3">
    <w:p w14:paraId="2C69AF74" w14:textId="25B93563" w:rsidR="004E748B" w:rsidRPr="000A5A86" w:rsidRDefault="004E748B" w:rsidP="000A5A86">
      <w:pPr>
        <w:pStyle w:val="FootnoteText"/>
      </w:pPr>
      <w:r w:rsidRPr="000A5A86">
        <w:footnoteRef/>
      </w:r>
      <w:r w:rsidRPr="000A5A86">
        <w:t xml:space="preserve"> Legislative changes were made in 2021 by Schedule 1 to </w:t>
      </w:r>
      <w:r w:rsidR="009E673A" w:rsidRPr="000A5A86">
        <w:t>the</w:t>
      </w:r>
      <w:r w:rsidR="009E673A" w:rsidRPr="001C1523">
        <w:rPr>
          <w:rStyle w:val="Emphasis"/>
        </w:rPr>
        <w:t xml:space="preserve"> Treasury Laws Amendment (2021</w:t>
      </w:r>
      <w:r w:rsidR="001C1523">
        <w:rPr>
          <w:rStyle w:val="Emphasis"/>
        </w:rPr>
        <w:t> </w:t>
      </w:r>
      <w:r w:rsidR="009E673A" w:rsidRPr="001C1523">
        <w:rPr>
          <w:rStyle w:val="Emphasis"/>
        </w:rPr>
        <w:t>Measures</w:t>
      </w:r>
      <w:r w:rsidR="001C1523">
        <w:rPr>
          <w:rStyle w:val="Emphasis"/>
        </w:rPr>
        <w:t> </w:t>
      </w:r>
      <w:r w:rsidR="009E673A" w:rsidRPr="001C1523">
        <w:rPr>
          <w:rStyle w:val="Emphasis"/>
        </w:rPr>
        <w:t>No.</w:t>
      </w:r>
      <w:r w:rsidR="00AA1877" w:rsidRPr="001C1523">
        <w:rPr>
          <w:rStyle w:val="Emphasis"/>
        </w:rPr>
        <w:t> </w:t>
      </w:r>
      <w:r w:rsidR="009E673A" w:rsidRPr="001C1523">
        <w:rPr>
          <w:rStyle w:val="Emphasis"/>
        </w:rPr>
        <w:t>1) Act 2021</w:t>
      </w:r>
      <w:r w:rsidR="009E673A" w:rsidRPr="000A5A86">
        <w:t xml:space="preserve"> (the 2021 Act)</w:t>
      </w:r>
      <w:r w:rsidR="00387E68" w:rsidRPr="000A5A86">
        <w:t xml:space="preserve"> which legislated the flexible approach to the holding of meetings, and the electronic distribution, signing and execution of documents until 31 March 2022. </w:t>
      </w:r>
      <w:r w:rsidR="00BC7E92" w:rsidRPr="000A5A86">
        <w:t>C</w:t>
      </w:r>
      <w:r w:rsidR="00387E68" w:rsidRPr="000A5A86">
        <w:t>hanges in</w:t>
      </w:r>
      <w:r w:rsidR="009E673A" w:rsidRPr="000A5A86">
        <w:t xml:space="preserve"> 2022 by t</w:t>
      </w:r>
      <w:r w:rsidRPr="000A5A86">
        <w:t xml:space="preserve">he </w:t>
      </w:r>
      <w:r w:rsidRPr="001C1523">
        <w:rPr>
          <w:i/>
          <w:iCs/>
        </w:rPr>
        <w:t>Corporations Amendment (Meetings and Documents) Act 2022</w:t>
      </w:r>
      <w:r w:rsidRPr="000A5A86">
        <w:t xml:space="preserve"> (the 2022 Act)</w:t>
      </w:r>
      <w:r w:rsidR="007D4037" w:rsidRPr="000A5A86">
        <w:t xml:space="preserve"> </w:t>
      </w:r>
      <w:r w:rsidR="00BC7E92" w:rsidRPr="000A5A86">
        <w:t xml:space="preserve">legislated a permanent </w:t>
      </w:r>
      <w:r w:rsidR="00B748D7" w:rsidRPr="000A5A86">
        <w:t>flexible approach</w:t>
      </w:r>
      <w:r w:rsidR="009E673A" w:rsidRPr="000A5A86">
        <w:t>.</w:t>
      </w:r>
    </w:p>
  </w:footnote>
  <w:footnote w:id="4">
    <w:p w14:paraId="6B5D150B" w14:textId="1BAD330F" w:rsidR="0020480D" w:rsidRDefault="0020480D" w:rsidP="000A5A86">
      <w:pPr>
        <w:pStyle w:val="FootnoteText"/>
      </w:pPr>
      <w:r w:rsidRPr="000A5A86">
        <w:rPr>
          <w:rStyle w:val="FootnoteReference"/>
          <w:sz w:val="20"/>
        </w:rPr>
        <w:footnoteRef/>
      </w:r>
      <w:r w:rsidRPr="000A5A86">
        <w:rPr>
          <w:rStyle w:val="FootnoteReference"/>
          <w:sz w:val="20"/>
        </w:rPr>
        <w:t xml:space="preserve"> </w:t>
      </w:r>
      <w:hyperlink r:id="rId1" w:history="1">
        <w:r w:rsidR="000A5A86" w:rsidRPr="000A5A86">
          <w:rPr>
            <w:rStyle w:val="Hyperlink"/>
          </w:rPr>
          <w:t>https://treasury.gov.au/review/statutory-review-meetings-and-documents-amendments/terms-reference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C4BD" w14:textId="324C1641" w:rsidR="00B55B04" w:rsidRPr="005C5571" w:rsidRDefault="00A80EBD" w:rsidP="005C5571">
    <w:pPr>
      <w:pStyle w:val="HeaderEven"/>
    </w:pPr>
    <w:fldSimple w:instr=" STYLEREF  Title  \* MERGEFORMAT ">
      <w:r w:rsidR="007207E1">
        <w:rPr>
          <w:noProof/>
        </w:rPr>
        <w:t>Government response to the Statutory Review of the Meetings and Documents Amendments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30FB" w14:textId="7A3A49D6" w:rsidR="00B55B04" w:rsidRPr="00DF012A" w:rsidRDefault="00B55B04" w:rsidP="00DF0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BB8E" w14:textId="67B4F3A6" w:rsidR="005C5571" w:rsidRPr="00DF012A" w:rsidRDefault="005C5571" w:rsidP="00DF0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179F" w14:textId="05A5A3D9" w:rsidR="00B55B04" w:rsidRPr="00DF012A" w:rsidRDefault="00B55B04" w:rsidP="00DF01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AA45" w14:textId="6569416F" w:rsidR="00C60B0F" w:rsidRPr="003D56F2" w:rsidRDefault="00B91973" w:rsidP="00420CD3">
    <w:pPr>
      <w:pStyle w:val="HeaderEven"/>
      <w:rPr>
        <w:rStyle w:val="Strong"/>
      </w:rPr>
    </w:pPr>
    <w:r w:rsidRPr="003D56F2">
      <w:rPr>
        <w:rStyle w:val="Strong"/>
      </w:rPr>
      <w:fldChar w:fldCharType="begin"/>
    </w:r>
    <w:r w:rsidRPr="003D56F2">
      <w:rPr>
        <w:rStyle w:val="Strong"/>
      </w:rPr>
      <w:instrText xml:space="preserve"> STYLEREF  Title  \* MERGEFORMAT </w:instrText>
    </w:r>
    <w:r w:rsidRPr="003D56F2">
      <w:rPr>
        <w:rStyle w:val="Strong"/>
      </w:rPr>
      <w:fldChar w:fldCharType="separate"/>
    </w:r>
    <w:r w:rsidR="003E1038" w:rsidRPr="003E1038">
      <w:rPr>
        <w:rStyle w:val="Strong"/>
        <w:noProof/>
        <w:lang w:val="en-US"/>
      </w:rPr>
      <w:t>Government response to the Statutory Review of the Meetings</w:t>
    </w:r>
    <w:r w:rsidR="003E1038">
      <w:rPr>
        <w:rStyle w:val="Strong"/>
        <w:noProof/>
      </w:rPr>
      <w:t xml:space="preserve"> and Documents Amendments</w:t>
    </w:r>
    <w:r w:rsidRPr="003D56F2">
      <w:rPr>
        <w:rStyle w:val="Strong"/>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918B" w14:textId="09C6E1C6" w:rsidR="00C60B0F" w:rsidRPr="003D56F2" w:rsidRDefault="00B91973" w:rsidP="00420CD3">
    <w:pPr>
      <w:pStyle w:val="HeaderOdd"/>
      <w:rPr>
        <w:rStyle w:val="Strong"/>
      </w:rPr>
    </w:pPr>
    <w:r w:rsidRPr="003D56F2">
      <w:rPr>
        <w:rStyle w:val="Strong"/>
      </w:rPr>
      <w:fldChar w:fldCharType="begin"/>
    </w:r>
    <w:r w:rsidRPr="003D56F2">
      <w:rPr>
        <w:rStyle w:val="Strong"/>
      </w:rPr>
      <w:instrText xml:space="preserve"> STYLEREF  Title  \* MERGEFORMAT </w:instrText>
    </w:r>
    <w:r w:rsidRPr="003D56F2">
      <w:rPr>
        <w:rStyle w:val="Strong"/>
      </w:rPr>
      <w:fldChar w:fldCharType="separate"/>
    </w:r>
    <w:r w:rsidR="003E1038" w:rsidRPr="003E1038">
      <w:rPr>
        <w:rStyle w:val="Strong"/>
        <w:noProof/>
        <w:lang w:val="en-US"/>
      </w:rPr>
      <w:t>Government response to the Statutory Review of the Meetings</w:t>
    </w:r>
    <w:r w:rsidR="003E1038">
      <w:rPr>
        <w:rStyle w:val="Strong"/>
        <w:noProof/>
      </w:rPr>
      <w:t xml:space="preserve"> and Documents Amendments</w:t>
    </w:r>
    <w:r w:rsidRPr="003D56F2">
      <w:rPr>
        <w:rStyle w:val="Strong"/>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D4E5" w14:textId="4F2936C7" w:rsidR="00C60B0F" w:rsidRPr="00DF012A" w:rsidRDefault="00C60B0F" w:rsidP="00DF0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8"/>
  </w:num>
  <w:num w:numId="12" w16cid:durableId="1542596121">
    <w:abstractNumId w:val="12"/>
  </w:num>
  <w:num w:numId="13" w16cid:durableId="920913257">
    <w:abstractNumId w:val="19"/>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7"/>
  </w:num>
  <w:num w:numId="20" w16cid:durableId="1948073332">
    <w:abstractNumId w:val="8"/>
  </w:num>
  <w:num w:numId="21" w16cid:durableId="207180920">
    <w:abstractNumId w:val="13"/>
  </w:num>
  <w:num w:numId="22" w16cid:durableId="1065297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70091E"/>
    <w:rsid w:val="0000763F"/>
    <w:rsid w:val="00011725"/>
    <w:rsid w:val="00012C62"/>
    <w:rsid w:val="0001396A"/>
    <w:rsid w:val="0001657A"/>
    <w:rsid w:val="000167A3"/>
    <w:rsid w:val="00020499"/>
    <w:rsid w:val="0002544D"/>
    <w:rsid w:val="000262B9"/>
    <w:rsid w:val="00027373"/>
    <w:rsid w:val="00030E66"/>
    <w:rsid w:val="00033C83"/>
    <w:rsid w:val="0003540B"/>
    <w:rsid w:val="00041342"/>
    <w:rsid w:val="000421AE"/>
    <w:rsid w:val="0004238D"/>
    <w:rsid w:val="0004274D"/>
    <w:rsid w:val="00042DBB"/>
    <w:rsid w:val="00043348"/>
    <w:rsid w:val="0004483F"/>
    <w:rsid w:val="000450EA"/>
    <w:rsid w:val="00046CB4"/>
    <w:rsid w:val="00046FBC"/>
    <w:rsid w:val="0005138B"/>
    <w:rsid w:val="000522B7"/>
    <w:rsid w:val="00053717"/>
    <w:rsid w:val="00055278"/>
    <w:rsid w:val="000563DA"/>
    <w:rsid w:val="00056880"/>
    <w:rsid w:val="00063FCB"/>
    <w:rsid w:val="000663BA"/>
    <w:rsid w:val="00066640"/>
    <w:rsid w:val="000675D1"/>
    <w:rsid w:val="00072CFD"/>
    <w:rsid w:val="00073521"/>
    <w:rsid w:val="0007576A"/>
    <w:rsid w:val="000770CE"/>
    <w:rsid w:val="000775DE"/>
    <w:rsid w:val="00085C82"/>
    <w:rsid w:val="00085D5A"/>
    <w:rsid w:val="00087500"/>
    <w:rsid w:val="00087FAF"/>
    <w:rsid w:val="000927B7"/>
    <w:rsid w:val="000A14E1"/>
    <w:rsid w:val="000A2A9B"/>
    <w:rsid w:val="000A3675"/>
    <w:rsid w:val="000A4103"/>
    <w:rsid w:val="000A4E00"/>
    <w:rsid w:val="000A5A86"/>
    <w:rsid w:val="000A6C17"/>
    <w:rsid w:val="000B093F"/>
    <w:rsid w:val="000B2C9F"/>
    <w:rsid w:val="000B302A"/>
    <w:rsid w:val="000B3C7A"/>
    <w:rsid w:val="000B4438"/>
    <w:rsid w:val="000B4E2D"/>
    <w:rsid w:val="000B5D76"/>
    <w:rsid w:val="000C1F14"/>
    <w:rsid w:val="000C571D"/>
    <w:rsid w:val="000C5F40"/>
    <w:rsid w:val="000D4B9B"/>
    <w:rsid w:val="000D5E16"/>
    <w:rsid w:val="000D7170"/>
    <w:rsid w:val="000D7F04"/>
    <w:rsid w:val="000E0B74"/>
    <w:rsid w:val="000E2633"/>
    <w:rsid w:val="000E48F6"/>
    <w:rsid w:val="000E63DF"/>
    <w:rsid w:val="000E727D"/>
    <w:rsid w:val="000E7544"/>
    <w:rsid w:val="000E7901"/>
    <w:rsid w:val="000F0911"/>
    <w:rsid w:val="000F19AB"/>
    <w:rsid w:val="000F28B8"/>
    <w:rsid w:val="000F2B17"/>
    <w:rsid w:val="000F3019"/>
    <w:rsid w:val="000F3987"/>
    <w:rsid w:val="000F431E"/>
    <w:rsid w:val="000F6233"/>
    <w:rsid w:val="000F6CDF"/>
    <w:rsid w:val="00100796"/>
    <w:rsid w:val="00100929"/>
    <w:rsid w:val="00102657"/>
    <w:rsid w:val="00104A34"/>
    <w:rsid w:val="00107554"/>
    <w:rsid w:val="001079BE"/>
    <w:rsid w:val="00110EED"/>
    <w:rsid w:val="00113994"/>
    <w:rsid w:val="001143DF"/>
    <w:rsid w:val="00117E27"/>
    <w:rsid w:val="00123AC0"/>
    <w:rsid w:val="00124597"/>
    <w:rsid w:val="00131DC3"/>
    <w:rsid w:val="0013581B"/>
    <w:rsid w:val="00135E4C"/>
    <w:rsid w:val="00136691"/>
    <w:rsid w:val="00136C00"/>
    <w:rsid w:val="0013705A"/>
    <w:rsid w:val="001373F5"/>
    <w:rsid w:val="00137793"/>
    <w:rsid w:val="0014047D"/>
    <w:rsid w:val="00141EF8"/>
    <w:rsid w:val="001424D6"/>
    <w:rsid w:val="001442D8"/>
    <w:rsid w:val="00147B16"/>
    <w:rsid w:val="00150C57"/>
    <w:rsid w:val="00150CCA"/>
    <w:rsid w:val="001515FD"/>
    <w:rsid w:val="00151D5A"/>
    <w:rsid w:val="001552C2"/>
    <w:rsid w:val="001562CB"/>
    <w:rsid w:val="00156831"/>
    <w:rsid w:val="001574C0"/>
    <w:rsid w:val="001579AF"/>
    <w:rsid w:val="00157F71"/>
    <w:rsid w:val="0016015E"/>
    <w:rsid w:val="001606CF"/>
    <w:rsid w:val="001607A0"/>
    <w:rsid w:val="0016128D"/>
    <w:rsid w:val="00164599"/>
    <w:rsid w:val="00164FB3"/>
    <w:rsid w:val="0016524D"/>
    <w:rsid w:val="00165C2A"/>
    <w:rsid w:val="0017089D"/>
    <w:rsid w:val="00173A69"/>
    <w:rsid w:val="00174FAE"/>
    <w:rsid w:val="001805A8"/>
    <w:rsid w:val="00182299"/>
    <w:rsid w:val="0018246C"/>
    <w:rsid w:val="001826A2"/>
    <w:rsid w:val="00184C03"/>
    <w:rsid w:val="0019003E"/>
    <w:rsid w:val="00190699"/>
    <w:rsid w:val="0019101A"/>
    <w:rsid w:val="00191CFE"/>
    <w:rsid w:val="00192C06"/>
    <w:rsid w:val="00195C8E"/>
    <w:rsid w:val="00195CBF"/>
    <w:rsid w:val="001969E0"/>
    <w:rsid w:val="00197280"/>
    <w:rsid w:val="001972D2"/>
    <w:rsid w:val="001A0525"/>
    <w:rsid w:val="001A06CE"/>
    <w:rsid w:val="001A3707"/>
    <w:rsid w:val="001A5383"/>
    <w:rsid w:val="001A7A54"/>
    <w:rsid w:val="001A7BA2"/>
    <w:rsid w:val="001B15E6"/>
    <w:rsid w:val="001C1523"/>
    <w:rsid w:val="001C358D"/>
    <w:rsid w:val="001C40A0"/>
    <w:rsid w:val="001C4EBD"/>
    <w:rsid w:val="001D2E8D"/>
    <w:rsid w:val="001D669F"/>
    <w:rsid w:val="001D66AD"/>
    <w:rsid w:val="001D6AC1"/>
    <w:rsid w:val="001E17AC"/>
    <w:rsid w:val="001E1905"/>
    <w:rsid w:val="001E7DCA"/>
    <w:rsid w:val="001F114A"/>
    <w:rsid w:val="001F1B27"/>
    <w:rsid w:val="001F4506"/>
    <w:rsid w:val="001F695D"/>
    <w:rsid w:val="00200613"/>
    <w:rsid w:val="0020112B"/>
    <w:rsid w:val="00201AB1"/>
    <w:rsid w:val="002023DC"/>
    <w:rsid w:val="00202C1E"/>
    <w:rsid w:val="0020480D"/>
    <w:rsid w:val="002072BB"/>
    <w:rsid w:val="00211A4C"/>
    <w:rsid w:val="002149CD"/>
    <w:rsid w:val="0021506B"/>
    <w:rsid w:val="00221EC0"/>
    <w:rsid w:val="0022276B"/>
    <w:rsid w:val="00225C3D"/>
    <w:rsid w:val="00226AEC"/>
    <w:rsid w:val="00227E75"/>
    <w:rsid w:val="00230A8C"/>
    <w:rsid w:val="00231049"/>
    <w:rsid w:val="002314D2"/>
    <w:rsid w:val="00231BB5"/>
    <w:rsid w:val="0023305C"/>
    <w:rsid w:val="002353E8"/>
    <w:rsid w:val="002405AD"/>
    <w:rsid w:val="00240BF0"/>
    <w:rsid w:val="00240DCB"/>
    <w:rsid w:val="00241881"/>
    <w:rsid w:val="0024294C"/>
    <w:rsid w:val="00242FE4"/>
    <w:rsid w:val="00243132"/>
    <w:rsid w:val="0024333B"/>
    <w:rsid w:val="002437D1"/>
    <w:rsid w:val="002448E7"/>
    <w:rsid w:val="00244997"/>
    <w:rsid w:val="0024571E"/>
    <w:rsid w:val="002461BA"/>
    <w:rsid w:val="00246792"/>
    <w:rsid w:val="002514AF"/>
    <w:rsid w:val="00251765"/>
    <w:rsid w:val="00251A93"/>
    <w:rsid w:val="00252D65"/>
    <w:rsid w:val="00253878"/>
    <w:rsid w:val="002543D8"/>
    <w:rsid w:val="0025652F"/>
    <w:rsid w:val="002608F1"/>
    <w:rsid w:val="00261793"/>
    <w:rsid w:val="00263B6C"/>
    <w:rsid w:val="00264092"/>
    <w:rsid w:val="002717FD"/>
    <w:rsid w:val="00272939"/>
    <w:rsid w:val="00275338"/>
    <w:rsid w:val="0027590B"/>
    <w:rsid w:val="00275AA1"/>
    <w:rsid w:val="002768C3"/>
    <w:rsid w:val="002804FA"/>
    <w:rsid w:val="0028316A"/>
    <w:rsid w:val="002835F6"/>
    <w:rsid w:val="00285969"/>
    <w:rsid w:val="00286847"/>
    <w:rsid w:val="00295B30"/>
    <w:rsid w:val="00295FBE"/>
    <w:rsid w:val="00296BB1"/>
    <w:rsid w:val="002A0F88"/>
    <w:rsid w:val="002A25B8"/>
    <w:rsid w:val="002A3C06"/>
    <w:rsid w:val="002A3EF5"/>
    <w:rsid w:val="002A4524"/>
    <w:rsid w:val="002A6236"/>
    <w:rsid w:val="002A6C08"/>
    <w:rsid w:val="002A6E37"/>
    <w:rsid w:val="002A74EF"/>
    <w:rsid w:val="002A7A31"/>
    <w:rsid w:val="002B0B79"/>
    <w:rsid w:val="002B0E8D"/>
    <w:rsid w:val="002B242E"/>
    <w:rsid w:val="002B3829"/>
    <w:rsid w:val="002C22EF"/>
    <w:rsid w:val="002C3AEE"/>
    <w:rsid w:val="002C4A8E"/>
    <w:rsid w:val="002C522F"/>
    <w:rsid w:val="002C6740"/>
    <w:rsid w:val="002D09A7"/>
    <w:rsid w:val="002D1A7E"/>
    <w:rsid w:val="002D237E"/>
    <w:rsid w:val="002D29BA"/>
    <w:rsid w:val="002D5C23"/>
    <w:rsid w:val="002D603B"/>
    <w:rsid w:val="002E1FB6"/>
    <w:rsid w:val="002E2182"/>
    <w:rsid w:val="002E362B"/>
    <w:rsid w:val="002E454C"/>
    <w:rsid w:val="002E7060"/>
    <w:rsid w:val="002F033E"/>
    <w:rsid w:val="002F26A5"/>
    <w:rsid w:val="002F2B21"/>
    <w:rsid w:val="002F617F"/>
    <w:rsid w:val="00300109"/>
    <w:rsid w:val="00301755"/>
    <w:rsid w:val="00302DAA"/>
    <w:rsid w:val="003043FD"/>
    <w:rsid w:val="0030665E"/>
    <w:rsid w:val="00306894"/>
    <w:rsid w:val="003074FE"/>
    <w:rsid w:val="00310957"/>
    <w:rsid w:val="00310E50"/>
    <w:rsid w:val="00311C0E"/>
    <w:rsid w:val="00311DDE"/>
    <w:rsid w:val="003122F4"/>
    <w:rsid w:val="00313DE6"/>
    <w:rsid w:val="00314FFE"/>
    <w:rsid w:val="00315D94"/>
    <w:rsid w:val="00326151"/>
    <w:rsid w:val="003268D5"/>
    <w:rsid w:val="0033008B"/>
    <w:rsid w:val="0033274B"/>
    <w:rsid w:val="00334176"/>
    <w:rsid w:val="003346A2"/>
    <w:rsid w:val="00334887"/>
    <w:rsid w:val="0033755F"/>
    <w:rsid w:val="0034001A"/>
    <w:rsid w:val="003420DD"/>
    <w:rsid w:val="00342299"/>
    <w:rsid w:val="003433EF"/>
    <w:rsid w:val="00343659"/>
    <w:rsid w:val="003448F6"/>
    <w:rsid w:val="00346C84"/>
    <w:rsid w:val="00346F98"/>
    <w:rsid w:val="003477C9"/>
    <w:rsid w:val="00350388"/>
    <w:rsid w:val="00350759"/>
    <w:rsid w:val="00351AAE"/>
    <w:rsid w:val="0035235F"/>
    <w:rsid w:val="00353594"/>
    <w:rsid w:val="00353F33"/>
    <w:rsid w:val="00354D27"/>
    <w:rsid w:val="003550C0"/>
    <w:rsid w:val="003564D4"/>
    <w:rsid w:val="0035738A"/>
    <w:rsid w:val="00357BEB"/>
    <w:rsid w:val="0036030F"/>
    <w:rsid w:val="003642FC"/>
    <w:rsid w:val="00371761"/>
    <w:rsid w:val="00371E93"/>
    <w:rsid w:val="003722FD"/>
    <w:rsid w:val="00372D99"/>
    <w:rsid w:val="003744B0"/>
    <w:rsid w:val="00375655"/>
    <w:rsid w:val="00377C59"/>
    <w:rsid w:val="00380E9F"/>
    <w:rsid w:val="00381424"/>
    <w:rsid w:val="00384892"/>
    <w:rsid w:val="00384DA4"/>
    <w:rsid w:val="003858A6"/>
    <w:rsid w:val="003870A5"/>
    <w:rsid w:val="00387E68"/>
    <w:rsid w:val="0039150C"/>
    <w:rsid w:val="00392DCC"/>
    <w:rsid w:val="00395779"/>
    <w:rsid w:val="00397BB5"/>
    <w:rsid w:val="003A49B0"/>
    <w:rsid w:val="003A5B36"/>
    <w:rsid w:val="003B5A20"/>
    <w:rsid w:val="003B6507"/>
    <w:rsid w:val="003C24B4"/>
    <w:rsid w:val="003C27C2"/>
    <w:rsid w:val="003C3488"/>
    <w:rsid w:val="003C3A6C"/>
    <w:rsid w:val="003C561F"/>
    <w:rsid w:val="003C6053"/>
    <w:rsid w:val="003C625A"/>
    <w:rsid w:val="003C6534"/>
    <w:rsid w:val="003C7EA3"/>
    <w:rsid w:val="003D1DA4"/>
    <w:rsid w:val="003D25BB"/>
    <w:rsid w:val="003D56F2"/>
    <w:rsid w:val="003D7AED"/>
    <w:rsid w:val="003E0E43"/>
    <w:rsid w:val="003E1038"/>
    <w:rsid w:val="003E20D6"/>
    <w:rsid w:val="003E391A"/>
    <w:rsid w:val="003E4D87"/>
    <w:rsid w:val="003E50F7"/>
    <w:rsid w:val="003E7EB4"/>
    <w:rsid w:val="003F58ED"/>
    <w:rsid w:val="003F655C"/>
    <w:rsid w:val="00400556"/>
    <w:rsid w:val="00401082"/>
    <w:rsid w:val="00401246"/>
    <w:rsid w:val="0040264A"/>
    <w:rsid w:val="00410819"/>
    <w:rsid w:val="00410B57"/>
    <w:rsid w:val="004116CB"/>
    <w:rsid w:val="00412369"/>
    <w:rsid w:val="00415B43"/>
    <w:rsid w:val="00415F51"/>
    <w:rsid w:val="00416762"/>
    <w:rsid w:val="00416E55"/>
    <w:rsid w:val="00420CD3"/>
    <w:rsid w:val="00421955"/>
    <w:rsid w:val="00421DE0"/>
    <w:rsid w:val="00421E2B"/>
    <w:rsid w:val="004233EB"/>
    <w:rsid w:val="0042517D"/>
    <w:rsid w:val="0042518A"/>
    <w:rsid w:val="0042588E"/>
    <w:rsid w:val="00426138"/>
    <w:rsid w:val="00426766"/>
    <w:rsid w:val="004268B3"/>
    <w:rsid w:val="00427599"/>
    <w:rsid w:val="004276A0"/>
    <w:rsid w:val="00427BEC"/>
    <w:rsid w:val="004308F7"/>
    <w:rsid w:val="004327A3"/>
    <w:rsid w:val="00432985"/>
    <w:rsid w:val="00433DF0"/>
    <w:rsid w:val="00437EE9"/>
    <w:rsid w:val="004418BE"/>
    <w:rsid w:val="00444189"/>
    <w:rsid w:val="00444A63"/>
    <w:rsid w:val="00445265"/>
    <w:rsid w:val="004466EA"/>
    <w:rsid w:val="0045026C"/>
    <w:rsid w:val="004521F9"/>
    <w:rsid w:val="0045221E"/>
    <w:rsid w:val="004538CE"/>
    <w:rsid w:val="00453CB7"/>
    <w:rsid w:val="00455318"/>
    <w:rsid w:val="004559CE"/>
    <w:rsid w:val="00455FDD"/>
    <w:rsid w:val="00460E1A"/>
    <w:rsid w:val="00461B54"/>
    <w:rsid w:val="004627FE"/>
    <w:rsid w:val="00463DF8"/>
    <w:rsid w:val="004644DC"/>
    <w:rsid w:val="00471676"/>
    <w:rsid w:val="00471F60"/>
    <w:rsid w:val="0047278E"/>
    <w:rsid w:val="00472E4C"/>
    <w:rsid w:val="00475085"/>
    <w:rsid w:val="00476CF6"/>
    <w:rsid w:val="00476F17"/>
    <w:rsid w:val="00477AA8"/>
    <w:rsid w:val="004858DD"/>
    <w:rsid w:val="00490B4C"/>
    <w:rsid w:val="00492F40"/>
    <w:rsid w:val="00492FCB"/>
    <w:rsid w:val="00493092"/>
    <w:rsid w:val="00495518"/>
    <w:rsid w:val="00497F86"/>
    <w:rsid w:val="004A0F11"/>
    <w:rsid w:val="004A3EAA"/>
    <w:rsid w:val="004A647B"/>
    <w:rsid w:val="004A6489"/>
    <w:rsid w:val="004A7496"/>
    <w:rsid w:val="004A76BA"/>
    <w:rsid w:val="004A7D97"/>
    <w:rsid w:val="004B2F84"/>
    <w:rsid w:val="004B32B8"/>
    <w:rsid w:val="004B38ED"/>
    <w:rsid w:val="004B5133"/>
    <w:rsid w:val="004B5248"/>
    <w:rsid w:val="004B745B"/>
    <w:rsid w:val="004B7B88"/>
    <w:rsid w:val="004C266C"/>
    <w:rsid w:val="004C2712"/>
    <w:rsid w:val="004C2902"/>
    <w:rsid w:val="004C41B6"/>
    <w:rsid w:val="004C6F88"/>
    <w:rsid w:val="004C7BCA"/>
    <w:rsid w:val="004C7EF4"/>
    <w:rsid w:val="004D1036"/>
    <w:rsid w:val="004D390F"/>
    <w:rsid w:val="004D576A"/>
    <w:rsid w:val="004D6E37"/>
    <w:rsid w:val="004D7843"/>
    <w:rsid w:val="004E00EA"/>
    <w:rsid w:val="004E2292"/>
    <w:rsid w:val="004E307D"/>
    <w:rsid w:val="004E340F"/>
    <w:rsid w:val="004E582F"/>
    <w:rsid w:val="004E6B14"/>
    <w:rsid w:val="004E709B"/>
    <w:rsid w:val="004E748B"/>
    <w:rsid w:val="004E7897"/>
    <w:rsid w:val="004F0DE0"/>
    <w:rsid w:val="004F1648"/>
    <w:rsid w:val="004F2220"/>
    <w:rsid w:val="004F2331"/>
    <w:rsid w:val="004F27D6"/>
    <w:rsid w:val="004F2955"/>
    <w:rsid w:val="004F33AB"/>
    <w:rsid w:val="004F47C5"/>
    <w:rsid w:val="004F49B5"/>
    <w:rsid w:val="004F4B92"/>
    <w:rsid w:val="004F6257"/>
    <w:rsid w:val="004F67B8"/>
    <w:rsid w:val="004F705D"/>
    <w:rsid w:val="004F7C52"/>
    <w:rsid w:val="005005F5"/>
    <w:rsid w:val="00500ECA"/>
    <w:rsid w:val="00501B6C"/>
    <w:rsid w:val="005024E9"/>
    <w:rsid w:val="00502A9D"/>
    <w:rsid w:val="00503D9C"/>
    <w:rsid w:val="00507606"/>
    <w:rsid w:val="00510E79"/>
    <w:rsid w:val="00510F9D"/>
    <w:rsid w:val="005112D6"/>
    <w:rsid w:val="00512AEC"/>
    <w:rsid w:val="005163BE"/>
    <w:rsid w:val="00516785"/>
    <w:rsid w:val="005211B6"/>
    <w:rsid w:val="0052419D"/>
    <w:rsid w:val="005301F8"/>
    <w:rsid w:val="005308EC"/>
    <w:rsid w:val="005312FC"/>
    <w:rsid w:val="005329FA"/>
    <w:rsid w:val="00532C6D"/>
    <w:rsid w:val="00534A19"/>
    <w:rsid w:val="0053569E"/>
    <w:rsid w:val="00535D5D"/>
    <w:rsid w:val="0053603D"/>
    <w:rsid w:val="0053649A"/>
    <w:rsid w:val="0053742A"/>
    <w:rsid w:val="00537C85"/>
    <w:rsid w:val="00540808"/>
    <w:rsid w:val="00541D29"/>
    <w:rsid w:val="00543F23"/>
    <w:rsid w:val="005458B4"/>
    <w:rsid w:val="00551981"/>
    <w:rsid w:val="00552035"/>
    <w:rsid w:val="005560C8"/>
    <w:rsid w:val="00562F17"/>
    <w:rsid w:val="00563969"/>
    <w:rsid w:val="00565232"/>
    <w:rsid w:val="0056582C"/>
    <w:rsid w:val="00571514"/>
    <w:rsid w:val="005724EC"/>
    <w:rsid w:val="005727E2"/>
    <w:rsid w:val="005746D9"/>
    <w:rsid w:val="005762C1"/>
    <w:rsid w:val="0057685E"/>
    <w:rsid w:val="00577281"/>
    <w:rsid w:val="005776B2"/>
    <w:rsid w:val="0058118B"/>
    <w:rsid w:val="005816E5"/>
    <w:rsid w:val="00583057"/>
    <w:rsid w:val="00586605"/>
    <w:rsid w:val="005868DE"/>
    <w:rsid w:val="005871B4"/>
    <w:rsid w:val="005877AC"/>
    <w:rsid w:val="00591F43"/>
    <w:rsid w:val="00593BE2"/>
    <w:rsid w:val="00594C70"/>
    <w:rsid w:val="005966B7"/>
    <w:rsid w:val="005A7576"/>
    <w:rsid w:val="005B102E"/>
    <w:rsid w:val="005B3080"/>
    <w:rsid w:val="005B512B"/>
    <w:rsid w:val="005B5E2A"/>
    <w:rsid w:val="005C02A4"/>
    <w:rsid w:val="005C1728"/>
    <w:rsid w:val="005C1F50"/>
    <w:rsid w:val="005C20B9"/>
    <w:rsid w:val="005C20D2"/>
    <w:rsid w:val="005C2589"/>
    <w:rsid w:val="005C32FE"/>
    <w:rsid w:val="005C503A"/>
    <w:rsid w:val="005C5571"/>
    <w:rsid w:val="005C70DA"/>
    <w:rsid w:val="005D024A"/>
    <w:rsid w:val="005D0E50"/>
    <w:rsid w:val="005D0F1D"/>
    <w:rsid w:val="005D1954"/>
    <w:rsid w:val="005D1A9F"/>
    <w:rsid w:val="005D4FD4"/>
    <w:rsid w:val="005D599D"/>
    <w:rsid w:val="005D5DC5"/>
    <w:rsid w:val="005D6D64"/>
    <w:rsid w:val="005E2AA1"/>
    <w:rsid w:val="005E75F1"/>
    <w:rsid w:val="005E7C76"/>
    <w:rsid w:val="005F074F"/>
    <w:rsid w:val="005F35B9"/>
    <w:rsid w:val="005F39F6"/>
    <w:rsid w:val="005F39FA"/>
    <w:rsid w:val="005F3E39"/>
    <w:rsid w:val="006007D2"/>
    <w:rsid w:val="00601650"/>
    <w:rsid w:val="006032B6"/>
    <w:rsid w:val="00603E0E"/>
    <w:rsid w:val="00604EEF"/>
    <w:rsid w:val="00605AFD"/>
    <w:rsid w:val="006111A9"/>
    <w:rsid w:val="00611F76"/>
    <w:rsid w:val="006123D4"/>
    <w:rsid w:val="0061335B"/>
    <w:rsid w:val="0061445B"/>
    <w:rsid w:val="00614985"/>
    <w:rsid w:val="006169D2"/>
    <w:rsid w:val="00624026"/>
    <w:rsid w:val="00624C4B"/>
    <w:rsid w:val="006258CF"/>
    <w:rsid w:val="00627E63"/>
    <w:rsid w:val="00627FB0"/>
    <w:rsid w:val="00632C89"/>
    <w:rsid w:val="00644D92"/>
    <w:rsid w:val="00645655"/>
    <w:rsid w:val="006469CC"/>
    <w:rsid w:val="00647692"/>
    <w:rsid w:val="00650D01"/>
    <w:rsid w:val="00651E4D"/>
    <w:rsid w:val="006553D2"/>
    <w:rsid w:val="00656C28"/>
    <w:rsid w:val="00660FC6"/>
    <w:rsid w:val="00661FFF"/>
    <w:rsid w:val="00665773"/>
    <w:rsid w:val="00667216"/>
    <w:rsid w:val="00670184"/>
    <w:rsid w:val="00671157"/>
    <w:rsid w:val="0067192A"/>
    <w:rsid w:val="00672B5D"/>
    <w:rsid w:val="00675D34"/>
    <w:rsid w:val="0067622C"/>
    <w:rsid w:val="00676668"/>
    <w:rsid w:val="006807DA"/>
    <w:rsid w:val="00682249"/>
    <w:rsid w:val="006834AB"/>
    <w:rsid w:val="006845F2"/>
    <w:rsid w:val="006849F1"/>
    <w:rsid w:val="00685CF7"/>
    <w:rsid w:val="00686165"/>
    <w:rsid w:val="00686889"/>
    <w:rsid w:val="00691CB5"/>
    <w:rsid w:val="006923DF"/>
    <w:rsid w:val="0069294B"/>
    <w:rsid w:val="00693BF4"/>
    <w:rsid w:val="006954B6"/>
    <w:rsid w:val="006A308B"/>
    <w:rsid w:val="006A37F5"/>
    <w:rsid w:val="006A3F23"/>
    <w:rsid w:val="006A5CE7"/>
    <w:rsid w:val="006B0B76"/>
    <w:rsid w:val="006B1857"/>
    <w:rsid w:val="006B38FF"/>
    <w:rsid w:val="006B4D99"/>
    <w:rsid w:val="006B6EBA"/>
    <w:rsid w:val="006C068C"/>
    <w:rsid w:val="006C08B4"/>
    <w:rsid w:val="006C15E3"/>
    <w:rsid w:val="006C1892"/>
    <w:rsid w:val="006C5B73"/>
    <w:rsid w:val="006C645D"/>
    <w:rsid w:val="006D794A"/>
    <w:rsid w:val="006E1956"/>
    <w:rsid w:val="006E1B21"/>
    <w:rsid w:val="006E2D2A"/>
    <w:rsid w:val="006E3CC3"/>
    <w:rsid w:val="006E438D"/>
    <w:rsid w:val="006E6393"/>
    <w:rsid w:val="006F0AB0"/>
    <w:rsid w:val="006F2DD9"/>
    <w:rsid w:val="006F340E"/>
    <w:rsid w:val="006F4814"/>
    <w:rsid w:val="006F51C5"/>
    <w:rsid w:val="0070091E"/>
    <w:rsid w:val="0070178D"/>
    <w:rsid w:val="007056C6"/>
    <w:rsid w:val="00705CCB"/>
    <w:rsid w:val="00706E8E"/>
    <w:rsid w:val="00707078"/>
    <w:rsid w:val="00713514"/>
    <w:rsid w:val="00713A4C"/>
    <w:rsid w:val="00713F5E"/>
    <w:rsid w:val="00715515"/>
    <w:rsid w:val="007169B7"/>
    <w:rsid w:val="007207E1"/>
    <w:rsid w:val="00722B53"/>
    <w:rsid w:val="00722BB9"/>
    <w:rsid w:val="00723A5D"/>
    <w:rsid w:val="0072486F"/>
    <w:rsid w:val="00726329"/>
    <w:rsid w:val="00726A8F"/>
    <w:rsid w:val="00727AD1"/>
    <w:rsid w:val="00730772"/>
    <w:rsid w:val="007307A5"/>
    <w:rsid w:val="007341BE"/>
    <w:rsid w:val="007368C9"/>
    <w:rsid w:val="00737DDC"/>
    <w:rsid w:val="00742366"/>
    <w:rsid w:val="00743D0C"/>
    <w:rsid w:val="00744484"/>
    <w:rsid w:val="00744E28"/>
    <w:rsid w:val="00745FBF"/>
    <w:rsid w:val="00745FE2"/>
    <w:rsid w:val="007502E6"/>
    <w:rsid w:val="007509DD"/>
    <w:rsid w:val="00755D91"/>
    <w:rsid w:val="0076192A"/>
    <w:rsid w:val="00762D38"/>
    <w:rsid w:val="00763474"/>
    <w:rsid w:val="00764221"/>
    <w:rsid w:val="007643C7"/>
    <w:rsid w:val="00764E16"/>
    <w:rsid w:val="00765289"/>
    <w:rsid w:val="00766184"/>
    <w:rsid w:val="007674C6"/>
    <w:rsid w:val="007763F3"/>
    <w:rsid w:val="007812D3"/>
    <w:rsid w:val="0078257B"/>
    <w:rsid w:val="00783D75"/>
    <w:rsid w:val="00783EFC"/>
    <w:rsid w:val="0078430D"/>
    <w:rsid w:val="00784C0A"/>
    <w:rsid w:val="00787509"/>
    <w:rsid w:val="007878F0"/>
    <w:rsid w:val="00787FD6"/>
    <w:rsid w:val="00790447"/>
    <w:rsid w:val="00790CDE"/>
    <w:rsid w:val="00794B40"/>
    <w:rsid w:val="00796E26"/>
    <w:rsid w:val="007A1079"/>
    <w:rsid w:val="007B2677"/>
    <w:rsid w:val="007B3048"/>
    <w:rsid w:val="007B76AB"/>
    <w:rsid w:val="007C37ED"/>
    <w:rsid w:val="007C493A"/>
    <w:rsid w:val="007D0BB7"/>
    <w:rsid w:val="007D2375"/>
    <w:rsid w:val="007D4037"/>
    <w:rsid w:val="007D46C8"/>
    <w:rsid w:val="007D592B"/>
    <w:rsid w:val="007D5AA6"/>
    <w:rsid w:val="007D77C8"/>
    <w:rsid w:val="007D7A91"/>
    <w:rsid w:val="007E0483"/>
    <w:rsid w:val="007E0F89"/>
    <w:rsid w:val="007E1EBE"/>
    <w:rsid w:val="007E38C9"/>
    <w:rsid w:val="007E6456"/>
    <w:rsid w:val="007F1F67"/>
    <w:rsid w:val="007F2930"/>
    <w:rsid w:val="007F351C"/>
    <w:rsid w:val="007F5AF1"/>
    <w:rsid w:val="007F7A66"/>
    <w:rsid w:val="0080073B"/>
    <w:rsid w:val="00806B20"/>
    <w:rsid w:val="0080771B"/>
    <w:rsid w:val="00810243"/>
    <w:rsid w:val="00811943"/>
    <w:rsid w:val="00815C81"/>
    <w:rsid w:val="008166D6"/>
    <w:rsid w:val="00816921"/>
    <w:rsid w:val="008173C2"/>
    <w:rsid w:val="00817B17"/>
    <w:rsid w:val="0082057B"/>
    <w:rsid w:val="008207F0"/>
    <w:rsid w:val="00821727"/>
    <w:rsid w:val="00821AAE"/>
    <w:rsid w:val="00822390"/>
    <w:rsid w:val="00825FEF"/>
    <w:rsid w:val="008311B8"/>
    <w:rsid w:val="00834243"/>
    <w:rsid w:val="00836C8D"/>
    <w:rsid w:val="008374C4"/>
    <w:rsid w:val="00840896"/>
    <w:rsid w:val="008418AA"/>
    <w:rsid w:val="00846CCD"/>
    <w:rsid w:val="0085085D"/>
    <w:rsid w:val="00853F7B"/>
    <w:rsid w:val="00854E2E"/>
    <w:rsid w:val="00855C40"/>
    <w:rsid w:val="008563A5"/>
    <w:rsid w:val="00857969"/>
    <w:rsid w:val="00863119"/>
    <w:rsid w:val="00863874"/>
    <w:rsid w:val="00863B57"/>
    <w:rsid w:val="00865E4E"/>
    <w:rsid w:val="00866C1D"/>
    <w:rsid w:val="00871DE1"/>
    <w:rsid w:val="00876A90"/>
    <w:rsid w:val="00876D44"/>
    <w:rsid w:val="00877910"/>
    <w:rsid w:val="00882CC4"/>
    <w:rsid w:val="008844AC"/>
    <w:rsid w:val="00884926"/>
    <w:rsid w:val="0088666B"/>
    <w:rsid w:val="00890DF4"/>
    <w:rsid w:val="0089141C"/>
    <w:rsid w:val="008914BA"/>
    <w:rsid w:val="00896C5D"/>
    <w:rsid w:val="0089734E"/>
    <w:rsid w:val="008974A9"/>
    <w:rsid w:val="00897F46"/>
    <w:rsid w:val="008A1B2D"/>
    <w:rsid w:val="008A27FB"/>
    <w:rsid w:val="008A6095"/>
    <w:rsid w:val="008B0EF8"/>
    <w:rsid w:val="008B1511"/>
    <w:rsid w:val="008C07EE"/>
    <w:rsid w:val="008C3846"/>
    <w:rsid w:val="008C488C"/>
    <w:rsid w:val="008C4B22"/>
    <w:rsid w:val="008C5083"/>
    <w:rsid w:val="008C5EC0"/>
    <w:rsid w:val="008C7F71"/>
    <w:rsid w:val="008D26AC"/>
    <w:rsid w:val="008D28F8"/>
    <w:rsid w:val="008D339F"/>
    <w:rsid w:val="008D43B4"/>
    <w:rsid w:val="008D5344"/>
    <w:rsid w:val="008D67EA"/>
    <w:rsid w:val="008E2CB1"/>
    <w:rsid w:val="008E46D6"/>
    <w:rsid w:val="008E52E6"/>
    <w:rsid w:val="008E6292"/>
    <w:rsid w:val="008E6CA3"/>
    <w:rsid w:val="008E7001"/>
    <w:rsid w:val="008F0A11"/>
    <w:rsid w:val="008F23EB"/>
    <w:rsid w:val="008F4011"/>
    <w:rsid w:val="008F40A7"/>
    <w:rsid w:val="008F585A"/>
    <w:rsid w:val="008F5C7C"/>
    <w:rsid w:val="00901B7A"/>
    <w:rsid w:val="0090201A"/>
    <w:rsid w:val="00903879"/>
    <w:rsid w:val="00906E61"/>
    <w:rsid w:val="009077F5"/>
    <w:rsid w:val="00910125"/>
    <w:rsid w:val="009114E5"/>
    <w:rsid w:val="00915C9C"/>
    <w:rsid w:val="00915D27"/>
    <w:rsid w:val="00917E28"/>
    <w:rsid w:val="0092200B"/>
    <w:rsid w:val="009250E6"/>
    <w:rsid w:val="00925AA5"/>
    <w:rsid w:val="00925AEA"/>
    <w:rsid w:val="0093540D"/>
    <w:rsid w:val="00937A4F"/>
    <w:rsid w:val="00937AF5"/>
    <w:rsid w:val="0094019D"/>
    <w:rsid w:val="00941532"/>
    <w:rsid w:val="00942C11"/>
    <w:rsid w:val="0094351F"/>
    <w:rsid w:val="0094638A"/>
    <w:rsid w:val="009464D5"/>
    <w:rsid w:val="00946D28"/>
    <w:rsid w:val="00947A5D"/>
    <w:rsid w:val="009523CD"/>
    <w:rsid w:val="009547F8"/>
    <w:rsid w:val="009554B2"/>
    <w:rsid w:val="00957417"/>
    <w:rsid w:val="009620BE"/>
    <w:rsid w:val="00962ACF"/>
    <w:rsid w:val="00963645"/>
    <w:rsid w:val="00964221"/>
    <w:rsid w:val="00964E17"/>
    <w:rsid w:val="009655FE"/>
    <w:rsid w:val="00965E7E"/>
    <w:rsid w:val="0097070F"/>
    <w:rsid w:val="00971082"/>
    <w:rsid w:val="009729D4"/>
    <w:rsid w:val="00974842"/>
    <w:rsid w:val="009749B7"/>
    <w:rsid w:val="00974EB7"/>
    <w:rsid w:val="00975EC4"/>
    <w:rsid w:val="00980759"/>
    <w:rsid w:val="00980961"/>
    <w:rsid w:val="009817B0"/>
    <w:rsid w:val="00981F4E"/>
    <w:rsid w:val="009821CE"/>
    <w:rsid w:val="009835D3"/>
    <w:rsid w:val="00983E81"/>
    <w:rsid w:val="009846B8"/>
    <w:rsid w:val="00985D82"/>
    <w:rsid w:val="00991708"/>
    <w:rsid w:val="00991A31"/>
    <w:rsid w:val="00996991"/>
    <w:rsid w:val="00996C9C"/>
    <w:rsid w:val="009A277C"/>
    <w:rsid w:val="009A5F34"/>
    <w:rsid w:val="009A658F"/>
    <w:rsid w:val="009A65CD"/>
    <w:rsid w:val="009A6A8D"/>
    <w:rsid w:val="009B088F"/>
    <w:rsid w:val="009B2249"/>
    <w:rsid w:val="009B4E61"/>
    <w:rsid w:val="009B4F11"/>
    <w:rsid w:val="009B612A"/>
    <w:rsid w:val="009B6798"/>
    <w:rsid w:val="009B7919"/>
    <w:rsid w:val="009C2707"/>
    <w:rsid w:val="009C4692"/>
    <w:rsid w:val="009C7D75"/>
    <w:rsid w:val="009D0FB6"/>
    <w:rsid w:val="009D1199"/>
    <w:rsid w:val="009D2CFF"/>
    <w:rsid w:val="009D449A"/>
    <w:rsid w:val="009D4DA2"/>
    <w:rsid w:val="009E04E4"/>
    <w:rsid w:val="009E0CA5"/>
    <w:rsid w:val="009E11FD"/>
    <w:rsid w:val="009E171B"/>
    <w:rsid w:val="009E1F7A"/>
    <w:rsid w:val="009E46FF"/>
    <w:rsid w:val="009E673A"/>
    <w:rsid w:val="009E68FE"/>
    <w:rsid w:val="009F52B4"/>
    <w:rsid w:val="00A00436"/>
    <w:rsid w:val="00A015E8"/>
    <w:rsid w:val="00A025BA"/>
    <w:rsid w:val="00A02753"/>
    <w:rsid w:val="00A029AD"/>
    <w:rsid w:val="00A04848"/>
    <w:rsid w:val="00A0563B"/>
    <w:rsid w:val="00A07D47"/>
    <w:rsid w:val="00A10502"/>
    <w:rsid w:val="00A10593"/>
    <w:rsid w:val="00A1099C"/>
    <w:rsid w:val="00A112C6"/>
    <w:rsid w:val="00A12F62"/>
    <w:rsid w:val="00A146A5"/>
    <w:rsid w:val="00A14FE9"/>
    <w:rsid w:val="00A157E0"/>
    <w:rsid w:val="00A15A36"/>
    <w:rsid w:val="00A1602C"/>
    <w:rsid w:val="00A22B2C"/>
    <w:rsid w:val="00A22DEA"/>
    <w:rsid w:val="00A24157"/>
    <w:rsid w:val="00A24911"/>
    <w:rsid w:val="00A26D73"/>
    <w:rsid w:val="00A26E3D"/>
    <w:rsid w:val="00A27D18"/>
    <w:rsid w:val="00A30C23"/>
    <w:rsid w:val="00A3153C"/>
    <w:rsid w:val="00A32F64"/>
    <w:rsid w:val="00A33C0B"/>
    <w:rsid w:val="00A347B6"/>
    <w:rsid w:val="00A362B0"/>
    <w:rsid w:val="00A3749B"/>
    <w:rsid w:val="00A37D37"/>
    <w:rsid w:val="00A37D87"/>
    <w:rsid w:val="00A37DDB"/>
    <w:rsid w:val="00A400E3"/>
    <w:rsid w:val="00A41122"/>
    <w:rsid w:val="00A50D88"/>
    <w:rsid w:val="00A533CE"/>
    <w:rsid w:val="00A54654"/>
    <w:rsid w:val="00A55D4B"/>
    <w:rsid w:val="00A56923"/>
    <w:rsid w:val="00A62E42"/>
    <w:rsid w:val="00A631B1"/>
    <w:rsid w:val="00A64916"/>
    <w:rsid w:val="00A64A71"/>
    <w:rsid w:val="00A65143"/>
    <w:rsid w:val="00A652A5"/>
    <w:rsid w:val="00A65CD3"/>
    <w:rsid w:val="00A66AE3"/>
    <w:rsid w:val="00A675DF"/>
    <w:rsid w:val="00A67630"/>
    <w:rsid w:val="00A717F8"/>
    <w:rsid w:val="00A7236C"/>
    <w:rsid w:val="00A72960"/>
    <w:rsid w:val="00A72D8F"/>
    <w:rsid w:val="00A73570"/>
    <w:rsid w:val="00A7426F"/>
    <w:rsid w:val="00A74815"/>
    <w:rsid w:val="00A76655"/>
    <w:rsid w:val="00A77C76"/>
    <w:rsid w:val="00A80522"/>
    <w:rsid w:val="00A80EBD"/>
    <w:rsid w:val="00A85D32"/>
    <w:rsid w:val="00A9190C"/>
    <w:rsid w:val="00A91E48"/>
    <w:rsid w:val="00A93323"/>
    <w:rsid w:val="00A93401"/>
    <w:rsid w:val="00A9384F"/>
    <w:rsid w:val="00A97160"/>
    <w:rsid w:val="00AA1877"/>
    <w:rsid w:val="00AA5CC9"/>
    <w:rsid w:val="00AA7D7E"/>
    <w:rsid w:val="00AB0C3B"/>
    <w:rsid w:val="00AB1407"/>
    <w:rsid w:val="00AB4A4A"/>
    <w:rsid w:val="00AB53C6"/>
    <w:rsid w:val="00AB6F56"/>
    <w:rsid w:val="00AB6F6A"/>
    <w:rsid w:val="00AB738A"/>
    <w:rsid w:val="00AC102B"/>
    <w:rsid w:val="00AC246A"/>
    <w:rsid w:val="00AC3196"/>
    <w:rsid w:val="00AC4065"/>
    <w:rsid w:val="00AC637C"/>
    <w:rsid w:val="00AD67B8"/>
    <w:rsid w:val="00AD7883"/>
    <w:rsid w:val="00AE2F90"/>
    <w:rsid w:val="00AE41F0"/>
    <w:rsid w:val="00AE5561"/>
    <w:rsid w:val="00AE7394"/>
    <w:rsid w:val="00AF13B7"/>
    <w:rsid w:val="00AF29E6"/>
    <w:rsid w:val="00AF39B4"/>
    <w:rsid w:val="00B01AA2"/>
    <w:rsid w:val="00B03DD6"/>
    <w:rsid w:val="00B05223"/>
    <w:rsid w:val="00B10294"/>
    <w:rsid w:val="00B10C62"/>
    <w:rsid w:val="00B11F4F"/>
    <w:rsid w:val="00B14CD7"/>
    <w:rsid w:val="00B163DF"/>
    <w:rsid w:val="00B16A08"/>
    <w:rsid w:val="00B17F7C"/>
    <w:rsid w:val="00B2031E"/>
    <w:rsid w:val="00B214C6"/>
    <w:rsid w:val="00B2191F"/>
    <w:rsid w:val="00B2310C"/>
    <w:rsid w:val="00B274F1"/>
    <w:rsid w:val="00B33D4D"/>
    <w:rsid w:val="00B3583B"/>
    <w:rsid w:val="00B37A8F"/>
    <w:rsid w:val="00B41454"/>
    <w:rsid w:val="00B50DC3"/>
    <w:rsid w:val="00B511D6"/>
    <w:rsid w:val="00B51746"/>
    <w:rsid w:val="00B525A5"/>
    <w:rsid w:val="00B53E40"/>
    <w:rsid w:val="00B55003"/>
    <w:rsid w:val="00B55570"/>
    <w:rsid w:val="00B55B04"/>
    <w:rsid w:val="00B5651E"/>
    <w:rsid w:val="00B60C84"/>
    <w:rsid w:val="00B62CEF"/>
    <w:rsid w:val="00B631A9"/>
    <w:rsid w:val="00B65347"/>
    <w:rsid w:val="00B65DE1"/>
    <w:rsid w:val="00B66783"/>
    <w:rsid w:val="00B72AF0"/>
    <w:rsid w:val="00B72B28"/>
    <w:rsid w:val="00B72DDA"/>
    <w:rsid w:val="00B73400"/>
    <w:rsid w:val="00B737EB"/>
    <w:rsid w:val="00B748D7"/>
    <w:rsid w:val="00B775EE"/>
    <w:rsid w:val="00B86093"/>
    <w:rsid w:val="00B8731F"/>
    <w:rsid w:val="00B876A8"/>
    <w:rsid w:val="00B87927"/>
    <w:rsid w:val="00B91973"/>
    <w:rsid w:val="00B95A30"/>
    <w:rsid w:val="00B96AA3"/>
    <w:rsid w:val="00B96FB5"/>
    <w:rsid w:val="00B97308"/>
    <w:rsid w:val="00B979E8"/>
    <w:rsid w:val="00BA1A62"/>
    <w:rsid w:val="00BA2F1A"/>
    <w:rsid w:val="00BB00F3"/>
    <w:rsid w:val="00BB0973"/>
    <w:rsid w:val="00BB32BD"/>
    <w:rsid w:val="00BB39C9"/>
    <w:rsid w:val="00BC37B1"/>
    <w:rsid w:val="00BC6E69"/>
    <w:rsid w:val="00BC7E92"/>
    <w:rsid w:val="00BD26AA"/>
    <w:rsid w:val="00BD2B12"/>
    <w:rsid w:val="00BD454F"/>
    <w:rsid w:val="00BD5DBA"/>
    <w:rsid w:val="00BD659D"/>
    <w:rsid w:val="00BD7E1F"/>
    <w:rsid w:val="00BE3747"/>
    <w:rsid w:val="00BE4CF4"/>
    <w:rsid w:val="00BE7EA5"/>
    <w:rsid w:val="00BF66DA"/>
    <w:rsid w:val="00C01DCC"/>
    <w:rsid w:val="00C0517B"/>
    <w:rsid w:val="00C104EC"/>
    <w:rsid w:val="00C14A48"/>
    <w:rsid w:val="00C15220"/>
    <w:rsid w:val="00C16663"/>
    <w:rsid w:val="00C17787"/>
    <w:rsid w:val="00C202B3"/>
    <w:rsid w:val="00C2092A"/>
    <w:rsid w:val="00C213BF"/>
    <w:rsid w:val="00C21EE0"/>
    <w:rsid w:val="00C26EE8"/>
    <w:rsid w:val="00C30297"/>
    <w:rsid w:val="00C35824"/>
    <w:rsid w:val="00C3611B"/>
    <w:rsid w:val="00C3698A"/>
    <w:rsid w:val="00C37BE7"/>
    <w:rsid w:val="00C420E1"/>
    <w:rsid w:val="00C421B2"/>
    <w:rsid w:val="00C45467"/>
    <w:rsid w:val="00C456C3"/>
    <w:rsid w:val="00C46354"/>
    <w:rsid w:val="00C4695A"/>
    <w:rsid w:val="00C50845"/>
    <w:rsid w:val="00C50AC5"/>
    <w:rsid w:val="00C50B48"/>
    <w:rsid w:val="00C555AC"/>
    <w:rsid w:val="00C55800"/>
    <w:rsid w:val="00C60B0F"/>
    <w:rsid w:val="00C66505"/>
    <w:rsid w:val="00C66D76"/>
    <w:rsid w:val="00C6769E"/>
    <w:rsid w:val="00C67CB6"/>
    <w:rsid w:val="00C70AC2"/>
    <w:rsid w:val="00C713ED"/>
    <w:rsid w:val="00C72318"/>
    <w:rsid w:val="00C723D6"/>
    <w:rsid w:val="00C724E6"/>
    <w:rsid w:val="00C733A5"/>
    <w:rsid w:val="00C737C2"/>
    <w:rsid w:val="00C738B4"/>
    <w:rsid w:val="00C747A5"/>
    <w:rsid w:val="00C77156"/>
    <w:rsid w:val="00C7779A"/>
    <w:rsid w:val="00C80370"/>
    <w:rsid w:val="00C812AF"/>
    <w:rsid w:val="00C81A0B"/>
    <w:rsid w:val="00C8245D"/>
    <w:rsid w:val="00C829A9"/>
    <w:rsid w:val="00C83185"/>
    <w:rsid w:val="00C850AF"/>
    <w:rsid w:val="00C85314"/>
    <w:rsid w:val="00C922E8"/>
    <w:rsid w:val="00C964E0"/>
    <w:rsid w:val="00CA0116"/>
    <w:rsid w:val="00CA4BC0"/>
    <w:rsid w:val="00CA5CA8"/>
    <w:rsid w:val="00CB0157"/>
    <w:rsid w:val="00CB0EF0"/>
    <w:rsid w:val="00CB28E9"/>
    <w:rsid w:val="00CB4821"/>
    <w:rsid w:val="00CB512C"/>
    <w:rsid w:val="00CB5205"/>
    <w:rsid w:val="00CB5E6B"/>
    <w:rsid w:val="00CB69C2"/>
    <w:rsid w:val="00CC2F27"/>
    <w:rsid w:val="00CC307B"/>
    <w:rsid w:val="00CC33EE"/>
    <w:rsid w:val="00CC37D5"/>
    <w:rsid w:val="00CC38AC"/>
    <w:rsid w:val="00CC559D"/>
    <w:rsid w:val="00CC593C"/>
    <w:rsid w:val="00CD06E7"/>
    <w:rsid w:val="00CD0C13"/>
    <w:rsid w:val="00CD654B"/>
    <w:rsid w:val="00CE013D"/>
    <w:rsid w:val="00CE223E"/>
    <w:rsid w:val="00CE4B8F"/>
    <w:rsid w:val="00CE4E49"/>
    <w:rsid w:val="00CE51CB"/>
    <w:rsid w:val="00CE54DF"/>
    <w:rsid w:val="00CE6CA6"/>
    <w:rsid w:val="00CE7B45"/>
    <w:rsid w:val="00CF0041"/>
    <w:rsid w:val="00CF2E71"/>
    <w:rsid w:val="00CF3F0D"/>
    <w:rsid w:val="00CF6C7F"/>
    <w:rsid w:val="00D0497B"/>
    <w:rsid w:val="00D0732C"/>
    <w:rsid w:val="00D101F7"/>
    <w:rsid w:val="00D12D29"/>
    <w:rsid w:val="00D145F5"/>
    <w:rsid w:val="00D161C1"/>
    <w:rsid w:val="00D16A47"/>
    <w:rsid w:val="00D235F2"/>
    <w:rsid w:val="00D2405E"/>
    <w:rsid w:val="00D242AD"/>
    <w:rsid w:val="00D27CB1"/>
    <w:rsid w:val="00D31604"/>
    <w:rsid w:val="00D316A1"/>
    <w:rsid w:val="00D31C9D"/>
    <w:rsid w:val="00D3285B"/>
    <w:rsid w:val="00D329F1"/>
    <w:rsid w:val="00D34AB5"/>
    <w:rsid w:val="00D355F0"/>
    <w:rsid w:val="00D36998"/>
    <w:rsid w:val="00D402CF"/>
    <w:rsid w:val="00D414C6"/>
    <w:rsid w:val="00D43AC8"/>
    <w:rsid w:val="00D455E2"/>
    <w:rsid w:val="00D45A4B"/>
    <w:rsid w:val="00D50879"/>
    <w:rsid w:val="00D51610"/>
    <w:rsid w:val="00D522A8"/>
    <w:rsid w:val="00D54098"/>
    <w:rsid w:val="00D54F46"/>
    <w:rsid w:val="00D5548C"/>
    <w:rsid w:val="00D5600B"/>
    <w:rsid w:val="00D56113"/>
    <w:rsid w:val="00D60699"/>
    <w:rsid w:val="00D60D01"/>
    <w:rsid w:val="00D643F4"/>
    <w:rsid w:val="00D70D66"/>
    <w:rsid w:val="00D71D5D"/>
    <w:rsid w:val="00D72140"/>
    <w:rsid w:val="00D773E1"/>
    <w:rsid w:val="00D80AB2"/>
    <w:rsid w:val="00D82E1E"/>
    <w:rsid w:val="00D833D9"/>
    <w:rsid w:val="00D83BD9"/>
    <w:rsid w:val="00D86602"/>
    <w:rsid w:val="00D94DCF"/>
    <w:rsid w:val="00D94EAE"/>
    <w:rsid w:val="00DA01E0"/>
    <w:rsid w:val="00DA0875"/>
    <w:rsid w:val="00DA586F"/>
    <w:rsid w:val="00DB08DA"/>
    <w:rsid w:val="00DB0D72"/>
    <w:rsid w:val="00DB2898"/>
    <w:rsid w:val="00DB3744"/>
    <w:rsid w:val="00DB3A5D"/>
    <w:rsid w:val="00DB5E34"/>
    <w:rsid w:val="00DB5E89"/>
    <w:rsid w:val="00DB71F8"/>
    <w:rsid w:val="00DB7F09"/>
    <w:rsid w:val="00DC00E8"/>
    <w:rsid w:val="00DC1C56"/>
    <w:rsid w:val="00DC2923"/>
    <w:rsid w:val="00DC2E05"/>
    <w:rsid w:val="00DC335E"/>
    <w:rsid w:val="00DC4552"/>
    <w:rsid w:val="00DC4756"/>
    <w:rsid w:val="00DC5D24"/>
    <w:rsid w:val="00DC6379"/>
    <w:rsid w:val="00DC6AAD"/>
    <w:rsid w:val="00DC7A3B"/>
    <w:rsid w:val="00DD06D7"/>
    <w:rsid w:val="00DD20FC"/>
    <w:rsid w:val="00DD2E73"/>
    <w:rsid w:val="00DE0F72"/>
    <w:rsid w:val="00DE24AC"/>
    <w:rsid w:val="00DE2763"/>
    <w:rsid w:val="00DE3374"/>
    <w:rsid w:val="00DE3A53"/>
    <w:rsid w:val="00DE3C77"/>
    <w:rsid w:val="00DE6EF7"/>
    <w:rsid w:val="00DE70F1"/>
    <w:rsid w:val="00DE7DEA"/>
    <w:rsid w:val="00DF012A"/>
    <w:rsid w:val="00DF25A4"/>
    <w:rsid w:val="00DF5DA6"/>
    <w:rsid w:val="00DF6F61"/>
    <w:rsid w:val="00DF764C"/>
    <w:rsid w:val="00E002B7"/>
    <w:rsid w:val="00E002D9"/>
    <w:rsid w:val="00E03934"/>
    <w:rsid w:val="00E042A6"/>
    <w:rsid w:val="00E04423"/>
    <w:rsid w:val="00E04EAB"/>
    <w:rsid w:val="00E05B9E"/>
    <w:rsid w:val="00E06425"/>
    <w:rsid w:val="00E0670C"/>
    <w:rsid w:val="00E101C6"/>
    <w:rsid w:val="00E106CA"/>
    <w:rsid w:val="00E10B53"/>
    <w:rsid w:val="00E11396"/>
    <w:rsid w:val="00E12633"/>
    <w:rsid w:val="00E14C06"/>
    <w:rsid w:val="00E15096"/>
    <w:rsid w:val="00E15D56"/>
    <w:rsid w:val="00E16C01"/>
    <w:rsid w:val="00E2119F"/>
    <w:rsid w:val="00E22D51"/>
    <w:rsid w:val="00E253F6"/>
    <w:rsid w:val="00E26EC0"/>
    <w:rsid w:val="00E3498F"/>
    <w:rsid w:val="00E349A7"/>
    <w:rsid w:val="00E34FBC"/>
    <w:rsid w:val="00E40162"/>
    <w:rsid w:val="00E478C8"/>
    <w:rsid w:val="00E50E7C"/>
    <w:rsid w:val="00E51545"/>
    <w:rsid w:val="00E51D9E"/>
    <w:rsid w:val="00E52886"/>
    <w:rsid w:val="00E537D1"/>
    <w:rsid w:val="00E53FCE"/>
    <w:rsid w:val="00E54EEC"/>
    <w:rsid w:val="00E5674C"/>
    <w:rsid w:val="00E567E6"/>
    <w:rsid w:val="00E56971"/>
    <w:rsid w:val="00E5731B"/>
    <w:rsid w:val="00E57E71"/>
    <w:rsid w:val="00E61484"/>
    <w:rsid w:val="00E620F3"/>
    <w:rsid w:val="00E65DDD"/>
    <w:rsid w:val="00E66933"/>
    <w:rsid w:val="00E669E1"/>
    <w:rsid w:val="00E66C30"/>
    <w:rsid w:val="00E67849"/>
    <w:rsid w:val="00E7017C"/>
    <w:rsid w:val="00E711D7"/>
    <w:rsid w:val="00E7144B"/>
    <w:rsid w:val="00E74CEB"/>
    <w:rsid w:val="00E755A2"/>
    <w:rsid w:val="00E762E6"/>
    <w:rsid w:val="00E8044A"/>
    <w:rsid w:val="00E815E1"/>
    <w:rsid w:val="00E902B0"/>
    <w:rsid w:val="00E902E8"/>
    <w:rsid w:val="00E91892"/>
    <w:rsid w:val="00E9296B"/>
    <w:rsid w:val="00E92D62"/>
    <w:rsid w:val="00E966B6"/>
    <w:rsid w:val="00E97C19"/>
    <w:rsid w:val="00EA15CD"/>
    <w:rsid w:val="00EA23AC"/>
    <w:rsid w:val="00EA398F"/>
    <w:rsid w:val="00EA7C3D"/>
    <w:rsid w:val="00EB2BA5"/>
    <w:rsid w:val="00EB4B0B"/>
    <w:rsid w:val="00EB6878"/>
    <w:rsid w:val="00EB6C2D"/>
    <w:rsid w:val="00EC1E0E"/>
    <w:rsid w:val="00EC2229"/>
    <w:rsid w:val="00EC236D"/>
    <w:rsid w:val="00EC6B16"/>
    <w:rsid w:val="00EC7610"/>
    <w:rsid w:val="00ED2C0C"/>
    <w:rsid w:val="00ED5A20"/>
    <w:rsid w:val="00EE1447"/>
    <w:rsid w:val="00EE1BF1"/>
    <w:rsid w:val="00EE2319"/>
    <w:rsid w:val="00EE2C12"/>
    <w:rsid w:val="00EE4864"/>
    <w:rsid w:val="00EE7744"/>
    <w:rsid w:val="00EF03E1"/>
    <w:rsid w:val="00EF145E"/>
    <w:rsid w:val="00EF1F56"/>
    <w:rsid w:val="00EF2BBB"/>
    <w:rsid w:val="00EF5339"/>
    <w:rsid w:val="00F0082D"/>
    <w:rsid w:val="00F01553"/>
    <w:rsid w:val="00F015AB"/>
    <w:rsid w:val="00F019AA"/>
    <w:rsid w:val="00F026A0"/>
    <w:rsid w:val="00F045E0"/>
    <w:rsid w:val="00F06927"/>
    <w:rsid w:val="00F07C90"/>
    <w:rsid w:val="00F10267"/>
    <w:rsid w:val="00F10B27"/>
    <w:rsid w:val="00F10C08"/>
    <w:rsid w:val="00F11922"/>
    <w:rsid w:val="00F13D31"/>
    <w:rsid w:val="00F151A4"/>
    <w:rsid w:val="00F17F36"/>
    <w:rsid w:val="00F202EF"/>
    <w:rsid w:val="00F20F8A"/>
    <w:rsid w:val="00F2379E"/>
    <w:rsid w:val="00F256BD"/>
    <w:rsid w:val="00F304A4"/>
    <w:rsid w:val="00F31C97"/>
    <w:rsid w:val="00F33951"/>
    <w:rsid w:val="00F33A08"/>
    <w:rsid w:val="00F33DB8"/>
    <w:rsid w:val="00F34C8A"/>
    <w:rsid w:val="00F405BD"/>
    <w:rsid w:val="00F40A5E"/>
    <w:rsid w:val="00F42DB1"/>
    <w:rsid w:val="00F42E11"/>
    <w:rsid w:val="00F43CCC"/>
    <w:rsid w:val="00F44EF1"/>
    <w:rsid w:val="00F47A5C"/>
    <w:rsid w:val="00F50237"/>
    <w:rsid w:val="00F510B9"/>
    <w:rsid w:val="00F514B8"/>
    <w:rsid w:val="00F51D7F"/>
    <w:rsid w:val="00F53A8B"/>
    <w:rsid w:val="00F55836"/>
    <w:rsid w:val="00F57BED"/>
    <w:rsid w:val="00F60198"/>
    <w:rsid w:val="00F618AC"/>
    <w:rsid w:val="00F630AF"/>
    <w:rsid w:val="00F6400C"/>
    <w:rsid w:val="00F64FCB"/>
    <w:rsid w:val="00F65E49"/>
    <w:rsid w:val="00F669CD"/>
    <w:rsid w:val="00F737DB"/>
    <w:rsid w:val="00F73BCE"/>
    <w:rsid w:val="00F74968"/>
    <w:rsid w:val="00F75D31"/>
    <w:rsid w:val="00F7613A"/>
    <w:rsid w:val="00F81B2D"/>
    <w:rsid w:val="00F82746"/>
    <w:rsid w:val="00F832B5"/>
    <w:rsid w:val="00F835E1"/>
    <w:rsid w:val="00F836F9"/>
    <w:rsid w:val="00F845D7"/>
    <w:rsid w:val="00F8723F"/>
    <w:rsid w:val="00F91AB5"/>
    <w:rsid w:val="00F92279"/>
    <w:rsid w:val="00F93573"/>
    <w:rsid w:val="00F95478"/>
    <w:rsid w:val="00F970CA"/>
    <w:rsid w:val="00FA07F4"/>
    <w:rsid w:val="00FA1936"/>
    <w:rsid w:val="00FA2BFC"/>
    <w:rsid w:val="00FA4415"/>
    <w:rsid w:val="00FA55CB"/>
    <w:rsid w:val="00FA5949"/>
    <w:rsid w:val="00FA5F9D"/>
    <w:rsid w:val="00FB17EC"/>
    <w:rsid w:val="00FB49B9"/>
    <w:rsid w:val="00FB4D21"/>
    <w:rsid w:val="00FB762B"/>
    <w:rsid w:val="00FC2CAD"/>
    <w:rsid w:val="00FC462A"/>
    <w:rsid w:val="00FC4CCD"/>
    <w:rsid w:val="00FC61E4"/>
    <w:rsid w:val="00FC6ADA"/>
    <w:rsid w:val="00FC78F9"/>
    <w:rsid w:val="00FD1395"/>
    <w:rsid w:val="00FD1D02"/>
    <w:rsid w:val="00FD60C8"/>
    <w:rsid w:val="00FD6C4D"/>
    <w:rsid w:val="00FD6F50"/>
    <w:rsid w:val="00FE0C2A"/>
    <w:rsid w:val="00FE211C"/>
    <w:rsid w:val="00FE58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D5548C"/>
    <w:pPr>
      <w:spacing w:before="600" w:line="460" w:lineRule="exact"/>
      <w:outlineLvl w:val="0"/>
    </w:pPr>
    <w:rPr>
      <w:b/>
      <w:bCs w:val="0"/>
      <w:sz w:val="56"/>
    </w:rPr>
  </w:style>
  <w:style w:type="paragraph" w:styleId="Heading2">
    <w:name w:val="heading 2"/>
    <w:basedOn w:val="HeadingBase"/>
    <w:next w:val="Normal"/>
    <w:link w:val="Heading2Char"/>
    <w:qFormat/>
    <w:rsid w:val="0039150C"/>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39150C"/>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48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39150C"/>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39150C"/>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4D4D4D"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410B57"/>
    <w:pPr>
      <w:spacing w:before="120" w:after="120"/>
    </w:pPr>
  </w:style>
  <w:style w:type="paragraph" w:customStyle="1" w:styleId="Bullet">
    <w:name w:val="Bullet"/>
    <w:basedOn w:val="Normal"/>
    <w:link w:val="BulletChar"/>
    <w:qFormat/>
    <w:rsid w:val="00D54098"/>
    <w:pPr>
      <w:numPr>
        <w:numId w:val="19"/>
      </w:numPr>
      <w:tabs>
        <w:tab w:val="clear" w:pos="520"/>
      </w:tabs>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4E307D"/>
    <w:pPr>
      <w:keepNext/>
      <w:spacing w:before="0" w:after="360"/>
    </w:pPr>
    <w:rPr>
      <w:color w:val="auto"/>
      <w:sz w:val="32"/>
    </w:rPr>
  </w:style>
  <w:style w:type="paragraph" w:customStyle="1" w:styleId="Dash">
    <w:name w:val="Dash"/>
    <w:basedOn w:val="Normal"/>
    <w:link w:val="DashChar"/>
    <w:qFormat/>
    <w:rsid w:val="00D54098"/>
    <w:pPr>
      <w:numPr>
        <w:ilvl w:val="1"/>
        <w:numId w:val="19"/>
      </w:numPr>
      <w:tabs>
        <w:tab w:val="clear" w:pos="804"/>
      </w:tabs>
      <w:spacing w:before="120" w:after="120"/>
    </w:pPr>
  </w:style>
  <w:style w:type="paragraph" w:customStyle="1" w:styleId="DoubleDot">
    <w:name w:val="Double Dot"/>
    <w:basedOn w:val="Normal"/>
    <w:link w:val="DoubleDotChar"/>
    <w:qFormat/>
    <w:rsid w:val="00D54098"/>
    <w:pPr>
      <w:numPr>
        <w:ilvl w:val="2"/>
        <w:numId w:val="19"/>
      </w:numPr>
      <w:tabs>
        <w:tab w:val="clear" w:pos="1088"/>
      </w:tabs>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5F5F5F"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123AC0"/>
    <w:pPr>
      <w:spacing w:before="2400" w:after="300"/>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123AC0"/>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4E307D"/>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4E307D"/>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C723D6"/>
    <w:pPr>
      <w:keepNext/>
      <w:spacing w:before="0" w:after="0"/>
    </w:pPr>
    <w:rPr>
      <w:color w:val="auto"/>
      <w:sz w:val="20"/>
    </w:rPr>
  </w:style>
  <w:style w:type="character" w:customStyle="1" w:styleId="HeaderChar">
    <w:name w:val="Header Char"/>
    <w:basedOn w:val="DefaultParagraphFont"/>
    <w:link w:val="Header"/>
    <w:uiPriority w:val="99"/>
    <w:rsid w:val="00C723D6"/>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4E307D"/>
    <w:rPr>
      <w:rFonts w:eastAsia="Times New Roman" w:cs="Times New Roman"/>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style>
  <w:style w:type="paragraph" w:customStyle="1" w:styleId="HeaderOdd">
    <w:name w:val="Header Odd"/>
    <w:basedOn w:val="Header"/>
    <w:qFormat/>
    <w:rsid w:val="00420CD3"/>
    <w:pPr>
      <w:jc w:val="right"/>
    </w:p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410B57"/>
    <w:rPr>
      <w:rFonts w:eastAsia="Times New Roman" w:cs="Times New Roman"/>
      <w:color w:val="000000" w:themeColor="text1"/>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AC102B"/>
    <w:rPr>
      <w:color w:val="605E5C"/>
      <w:shd w:val="clear" w:color="auto" w:fill="E1DFDD"/>
    </w:rPr>
  </w:style>
  <w:style w:type="character" w:styleId="Emphasis">
    <w:name w:val="Emphasis"/>
    <w:basedOn w:val="DefaultParagraphFont"/>
    <w:uiPriority w:val="20"/>
    <w:rsid w:val="005005F5"/>
    <w:rPr>
      <w:i/>
      <w:iCs/>
    </w:rPr>
  </w:style>
  <w:style w:type="table" w:customStyle="1" w:styleId="SidebySideChartTable">
    <w:name w:val="Side by Side Chart Table"/>
    <w:basedOn w:val="TableNormal"/>
    <w:uiPriority w:val="99"/>
    <w:rsid w:val="00BB0973"/>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4E7897"/>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372D99"/>
    <w:rPr>
      <w:b/>
      <w:bCs/>
    </w:rPr>
  </w:style>
  <w:style w:type="paragraph" w:customStyle="1" w:styleId="SecurityClassificationHeader">
    <w:name w:val="Security Classification Header"/>
    <w:link w:val="SecurityClassificationHeaderChar"/>
    <w:rsid w:val="00353594"/>
    <w:pPr>
      <w:spacing w:before="360" w:after="60"/>
      <w:jc w:val="center"/>
    </w:pPr>
    <w:rPr>
      <w:rFonts w:eastAsia="Times New Roman" w:cs="Times New Roman"/>
      <w:b/>
      <w:color w:val="FF0000"/>
      <w:sz w:val="24"/>
      <w:szCs w:val="20"/>
      <w:lang w:eastAsia="en-AU"/>
    </w:rPr>
  </w:style>
  <w:style w:type="character" w:customStyle="1" w:styleId="SecurityClassificationHeaderChar">
    <w:name w:val="Security Classification Header Char"/>
    <w:basedOn w:val="HeaderChar"/>
    <w:link w:val="SecurityClassificationHeader"/>
    <w:rsid w:val="00353594"/>
    <w:rPr>
      <w:rFonts w:eastAsia="Times New Roman" w:cs="Times New Roman"/>
      <w:b/>
      <w:color w:val="FF0000"/>
      <w:sz w:val="24"/>
      <w:szCs w:val="20"/>
      <w:lang w:eastAsia="en-AU"/>
    </w:rPr>
  </w:style>
  <w:style w:type="paragraph" w:customStyle="1" w:styleId="SecurityClassificationFooter">
    <w:name w:val="Security Classification Footer"/>
    <w:link w:val="SecurityClassificationFooterChar"/>
    <w:rsid w:val="00353594"/>
    <w:pPr>
      <w:spacing w:before="240" w:after="60"/>
      <w:jc w:val="center"/>
    </w:pPr>
    <w:rPr>
      <w:rFonts w:eastAsia="Times New Roman" w:cs="Times New Roman"/>
      <w:b/>
      <w:color w:val="FF0000"/>
      <w:sz w:val="24"/>
      <w:szCs w:val="20"/>
      <w:lang w:eastAsia="en-AU"/>
    </w:rPr>
  </w:style>
  <w:style w:type="character" w:customStyle="1" w:styleId="SecurityClassificationFooterChar">
    <w:name w:val="Security Classification Footer Char"/>
    <w:basedOn w:val="HeaderChar"/>
    <w:link w:val="SecurityClassificationFooter"/>
    <w:rsid w:val="00353594"/>
    <w:rPr>
      <w:rFonts w:eastAsia="Times New Roman" w:cs="Times New Roman"/>
      <w:b/>
      <w:color w:val="FF0000"/>
      <w:sz w:val="24"/>
      <w:szCs w:val="20"/>
      <w:lang w:eastAsia="en-AU"/>
    </w:rPr>
  </w:style>
  <w:style w:type="paragraph" w:customStyle="1" w:styleId="DLMSecurityHeader">
    <w:name w:val="DLM Security Header"/>
    <w:link w:val="DLMSecurityHeaderChar"/>
    <w:rsid w:val="00353594"/>
    <w:pPr>
      <w:spacing w:before="360" w:after="60"/>
      <w:jc w:val="center"/>
    </w:pPr>
    <w:rPr>
      <w:rFonts w:eastAsia="Times New Roman" w:cs="Times New Roman"/>
      <w:b/>
      <w:color w:val="FF0000"/>
      <w:sz w:val="24"/>
      <w:szCs w:val="20"/>
      <w:lang w:eastAsia="en-AU"/>
    </w:rPr>
  </w:style>
  <w:style w:type="character" w:customStyle="1" w:styleId="DLMSecurityHeaderChar">
    <w:name w:val="DLM Security Header Char"/>
    <w:basedOn w:val="HeaderChar"/>
    <w:link w:val="DLMSecurityHeader"/>
    <w:rsid w:val="00353594"/>
    <w:rPr>
      <w:rFonts w:eastAsia="Times New Roman" w:cs="Times New Roman"/>
      <w:b/>
      <w:color w:val="FF0000"/>
      <w:sz w:val="24"/>
      <w:szCs w:val="20"/>
      <w:lang w:eastAsia="en-AU"/>
    </w:rPr>
  </w:style>
  <w:style w:type="paragraph" w:customStyle="1" w:styleId="DLMSecurityFooter">
    <w:name w:val="DLM Security Footer"/>
    <w:link w:val="DLMSecurityFooterChar"/>
    <w:rsid w:val="00353594"/>
    <w:pPr>
      <w:spacing w:before="360" w:after="60"/>
      <w:jc w:val="center"/>
    </w:pPr>
    <w:rPr>
      <w:rFonts w:eastAsia="Times New Roman" w:cs="Times New Roman"/>
      <w:b/>
      <w:color w:val="FF0000"/>
      <w:sz w:val="24"/>
      <w:szCs w:val="20"/>
      <w:lang w:eastAsia="en-AU"/>
    </w:rPr>
  </w:style>
  <w:style w:type="character" w:customStyle="1" w:styleId="DLMSecurityFooterChar">
    <w:name w:val="DLM Security Footer Char"/>
    <w:basedOn w:val="HeaderChar"/>
    <w:link w:val="DLMSecurityFooter"/>
    <w:rsid w:val="00353594"/>
    <w:rPr>
      <w:rFonts w:eastAsia="Times New Roman" w:cs="Times New Roman"/>
      <w:b/>
      <w:color w:val="FF0000"/>
      <w:sz w:val="24"/>
      <w:szCs w:val="20"/>
      <w:lang w:eastAsia="en-AU"/>
    </w:rPr>
  </w:style>
  <w:style w:type="paragraph" w:styleId="Revision">
    <w:name w:val="Revision"/>
    <w:hidden/>
    <w:uiPriority w:val="99"/>
    <w:semiHidden/>
    <w:rsid w:val="008173C2"/>
    <w:pPr>
      <w:spacing w:after="0" w:line="240" w:lineRule="auto"/>
    </w:pPr>
    <w:rPr>
      <w:rFonts w:eastAsia="Times New Roman" w:cs="Times New Roman"/>
      <w:color w:val="000000" w:themeColor="text1"/>
      <w:szCs w:val="20"/>
      <w:lang w:eastAsia="en-AU"/>
    </w:rPr>
  </w:style>
  <w:style w:type="paragraph" w:customStyle="1" w:styleId="Heading1noTOC">
    <w:name w:val="Heading 1_no TOC"/>
    <w:basedOn w:val="Heading1"/>
    <w:link w:val="Heading1noTOCChar"/>
    <w:qFormat/>
    <w:rsid w:val="003D56F2"/>
  </w:style>
  <w:style w:type="character" w:customStyle="1" w:styleId="Heading1noTOCChar">
    <w:name w:val="Heading 1_no TOC Char"/>
    <w:basedOn w:val="Heading1Char"/>
    <w:link w:val="Heading1noTOC"/>
    <w:rsid w:val="003D56F2"/>
    <w:rPr>
      <w:rFonts w:asciiTheme="majorHAnsi" w:eastAsia="Times New Roman" w:hAnsiTheme="majorHAnsi" w:cs="Arial"/>
      <w:b/>
      <w:color w:val="000000" w:themeColor="text1"/>
      <w:kern w:val="32"/>
      <w:sz w:val="56"/>
      <w:szCs w:val="36"/>
      <w:lang w:eastAsia="en-AU"/>
    </w:rPr>
  </w:style>
  <w:style w:type="paragraph" w:styleId="NormalWeb">
    <w:name w:val="Normal (Web)"/>
    <w:basedOn w:val="Normal"/>
    <w:uiPriority w:val="99"/>
    <w:semiHidden/>
    <w:unhideWhenUsed/>
    <w:rsid w:val="00FA441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20234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review/statutory-review-meetings-and-documents-amendments/terms-reference" TargetMode="External"/></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Government response to the Statutory Review of the Meetings and Documents Amendments</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Statutory Review of the Meetings and Documents Amendments</dc:title>
  <dc:subject/>
  <dc:creator>Australian Government</dc:creator>
  <cp:keywords/>
  <cp:lastModifiedBy/>
  <cp:revision>1</cp:revision>
  <dcterms:created xsi:type="dcterms:W3CDTF">2025-02-03T05:23:00Z</dcterms:created>
  <dcterms:modified xsi:type="dcterms:W3CDTF">2025-02-03T05:23:00Z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2025-02-03T05:23:36Z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afe517e7-520a-489d-a1e3-64180edc285d</vt:lpwstr>
  </property>
  <property fmtid="{D5CDD505-2E9C-101B-9397-08002B2CF9AE}" pid="8" name="MSIP_Label_4f932d64-9ab1-4d9b-81d2-a3a8b82dd47d_ContentBits">
    <vt:lpwstr>0</vt:lpwstr>
  </property>
</Properties>
</file>