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DB8B" w14:textId="77777777" w:rsidR="00D440F9" w:rsidRDefault="00D440F9" w:rsidP="00D440F9">
      <w:pPr>
        <w:pStyle w:val="Factsheettitle"/>
        <w:spacing w:before="1200" w:after="360"/>
        <w:rPr>
          <w:sz w:val="18"/>
          <w:szCs w:val="18"/>
        </w:rPr>
      </w:pPr>
    </w:p>
    <w:p w14:paraId="3A75B401" w14:textId="4E5CAC10" w:rsidR="00986A46" w:rsidRPr="006E76BE" w:rsidRDefault="008C462C" w:rsidP="00A74019">
      <w:pPr>
        <w:pStyle w:val="Heading1"/>
        <w:spacing w:after="360"/>
      </w:pPr>
      <w:r w:rsidRPr="00C9104C">
        <w:rPr>
          <w:rStyle w:val="Heading1Char"/>
        </w:rPr>
        <w:t>Gender</w:t>
      </w:r>
      <w:r>
        <w:t xml:space="preserve"> Pay Gap </w:t>
      </w:r>
      <w:r w:rsidR="00A74019">
        <w:br/>
      </w:r>
      <w:r>
        <w:t>Employ</w:t>
      </w:r>
      <w:r w:rsidR="00DE56F5">
        <w:t>er</w:t>
      </w:r>
      <w:r>
        <w:t xml:space="preserve"> Statement</w:t>
      </w:r>
    </w:p>
    <w:p w14:paraId="64E18A18" w14:textId="77777777" w:rsidR="00C9104C" w:rsidRDefault="00C9104C" w:rsidP="00C9104C">
      <w:pPr>
        <w:autoSpaceDE w:val="0"/>
        <w:autoSpaceDN w:val="0"/>
        <w:adjustRightInd w:val="0"/>
      </w:pPr>
      <w:r w:rsidRPr="002C35A1">
        <w:t xml:space="preserve">Treasury participates in the Workplace Gender Equality Agency (WGEA) public sector reporting program. </w:t>
      </w:r>
    </w:p>
    <w:p w14:paraId="3B7BB5D4" w14:textId="77777777" w:rsidR="00C9104C" w:rsidRDefault="00C9104C" w:rsidP="00C9104C">
      <w:pPr>
        <w:autoSpaceDE w:val="0"/>
        <w:autoSpaceDN w:val="0"/>
        <w:adjustRightInd w:val="0"/>
      </w:pPr>
      <w:r w:rsidRPr="002C35A1">
        <w:t>The 202</w:t>
      </w:r>
      <w:r>
        <w:t>4</w:t>
      </w:r>
      <w:r w:rsidRPr="002C35A1">
        <w:t xml:space="preserve"> Gender Pay Gap Employer Statement was endorsed by Treasury’s Secretary, Steven</w:t>
      </w:r>
      <w:r>
        <w:t> </w:t>
      </w:r>
      <w:r w:rsidRPr="002C35A1">
        <w:t xml:space="preserve">Kennedy on </w:t>
      </w:r>
      <w:r w:rsidRPr="008072D8">
        <w:t>31 January 2025.</w:t>
      </w:r>
      <w:r w:rsidRPr="002C35A1">
        <w:t xml:space="preserve"> </w:t>
      </w:r>
    </w:p>
    <w:p w14:paraId="13FB4A34" w14:textId="77777777" w:rsidR="00C9104C" w:rsidRPr="00E11105" w:rsidRDefault="00C9104C" w:rsidP="00C9104C">
      <w:pPr>
        <w:autoSpaceDE w:val="0"/>
        <w:autoSpaceDN w:val="0"/>
        <w:adjustRightInd w:val="0"/>
      </w:pPr>
      <w:r>
        <w:t>T</w:t>
      </w:r>
      <w:r w:rsidRPr="002C35A1">
        <w:t>he Statement provides Treasury’s commitment to addressing existing gender pay gap disparities and goals that will underpin Treasury’s efforts to make sure all employees are fairly and equally treated.</w:t>
      </w:r>
    </w:p>
    <w:p w14:paraId="5435E211" w14:textId="77777777" w:rsidR="00DB0D5F" w:rsidRDefault="00DB0D5F" w:rsidP="00A74019">
      <w:pPr>
        <w:pStyle w:val="NormalWeb"/>
        <w:pBdr>
          <w:bottom w:val="single" w:sz="12" w:space="1" w:color="2C384A" w:themeColor="accent1"/>
        </w:pBdr>
        <w:shd w:val="clear" w:color="auto" w:fill="FFFFFF"/>
        <w:spacing w:before="0" w:beforeAutospacing="0" w:after="0" w:afterAutospacing="0"/>
        <w:rPr>
          <w:rFonts w:asciiTheme="minorHAnsi" w:hAnsiTheme="minorHAnsi" w:cstheme="minorHAnsi"/>
          <w:highlight w:val="yellow"/>
        </w:rPr>
      </w:pPr>
    </w:p>
    <w:p w14:paraId="56EC8C60" w14:textId="77777777" w:rsidR="00D440F9" w:rsidRDefault="00D440F9">
      <w:pPr>
        <w:spacing w:before="0" w:after="0"/>
        <w:rPr>
          <w:rFonts w:ascii="Calibri" w:hAnsi="Calibri"/>
          <w:color w:val="2C384A" w:themeColor="accent1"/>
          <w:spacing w:val="-14"/>
          <w:sz w:val="40"/>
          <w:szCs w:val="40"/>
        </w:rPr>
      </w:pPr>
      <w:r>
        <w:rPr>
          <w:sz w:val="40"/>
          <w:szCs w:val="40"/>
        </w:rPr>
        <w:br w:type="page"/>
      </w:r>
    </w:p>
    <w:p w14:paraId="7E51C91E" w14:textId="31103C78" w:rsidR="00DB0D5F" w:rsidRPr="00C9104C" w:rsidRDefault="00DB0D5F" w:rsidP="00C9104C">
      <w:pPr>
        <w:pStyle w:val="Heading2"/>
      </w:pPr>
      <w:r w:rsidRPr="00C9104C">
        <w:lastRenderedPageBreak/>
        <w:t>Our 2024 Gender Pay Gap Employer Statement</w:t>
      </w:r>
    </w:p>
    <w:p w14:paraId="400F788C" w14:textId="66A230E0" w:rsidR="001D6CD5" w:rsidRPr="00F659E9" w:rsidRDefault="00F659E9" w:rsidP="00F659E9">
      <w:r w:rsidRPr="00F659E9">
        <w:t xml:space="preserve">Treasury is dedicated to </w:t>
      </w:r>
      <w:r w:rsidR="00AF15AA">
        <w:t xml:space="preserve">maintaining </w:t>
      </w:r>
      <w:r w:rsidRPr="00F659E9">
        <w:t>an inclusive and diverse workplace. We value employees</w:t>
      </w:r>
      <w:r w:rsidR="00AF15AA">
        <w:t>’</w:t>
      </w:r>
      <w:r w:rsidRPr="00F659E9">
        <w:t xml:space="preserve"> contributions and aim to promote transparency and equality. Our analysis of the gender pay gap will help focus efforts to drive lasting change in gender equality.</w:t>
      </w:r>
    </w:p>
    <w:p w14:paraId="461BBD50" w14:textId="5EA25634" w:rsidR="003A6B17" w:rsidRPr="00EA5CA5" w:rsidRDefault="003A6B17" w:rsidP="00EA5CA5">
      <w:pPr>
        <w:autoSpaceDE w:val="0"/>
        <w:autoSpaceDN w:val="0"/>
        <w:adjustRightInd w:val="0"/>
      </w:pPr>
      <w:r w:rsidRPr="00EA5CA5">
        <w:t xml:space="preserve">As </w:t>
      </w:r>
      <w:proofErr w:type="gramStart"/>
      <w:r w:rsidR="00C25E26">
        <w:t>at</w:t>
      </w:r>
      <w:proofErr w:type="gramEnd"/>
      <w:r w:rsidRPr="00EA5CA5">
        <w:t xml:space="preserve"> 31 December 202</w:t>
      </w:r>
      <w:r w:rsidR="00220A90" w:rsidRPr="00EA5CA5">
        <w:t>3</w:t>
      </w:r>
      <w:r w:rsidRPr="00EA5CA5">
        <w:t>, Treasury ha</w:t>
      </w:r>
      <w:r w:rsidR="008072D8">
        <w:t>d</w:t>
      </w:r>
      <w:r w:rsidRPr="00EA5CA5">
        <w:t xml:space="preserve"> a gender pay gap of </w:t>
      </w:r>
      <w:r w:rsidR="002C5866" w:rsidRPr="00EA5CA5">
        <w:t>2.9 per cent</w:t>
      </w:r>
      <w:r w:rsidR="00340358">
        <w:t xml:space="preserve"> – </w:t>
      </w:r>
      <w:r w:rsidR="00F659E9">
        <w:t>a 1.4 per cent reduction</w:t>
      </w:r>
      <w:r w:rsidR="00340358">
        <w:t xml:space="preserve"> from the previous year – </w:t>
      </w:r>
      <w:r w:rsidRPr="00EA5CA5">
        <w:t>based on the earnings of substantive APS employees</w:t>
      </w:r>
      <w:r w:rsidR="008C09BD" w:rsidRPr="00EA5CA5">
        <w:t xml:space="preserve">. </w:t>
      </w:r>
      <w:r w:rsidRPr="00EA5CA5">
        <w:t>This exclude</w:t>
      </w:r>
      <w:r w:rsidR="008072D8">
        <w:t>d</w:t>
      </w:r>
      <w:r w:rsidRPr="00EA5CA5">
        <w:t xml:space="preserve"> </w:t>
      </w:r>
      <w:r w:rsidR="00AF15AA">
        <w:t xml:space="preserve">the </w:t>
      </w:r>
      <w:r w:rsidRPr="00EA5CA5">
        <w:t>earnings of:</w:t>
      </w:r>
    </w:p>
    <w:p w14:paraId="4F11F808" w14:textId="5DF2F575" w:rsidR="004448D7" w:rsidRDefault="00DD7AF9" w:rsidP="00EA5CA5">
      <w:pPr>
        <w:numPr>
          <w:ilvl w:val="0"/>
          <w:numId w:val="10"/>
        </w:numPr>
        <w:shd w:val="clear" w:color="auto" w:fill="FFFFFF"/>
        <w:spacing w:after="0"/>
        <w:ind w:left="714" w:hanging="357"/>
        <w:rPr>
          <w:rFonts w:cs="Calibri Light"/>
          <w:color w:val="323130"/>
          <w:szCs w:val="24"/>
        </w:rPr>
      </w:pPr>
      <w:r>
        <w:rPr>
          <w:rFonts w:cs="Calibri Light"/>
          <w:color w:val="323130"/>
          <w:szCs w:val="24"/>
        </w:rPr>
        <w:t>t</w:t>
      </w:r>
      <w:r w:rsidR="004448D7">
        <w:rPr>
          <w:rFonts w:cs="Calibri Light"/>
          <w:color w:val="323130"/>
          <w:szCs w:val="24"/>
        </w:rPr>
        <w:t>he Secretary</w:t>
      </w:r>
    </w:p>
    <w:p w14:paraId="238C61E8" w14:textId="5CFBEC80" w:rsidR="001D1AB3" w:rsidRDefault="001D1AB3" w:rsidP="00EA5CA5">
      <w:pPr>
        <w:numPr>
          <w:ilvl w:val="0"/>
          <w:numId w:val="10"/>
        </w:numPr>
        <w:shd w:val="clear" w:color="auto" w:fill="FFFFFF"/>
        <w:spacing w:after="0"/>
        <w:ind w:left="714" w:hanging="357"/>
        <w:rPr>
          <w:rFonts w:cs="Calibri Light"/>
          <w:color w:val="323130"/>
          <w:szCs w:val="24"/>
        </w:rPr>
      </w:pPr>
      <w:r>
        <w:rPr>
          <w:rFonts w:cs="Calibri Light"/>
          <w:color w:val="323130"/>
          <w:szCs w:val="24"/>
        </w:rPr>
        <w:t>c</w:t>
      </w:r>
      <w:r w:rsidR="003A6B17" w:rsidRPr="003A6B17">
        <w:rPr>
          <w:rFonts w:cs="Calibri Light"/>
          <w:color w:val="323130"/>
          <w:szCs w:val="24"/>
        </w:rPr>
        <w:t>asual</w:t>
      </w:r>
      <w:r w:rsidR="008072D8">
        <w:rPr>
          <w:rFonts w:cs="Calibri Light"/>
          <w:color w:val="323130"/>
          <w:szCs w:val="24"/>
        </w:rPr>
        <w:t xml:space="preserve"> employees</w:t>
      </w:r>
    </w:p>
    <w:p w14:paraId="370717CA" w14:textId="77777777" w:rsidR="00AF15AA" w:rsidRDefault="001D1AB3" w:rsidP="001D1AB3">
      <w:pPr>
        <w:numPr>
          <w:ilvl w:val="0"/>
          <w:numId w:val="10"/>
        </w:numPr>
        <w:shd w:val="clear" w:color="auto" w:fill="FFFFFF"/>
        <w:spacing w:after="0"/>
        <w:ind w:left="714" w:hanging="357"/>
        <w:rPr>
          <w:rFonts w:cs="Calibri Light"/>
          <w:color w:val="323130"/>
          <w:szCs w:val="24"/>
        </w:rPr>
      </w:pPr>
      <w:r>
        <w:rPr>
          <w:rFonts w:cs="Calibri Light"/>
          <w:color w:val="323130"/>
          <w:szCs w:val="24"/>
        </w:rPr>
        <w:t>c</w:t>
      </w:r>
      <w:r w:rsidR="003A6B17" w:rsidRPr="001D1AB3">
        <w:rPr>
          <w:rFonts w:cs="Calibri Light"/>
          <w:color w:val="323130"/>
          <w:szCs w:val="24"/>
        </w:rPr>
        <w:t>ontractors</w:t>
      </w:r>
    </w:p>
    <w:p w14:paraId="0DF50C6B" w14:textId="10A0E5C3" w:rsidR="003A6B17" w:rsidRPr="001D1AB3" w:rsidRDefault="005D0756" w:rsidP="001D1AB3">
      <w:pPr>
        <w:numPr>
          <w:ilvl w:val="0"/>
          <w:numId w:val="10"/>
        </w:numPr>
        <w:shd w:val="clear" w:color="auto" w:fill="FFFFFF"/>
        <w:spacing w:after="0"/>
        <w:ind w:left="714" w:hanging="357"/>
        <w:rPr>
          <w:rFonts w:cs="Calibri Light"/>
          <w:color w:val="323130"/>
          <w:szCs w:val="24"/>
        </w:rPr>
      </w:pPr>
      <w:r w:rsidRPr="001D1AB3">
        <w:rPr>
          <w:rFonts w:cs="Calibri Light"/>
          <w:color w:val="323130"/>
          <w:szCs w:val="24"/>
        </w:rPr>
        <w:t>labour-hire staff</w:t>
      </w:r>
    </w:p>
    <w:p w14:paraId="0CEA1042" w14:textId="4DC41A15" w:rsidR="003A6B17" w:rsidRPr="003A6B17" w:rsidRDefault="003A6B17" w:rsidP="00EA5CA5">
      <w:pPr>
        <w:numPr>
          <w:ilvl w:val="0"/>
          <w:numId w:val="10"/>
        </w:numPr>
        <w:shd w:val="clear" w:color="auto" w:fill="FFFFFF"/>
        <w:spacing w:after="0"/>
        <w:ind w:left="714" w:hanging="357"/>
        <w:rPr>
          <w:rFonts w:cs="Calibri Light"/>
          <w:color w:val="323130"/>
          <w:szCs w:val="24"/>
        </w:rPr>
      </w:pPr>
      <w:r w:rsidRPr="003A6B17">
        <w:rPr>
          <w:rFonts w:cs="Calibri Light"/>
          <w:color w:val="323130"/>
          <w:szCs w:val="24"/>
        </w:rPr>
        <w:t>statutory appoint</w:t>
      </w:r>
      <w:r w:rsidR="008072D8">
        <w:rPr>
          <w:rFonts w:cs="Calibri Light"/>
          <w:color w:val="323130"/>
          <w:szCs w:val="24"/>
        </w:rPr>
        <w:t>ees</w:t>
      </w:r>
    </w:p>
    <w:p w14:paraId="2F4DB390" w14:textId="0B62D474" w:rsidR="003A6B17" w:rsidRPr="003A6B17" w:rsidRDefault="003A6B17" w:rsidP="00EA5CA5">
      <w:pPr>
        <w:numPr>
          <w:ilvl w:val="0"/>
          <w:numId w:val="10"/>
        </w:numPr>
        <w:shd w:val="clear" w:color="auto" w:fill="FFFFFF"/>
        <w:spacing w:after="0"/>
        <w:ind w:left="714" w:hanging="357"/>
        <w:rPr>
          <w:rFonts w:cs="Calibri Light"/>
          <w:color w:val="323130"/>
          <w:szCs w:val="24"/>
        </w:rPr>
      </w:pPr>
      <w:r w:rsidRPr="003A6B17">
        <w:rPr>
          <w:rFonts w:cs="Calibri Light"/>
          <w:color w:val="323130"/>
          <w:szCs w:val="24"/>
        </w:rPr>
        <w:t>employees on long-term leave</w:t>
      </w:r>
      <w:r w:rsidR="005D0756">
        <w:rPr>
          <w:rFonts w:cs="Calibri Light"/>
          <w:color w:val="323130"/>
          <w:szCs w:val="24"/>
        </w:rPr>
        <w:t>.</w:t>
      </w:r>
    </w:p>
    <w:p w14:paraId="3B3AD74C" w14:textId="70985F0E" w:rsidR="00C165EA" w:rsidRDefault="00C165EA" w:rsidP="00C165EA">
      <w:r w:rsidRPr="00345507">
        <w:t xml:space="preserve">This result highlights our progress in gender equality and sets a new benchmark for </w:t>
      </w:r>
      <w:r w:rsidR="008072D8">
        <w:t xml:space="preserve">the </w:t>
      </w:r>
      <w:r w:rsidRPr="00345507">
        <w:t>future. While there is still work to be done, understanding disparities helps us improve our strategies for providing equal opportunities for all employees.</w:t>
      </w:r>
    </w:p>
    <w:p w14:paraId="4C06CB0B" w14:textId="52DA0E9F" w:rsidR="00AC18BD" w:rsidRDefault="00C165EA" w:rsidP="00A56713">
      <w:r w:rsidRPr="00345507">
        <w:t xml:space="preserve">Treasury </w:t>
      </w:r>
      <w:r>
        <w:t>incorporates</w:t>
      </w:r>
      <w:r w:rsidRPr="00345507">
        <w:t xml:space="preserve"> gender equality into all core initiatives </w:t>
      </w:r>
      <w:r>
        <w:t>under</w:t>
      </w:r>
      <w:r w:rsidRPr="00345507">
        <w:t xml:space="preserve"> </w:t>
      </w:r>
      <w:r>
        <w:t>our</w:t>
      </w:r>
      <w:r w:rsidRPr="00345507">
        <w:t xml:space="preserve"> Strategic Workforce Plan, ensuring a </w:t>
      </w:r>
      <w:r w:rsidR="00321F1B">
        <w:t xml:space="preserve">renewed </w:t>
      </w:r>
      <w:r w:rsidRPr="00345507">
        <w:t xml:space="preserve">focus on gender equality in every action. We will work closely with the Gender Equality Committee and the Progressing Women </w:t>
      </w:r>
      <w:r w:rsidR="00C25E26">
        <w:t>I</w:t>
      </w:r>
      <w:r w:rsidRPr="00345507">
        <w:t xml:space="preserve">nitiative </w:t>
      </w:r>
      <w:r w:rsidR="0050172D">
        <w:t>n</w:t>
      </w:r>
      <w:r w:rsidRPr="00345507">
        <w:t>etwork to understand and address the factors contributing to gender pay gaps. By engaging with our employees and networks, we can identify challenges and take targeted actions informed by their experiences. This approach ensures our efforts are effective and grounded in real experiences, building a strong foundation for closing the gender pay gap.</w:t>
      </w:r>
    </w:p>
    <w:p w14:paraId="497E3826" w14:textId="67017415" w:rsidR="00DE56F5" w:rsidRDefault="00DE56F5" w:rsidP="00A56713">
      <w:pPr>
        <w:autoSpaceDE w:val="0"/>
        <w:autoSpaceDN w:val="0"/>
        <w:adjustRightInd w:val="0"/>
      </w:pPr>
      <w:r w:rsidRPr="00DE56F5">
        <w:rPr>
          <w:noProof/>
        </w:rPr>
        <w:drawing>
          <wp:inline distT="0" distB="0" distL="0" distR="0" wp14:anchorId="3DCF300E" wp14:editId="3C33842D">
            <wp:extent cx="3534268" cy="2191056"/>
            <wp:effectExtent l="0" t="0" r="0" b="0"/>
            <wp:docPr id="275898504" name="Picture 1" descr="Chart 1: Treasury's gender profile. A bar chart showing the percentage of female and male staff at Treasury from 2020 to 2024. 2020: 51% female, 49% male; 2021: 53% female, 47% male; 2022: 52% female, 48% male; 2023: 53% female, 47% male; 2024: 53% female, 47% mal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98504" name="Picture 1" descr="Chart 1: Treasury's gender profile. A bar chart showing the percentage of female and male staff at Treasury from 2020 to 2024. 2020: 51% female, 49% male; 2021: 53% female, 47% male; 2022: 52% female, 48% male; 2023: 53% female, 47% male; 2024: 53% female, 47% male. ">
                      <a:extLst>
                        <a:ext uri="{C183D7F6-B498-43B3-948B-1728B52AA6E4}">
                          <adec:decorative xmlns:adec="http://schemas.microsoft.com/office/drawing/2017/decorative" val="0"/>
                        </a:ext>
                      </a:extLst>
                    </pic:cNvPr>
                    <pic:cNvPicPr/>
                  </pic:nvPicPr>
                  <pic:blipFill>
                    <a:blip r:embed="rId11"/>
                    <a:stretch>
                      <a:fillRect/>
                    </a:stretch>
                  </pic:blipFill>
                  <pic:spPr>
                    <a:xfrm>
                      <a:off x="0" y="0"/>
                      <a:ext cx="3534268" cy="2191056"/>
                    </a:xfrm>
                    <a:prstGeom prst="rect">
                      <a:avLst/>
                    </a:prstGeom>
                  </pic:spPr>
                </pic:pic>
              </a:graphicData>
            </a:graphic>
          </wp:inline>
        </w:drawing>
      </w:r>
    </w:p>
    <w:p w14:paraId="39462F67" w14:textId="4BD51B1E" w:rsidR="00A56713" w:rsidRPr="00A56713" w:rsidRDefault="00A56713" w:rsidP="00A56713">
      <w:pPr>
        <w:autoSpaceDE w:val="0"/>
        <w:autoSpaceDN w:val="0"/>
        <w:adjustRightInd w:val="0"/>
      </w:pPr>
      <w:r>
        <w:t xml:space="preserve">As </w:t>
      </w:r>
      <w:proofErr w:type="gramStart"/>
      <w:r>
        <w:t>at</w:t>
      </w:r>
      <w:proofErr w:type="gramEnd"/>
      <w:r>
        <w:t xml:space="preserve"> 31 December 2024, the proportion of </w:t>
      </w:r>
      <w:r w:rsidR="008072D8">
        <w:t>women</w:t>
      </w:r>
      <w:r>
        <w:t xml:space="preserve"> at the </w:t>
      </w:r>
      <w:r w:rsidR="00CE022A">
        <w:t>Senior Executive Service (</w:t>
      </w:r>
      <w:r>
        <w:t>SES</w:t>
      </w:r>
      <w:r w:rsidR="00CE022A">
        <w:t>)</w:t>
      </w:r>
      <w:r>
        <w:t xml:space="preserve"> level increased to 51</w:t>
      </w:r>
      <w:r w:rsidR="009037C2">
        <w:t xml:space="preserve"> per cent</w:t>
      </w:r>
      <w:r>
        <w:t>, a 1</w:t>
      </w:r>
      <w:r w:rsidR="009037C2">
        <w:t xml:space="preserve"> per cent</w:t>
      </w:r>
      <w:r>
        <w:t xml:space="preserve"> increase since 2023. Gender </w:t>
      </w:r>
      <w:r w:rsidR="0032353F">
        <w:t>balance</w:t>
      </w:r>
      <w:r>
        <w:t xml:space="preserve"> at the SES level continued to be maintained throughout 2024 and continues to be a focus going forward.  </w:t>
      </w:r>
    </w:p>
    <w:p w14:paraId="2F137DCD" w14:textId="77777777" w:rsidR="008072D8" w:rsidRDefault="008072D8">
      <w:pPr>
        <w:spacing w:before="0" w:after="0"/>
        <w:rPr>
          <w:rFonts w:ascii="Calibri" w:hAnsi="Calibri"/>
          <w:color w:val="2C384A" w:themeColor="accent1"/>
          <w:spacing w:val="-14"/>
          <w:sz w:val="40"/>
          <w:szCs w:val="40"/>
        </w:rPr>
      </w:pPr>
      <w:bookmarkStart w:id="0" w:name="_Hlk188278700"/>
      <w:r>
        <w:rPr>
          <w:sz w:val="40"/>
          <w:szCs w:val="40"/>
        </w:rPr>
        <w:br w:type="page"/>
      </w:r>
    </w:p>
    <w:p w14:paraId="31BF677F" w14:textId="2FAD86A7" w:rsidR="003C02D9" w:rsidRPr="002A2D59" w:rsidRDefault="003C02D9" w:rsidP="00C9104C">
      <w:pPr>
        <w:pStyle w:val="Heading2"/>
      </w:pPr>
      <w:r w:rsidRPr="002A2D59">
        <w:lastRenderedPageBreak/>
        <w:t xml:space="preserve">Looking </w:t>
      </w:r>
      <w:r w:rsidR="00DE3FF4">
        <w:t>f</w:t>
      </w:r>
      <w:r w:rsidRPr="002A2D59">
        <w:t>orward</w:t>
      </w:r>
    </w:p>
    <w:p w14:paraId="1AC920AD" w14:textId="25675877" w:rsidR="000B0559" w:rsidRDefault="000B0559" w:rsidP="000B0559">
      <w:pPr>
        <w:shd w:val="clear" w:color="auto" w:fill="FFFFFF"/>
        <w:spacing w:before="100" w:beforeAutospacing="1" w:after="0"/>
        <w:rPr>
          <w:rFonts w:cs="Calibri Light"/>
          <w:color w:val="323130"/>
          <w:szCs w:val="24"/>
        </w:rPr>
      </w:pPr>
      <w:r>
        <w:rPr>
          <w:rFonts w:cs="Calibri Light"/>
          <w:color w:val="323130"/>
          <w:szCs w:val="24"/>
        </w:rPr>
        <w:t xml:space="preserve">Treasury’s Strategic Workforce Plan focuses on </w:t>
      </w:r>
      <w:r w:rsidR="00DE3FF4">
        <w:rPr>
          <w:rFonts w:cs="Calibri Light"/>
          <w:color w:val="323130"/>
          <w:szCs w:val="24"/>
        </w:rPr>
        <w:t xml:space="preserve">4 </w:t>
      </w:r>
      <w:r>
        <w:rPr>
          <w:rFonts w:cs="Calibri Light"/>
          <w:color w:val="323130"/>
          <w:szCs w:val="24"/>
        </w:rPr>
        <w:t>priorities that will guide our efforts to ensure fairness and equality for all employees. These priorities include:</w:t>
      </w:r>
    </w:p>
    <w:p w14:paraId="30F742DF" w14:textId="27AA0007" w:rsidR="000B0559" w:rsidRDefault="000B0559" w:rsidP="000B0559">
      <w:pPr>
        <w:pStyle w:val="ListBullet"/>
      </w:pPr>
      <w:r w:rsidRPr="00DE365E">
        <w:rPr>
          <w:b/>
          <w:bCs/>
        </w:rPr>
        <w:t>Knowing our workforce</w:t>
      </w:r>
      <w:r w:rsidR="00632E71">
        <w:rPr>
          <w:b/>
          <w:bCs/>
        </w:rPr>
        <w:t xml:space="preserve"> </w:t>
      </w:r>
      <w:r w:rsidR="00DE3FF4">
        <w:rPr>
          <w:b/>
          <w:bCs/>
        </w:rPr>
        <w:t xml:space="preserve">– </w:t>
      </w:r>
      <w:r w:rsidR="00632E71">
        <w:t>We aim to strengthen our understanding of our workforce by leveraging diverse perspectives from a range of individuals, enabling us to respond more effectively to challenges and deliver better outcomes.</w:t>
      </w:r>
    </w:p>
    <w:p w14:paraId="18CD3D6E" w14:textId="171CB26F" w:rsidR="000B0559" w:rsidRDefault="000B0559" w:rsidP="000B0559">
      <w:pPr>
        <w:pStyle w:val="ListBullet"/>
      </w:pPr>
      <w:r w:rsidRPr="00DE365E">
        <w:rPr>
          <w:b/>
          <w:bCs/>
        </w:rPr>
        <w:t>Attracting our workforce</w:t>
      </w:r>
      <w:r>
        <w:t xml:space="preserve"> </w:t>
      </w:r>
      <w:r w:rsidR="00DE3FF4">
        <w:t xml:space="preserve">– </w:t>
      </w:r>
      <w:r w:rsidR="00632E71">
        <w:t>We strive to cultivate diversity within our workforce and position ourselves as an employer of choice, attracting top talent from all backgrounds.</w:t>
      </w:r>
    </w:p>
    <w:p w14:paraId="14BA6554" w14:textId="4F31AB6C" w:rsidR="000B0559" w:rsidRDefault="000B0559" w:rsidP="000B0559">
      <w:pPr>
        <w:pStyle w:val="ListBullet"/>
      </w:pPr>
      <w:r w:rsidRPr="006862FA">
        <w:rPr>
          <w:b/>
          <w:bCs/>
        </w:rPr>
        <w:t>Retaining our workforce</w:t>
      </w:r>
      <w:r>
        <w:t xml:space="preserve"> </w:t>
      </w:r>
      <w:r w:rsidR="00DE3FF4">
        <w:t xml:space="preserve">– </w:t>
      </w:r>
      <w:r w:rsidR="00632E71">
        <w:t>We prioritise career and development opportunities for all employees, building a strong talent pipeline that supports individuals of all genders.</w:t>
      </w:r>
    </w:p>
    <w:p w14:paraId="4DCDFC1D" w14:textId="15AC1EB2" w:rsidR="000B0559" w:rsidRDefault="000B0559" w:rsidP="000B0559">
      <w:pPr>
        <w:pStyle w:val="ListBullet"/>
      </w:pPr>
      <w:r w:rsidRPr="00987F4E">
        <w:rPr>
          <w:b/>
          <w:bCs/>
        </w:rPr>
        <w:t>Optimising our workforce</w:t>
      </w:r>
      <w:r>
        <w:t xml:space="preserve"> </w:t>
      </w:r>
      <w:r w:rsidR="00DE3FF4">
        <w:t xml:space="preserve">– </w:t>
      </w:r>
      <w:r w:rsidR="00632E71">
        <w:t xml:space="preserve">We are committed to continually improving our processes and practices, ensuring inclusion is embedded into our everyday actions and decisions.  </w:t>
      </w:r>
      <w:r>
        <w:br/>
      </w:r>
    </w:p>
    <w:p w14:paraId="46C76674" w14:textId="544B7225" w:rsidR="00632E71" w:rsidRDefault="000B0559" w:rsidP="00632E71">
      <w:pPr>
        <w:pStyle w:val="ListBullet"/>
        <w:numPr>
          <w:ilvl w:val="0"/>
          <w:numId w:val="0"/>
        </w:numPr>
        <w:rPr>
          <w:rFonts w:cs="Calibri Light"/>
          <w:color w:val="323130"/>
          <w:szCs w:val="24"/>
        </w:rPr>
      </w:pPr>
      <w:r>
        <w:t xml:space="preserve">The Strategic Workforce </w:t>
      </w:r>
      <w:r w:rsidR="00DD7AF9">
        <w:t>P</w:t>
      </w:r>
      <w:r>
        <w:t>lan</w:t>
      </w:r>
      <w:r w:rsidR="00DD7AF9">
        <w:t>,</w:t>
      </w:r>
      <w:r>
        <w:t xml:space="preserve"> bolstered by our </w:t>
      </w:r>
      <w:hyperlink r:id="rId12" w:history="1">
        <w:r w:rsidRPr="00632E71">
          <w:rPr>
            <w:rStyle w:val="Hyperlink"/>
          </w:rPr>
          <w:t>Inclusion and Diversity Strategy</w:t>
        </w:r>
        <w:r w:rsidR="00632E71" w:rsidRPr="00632E71">
          <w:rPr>
            <w:rStyle w:val="Hyperlink"/>
          </w:rPr>
          <w:t xml:space="preserve"> 2023</w:t>
        </w:r>
        <w:r w:rsidR="00DE3FF4">
          <w:rPr>
            <w:rStyle w:val="Hyperlink"/>
          </w:rPr>
          <w:t>–</w:t>
        </w:r>
        <w:r w:rsidR="00632E71" w:rsidRPr="00632E71">
          <w:rPr>
            <w:rStyle w:val="Hyperlink"/>
          </w:rPr>
          <w:t>28</w:t>
        </w:r>
      </w:hyperlink>
      <w:r w:rsidR="00DD7AF9">
        <w:rPr>
          <w:rStyle w:val="Hyperlink"/>
        </w:rPr>
        <w:t>,</w:t>
      </w:r>
      <w:r w:rsidR="00632E71">
        <w:t xml:space="preserve"> will guide us in </w:t>
      </w:r>
      <w:r w:rsidR="009037C2">
        <w:t xml:space="preserve">taking meaningful action to address </w:t>
      </w:r>
      <w:r w:rsidR="009037C2" w:rsidRPr="00EA5CA5">
        <w:t>existing gender pay gap disparities</w:t>
      </w:r>
      <w:r w:rsidR="009037C2">
        <w:rPr>
          <w:rFonts w:cs="Calibri Light"/>
          <w:color w:val="323130"/>
          <w:szCs w:val="24"/>
        </w:rPr>
        <w:t xml:space="preserve"> </w:t>
      </w:r>
      <w:r>
        <w:t>by</w:t>
      </w:r>
      <w:r w:rsidRPr="000B0559">
        <w:rPr>
          <w:rFonts w:cs="Calibri Light"/>
          <w:color w:val="323130"/>
          <w:szCs w:val="24"/>
        </w:rPr>
        <w:t xml:space="preserve"> </w:t>
      </w:r>
      <w:r>
        <w:rPr>
          <w:rFonts w:cs="Calibri Light"/>
          <w:color w:val="323130"/>
          <w:szCs w:val="24"/>
        </w:rPr>
        <w:t xml:space="preserve">continuing to prioritise the </w:t>
      </w:r>
      <w:hyperlink r:id="rId13" w:history="1">
        <w:r w:rsidRPr="000B0559">
          <w:rPr>
            <w:rStyle w:val="Hyperlink"/>
            <w:rFonts w:cs="Calibri Light"/>
            <w:szCs w:val="24"/>
          </w:rPr>
          <w:t>6 gender equality indicators</w:t>
        </w:r>
      </w:hyperlink>
      <w:r w:rsidR="00C25E26">
        <w:rPr>
          <w:rStyle w:val="Hyperlink"/>
          <w:rFonts w:cs="Calibri Light"/>
          <w:szCs w:val="24"/>
          <w:u w:val="none"/>
        </w:rPr>
        <w:t xml:space="preserve"> </w:t>
      </w:r>
      <w:r w:rsidR="00C25E26" w:rsidRPr="00C25E26">
        <w:t xml:space="preserve">in the </w:t>
      </w:r>
      <w:r w:rsidR="00C25E26" w:rsidRPr="00C25E26">
        <w:rPr>
          <w:i/>
          <w:iCs/>
        </w:rPr>
        <w:t>Workplace Gender Equality Act 2012</w:t>
      </w:r>
      <w:r>
        <w:rPr>
          <w:rFonts w:cs="Calibri Light"/>
          <w:color w:val="323130"/>
          <w:szCs w:val="24"/>
        </w:rPr>
        <w:t xml:space="preserve">. </w:t>
      </w:r>
      <w:bookmarkStart w:id="1" w:name="_Hlk188278839"/>
      <w:bookmarkEnd w:id="0"/>
    </w:p>
    <w:bookmarkEnd w:id="1"/>
    <w:p w14:paraId="3A8E4980" w14:textId="22DE1B6A" w:rsidR="006252FD" w:rsidRPr="00632E71" w:rsidRDefault="006252FD" w:rsidP="00632E71">
      <w:pPr>
        <w:pStyle w:val="ListBullet"/>
        <w:numPr>
          <w:ilvl w:val="0"/>
          <w:numId w:val="0"/>
        </w:numPr>
      </w:pPr>
    </w:p>
    <w:p w14:paraId="7A1F7B0C" w14:textId="77777777" w:rsidR="002A2D59" w:rsidRPr="007750C3" w:rsidRDefault="002A2D59" w:rsidP="004326F4">
      <w:pPr>
        <w:shd w:val="clear" w:color="auto" w:fill="FFFFFF"/>
        <w:spacing w:before="100" w:beforeAutospacing="1" w:after="0"/>
        <w:rPr>
          <w:rFonts w:cs="Calibri Light"/>
          <w:color w:val="323130"/>
          <w:szCs w:val="24"/>
        </w:rPr>
      </w:pPr>
    </w:p>
    <w:sectPr w:rsidR="002A2D59" w:rsidRPr="007750C3" w:rsidSect="00300C95">
      <w:headerReference w:type="even" r:id="rId14"/>
      <w:headerReference w:type="default" r:id="rId15"/>
      <w:footerReference w:type="even" r:id="rId16"/>
      <w:footerReference w:type="default" r:id="rId17"/>
      <w:headerReference w:type="first" r:id="rId18"/>
      <w:footerReference w:type="first" r:id="rId19"/>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BAFD" w14:textId="77777777" w:rsidR="000114E9" w:rsidRDefault="000114E9" w:rsidP="00886BC4">
      <w:r>
        <w:separator/>
      </w:r>
    </w:p>
    <w:p w14:paraId="75E07212" w14:textId="77777777" w:rsidR="000114E9" w:rsidRDefault="000114E9"/>
  </w:endnote>
  <w:endnote w:type="continuationSeparator" w:id="0">
    <w:p w14:paraId="1081DB3E" w14:textId="77777777" w:rsidR="000114E9" w:rsidRDefault="000114E9" w:rsidP="00886BC4">
      <w:r>
        <w:continuationSeparator/>
      </w:r>
    </w:p>
    <w:p w14:paraId="60C49EC1" w14:textId="77777777" w:rsidR="000114E9" w:rsidRDefault="000114E9"/>
  </w:endnote>
  <w:endnote w:type="continuationNotice" w:id="1">
    <w:p w14:paraId="367049F6" w14:textId="77777777" w:rsidR="000114E9" w:rsidRDefault="00011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A8E4" w14:textId="5094B269" w:rsidR="006D5AD9" w:rsidRDefault="006D5AD9">
    <w:pPr>
      <w:pStyle w:val="Footer"/>
    </w:pPr>
    <w:r>
      <w:rPr>
        <w:noProof/>
      </w:rPr>
      <mc:AlternateContent>
        <mc:Choice Requires="wps">
          <w:drawing>
            <wp:anchor distT="0" distB="0" distL="0" distR="0" simplePos="0" relativeHeight="251679747" behindDoc="0" locked="0" layoutInCell="1" allowOverlap="1" wp14:anchorId="738D58C8" wp14:editId="7E229C86">
              <wp:simplePos x="635" y="635"/>
              <wp:positionH relativeFrom="page">
                <wp:align>center</wp:align>
              </wp:positionH>
              <wp:positionV relativeFrom="page">
                <wp:align>bottom</wp:align>
              </wp:positionV>
              <wp:extent cx="443865" cy="443865"/>
              <wp:effectExtent l="0" t="0" r="635" b="0"/>
              <wp:wrapNone/>
              <wp:docPr id="403240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EEE82" w14:textId="6920D075"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D58C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797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4EEE82" w14:textId="6920D075"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810E" w14:textId="338C22DA" w:rsidR="00A15DB7" w:rsidRPr="00E81A92" w:rsidRDefault="006D5AD9" w:rsidP="006F67AD">
    <w:pPr>
      <w:pStyle w:val="Footer"/>
    </w:pPr>
    <w:r>
      <w:rPr>
        <w:noProof/>
        <w:position w:val="-10"/>
      </w:rPr>
      <mc:AlternateContent>
        <mc:Choice Requires="wps">
          <w:drawing>
            <wp:anchor distT="0" distB="0" distL="0" distR="0" simplePos="0" relativeHeight="251680771" behindDoc="0" locked="0" layoutInCell="1" allowOverlap="1" wp14:anchorId="0930AEF0" wp14:editId="30999893">
              <wp:simplePos x="1076325" y="10172700"/>
              <wp:positionH relativeFrom="page">
                <wp:align>center</wp:align>
              </wp:positionH>
              <wp:positionV relativeFrom="page">
                <wp:align>bottom</wp:align>
              </wp:positionV>
              <wp:extent cx="443865" cy="443865"/>
              <wp:effectExtent l="0" t="0" r="635" b="0"/>
              <wp:wrapNone/>
              <wp:docPr id="1032697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9F910" w14:textId="72F4A118"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0AEF0"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999F910" w14:textId="72F4A118"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r w:rsidR="00E81A92" w:rsidRPr="00AC3B66">
      <w:rPr>
        <w:noProof/>
        <w:position w:val="-10"/>
      </w:rPr>
      <w:drawing>
        <wp:inline distT="0" distB="0" distL="0" distR="0" wp14:anchorId="7035EC0C" wp14:editId="5FAD68CA">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92">
      <w:tab/>
    </w:r>
    <w:r w:rsidR="006F67AD">
      <w:tab/>
    </w:r>
    <w:r w:rsidR="00E81A92" w:rsidRPr="00565A52">
      <w:t xml:space="preserve">Last updated: </w:t>
    </w:r>
    <w:r w:rsidR="00E81A92">
      <w:fldChar w:fldCharType="begin"/>
    </w:r>
    <w:r w:rsidR="00E81A92">
      <w:instrText xml:space="preserve"> SAVEDATE  \@ "d MMMM yyyy"  \* MERGEFORMAT </w:instrText>
    </w:r>
    <w:r w:rsidR="00E81A92">
      <w:fldChar w:fldCharType="separate"/>
    </w:r>
    <w:r w:rsidR="00EB3C26">
      <w:rPr>
        <w:noProof/>
      </w:rPr>
      <w:t>19 February 2025</w:t>
    </w:r>
    <w:r w:rsidR="00E81A92">
      <w:fldChar w:fldCharType="end"/>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FDD4" w14:textId="299CFD6C" w:rsidR="00300C95" w:rsidRPr="00E81A92" w:rsidRDefault="006D5AD9" w:rsidP="009601D6">
    <w:pPr>
      <w:pStyle w:val="Footer"/>
      <w:tabs>
        <w:tab w:val="clear" w:pos="4320"/>
        <w:tab w:val="clear" w:pos="8640"/>
        <w:tab w:val="center" w:pos="7938"/>
      </w:tabs>
    </w:pPr>
    <w:r>
      <w:rPr>
        <w:noProof/>
        <w:position w:val="-10"/>
      </w:rPr>
      <mc:AlternateContent>
        <mc:Choice Requires="wps">
          <w:drawing>
            <wp:anchor distT="0" distB="0" distL="0" distR="0" simplePos="0" relativeHeight="251678723" behindDoc="0" locked="0" layoutInCell="1" allowOverlap="1" wp14:anchorId="3801396D" wp14:editId="43549838">
              <wp:simplePos x="1076325" y="10172700"/>
              <wp:positionH relativeFrom="page">
                <wp:align>center</wp:align>
              </wp:positionH>
              <wp:positionV relativeFrom="page">
                <wp:align>bottom</wp:align>
              </wp:positionV>
              <wp:extent cx="443865" cy="443865"/>
              <wp:effectExtent l="0" t="0" r="635" b="0"/>
              <wp:wrapNone/>
              <wp:docPr id="9792552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8542C" w14:textId="3971D7DA"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1396D"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787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C68542C" w14:textId="3971D7DA"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r w:rsidR="00E81A92" w:rsidRPr="00AC3B66">
      <w:rPr>
        <w:noProof/>
        <w:position w:val="-10"/>
      </w:rPr>
      <w:drawing>
        <wp:inline distT="0" distB="0" distL="0" distR="0" wp14:anchorId="0DD2FA55" wp14:editId="71DA5802">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92">
      <w:tab/>
    </w:r>
    <w:r w:rsidR="009601D6">
      <w:t xml:space="preserve">                                </w:t>
    </w:r>
    <w:r w:rsidR="00E81A92">
      <w:t xml:space="preserve">|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68E1" w14:textId="77777777" w:rsidR="000114E9" w:rsidRDefault="000114E9" w:rsidP="00886BC4">
      <w:r>
        <w:separator/>
      </w:r>
    </w:p>
    <w:p w14:paraId="6CCA590D" w14:textId="77777777" w:rsidR="000114E9" w:rsidRDefault="000114E9"/>
  </w:footnote>
  <w:footnote w:type="continuationSeparator" w:id="0">
    <w:p w14:paraId="5A5640EA" w14:textId="77777777" w:rsidR="000114E9" w:rsidRDefault="000114E9" w:rsidP="00886BC4">
      <w:r>
        <w:continuationSeparator/>
      </w:r>
    </w:p>
    <w:p w14:paraId="3A0549F1" w14:textId="77777777" w:rsidR="000114E9" w:rsidRDefault="000114E9"/>
  </w:footnote>
  <w:footnote w:type="continuationNotice" w:id="1">
    <w:p w14:paraId="2D920EE1" w14:textId="77777777" w:rsidR="000114E9" w:rsidRDefault="00011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D4F" w14:textId="6A051BB9" w:rsidR="006D5AD9" w:rsidRDefault="006D5AD9">
    <w:pPr>
      <w:pStyle w:val="Header"/>
    </w:pPr>
    <w:r>
      <w:rPr>
        <w:noProof/>
      </w:rPr>
      <mc:AlternateContent>
        <mc:Choice Requires="wps">
          <w:drawing>
            <wp:anchor distT="0" distB="0" distL="0" distR="0" simplePos="0" relativeHeight="251676675" behindDoc="0" locked="0" layoutInCell="1" allowOverlap="1" wp14:anchorId="61057467" wp14:editId="43A30660">
              <wp:simplePos x="635" y="635"/>
              <wp:positionH relativeFrom="page">
                <wp:align>center</wp:align>
              </wp:positionH>
              <wp:positionV relativeFrom="page">
                <wp:align>top</wp:align>
              </wp:positionV>
              <wp:extent cx="443865" cy="443865"/>
              <wp:effectExtent l="0" t="0" r="635" b="4445"/>
              <wp:wrapNone/>
              <wp:docPr id="16178156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E4782" w14:textId="3F9A4BE6"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5746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766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CE4782" w14:textId="3F9A4BE6"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2ACF" w14:textId="74D28507" w:rsidR="006D3EE7" w:rsidRPr="007F53C0" w:rsidRDefault="006D5AD9" w:rsidP="007F53C0">
    <w:pPr>
      <w:pStyle w:val="Header"/>
    </w:pPr>
    <w:r>
      <w:rPr>
        <w:noProof/>
      </w:rPr>
      <mc:AlternateContent>
        <mc:Choice Requires="wps">
          <w:drawing>
            <wp:anchor distT="0" distB="0" distL="0" distR="0" simplePos="0" relativeHeight="251677699" behindDoc="0" locked="0" layoutInCell="1" allowOverlap="1" wp14:anchorId="461A0428" wp14:editId="757D58F6">
              <wp:simplePos x="1076325" y="361950"/>
              <wp:positionH relativeFrom="page">
                <wp:align>center</wp:align>
              </wp:positionH>
              <wp:positionV relativeFrom="page">
                <wp:align>top</wp:align>
              </wp:positionV>
              <wp:extent cx="443865" cy="443865"/>
              <wp:effectExtent l="0" t="0" r="635" b="4445"/>
              <wp:wrapNone/>
              <wp:docPr id="13613868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8086B" w14:textId="0967C16C"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A042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FF8086B" w14:textId="0967C16C"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r w:rsidR="00FC2E34">
      <w:rPr>
        <w:noProof/>
      </w:rPr>
      <w:drawing>
        <wp:anchor distT="0" distB="0" distL="114300" distR="114300" simplePos="0" relativeHeight="251673603" behindDoc="1" locked="0" layoutInCell="1" allowOverlap="1" wp14:anchorId="40B9D307" wp14:editId="33E195A0">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r>
      <w:fldChar w:fldCharType="begin"/>
    </w:r>
    <w:r>
      <w:instrText xml:space="preserve"> STYLEREF  "Fact sheet title"  \* MERGEFORMAT </w:instrTex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4366" w14:textId="6182AC4B" w:rsidR="00300C95" w:rsidRDefault="006D5AD9">
    <w:pPr>
      <w:pStyle w:val="Header"/>
    </w:pPr>
    <w:r>
      <w:rPr>
        <w:noProof/>
      </w:rPr>
      <mc:AlternateContent>
        <mc:Choice Requires="wps">
          <w:drawing>
            <wp:anchor distT="0" distB="0" distL="0" distR="0" simplePos="0" relativeHeight="251675651" behindDoc="0" locked="0" layoutInCell="1" allowOverlap="1" wp14:anchorId="6D189388" wp14:editId="7810A860">
              <wp:simplePos x="1076325" y="361950"/>
              <wp:positionH relativeFrom="page">
                <wp:align>center</wp:align>
              </wp:positionH>
              <wp:positionV relativeFrom="page">
                <wp:align>top</wp:align>
              </wp:positionV>
              <wp:extent cx="443865" cy="443865"/>
              <wp:effectExtent l="0" t="0" r="635" b="4445"/>
              <wp:wrapNone/>
              <wp:docPr id="4584827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D2C40" w14:textId="3A1749E0"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89388"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56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17D2C40" w14:textId="3A1749E0" w:rsidR="006D5AD9" w:rsidRPr="006D5AD9" w:rsidRDefault="006D5AD9" w:rsidP="006D5AD9">
                    <w:pPr>
                      <w:spacing w:after="0"/>
                      <w:rPr>
                        <w:rFonts w:ascii="Calibri" w:eastAsia="Calibri" w:hAnsi="Calibri" w:cs="Calibri"/>
                        <w:noProof/>
                        <w:color w:val="FF0000"/>
                        <w:sz w:val="24"/>
                        <w:szCs w:val="24"/>
                      </w:rPr>
                    </w:pPr>
                    <w:r w:rsidRPr="006D5AD9">
                      <w:rPr>
                        <w:rFonts w:ascii="Calibri" w:eastAsia="Calibri" w:hAnsi="Calibri" w:cs="Calibri"/>
                        <w:noProof/>
                        <w:color w:val="FF0000"/>
                        <w:sz w:val="24"/>
                        <w:szCs w:val="24"/>
                      </w:rPr>
                      <w:t>OFFICIAL</w:t>
                    </w:r>
                  </w:p>
                </w:txbxContent>
              </v:textbox>
              <w10:wrap anchorx="page" anchory="page"/>
            </v:shape>
          </w:pict>
        </mc:Fallback>
      </mc:AlternateContent>
    </w:r>
    <w:r w:rsidR="00300C95">
      <w:rPr>
        <w:noProof/>
      </w:rPr>
      <w:drawing>
        <wp:anchor distT="0" distB="0" distL="114300" distR="114300" simplePos="0" relativeHeight="251674627" behindDoc="1" locked="0" layoutInCell="1" allowOverlap="0" wp14:anchorId="1A9A04E5" wp14:editId="21BA942B">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FFFFFF89"/>
    <w:multiLevelType w:val="singleLevel"/>
    <w:tmpl w:val="3064D6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A704A6"/>
    <w:multiLevelType w:val="multilevel"/>
    <w:tmpl w:val="F184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76444"/>
    <w:multiLevelType w:val="hybridMultilevel"/>
    <w:tmpl w:val="9C8C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432776C6"/>
    <w:multiLevelType w:val="multilevel"/>
    <w:tmpl w:val="A9FA593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ind w:left="880" w:hanging="36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3"/>
  </w:num>
  <w:num w:numId="2" w16cid:durableId="96337980">
    <w:abstractNumId w:val="11"/>
  </w:num>
  <w:num w:numId="3" w16cid:durableId="1889341095">
    <w:abstractNumId w:val="9"/>
  </w:num>
  <w:num w:numId="4" w16cid:durableId="216212289">
    <w:abstractNumId w:val="10"/>
  </w:num>
  <w:num w:numId="5" w16cid:durableId="2008171716">
    <w:abstractNumId w:val="6"/>
  </w:num>
  <w:num w:numId="6" w16cid:durableId="1880582053">
    <w:abstractNumId w:val="0"/>
  </w:num>
  <w:num w:numId="7" w16cid:durableId="127863591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2"/>
  </w:num>
  <w:num w:numId="9" w16cid:durableId="690108307">
    <w:abstractNumId w:val="7"/>
  </w:num>
  <w:num w:numId="10" w16cid:durableId="1597665334">
    <w:abstractNumId w:val="4"/>
  </w:num>
  <w:num w:numId="11" w16cid:durableId="1860120397">
    <w:abstractNumId w:val="8"/>
  </w:num>
  <w:num w:numId="12" w16cid:durableId="1649630972">
    <w:abstractNumId w:val="5"/>
  </w:num>
  <w:num w:numId="13" w16cid:durableId="149646109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420C52"/>
    <w:rsid w:val="00010AED"/>
    <w:rsid w:val="000114E9"/>
    <w:rsid w:val="0001172F"/>
    <w:rsid w:val="000128C5"/>
    <w:rsid w:val="00016670"/>
    <w:rsid w:val="00016B6C"/>
    <w:rsid w:val="0002151A"/>
    <w:rsid w:val="00024B12"/>
    <w:rsid w:val="00031D18"/>
    <w:rsid w:val="00033942"/>
    <w:rsid w:val="000421F9"/>
    <w:rsid w:val="00045C24"/>
    <w:rsid w:val="00052C17"/>
    <w:rsid w:val="00060C76"/>
    <w:rsid w:val="00067E65"/>
    <w:rsid w:val="000753CE"/>
    <w:rsid w:val="00083697"/>
    <w:rsid w:val="000A4D2D"/>
    <w:rsid w:val="000B0559"/>
    <w:rsid w:val="000B1EC3"/>
    <w:rsid w:val="000B3C90"/>
    <w:rsid w:val="000C02C9"/>
    <w:rsid w:val="000C3EA2"/>
    <w:rsid w:val="000D33F2"/>
    <w:rsid w:val="000D350E"/>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3ABA"/>
    <w:rsid w:val="00166A45"/>
    <w:rsid w:val="00173D65"/>
    <w:rsid w:val="00174954"/>
    <w:rsid w:val="00182E9E"/>
    <w:rsid w:val="00183F40"/>
    <w:rsid w:val="001857B8"/>
    <w:rsid w:val="00187AAE"/>
    <w:rsid w:val="00190D7B"/>
    <w:rsid w:val="0019161A"/>
    <w:rsid w:val="00192367"/>
    <w:rsid w:val="001929D8"/>
    <w:rsid w:val="00194BC0"/>
    <w:rsid w:val="00197414"/>
    <w:rsid w:val="001A3300"/>
    <w:rsid w:val="001A3846"/>
    <w:rsid w:val="001A5155"/>
    <w:rsid w:val="001A5DCC"/>
    <w:rsid w:val="001B3A29"/>
    <w:rsid w:val="001B540E"/>
    <w:rsid w:val="001C5117"/>
    <w:rsid w:val="001C78AE"/>
    <w:rsid w:val="001D1AB3"/>
    <w:rsid w:val="001D45A4"/>
    <w:rsid w:val="001D6CD5"/>
    <w:rsid w:val="001E5623"/>
    <w:rsid w:val="001E6148"/>
    <w:rsid w:val="001E6DC2"/>
    <w:rsid w:val="001E7840"/>
    <w:rsid w:val="001E7CF5"/>
    <w:rsid w:val="001F39FD"/>
    <w:rsid w:val="001F50DA"/>
    <w:rsid w:val="00203245"/>
    <w:rsid w:val="00205F44"/>
    <w:rsid w:val="002105F8"/>
    <w:rsid w:val="00215EE7"/>
    <w:rsid w:val="00220A90"/>
    <w:rsid w:val="00223D87"/>
    <w:rsid w:val="002268AB"/>
    <w:rsid w:val="00226F00"/>
    <w:rsid w:val="0022749C"/>
    <w:rsid w:val="00227C77"/>
    <w:rsid w:val="00233887"/>
    <w:rsid w:val="00233A88"/>
    <w:rsid w:val="0023508A"/>
    <w:rsid w:val="00235FA4"/>
    <w:rsid w:val="00241B9A"/>
    <w:rsid w:val="0024226F"/>
    <w:rsid w:val="00242F25"/>
    <w:rsid w:val="00245342"/>
    <w:rsid w:val="002462BD"/>
    <w:rsid w:val="00260712"/>
    <w:rsid w:val="00263339"/>
    <w:rsid w:val="002718AF"/>
    <w:rsid w:val="002809F6"/>
    <w:rsid w:val="00283303"/>
    <w:rsid w:val="00287BA8"/>
    <w:rsid w:val="00287F32"/>
    <w:rsid w:val="0029134D"/>
    <w:rsid w:val="002978C8"/>
    <w:rsid w:val="002A0B32"/>
    <w:rsid w:val="002A2D59"/>
    <w:rsid w:val="002A4B83"/>
    <w:rsid w:val="002A6430"/>
    <w:rsid w:val="002A79C5"/>
    <w:rsid w:val="002C00C9"/>
    <w:rsid w:val="002C104F"/>
    <w:rsid w:val="002C26D9"/>
    <w:rsid w:val="002C35A1"/>
    <w:rsid w:val="002C5866"/>
    <w:rsid w:val="002D49D1"/>
    <w:rsid w:val="002E3BE1"/>
    <w:rsid w:val="002F417B"/>
    <w:rsid w:val="002F6ADC"/>
    <w:rsid w:val="002F7357"/>
    <w:rsid w:val="00300C95"/>
    <w:rsid w:val="003027A8"/>
    <w:rsid w:val="003054A8"/>
    <w:rsid w:val="00306770"/>
    <w:rsid w:val="00307DA3"/>
    <w:rsid w:val="0031360A"/>
    <w:rsid w:val="00321F1B"/>
    <w:rsid w:val="0032353F"/>
    <w:rsid w:val="0032468C"/>
    <w:rsid w:val="00327D31"/>
    <w:rsid w:val="003305CA"/>
    <w:rsid w:val="003346C5"/>
    <w:rsid w:val="00340358"/>
    <w:rsid w:val="0034064A"/>
    <w:rsid w:val="0034564D"/>
    <w:rsid w:val="00352102"/>
    <w:rsid w:val="00352964"/>
    <w:rsid w:val="00353390"/>
    <w:rsid w:val="00357842"/>
    <w:rsid w:val="00372AC1"/>
    <w:rsid w:val="003802F4"/>
    <w:rsid w:val="003831AB"/>
    <w:rsid w:val="00390C06"/>
    <w:rsid w:val="003A63D1"/>
    <w:rsid w:val="003A6B17"/>
    <w:rsid w:val="003B1315"/>
    <w:rsid w:val="003C02D9"/>
    <w:rsid w:val="003C047D"/>
    <w:rsid w:val="003C2128"/>
    <w:rsid w:val="003C4F86"/>
    <w:rsid w:val="003C789B"/>
    <w:rsid w:val="003E26C5"/>
    <w:rsid w:val="003F2E2F"/>
    <w:rsid w:val="003F424B"/>
    <w:rsid w:val="00412D36"/>
    <w:rsid w:val="00420C52"/>
    <w:rsid w:val="00425E05"/>
    <w:rsid w:val="004326F4"/>
    <w:rsid w:val="00442C7E"/>
    <w:rsid w:val="004448D7"/>
    <w:rsid w:val="00450CCE"/>
    <w:rsid w:val="00451799"/>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3971"/>
    <w:rsid w:val="004C5917"/>
    <w:rsid w:val="004C5E48"/>
    <w:rsid w:val="004D0778"/>
    <w:rsid w:val="004D75F6"/>
    <w:rsid w:val="004E1721"/>
    <w:rsid w:val="004E424B"/>
    <w:rsid w:val="004E71FE"/>
    <w:rsid w:val="004F24D0"/>
    <w:rsid w:val="004F2E14"/>
    <w:rsid w:val="0050048E"/>
    <w:rsid w:val="00500A09"/>
    <w:rsid w:val="0050172D"/>
    <w:rsid w:val="00502E10"/>
    <w:rsid w:val="00505009"/>
    <w:rsid w:val="00506BF4"/>
    <w:rsid w:val="00507097"/>
    <w:rsid w:val="0051600D"/>
    <w:rsid w:val="00516FB2"/>
    <w:rsid w:val="00520731"/>
    <w:rsid w:val="00524DCE"/>
    <w:rsid w:val="00525050"/>
    <w:rsid w:val="0053110F"/>
    <w:rsid w:val="00533FEF"/>
    <w:rsid w:val="00535C81"/>
    <w:rsid w:val="005369C7"/>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D0756"/>
    <w:rsid w:val="005D2DAE"/>
    <w:rsid w:val="005E32F4"/>
    <w:rsid w:val="005E5CAD"/>
    <w:rsid w:val="005E62D6"/>
    <w:rsid w:val="005E65AB"/>
    <w:rsid w:val="005F0FBF"/>
    <w:rsid w:val="006014A0"/>
    <w:rsid w:val="006069EB"/>
    <w:rsid w:val="00614971"/>
    <w:rsid w:val="006252FD"/>
    <w:rsid w:val="006265B5"/>
    <w:rsid w:val="00627218"/>
    <w:rsid w:val="00632E71"/>
    <w:rsid w:val="006355D1"/>
    <w:rsid w:val="00635DD4"/>
    <w:rsid w:val="00637692"/>
    <w:rsid w:val="0064580C"/>
    <w:rsid w:val="0064704A"/>
    <w:rsid w:val="006638D9"/>
    <w:rsid w:val="0067213A"/>
    <w:rsid w:val="006916AD"/>
    <w:rsid w:val="00694B4F"/>
    <w:rsid w:val="00697E26"/>
    <w:rsid w:val="006A118D"/>
    <w:rsid w:val="006A3972"/>
    <w:rsid w:val="006A712D"/>
    <w:rsid w:val="006B4355"/>
    <w:rsid w:val="006D27A6"/>
    <w:rsid w:val="006D3EE7"/>
    <w:rsid w:val="006D5AD9"/>
    <w:rsid w:val="006D6960"/>
    <w:rsid w:val="006D7793"/>
    <w:rsid w:val="006E101D"/>
    <w:rsid w:val="006E6F8C"/>
    <w:rsid w:val="006E76BE"/>
    <w:rsid w:val="006F0918"/>
    <w:rsid w:val="006F56A2"/>
    <w:rsid w:val="006F67AD"/>
    <w:rsid w:val="006F6E04"/>
    <w:rsid w:val="00705AD6"/>
    <w:rsid w:val="007067ED"/>
    <w:rsid w:val="00717216"/>
    <w:rsid w:val="007173DD"/>
    <w:rsid w:val="00722F56"/>
    <w:rsid w:val="007343B8"/>
    <w:rsid w:val="00735B26"/>
    <w:rsid w:val="00736715"/>
    <w:rsid w:val="007600FA"/>
    <w:rsid w:val="0076093D"/>
    <w:rsid w:val="00761DA0"/>
    <w:rsid w:val="007622D7"/>
    <w:rsid w:val="007750C3"/>
    <w:rsid w:val="00780CBE"/>
    <w:rsid w:val="007825F2"/>
    <w:rsid w:val="00784A3C"/>
    <w:rsid w:val="00790C8C"/>
    <w:rsid w:val="00793BD7"/>
    <w:rsid w:val="0079466D"/>
    <w:rsid w:val="00795805"/>
    <w:rsid w:val="0079743E"/>
    <w:rsid w:val="007A4195"/>
    <w:rsid w:val="007A6E4D"/>
    <w:rsid w:val="007B6953"/>
    <w:rsid w:val="007B7784"/>
    <w:rsid w:val="007C1094"/>
    <w:rsid w:val="007C3CD0"/>
    <w:rsid w:val="007D2C34"/>
    <w:rsid w:val="007D32D1"/>
    <w:rsid w:val="007D4EB7"/>
    <w:rsid w:val="007D6593"/>
    <w:rsid w:val="007D6F47"/>
    <w:rsid w:val="007E013D"/>
    <w:rsid w:val="007E0975"/>
    <w:rsid w:val="007E36E4"/>
    <w:rsid w:val="007E5E07"/>
    <w:rsid w:val="007E7046"/>
    <w:rsid w:val="007F4E53"/>
    <w:rsid w:val="007F53C0"/>
    <w:rsid w:val="007F61E3"/>
    <w:rsid w:val="00805B83"/>
    <w:rsid w:val="008072D8"/>
    <w:rsid w:val="008139FB"/>
    <w:rsid w:val="00824B0C"/>
    <w:rsid w:val="00831D8A"/>
    <w:rsid w:val="00834F14"/>
    <w:rsid w:val="00847719"/>
    <w:rsid w:val="008616B9"/>
    <w:rsid w:val="0088159C"/>
    <w:rsid w:val="0088211A"/>
    <w:rsid w:val="00884F56"/>
    <w:rsid w:val="008854F6"/>
    <w:rsid w:val="00886667"/>
    <w:rsid w:val="00886BC4"/>
    <w:rsid w:val="008972E4"/>
    <w:rsid w:val="008A02F3"/>
    <w:rsid w:val="008A1C1D"/>
    <w:rsid w:val="008A220A"/>
    <w:rsid w:val="008A48CA"/>
    <w:rsid w:val="008B2938"/>
    <w:rsid w:val="008B395C"/>
    <w:rsid w:val="008C09BD"/>
    <w:rsid w:val="008C462C"/>
    <w:rsid w:val="008C5773"/>
    <w:rsid w:val="008D0CA6"/>
    <w:rsid w:val="008D4CD0"/>
    <w:rsid w:val="008D507E"/>
    <w:rsid w:val="008D5358"/>
    <w:rsid w:val="008E0180"/>
    <w:rsid w:val="008E04BD"/>
    <w:rsid w:val="008E35A5"/>
    <w:rsid w:val="008E76FF"/>
    <w:rsid w:val="008F0B15"/>
    <w:rsid w:val="008F1AA6"/>
    <w:rsid w:val="008F2212"/>
    <w:rsid w:val="008F73C8"/>
    <w:rsid w:val="008F7E69"/>
    <w:rsid w:val="00903786"/>
    <w:rsid w:val="009037C2"/>
    <w:rsid w:val="00903AB2"/>
    <w:rsid w:val="00905F29"/>
    <w:rsid w:val="0090719E"/>
    <w:rsid w:val="009109AA"/>
    <w:rsid w:val="00915490"/>
    <w:rsid w:val="00926879"/>
    <w:rsid w:val="00933C8C"/>
    <w:rsid w:val="009367F6"/>
    <w:rsid w:val="0093741D"/>
    <w:rsid w:val="00942CB3"/>
    <w:rsid w:val="00944174"/>
    <w:rsid w:val="00950E3B"/>
    <w:rsid w:val="00951652"/>
    <w:rsid w:val="00952F2F"/>
    <w:rsid w:val="009601D6"/>
    <w:rsid w:val="00965C4B"/>
    <w:rsid w:val="00966CB0"/>
    <w:rsid w:val="009757BB"/>
    <w:rsid w:val="0098151F"/>
    <w:rsid w:val="00986A46"/>
    <w:rsid w:val="009906A6"/>
    <w:rsid w:val="00990E9A"/>
    <w:rsid w:val="00992ADC"/>
    <w:rsid w:val="009A6D32"/>
    <w:rsid w:val="009A71C4"/>
    <w:rsid w:val="009B111D"/>
    <w:rsid w:val="009B15EC"/>
    <w:rsid w:val="009B1781"/>
    <w:rsid w:val="009B2546"/>
    <w:rsid w:val="009B464D"/>
    <w:rsid w:val="009C1445"/>
    <w:rsid w:val="009C1F90"/>
    <w:rsid w:val="009C66A3"/>
    <w:rsid w:val="009D616A"/>
    <w:rsid w:val="009E6061"/>
    <w:rsid w:val="00A01086"/>
    <w:rsid w:val="00A05E57"/>
    <w:rsid w:val="00A05FA0"/>
    <w:rsid w:val="00A076A0"/>
    <w:rsid w:val="00A1120D"/>
    <w:rsid w:val="00A13CB3"/>
    <w:rsid w:val="00A13F0D"/>
    <w:rsid w:val="00A15DB7"/>
    <w:rsid w:val="00A17503"/>
    <w:rsid w:val="00A215B3"/>
    <w:rsid w:val="00A24D20"/>
    <w:rsid w:val="00A26419"/>
    <w:rsid w:val="00A32C4E"/>
    <w:rsid w:val="00A3452B"/>
    <w:rsid w:val="00A35920"/>
    <w:rsid w:val="00A37A73"/>
    <w:rsid w:val="00A46A9A"/>
    <w:rsid w:val="00A4777C"/>
    <w:rsid w:val="00A50111"/>
    <w:rsid w:val="00A52C22"/>
    <w:rsid w:val="00A56713"/>
    <w:rsid w:val="00A60022"/>
    <w:rsid w:val="00A6514E"/>
    <w:rsid w:val="00A74019"/>
    <w:rsid w:val="00A8449C"/>
    <w:rsid w:val="00A84C3C"/>
    <w:rsid w:val="00A87F4B"/>
    <w:rsid w:val="00A909A3"/>
    <w:rsid w:val="00A91A8E"/>
    <w:rsid w:val="00A91BD2"/>
    <w:rsid w:val="00A940BE"/>
    <w:rsid w:val="00A96316"/>
    <w:rsid w:val="00A9658A"/>
    <w:rsid w:val="00A970ED"/>
    <w:rsid w:val="00A97EC3"/>
    <w:rsid w:val="00AA553F"/>
    <w:rsid w:val="00AB3D33"/>
    <w:rsid w:val="00AB6752"/>
    <w:rsid w:val="00AC1068"/>
    <w:rsid w:val="00AC18BD"/>
    <w:rsid w:val="00AC1B27"/>
    <w:rsid w:val="00AC4C62"/>
    <w:rsid w:val="00AC60D4"/>
    <w:rsid w:val="00AE02CE"/>
    <w:rsid w:val="00AE39EE"/>
    <w:rsid w:val="00AE53E5"/>
    <w:rsid w:val="00AF15AA"/>
    <w:rsid w:val="00B07965"/>
    <w:rsid w:val="00B129C3"/>
    <w:rsid w:val="00B15B56"/>
    <w:rsid w:val="00B1779E"/>
    <w:rsid w:val="00B24C1C"/>
    <w:rsid w:val="00B32830"/>
    <w:rsid w:val="00B42FAF"/>
    <w:rsid w:val="00B44E54"/>
    <w:rsid w:val="00B50FEA"/>
    <w:rsid w:val="00B51175"/>
    <w:rsid w:val="00B5397C"/>
    <w:rsid w:val="00B54FA9"/>
    <w:rsid w:val="00B57B0B"/>
    <w:rsid w:val="00B64308"/>
    <w:rsid w:val="00B71F74"/>
    <w:rsid w:val="00B73C23"/>
    <w:rsid w:val="00B771FF"/>
    <w:rsid w:val="00B805FD"/>
    <w:rsid w:val="00B82C4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165EA"/>
    <w:rsid w:val="00C22E3C"/>
    <w:rsid w:val="00C23C8C"/>
    <w:rsid w:val="00C25E26"/>
    <w:rsid w:val="00C2618F"/>
    <w:rsid w:val="00C3042D"/>
    <w:rsid w:val="00C362B7"/>
    <w:rsid w:val="00C3693F"/>
    <w:rsid w:val="00C37A6A"/>
    <w:rsid w:val="00C436B8"/>
    <w:rsid w:val="00C443D7"/>
    <w:rsid w:val="00C620FD"/>
    <w:rsid w:val="00C639E4"/>
    <w:rsid w:val="00C71CED"/>
    <w:rsid w:val="00C778C6"/>
    <w:rsid w:val="00C80C62"/>
    <w:rsid w:val="00C82A8A"/>
    <w:rsid w:val="00C82DE9"/>
    <w:rsid w:val="00C8634C"/>
    <w:rsid w:val="00C9104C"/>
    <w:rsid w:val="00CA0F7A"/>
    <w:rsid w:val="00CA168B"/>
    <w:rsid w:val="00CA4694"/>
    <w:rsid w:val="00CB032B"/>
    <w:rsid w:val="00CB0554"/>
    <w:rsid w:val="00CB1471"/>
    <w:rsid w:val="00CC1136"/>
    <w:rsid w:val="00CC5606"/>
    <w:rsid w:val="00CD02A5"/>
    <w:rsid w:val="00CD7A8C"/>
    <w:rsid w:val="00CD7F0B"/>
    <w:rsid w:val="00CE022A"/>
    <w:rsid w:val="00CE6A12"/>
    <w:rsid w:val="00CF1EA3"/>
    <w:rsid w:val="00CF5A2D"/>
    <w:rsid w:val="00D044DC"/>
    <w:rsid w:val="00D05A02"/>
    <w:rsid w:val="00D0725D"/>
    <w:rsid w:val="00D11F38"/>
    <w:rsid w:val="00D11F49"/>
    <w:rsid w:val="00D17467"/>
    <w:rsid w:val="00D2150F"/>
    <w:rsid w:val="00D215DF"/>
    <w:rsid w:val="00D33351"/>
    <w:rsid w:val="00D33E3B"/>
    <w:rsid w:val="00D40B85"/>
    <w:rsid w:val="00D416FC"/>
    <w:rsid w:val="00D440F9"/>
    <w:rsid w:val="00D5271A"/>
    <w:rsid w:val="00D535AC"/>
    <w:rsid w:val="00D53DC4"/>
    <w:rsid w:val="00D555C7"/>
    <w:rsid w:val="00D557AB"/>
    <w:rsid w:val="00D564E0"/>
    <w:rsid w:val="00D566F4"/>
    <w:rsid w:val="00D60855"/>
    <w:rsid w:val="00D609F2"/>
    <w:rsid w:val="00D621F5"/>
    <w:rsid w:val="00D81F86"/>
    <w:rsid w:val="00D97519"/>
    <w:rsid w:val="00DB0D5F"/>
    <w:rsid w:val="00DB2967"/>
    <w:rsid w:val="00DC075C"/>
    <w:rsid w:val="00DC179F"/>
    <w:rsid w:val="00DC52B9"/>
    <w:rsid w:val="00DC6FBB"/>
    <w:rsid w:val="00DD5D38"/>
    <w:rsid w:val="00DD7AF9"/>
    <w:rsid w:val="00DE05FE"/>
    <w:rsid w:val="00DE3FF4"/>
    <w:rsid w:val="00DE56F5"/>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465B8"/>
    <w:rsid w:val="00E5233A"/>
    <w:rsid w:val="00E62B01"/>
    <w:rsid w:val="00E64B67"/>
    <w:rsid w:val="00E6620A"/>
    <w:rsid w:val="00E669CD"/>
    <w:rsid w:val="00E70A2C"/>
    <w:rsid w:val="00E813BB"/>
    <w:rsid w:val="00E81A92"/>
    <w:rsid w:val="00E83A1D"/>
    <w:rsid w:val="00E847A7"/>
    <w:rsid w:val="00E85FF2"/>
    <w:rsid w:val="00E86CBA"/>
    <w:rsid w:val="00E90E39"/>
    <w:rsid w:val="00E93C25"/>
    <w:rsid w:val="00EA5CA5"/>
    <w:rsid w:val="00EA5D8D"/>
    <w:rsid w:val="00EB1557"/>
    <w:rsid w:val="00EB3C26"/>
    <w:rsid w:val="00EC2A56"/>
    <w:rsid w:val="00ED3522"/>
    <w:rsid w:val="00EE21C0"/>
    <w:rsid w:val="00EE570F"/>
    <w:rsid w:val="00EE5F89"/>
    <w:rsid w:val="00EF1B2D"/>
    <w:rsid w:val="00F0196A"/>
    <w:rsid w:val="00F07B2D"/>
    <w:rsid w:val="00F172EE"/>
    <w:rsid w:val="00F22FC2"/>
    <w:rsid w:val="00F248B6"/>
    <w:rsid w:val="00F31637"/>
    <w:rsid w:val="00F33B9F"/>
    <w:rsid w:val="00F41932"/>
    <w:rsid w:val="00F44C22"/>
    <w:rsid w:val="00F4789A"/>
    <w:rsid w:val="00F50386"/>
    <w:rsid w:val="00F51C00"/>
    <w:rsid w:val="00F51FDE"/>
    <w:rsid w:val="00F57590"/>
    <w:rsid w:val="00F60D23"/>
    <w:rsid w:val="00F61364"/>
    <w:rsid w:val="00F614C4"/>
    <w:rsid w:val="00F61E2F"/>
    <w:rsid w:val="00F659E9"/>
    <w:rsid w:val="00F67683"/>
    <w:rsid w:val="00F7256C"/>
    <w:rsid w:val="00F75A59"/>
    <w:rsid w:val="00F7650A"/>
    <w:rsid w:val="00F90901"/>
    <w:rsid w:val="00F95DDF"/>
    <w:rsid w:val="00F96108"/>
    <w:rsid w:val="00FA5D1A"/>
    <w:rsid w:val="00FA5F9F"/>
    <w:rsid w:val="00FA70A7"/>
    <w:rsid w:val="00FB5337"/>
    <w:rsid w:val="00FB7AEB"/>
    <w:rsid w:val="00FC2874"/>
    <w:rsid w:val="00FC2E34"/>
    <w:rsid w:val="00FD06DF"/>
    <w:rsid w:val="00FD0B4D"/>
    <w:rsid w:val="00FE316C"/>
    <w:rsid w:val="00FE50D9"/>
    <w:rsid w:val="00FE6586"/>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5FCD"/>
  <w15:docId w15:val="{F2F1BB39-98C4-4EB5-8E3F-29FF087D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Factsheettitle"/>
    <w:next w:val="Normal"/>
    <w:link w:val="Heading1Char"/>
    <w:rsid w:val="00C9104C"/>
    <w:pPr>
      <w:spacing w:after="0"/>
    </w:pPr>
  </w:style>
  <w:style w:type="paragraph" w:styleId="Heading2">
    <w:name w:val="heading 2"/>
    <w:basedOn w:val="Factsheettitle"/>
    <w:next w:val="Normal"/>
    <w:link w:val="Heading2Char"/>
    <w:qFormat/>
    <w:rsid w:val="00C9104C"/>
    <w:pPr>
      <w:spacing w:after="0"/>
      <w:outlineLvl w:val="1"/>
    </w:pPr>
    <w:rPr>
      <w:sz w:val="40"/>
      <w:szCs w:val="40"/>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C9104C"/>
    <w:rPr>
      <w:rFonts w:eastAsia="Times New Roman"/>
      <w:color w:val="2C384A" w:themeColor="accent1"/>
      <w:spacing w:val="-14"/>
      <w:sz w:val="68"/>
      <w:szCs w:val="68"/>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C9104C"/>
    <w:rPr>
      <w:rFonts w:eastAsia="Times New Roman"/>
      <w:color w:val="2C384A" w:themeColor="accent1"/>
      <w:spacing w:val="-14"/>
      <w:sz w:val="40"/>
      <w:szCs w:val="40"/>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customStyle="1" w:styleId="MinuteNumber">
    <w:name w:val="Minute Number"/>
    <w:basedOn w:val="Header"/>
    <w:rsid w:val="00420C52"/>
    <w:pPr>
      <w:pBdr>
        <w:bottom w:val="double" w:sz="6" w:space="6" w:color="auto"/>
      </w:pBdr>
      <w:tabs>
        <w:tab w:val="right" w:pos="8222"/>
      </w:tabs>
    </w:pPr>
    <w:rPr>
      <w:rFonts w:asciiTheme="minorHAnsi" w:hAnsiTheme="minorHAnsi"/>
      <w:kern w:val="16"/>
      <w:sz w:val="24"/>
      <w:szCs w:val="24"/>
    </w:rPr>
  </w:style>
  <w:style w:type="character" w:styleId="UnresolvedMention">
    <w:name w:val="Unresolved Mention"/>
    <w:basedOn w:val="DefaultParagraphFont"/>
    <w:uiPriority w:val="99"/>
    <w:semiHidden/>
    <w:unhideWhenUsed/>
    <w:rsid w:val="00B07965"/>
    <w:rPr>
      <w:color w:val="605E5C"/>
      <w:shd w:val="clear" w:color="auto" w:fill="E1DFDD"/>
    </w:rPr>
  </w:style>
  <w:style w:type="character" w:styleId="CommentReference">
    <w:name w:val="annotation reference"/>
    <w:basedOn w:val="DefaultParagraphFont"/>
    <w:semiHidden/>
    <w:unhideWhenUsed/>
    <w:rsid w:val="00C82DE9"/>
    <w:rPr>
      <w:sz w:val="16"/>
      <w:szCs w:val="16"/>
    </w:rPr>
  </w:style>
  <w:style w:type="paragraph" w:styleId="CommentText">
    <w:name w:val="annotation text"/>
    <w:basedOn w:val="Normal"/>
    <w:link w:val="CommentTextChar"/>
    <w:unhideWhenUsed/>
    <w:rsid w:val="00C82DE9"/>
    <w:rPr>
      <w:sz w:val="20"/>
    </w:rPr>
  </w:style>
  <w:style w:type="character" w:customStyle="1" w:styleId="CommentTextChar">
    <w:name w:val="Comment Text Char"/>
    <w:basedOn w:val="DefaultParagraphFont"/>
    <w:link w:val="CommentText"/>
    <w:rsid w:val="00C82DE9"/>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C82DE9"/>
    <w:rPr>
      <w:b/>
      <w:bCs/>
    </w:rPr>
  </w:style>
  <w:style w:type="character" w:customStyle="1" w:styleId="CommentSubjectChar">
    <w:name w:val="Comment Subject Char"/>
    <w:basedOn w:val="CommentTextChar"/>
    <w:link w:val="CommentSubject"/>
    <w:semiHidden/>
    <w:rsid w:val="00C82DE9"/>
    <w:rPr>
      <w:rFonts w:ascii="Calibri Light" w:eastAsia="Times New Roman" w:hAnsi="Calibri Light"/>
      <w:b/>
      <w:bCs/>
      <w:lang w:eastAsia="en-AU"/>
    </w:rPr>
  </w:style>
  <w:style w:type="paragraph" w:styleId="ListBullet">
    <w:name w:val="List Bullet"/>
    <w:basedOn w:val="Normal"/>
    <w:uiPriority w:val="99"/>
    <w:unhideWhenUsed/>
    <w:rsid w:val="000B0559"/>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39">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86344643">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64813791">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76157551">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19109638">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352880294">
      <w:bodyDiv w:val="1"/>
      <w:marLeft w:val="0"/>
      <w:marRight w:val="0"/>
      <w:marTop w:val="0"/>
      <w:marBottom w:val="0"/>
      <w:divBdr>
        <w:top w:val="none" w:sz="0" w:space="0" w:color="auto"/>
        <w:left w:val="none" w:sz="0" w:space="0" w:color="auto"/>
        <w:bottom w:val="none" w:sz="0" w:space="0" w:color="auto"/>
        <w:right w:val="none" w:sz="0" w:space="0" w:color="auto"/>
      </w:divBdr>
    </w:div>
    <w:div w:id="1372731502">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65113223">
      <w:bodyDiv w:val="1"/>
      <w:marLeft w:val="0"/>
      <w:marRight w:val="0"/>
      <w:marTop w:val="0"/>
      <w:marBottom w:val="0"/>
      <w:divBdr>
        <w:top w:val="none" w:sz="0" w:space="0" w:color="auto"/>
        <w:left w:val="none" w:sz="0" w:space="0" w:color="auto"/>
        <w:bottom w:val="none" w:sz="0" w:space="0" w:color="auto"/>
        <w:right w:val="none" w:sz="0" w:space="0" w:color="auto"/>
      </w:divBdr>
    </w:div>
    <w:div w:id="20117609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gea.gov.au/pay-and-gender/6-gender-equality-indica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easury.gov.au/the-department/corporate-publications/inclusion-divers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B5B50440D3ABB4E9350816D2586FE28" ma:contentTypeVersion="" ma:contentTypeDescription="PDMS Document Site Content Type" ma:contentTypeScope="" ma:versionID="134fbc7b16e3cbebf9405dc14d7faa3c">
  <xsd:schema xmlns:xsd="http://www.w3.org/2001/XMLSchema" xmlns:xs="http://www.w3.org/2001/XMLSchema" xmlns:p="http://schemas.microsoft.com/office/2006/metadata/properties" xmlns:ns2="BE0A1508-2D40-421C-8814-190A338DFB02" targetNamespace="http://schemas.microsoft.com/office/2006/metadata/properties" ma:root="true" ma:fieldsID="5871d9c36d5c662b27355795342bdc40" ns2:_="">
    <xsd:import namespace="BE0A1508-2D40-421C-8814-190A338DFB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A1508-2D40-421C-8814-190A338DFB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E0A1508-2D40-421C-8814-190A338DFB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9C57-1797-4DDF-BFF1-AB0919254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A1508-2D40-421C-8814-190A338DF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3.xml><?xml version="1.0" encoding="utf-8"?>
<ds:datastoreItem xmlns:ds="http://schemas.openxmlformats.org/officeDocument/2006/customXml" ds:itemID="{64C9EF1C-25C2-48EA-9C02-F5D0102C6A46}">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BE0A1508-2D40-421C-8814-190A338DFB02"/>
    <ds:schemaRef ds:uri="http://schemas.microsoft.com/office/2006/metadata/properties"/>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Factsheet.dotx</Template>
  <TotalTime>24</TotalTime>
  <Pages>3</Pages>
  <Words>510</Words>
  <Characters>2891</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Gender Pay Gap Employer Statement</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Pay Gap Employer Statement</dc:title>
  <dc:subject/>
  <dc:creator>The Treasury</dc:creator>
  <cp:keywords/>
  <dc:description/>
  <cp:lastModifiedBy>Kuek, Amanda</cp:lastModifiedBy>
  <cp:revision>7</cp:revision>
  <cp:lastPrinted>2025-02-02T22:52:00Z</cp:lastPrinted>
  <dcterms:created xsi:type="dcterms:W3CDTF">2025-02-11T20:43:00Z</dcterms:created>
  <dcterms:modified xsi:type="dcterms:W3CDTF">2025-02-19T05:24:00Z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3dc468-5731-4ec9-b671-cf2147a52e3a_Enabled">
    <vt:lpwstr>true</vt:lpwstr>
  </property>
  <property fmtid="{D5CDD505-2E9C-101B-9397-08002B2CF9AE}" pid="3" name="MSIP_Label_6e3dc468-5731-4ec9-b671-cf2147a52e3a_SetDate">
    <vt:lpwstr>2025-01-14T23:44:03Z</vt:lpwstr>
  </property>
  <property fmtid="{D5CDD505-2E9C-101B-9397-08002B2CF9AE}" pid="4" name="MSIP_Label_6e3dc468-5731-4ec9-b671-cf2147a52e3a_Method">
    <vt:lpwstr>Privileged</vt:lpwstr>
  </property>
  <property fmtid="{D5CDD505-2E9C-101B-9397-08002B2CF9AE}" pid="5" name="MSIP_Label_6e3dc468-5731-4ec9-b671-cf2147a52e3a_Name">
    <vt:lpwstr>Official</vt:lpwstr>
  </property>
  <property fmtid="{D5CDD505-2E9C-101B-9397-08002B2CF9AE}" pid="6" name="MSIP_Label_6e3dc468-5731-4ec9-b671-cf2147a52e3a_SiteId">
    <vt:lpwstr>214f1646-2021-47cc-8397-e3d3a7ba7d9d</vt:lpwstr>
  </property>
  <property fmtid="{D5CDD505-2E9C-101B-9397-08002B2CF9AE}" pid="7" name="MSIP_Label_6e3dc468-5731-4ec9-b671-cf2147a52e3a_ActionId">
    <vt:lpwstr>16866c02-e846-4f40-b7a7-7dd6c9f5af59</vt:lpwstr>
  </property>
  <property fmtid="{D5CDD505-2E9C-101B-9397-08002B2CF9AE}" pid="8" name="MSIP_Label_6e3dc468-5731-4ec9-b671-cf2147a52e3a_ContentBits">
    <vt:lpwstr>3</vt:lpwstr>
  </property>
</Properties>
</file>