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000000" w:themeColor="text1"/>
          <w:sz w:val="22"/>
        </w:rPr>
        <w:id w:val="398709425"/>
        <w:docPartObj>
          <w:docPartGallery w:val="Cover Pages"/>
          <w:docPartUnique/>
        </w:docPartObj>
      </w:sdtPr>
      <w:sdtContent>
        <w:p w14:paraId="781A9D27" w14:textId="77777777" w:rsidR="0035675B" w:rsidRPr="006D0240" w:rsidRDefault="0035675B" w:rsidP="008C5EC0">
          <w:pPr>
            <w:pStyle w:val="Header"/>
          </w:pPr>
          <w:r>
            <w:rPr>
              <w:noProof/>
            </w:rPr>
            <w:drawing>
              <wp:inline distT="0" distB="0" distL="0" distR="0" wp14:anchorId="4EF10D76" wp14:editId="459DFB23">
                <wp:extent cx="5759443" cy="690431"/>
                <wp:effectExtent l="0" t="0" r="0" b="0"/>
                <wp:docPr id="285648593" name="Picture 285648593" descr="Australian Government and New Zealand Govern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648593" name="Picture 285648593" descr="Australian Government and New Zealand Government logos">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43" cy="690431"/>
                        </a:xfrm>
                        <a:prstGeom prst="rect">
                          <a:avLst/>
                        </a:prstGeom>
                      </pic:spPr>
                    </pic:pic>
                  </a:graphicData>
                </a:graphic>
              </wp:inline>
            </w:drawing>
          </w:r>
        </w:p>
        <w:p w14:paraId="300BC6FF" w14:textId="77777777" w:rsidR="003F26E4" w:rsidRDefault="003F26E4" w:rsidP="00C04388">
          <w:pPr>
            <w:pStyle w:val="Title"/>
            <w:spacing w:before="840"/>
          </w:pPr>
          <w:bookmarkStart w:id="0" w:name="_Toc180154438"/>
          <w:bookmarkStart w:id="1" w:name="_Toc180156192"/>
          <w:r>
            <w:t>Australia and New Zealand</w:t>
          </w:r>
          <w:bookmarkEnd w:id="0"/>
          <w:bookmarkEnd w:id="1"/>
        </w:p>
        <w:p w14:paraId="4EDDF8C8" w14:textId="77777777" w:rsidR="00685E81" w:rsidRPr="00E14C06" w:rsidRDefault="003F26E4" w:rsidP="003F26E4">
          <w:pPr>
            <w:pStyle w:val="Title"/>
          </w:pPr>
          <w:bookmarkStart w:id="2" w:name="_Toc180154439"/>
          <w:bookmarkStart w:id="3" w:name="_Toc180156193"/>
          <w:r>
            <w:t xml:space="preserve">Government Electronic </w:t>
          </w:r>
          <w:sdt>
            <w:sdtPr>
              <w:id w:val="-266697317"/>
              <w:showingPlcHdr/>
              <w:picture/>
            </w:sdtPr>
            <w:sdtContent>
              <w:r w:rsidR="00C04388">
                <w:rPr>
                  <w:noProof/>
                </w:rPr>
                <w:drawing>
                  <wp:anchor distT="0" distB="0" distL="114300" distR="114300" simplePos="0" relativeHeight="251659264" behindDoc="1" locked="1" layoutInCell="1" allowOverlap="1" wp14:anchorId="233D0391" wp14:editId="76BE83CD">
                    <wp:simplePos x="0" y="0"/>
                    <wp:positionH relativeFrom="page">
                      <wp:posOffset>0</wp:posOffset>
                    </wp:positionH>
                    <wp:positionV relativeFrom="page">
                      <wp:posOffset>5078730</wp:posOffset>
                    </wp:positionV>
                    <wp:extent cx="7536815" cy="5710555"/>
                    <wp:effectExtent l="0" t="0" r="6985" b="444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36815" cy="5710555"/>
                            </a:xfrm>
                            <a:prstGeom prst="rect">
                              <a:avLst/>
                            </a:prstGeom>
                            <a:noFill/>
                            <a:ln w="180000" cap="sq">
                              <a:noFill/>
                              <a:round/>
                            </a:ln>
                          </pic:spPr>
                        </pic:pic>
                      </a:graphicData>
                    </a:graphic>
                    <wp14:sizeRelH relativeFrom="margin">
                      <wp14:pctWidth>0</wp14:pctWidth>
                    </wp14:sizeRelH>
                    <wp14:sizeRelV relativeFrom="margin">
                      <wp14:pctHeight>0</wp14:pctHeight>
                    </wp14:sizeRelV>
                  </wp:anchor>
                </w:drawing>
              </w:r>
            </w:sdtContent>
          </w:sdt>
          <w:r>
            <w:t>Invoicing Arrangement</w:t>
          </w:r>
          <w:bookmarkEnd w:id="2"/>
          <w:bookmarkEnd w:id="3"/>
          <w:r w:rsidR="00685E81">
            <w:t xml:space="preserve"> </w:t>
          </w:r>
        </w:p>
        <w:p w14:paraId="349DE9D2" w14:textId="71B39AE3" w:rsidR="00685E81" w:rsidRPr="00586605" w:rsidRDefault="00261A63" w:rsidP="006923DF">
          <w:pPr>
            <w:pStyle w:val="ReportDate"/>
          </w:pPr>
          <w:r>
            <w:rPr>
              <w:rStyle w:val="ReportDateChar"/>
            </w:rPr>
            <w:t>December 2024</w:t>
          </w:r>
        </w:p>
        <w:p w14:paraId="291FFCF9" w14:textId="77777777" w:rsidR="000069AA" w:rsidRDefault="000069AA"/>
        <w:p w14:paraId="4B38B493" w14:textId="77777777" w:rsidR="00685E81" w:rsidRDefault="00000000"/>
      </w:sdtContent>
    </w:sdt>
    <w:p w14:paraId="59743641" w14:textId="77777777" w:rsidR="00253878" w:rsidRDefault="00253878"/>
    <w:p w14:paraId="5A52470F" w14:textId="77777777" w:rsidR="00C04388" w:rsidRDefault="00C04388" w:rsidP="005877AC">
      <w:pPr>
        <w:spacing w:before="0" w:after="160" w:line="259" w:lineRule="auto"/>
        <w:rPr>
          <w:color w:val="FFFFFF" w:themeColor="background1"/>
        </w:rPr>
      </w:pPr>
    </w:p>
    <w:p w14:paraId="217CF66C" w14:textId="77777777" w:rsidR="00C04388" w:rsidRDefault="00C04388" w:rsidP="005877AC">
      <w:pPr>
        <w:spacing w:before="0" w:after="160" w:line="259" w:lineRule="auto"/>
        <w:rPr>
          <w:color w:val="FFFFFF" w:themeColor="background1"/>
        </w:rPr>
      </w:pPr>
    </w:p>
    <w:p w14:paraId="52065D42" w14:textId="77777777" w:rsidR="00C04388" w:rsidRDefault="00C04388" w:rsidP="005877AC">
      <w:pPr>
        <w:spacing w:before="0" w:after="160" w:line="259" w:lineRule="auto"/>
        <w:rPr>
          <w:color w:val="FFFFFF" w:themeColor="background1"/>
        </w:rPr>
      </w:pPr>
    </w:p>
    <w:p w14:paraId="59348684" w14:textId="77777777" w:rsidR="00C04388" w:rsidRDefault="00C04388" w:rsidP="005877AC">
      <w:pPr>
        <w:spacing w:before="0" w:after="160" w:line="259" w:lineRule="auto"/>
        <w:rPr>
          <w:color w:val="FFFFFF" w:themeColor="background1"/>
        </w:rPr>
      </w:pPr>
    </w:p>
    <w:p w14:paraId="4F19521D" w14:textId="77777777" w:rsidR="00C04388" w:rsidRDefault="00C04388" w:rsidP="005877AC">
      <w:pPr>
        <w:spacing w:before="0" w:after="160" w:line="259" w:lineRule="auto"/>
        <w:rPr>
          <w:color w:val="FFFFFF" w:themeColor="background1"/>
        </w:rPr>
      </w:pPr>
    </w:p>
    <w:p w14:paraId="19700C69" w14:textId="77777777" w:rsidR="00C04388" w:rsidRDefault="00C04388" w:rsidP="005877AC">
      <w:pPr>
        <w:spacing w:before="0" w:after="160" w:line="259" w:lineRule="auto"/>
        <w:rPr>
          <w:color w:val="FFFFFF" w:themeColor="background1"/>
        </w:rPr>
      </w:pPr>
    </w:p>
    <w:p w14:paraId="7A98E4DE" w14:textId="77777777" w:rsidR="00C04388" w:rsidRDefault="00C04388" w:rsidP="005877AC">
      <w:pPr>
        <w:spacing w:before="0" w:after="160" w:line="259" w:lineRule="auto"/>
        <w:rPr>
          <w:color w:val="FFFFFF" w:themeColor="background1"/>
        </w:rPr>
      </w:pPr>
    </w:p>
    <w:p w14:paraId="569118DA" w14:textId="77777777" w:rsidR="00C04388" w:rsidRDefault="00C04388" w:rsidP="005877AC">
      <w:pPr>
        <w:spacing w:before="0" w:after="160" w:line="259" w:lineRule="auto"/>
        <w:rPr>
          <w:color w:val="FFFFFF" w:themeColor="background1"/>
        </w:rPr>
      </w:pPr>
    </w:p>
    <w:p w14:paraId="177334F2" w14:textId="77777777" w:rsidR="00C04388" w:rsidRDefault="00C04388" w:rsidP="005877AC">
      <w:pPr>
        <w:spacing w:before="0" w:after="160" w:line="259" w:lineRule="auto"/>
        <w:rPr>
          <w:color w:val="FFFFFF" w:themeColor="background1"/>
        </w:rPr>
      </w:pPr>
    </w:p>
    <w:p w14:paraId="39C2E1E9" w14:textId="77777777" w:rsidR="00C04388" w:rsidRDefault="00C04388" w:rsidP="005877AC">
      <w:pPr>
        <w:spacing w:before="0" w:after="160" w:line="259" w:lineRule="auto"/>
        <w:rPr>
          <w:color w:val="FFFFFF" w:themeColor="background1"/>
        </w:rPr>
      </w:pPr>
    </w:p>
    <w:p w14:paraId="046171C1" w14:textId="77777777" w:rsidR="00C04388" w:rsidRDefault="00C04388" w:rsidP="005877AC">
      <w:pPr>
        <w:spacing w:before="0" w:after="160" w:line="259" w:lineRule="auto"/>
        <w:rPr>
          <w:color w:val="FFFFFF" w:themeColor="background1"/>
        </w:rPr>
      </w:pPr>
    </w:p>
    <w:p w14:paraId="29559EE1" w14:textId="77777777" w:rsidR="00C04388" w:rsidRDefault="00C04388" w:rsidP="005877AC">
      <w:pPr>
        <w:spacing w:before="0" w:after="160" w:line="259" w:lineRule="auto"/>
        <w:rPr>
          <w:color w:val="FFFFFF" w:themeColor="background1"/>
        </w:rPr>
      </w:pPr>
    </w:p>
    <w:p w14:paraId="54BCE631" w14:textId="77777777" w:rsidR="0042426E" w:rsidRDefault="0042426E" w:rsidP="005877AC">
      <w:pPr>
        <w:spacing w:before="0" w:after="160" w:line="259" w:lineRule="auto"/>
        <w:rPr>
          <w:color w:val="FFFFFF" w:themeColor="background1"/>
        </w:rPr>
      </w:pPr>
    </w:p>
    <w:p w14:paraId="6DD7D870" w14:textId="77777777" w:rsidR="0042426E" w:rsidRDefault="0042426E" w:rsidP="005877AC">
      <w:pPr>
        <w:spacing w:before="0" w:after="160" w:line="259" w:lineRule="auto"/>
        <w:rPr>
          <w:color w:val="FFFFFF" w:themeColor="background1"/>
        </w:rPr>
      </w:pPr>
    </w:p>
    <w:p w14:paraId="0C973D72" w14:textId="77777777" w:rsidR="005005F5" w:rsidRDefault="005005F5" w:rsidP="005005F5">
      <w:pPr>
        <w:sectPr w:rsidR="005005F5" w:rsidSect="00253878">
          <w:pgSz w:w="11906" w:h="16838" w:code="9"/>
          <w:pgMar w:top="1843" w:right="1418" w:bottom="1418" w:left="1418" w:header="709" w:footer="709" w:gutter="0"/>
          <w:pgNumType w:fmt="lowerRoman" w:start="0"/>
          <w:cols w:space="708"/>
          <w:titlePg/>
          <w:docGrid w:linePitch="360"/>
        </w:sectPr>
      </w:pPr>
    </w:p>
    <w:p w14:paraId="211D0287" w14:textId="77777777" w:rsidR="000E0B74" w:rsidRPr="005005F5" w:rsidRDefault="000E0B74" w:rsidP="00F40C44">
      <w:pPr>
        <w:pStyle w:val="Heading1"/>
        <w:spacing w:after="240"/>
      </w:pPr>
      <w:bookmarkStart w:id="4" w:name="_Toc180154440"/>
      <w:bookmarkStart w:id="5" w:name="_Toc180156194"/>
      <w:r w:rsidRPr="009E04E4">
        <w:lastRenderedPageBreak/>
        <w:t>Contents</w:t>
      </w:r>
      <w:bookmarkEnd w:id="4"/>
      <w:bookmarkEnd w:id="5"/>
    </w:p>
    <w:p w14:paraId="70F6ACC9" w14:textId="77777777" w:rsidR="00147168" w:rsidRDefault="000E0B74">
      <w:pPr>
        <w:pStyle w:val="TOC1"/>
        <w:rPr>
          <w:rFonts w:eastAsiaTheme="minorEastAsia" w:cstheme="minorBidi"/>
          <w:b w:val="0"/>
          <w:color w:val="auto"/>
          <w:kern w:val="2"/>
          <w:sz w:val="22"/>
          <w14:ligatures w14:val="standardContextual"/>
        </w:rPr>
      </w:pPr>
      <w:r>
        <w:rPr>
          <w:color w:val="004A7F"/>
        </w:rPr>
        <w:fldChar w:fldCharType="begin"/>
      </w:r>
      <w:r w:rsidRPr="0025652F">
        <w:instrText xml:space="preserve"> TOC \o "1-3" \h \z \u </w:instrText>
      </w:r>
      <w:r>
        <w:rPr>
          <w:color w:val="004A7F"/>
        </w:rPr>
        <w:fldChar w:fldCharType="separate"/>
      </w:r>
      <w:hyperlink w:anchor="_Toc180156195" w:history="1">
        <w:r w:rsidR="00147168" w:rsidRPr="00100C00">
          <w:rPr>
            <w:rStyle w:val="Hyperlink"/>
          </w:rPr>
          <w:t>Introduction</w:t>
        </w:r>
        <w:r w:rsidR="00147168">
          <w:rPr>
            <w:webHidden/>
          </w:rPr>
          <w:tab/>
        </w:r>
        <w:r w:rsidR="00147168">
          <w:rPr>
            <w:webHidden/>
          </w:rPr>
          <w:fldChar w:fldCharType="begin"/>
        </w:r>
        <w:r w:rsidR="00147168">
          <w:rPr>
            <w:webHidden/>
          </w:rPr>
          <w:instrText xml:space="preserve"> PAGEREF _Toc180156195 \h </w:instrText>
        </w:r>
        <w:r w:rsidR="00147168">
          <w:rPr>
            <w:webHidden/>
          </w:rPr>
        </w:r>
        <w:r w:rsidR="00147168">
          <w:rPr>
            <w:webHidden/>
          </w:rPr>
          <w:fldChar w:fldCharType="separate"/>
        </w:r>
        <w:r w:rsidR="00501146">
          <w:rPr>
            <w:webHidden/>
          </w:rPr>
          <w:t>4</w:t>
        </w:r>
        <w:r w:rsidR="00147168">
          <w:rPr>
            <w:webHidden/>
          </w:rPr>
          <w:fldChar w:fldCharType="end"/>
        </w:r>
      </w:hyperlink>
    </w:p>
    <w:p w14:paraId="424FA09E" w14:textId="77777777" w:rsidR="00147168" w:rsidRDefault="00000000">
      <w:pPr>
        <w:pStyle w:val="TOC1"/>
        <w:rPr>
          <w:rFonts w:eastAsiaTheme="minorEastAsia" w:cstheme="minorBidi"/>
          <w:b w:val="0"/>
          <w:color w:val="auto"/>
          <w:kern w:val="2"/>
          <w:sz w:val="22"/>
          <w14:ligatures w14:val="standardContextual"/>
        </w:rPr>
      </w:pPr>
      <w:hyperlink w:anchor="_Toc180156196" w:history="1">
        <w:r w:rsidR="00147168" w:rsidRPr="00100C00">
          <w:rPr>
            <w:rStyle w:val="Hyperlink"/>
          </w:rPr>
          <w:t>Objective of this Arrangement</w:t>
        </w:r>
        <w:r w:rsidR="00147168">
          <w:rPr>
            <w:webHidden/>
          </w:rPr>
          <w:tab/>
        </w:r>
        <w:r w:rsidR="00147168">
          <w:rPr>
            <w:webHidden/>
          </w:rPr>
          <w:fldChar w:fldCharType="begin"/>
        </w:r>
        <w:r w:rsidR="00147168">
          <w:rPr>
            <w:webHidden/>
          </w:rPr>
          <w:instrText xml:space="preserve"> PAGEREF _Toc180156196 \h </w:instrText>
        </w:r>
        <w:r w:rsidR="00147168">
          <w:rPr>
            <w:webHidden/>
          </w:rPr>
        </w:r>
        <w:r w:rsidR="00147168">
          <w:rPr>
            <w:webHidden/>
          </w:rPr>
          <w:fldChar w:fldCharType="separate"/>
        </w:r>
        <w:r w:rsidR="00501146">
          <w:rPr>
            <w:webHidden/>
          </w:rPr>
          <w:t>4</w:t>
        </w:r>
        <w:r w:rsidR="00147168">
          <w:rPr>
            <w:webHidden/>
          </w:rPr>
          <w:fldChar w:fldCharType="end"/>
        </w:r>
      </w:hyperlink>
    </w:p>
    <w:p w14:paraId="03D1A225" w14:textId="77777777" w:rsidR="00147168" w:rsidRDefault="00000000">
      <w:pPr>
        <w:pStyle w:val="TOC2"/>
        <w:rPr>
          <w:rFonts w:eastAsiaTheme="minorEastAsia" w:cstheme="minorBidi"/>
          <w:color w:val="auto"/>
          <w:kern w:val="2"/>
          <w:szCs w:val="22"/>
          <w14:ligatures w14:val="standardContextual"/>
        </w:rPr>
      </w:pPr>
      <w:hyperlink w:anchor="_Toc180156197" w:history="1">
        <w:r w:rsidR="00147168" w:rsidRPr="00100C00">
          <w:rPr>
            <w:rStyle w:val="Hyperlink"/>
          </w:rPr>
          <w:t>Coverage</w:t>
        </w:r>
        <w:r w:rsidR="00147168">
          <w:rPr>
            <w:webHidden/>
          </w:rPr>
          <w:tab/>
        </w:r>
        <w:r w:rsidR="00147168">
          <w:rPr>
            <w:webHidden/>
          </w:rPr>
          <w:fldChar w:fldCharType="begin"/>
        </w:r>
        <w:r w:rsidR="00147168">
          <w:rPr>
            <w:webHidden/>
          </w:rPr>
          <w:instrText xml:space="preserve"> PAGEREF _Toc180156197 \h </w:instrText>
        </w:r>
        <w:r w:rsidR="00147168">
          <w:rPr>
            <w:webHidden/>
          </w:rPr>
        </w:r>
        <w:r w:rsidR="00147168">
          <w:rPr>
            <w:webHidden/>
          </w:rPr>
          <w:fldChar w:fldCharType="separate"/>
        </w:r>
        <w:r w:rsidR="00501146">
          <w:rPr>
            <w:webHidden/>
          </w:rPr>
          <w:t>5</w:t>
        </w:r>
        <w:r w:rsidR="00147168">
          <w:rPr>
            <w:webHidden/>
          </w:rPr>
          <w:fldChar w:fldCharType="end"/>
        </w:r>
      </w:hyperlink>
    </w:p>
    <w:p w14:paraId="1C4629A1" w14:textId="77777777" w:rsidR="00147168" w:rsidRDefault="00000000">
      <w:pPr>
        <w:pStyle w:val="TOC2"/>
        <w:rPr>
          <w:rFonts w:eastAsiaTheme="minorEastAsia" w:cstheme="minorBidi"/>
          <w:color w:val="auto"/>
          <w:kern w:val="2"/>
          <w:szCs w:val="22"/>
          <w14:ligatures w14:val="standardContextual"/>
        </w:rPr>
      </w:pPr>
      <w:hyperlink w:anchor="_Toc180156198" w:history="1">
        <w:r w:rsidR="00147168" w:rsidRPr="00100C00">
          <w:rPr>
            <w:rStyle w:val="Hyperlink"/>
          </w:rPr>
          <w:t>Definitions</w:t>
        </w:r>
        <w:r w:rsidR="00147168">
          <w:rPr>
            <w:webHidden/>
          </w:rPr>
          <w:tab/>
        </w:r>
        <w:r w:rsidR="00147168">
          <w:rPr>
            <w:webHidden/>
          </w:rPr>
          <w:fldChar w:fldCharType="begin"/>
        </w:r>
        <w:r w:rsidR="00147168">
          <w:rPr>
            <w:webHidden/>
          </w:rPr>
          <w:instrText xml:space="preserve"> PAGEREF _Toc180156198 \h </w:instrText>
        </w:r>
        <w:r w:rsidR="00147168">
          <w:rPr>
            <w:webHidden/>
          </w:rPr>
        </w:r>
        <w:r w:rsidR="00147168">
          <w:rPr>
            <w:webHidden/>
          </w:rPr>
          <w:fldChar w:fldCharType="separate"/>
        </w:r>
        <w:r w:rsidR="00501146">
          <w:rPr>
            <w:webHidden/>
          </w:rPr>
          <w:t>5</w:t>
        </w:r>
        <w:r w:rsidR="00147168">
          <w:rPr>
            <w:webHidden/>
          </w:rPr>
          <w:fldChar w:fldCharType="end"/>
        </w:r>
      </w:hyperlink>
    </w:p>
    <w:p w14:paraId="4AB7C434" w14:textId="77777777" w:rsidR="00147168" w:rsidRDefault="00000000">
      <w:pPr>
        <w:pStyle w:val="TOC1"/>
        <w:rPr>
          <w:rFonts w:eastAsiaTheme="minorEastAsia" w:cstheme="minorBidi"/>
          <w:b w:val="0"/>
          <w:color w:val="auto"/>
          <w:kern w:val="2"/>
          <w:sz w:val="22"/>
          <w14:ligatures w14:val="standardContextual"/>
        </w:rPr>
      </w:pPr>
      <w:hyperlink w:anchor="_Toc180156199" w:history="1">
        <w:r w:rsidR="00147168" w:rsidRPr="00100C00">
          <w:rPr>
            <w:rStyle w:val="Hyperlink"/>
            <w:rFonts w:cstheme="minorHAnsi"/>
            <w:bCs/>
          </w:rPr>
          <w:t>Electronic Invoicing Arrangement</w:t>
        </w:r>
        <w:r w:rsidR="00147168">
          <w:rPr>
            <w:webHidden/>
          </w:rPr>
          <w:tab/>
        </w:r>
        <w:r w:rsidR="00147168">
          <w:rPr>
            <w:webHidden/>
          </w:rPr>
          <w:fldChar w:fldCharType="begin"/>
        </w:r>
        <w:r w:rsidR="00147168">
          <w:rPr>
            <w:webHidden/>
          </w:rPr>
          <w:instrText xml:space="preserve"> PAGEREF _Toc180156199 \h </w:instrText>
        </w:r>
        <w:r w:rsidR="00147168">
          <w:rPr>
            <w:webHidden/>
          </w:rPr>
        </w:r>
        <w:r w:rsidR="00147168">
          <w:rPr>
            <w:webHidden/>
          </w:rPr>
          <w:fldChar w:fldCharType="separate"/>
        </w:r>
        <w:r w:rsidR="00501146">
          <w:rPr>
            <w:webHidden/>
          </w:rPr>
          <w:t>6</w:t>
        </w:r>
        <w:r w:rsidR="00147168">
          <w:rPr>
            <w:webHidden/>
          </w:rPr>
          <w:fldChar w:fldCharType="end"/>
        </w:r>
      </w:hyperlink>
    </w:p>
    <w:p w14:paraId="06EEDA02" w14:textId="77777777" w:rsidR="00147168" w:rsidRDefault="00000000">
      <w:pPr>
        <w:pStyle w:val="TOC2"/>
        <w:rPr>
          <w:rFonts w:eastAsiaTheme="minorEastAsia" w:cstheme="minorBidi"/>
          <w:color w:val="auto"/>
          <w:kern w:val="2"/>
          <w:szCs w:val="22"/>
          <w14:ligatures w14:val="standardContextual"/>
        </w:rPr>
      </w:pPr>
      <w:hyperlink w:anchor="_Toc180156200" w:history="1">
        <w:r w:rsidR="00147168" w:rsidRPr="00100C00">
          <w:rPr>
            <w:rStyle w:val="Hyperlink"/>
          </w:rPr>
          <w:t>A common eInvoicing approach</w:t>
        </w:r>
        <w:r w:rsidR="00147168">
          <w:rPr>
            <w:webHidden/>
          </w:rPr>
          <w:tab/>
        </w:r>
        <w:r w:rsidR="00147168">
          <w:rPr>
            <w:webHidden/>
          </w:rPr>
          <w:fldChar w:fldCharType="begin"/>
        </w:r>
        <w:r w:rsidR="00147168">
          <w:rPr>
            <w:webHidden/>
          </w:rPr>
          <w:instrText xml:space="preserve"> PAGEREF _Toc180156200 \h </w:instrText>
        </w:r>
        <w:r w:rsidR="00147168">
          <w:rPr>
            <w:webHidden/>
          </w:rPr>
        </w:r>
        <w:r w:rsidR="00147168">
          <w:rPr>
            <w:webHidden/>
          </w:rPr>
          <w:fldChar w:fldCharType="separate"/>
        </w:r>
        <w:r w:rsidR="00501146">
          <w:rPr>
            <w:webHidden/>
          </w:rPr>
          <w:t>6</w:t>
        </w:r>
        <w:r w:rsidR="00147168">
          <w:rPr>
            <w:webHidden/>
          </w:rPr>
          <w:fldChar w:fldCharType="end"/>
        </w:r>
      </w:hyperlink>
    </w:p>
    <w:p w14:paraId="142E2D69" w14:textId="77777777" w:rsidR="00147168" w:rsidRDefault="00000000">
      <w:pPr>
        <w:pStyle w:val="TOC2"/>
        <w:rPr>
          <w:rFonts w:eastAsiaTheme="minorEastAsia" w:cstheme="minorBidi"/>
          <w:color w:val="auto"/>
          <w:kern w:val="2"/>
          <w:szCs w:val="22"/>
          <w14:ligatures w14:val="standardContextual"/>
        </w:rPr>
      </w:pPr>
      <w:hyperlink w:anchor="_Toc180156201" w:history="1">
        <w:r w:rsidR="00147168" w:rsidRPr="00100C00">
          <w:rPr>
            <w:rStyle w:val="Hyperlink"/>
          </w:rPr>
          <w:t>Responsibility</w:t>
        </w:r>
        <w:r w:rsidR="00147168">
          <w:rPr>
            <w:webHidden/>
          </w:rPr>
          <w:tab/>
        </w:r>
        <w:r w:rsidR="00147168">
          <w:rPr>
            <w:webHidden/>
          </w:rPr>
          <w:fldChar w:fldCharType="begin"/>
        </w:r>
        <w:r w:rsidR="00147168">
          <w:rPr>
            <w:webHidden/>
          </w:rPr>
          <w:instrText xml:space="preserve"> PAGEREF _Toc180156201 \h </w:instrText>
        </w:r>
        <w:r w:rsidR="00147168">
          <w:rPr>
            <w:webHidden/>
          </w:rPr>
        </w:r>
        <w:r w:rsidR="00147168">
          <w:rPr>
            <w:webHidden/>
          </w:rPr>
          <w:fldChar w:fldCharType="separate"/>
        </w:r>
        <w:r w:rsidR="00501146">
          <w:rPr>
            <w:webHidden/>
          </w:rPr>
          <w:t>6</w:t>
        </w:r>
        <w:r w:rsidR="00147168">
          <w:rPr>
            <w:webHidden/>
          </w:rPr>
          <w:fldChar w:fldCharType="end"/>
        </w:r>
      </w:hyperlink>
    </w:p>
    <w:p w14:paraId="4A90CED7" w14:textId="77777777" w:rsidR="00147168" w:rsidRDefault="00000000">
      <w:pPr>
        <w:pStyle w:val="TOC2"/>
        <w:rPr>
          <w:rFonts w:eastAsiaTheme="minorEastAsia" w:cstheme="minorBidi"/>
          <w:color w:val="auto"/>
          <w:kern w:val="2"/>
          <w:szCs w:val="22"/>
          <w14:ligatures w14:val="standardContextual"/>
        </w:rPr>
      </w:pPr>
      <w:hyperlink w:anchor="_Toc180156202" w:history="1">
        <w:r w:rsidR="00147168" w:rsidRPr="00100C00">
          <w:rPr>
            <w:rStyle w:val="Hyperlink"/>
          </w:rPr>
          <w:t>Monitoring</w:t>
        </w:r>
        <w:r w:rsidR="00147168">
          <w:rPr>
            <w:webHidden/>
          </w:rPr>
          <w:tab/>
        </w:r>
        <w:r w:rsidR="00147168">
          <w:rPr>
            <w:webHidden/>
          </w:rPr>
          <w:fldChar w:fldCharType="begin"/>
        </w:r>
        <w:r w:rsidR="00147168">
          <w:rPr>
            <w:webHidden/>
          </w:rPr>
          <w:instrText xml:space="preserve"> PAGEREF _Toc180156202 \h </w:instrText>
        </w:r>
        <w:r w:rsidR="00147168">
          <w:rPr>
            <w:webHidden/>
          </w:rPr>
        </w:r>
        <w:r w:rsidR="00147168">
          <w:rPr>
            <w:webHidden/>
          </w:rPr>
          <w:fldChar w:fldCharType="separate"/>
        </w:r>
        <w:r w:rsidR="00501146">
          <w:rPr>
            <w:webHidden/>
          </w:rPr>
          <w:t>6</w:t>
        </w:r>
        <w:r w:rsidR="00147168">
          <w:rPr>
            <w:webHidden/>
          </w:rPr>
          <w:fldChar w:fldCharType="end"/>
        </w:r>
      </w:hyperlink>
    </w:p>
    <w:p w14:paraId="305BE2B3" w14:textId="77777777" w:rsidR="00147168" w:rsidRDefault="00000000">
      <w:pPr>
        <w:pStyle w:val="TOC1"/>
        <w:rPr>
          <w:rFonts w:eastAsiaTheme="minorEastAsia" w:cstheme="minorBidi"/>
          <w:b w:val="0"/>
          <w:color w:val="auto"/>
          <w:kern w:val="2"/>
          <w:sz w:val="22"/>
          <w14:ligatures w14:val="standardContextual"/>
        </w:rPr>
      </w:pPr>
      <w:hyperlink w:anchor="_Toc180156203" w:history="1">
        <w:r w:rsidR="00147168" w:rsidRPr="00100C00">
          <w:rPr>
            <w:rStyle w:val="Hyperlink"/>
          </w:rPr>
          <w:t>Review of the Arrangement</w:t>
        </w:r>
        <w:r w:rsidR="00147168">
          <w:rPr>
            <w:webHidden/>
          </w:rPr>
          <w:tab/>
        </w:r>
        <w:r w:rsidR="00147168">
          <w:rPr>
            <w:webHidden/>
          </w:rPr>
          <w:fldChar w:fldCharType="begin"/>
        </w:r>
        <w:r w:rsidR="00147168">
          <w:rPr>
            <w:webHidden/>
          </w:rPr>
          <w:instrText xml:space="preserve"> PAGEREF _Toc180156203 \h </w:instrText>
        </w:r>
        <w:r w:rsidR="00147168">
          <w:rPr>
            <w:webHidden/>
          </w:rPr>
        </w:r>
        <w:r w:rsidR="00147168">
          <w:rPr>
            <w:webHidden/>
          </w:rPr>
          <w:fldChar w:fldCharType="separate"/>
        </w:r>
        <w:r w:rsidR="00501146">
          <w:rPr>
            <w:webHidden/>
          </w:rPr>
          <w:t>7</w:t>
        </w:r>
        <w:r w:rsidR="00147168">
          <w:rPr>
            <w:webHidden/>
          </w:rPr>
          <w:fldChar w:fldCharType="end"/>
        </w:r>
      </w:hyperlink>
    </w:p>
    <w:p w14:paraId="5014C9A3" w14:textId="77777777" w:rsidR="00147168" w:rsidRDefault="00000000">
      <w:pPr>
        <w:pStyle w:val="TOC1"/>
        <w:rPr>
          <w:rFonts w:eastAsiaTheme="minorEastAsia" w:cstheme="minorBidi"/>
          <w:b w:val="0"/>
          <w:color w:val="auto"/>
          <w:kern w:val="2"/>
          <w:sz w:val="22"/>
          <w14:ligatures w14:val="standardContextual"/>
        </w:rPr>
      </w:pPr>
      <w:hyperlink w:anchor="_Toc180156204" w:history="1">
        <w:r w:rsidR="00147168" w:rsidRPr="00100C00">
          <w:rPr>
            <w:rStyle w:val="Hyperlink"/>
          </w:rPr>
          <w:t>Status of Annexes</w:t>
        </w:r>
        <w:r w:rsidR="00147168">
          <w:rPr>
            <w:webHidden/>
          </w:rPr>
          <w:tab/>
        </w:r>
        <w:r w:rsidR="00147168">
          <w:rPr>
            <w:webHidden/>
          </w:rPr>
          <w:fldChar w:fldCharType="begin"/>
        </w:r>
        <w:r w:rsidR="00147168">
          <w:rPr>
            <w:webHidden/>
          </w:rPr>
          <w:instrText xml:space="preserve"> PAGEREF _Toc180156204 \h </w:instrText>
        </w:r>
        <w:r w:rsidR="00147168">
          <w:rPr>
            <w:webHidden/>
          </w:rPr>
        </w:r>
        <w:r w:rsidR="00147168">
          <w:rPr>
            <w:webHidden/>
          </w:rPr>
          <w:fldChar w:fldCharType="separate"/>
        </w:r>
        <w:r w:rsidR="00501146">
          <w:rPr>
            <w:webHidden/>
          </w:rPr>
          <w:t>7</w:t>
        </w:r>
        <w:r w:rsidR="00147168">
          <w:rPr>
            <w:webHidden/>
          </w:rPr>
          <w:fldChar w:fldCharType="end"/>
        </w:r>
      </w:hyperlink>
    </w:p>
    <w:p w14:paraId="48885F89" w14:textId="77777777" w:rsidR="00147168" w:rsidRDefault="00000000">
      <w:pPr>
        <w:pStyle w:val="TOC1"/>
        <w:rPr>
          <w:rFonts w:eastAsiaTheme="minorEastAsia" w:cstheme="minorBidi"/>
          <w:b w:val="0"/>
          <w:color w:val="auto"/>
          <w:kern w:val="2"/>
          <w:sz w:val="22"/>
          <w14:ligatures w14:val="standardContextual"/>
        </w:rPr>
      </w:pPr>
      <w:hyperlink w:anchor="_Toc180156205" w:history="1">
        <w:r w:rsidR="00147168" w:rsidRPr="00100C00">
          <w:rPr>
            <w:rStyle w:val="Hyperlink"/>
          </w:rPr>
          <w:t>Term</w:t>
        </w:r>
        <w:r w:rsidR="00147168">
          <w:rPr>
            <w:webHidden/>
          </w:rPr>
          <w:tab/>
        </w:r>
        <w:r w:rsidR="00147168">
          <w:rPr>
            <w:webHidden/>
          </w:rPr>
          <w:fldChar w:fldCharType="begin"/>
        </w:r>
        <w:r w:rsidR="00147168">
          <w:rPr>
            <w:webHidden/>
          </w:rPr>
          <w:instrText xml:space="preserve"> PAGEREF _Toc180156205 \h </w:instrText>
        </w:r>
        <w:r w:rsidR="00147168">
          <w:rPr>
            <w:webHidden/>
          </w:rPr>
        </w:r>
        <w:r w:rsidR="00147168">
          <w:rPr>
            <w:webHidden/>
          </w:rPr>
          <w:fldChar w:fldCharType="separate"/>
        </w:r>
        <w:r w:rsidR="00501146">
          <w:rPr>
            <w:webHidden/>
          </w:rPr>
          <w:t>7</w:t>
        </w:r>
        <w:r w:rsidR="00147168">
          <w:rPr>
            <w:webHidden/>
          </w:rPr>
          <w:fldChar w:fldCharType="end"/>
        </w:r>
      </w:hyperlink>
    </w:p>
    <w:p w14:paraId="32C5E522" w14:textId="77777777" w:rsidR="00147168" w:rsidRDefault="00000000">
      <w:pPr>
        <w:pStyle w:val="TOC1"/>
        <w:rPr>
          <w:rFonts w:eastAsiaTheme="minorEastAsia" w:cstheme="minorBidi"/>
          <w:b w:val="0"/>
          <w:color w:val="auto"/>
          <w:kern w:val="2"/>
          <w:sz w:val="22"/>
          <w14:ligatures w14:val="standardContextual"/>
        </w:rPr>
      </w:pPr>
      <w:hyperlink w:anchor="_Toc180156206" w:history="1">
        <w:r w:rsidR="00147168" w:rsidRPr="00100C00">
          <w:rPr>
            <w:rStyle w:val="Hyperlink"/>
          </w:rPr>
          <w:t>Annex: Contact details for designated bodies</w:t>
        </w:r>
        <w:r w:rsidR="00147168">
          <w:rPr>
            <w:webHidden/>
          </w:rPr>
          <w:tab/>
        </w:r>
        <w:r w:rsidR="00147168">
          <w:rPr>
            <w:webHidden/>
          </w:rPr>
          <w:fldChar w:fldCharType="begin"/>
        </w:r>
        <w:r w:rsidR="00147168">
          <w:rPr>
            <w:webHidden/>
          </w:rPr>
          <w:instrText xml:space="preserve"> PAGEREF _Toc180156206 \h </w:instrText>
        </w:r>
        <w:r w:rsidR="00147168">
          <w:rPr>
            <w:webHidden/>
          </w:rPr>
        </w:r>
        <w:r w:rsidR="00147168">
          <w:rPr>
            <w:webHidden/>
          </w:rPr>
          <w:fldChar w:fldCharType="separate"/>
        </w:r>
        <w:r w:rsidR="00501146">
          <w:rPr>
            <w:webHidden/>
          </w:rPr>
          <w:t>8</w:t>
        </w:r>
        <w:r w:rsidR="00147168">
          <w:rPr>
            <w:webHidden/>
          </w:rPr>
          <w:fldChar w:fldCharType="end"/>
        </w:r>
      </w:hyperlink>
    </w:p>
    <w:p w14:paraId="6CF42570" w14:textId="77777777" w:rsidR="00147168" w:rsidRPr="00186F7C" w:rsidRDefault="00000000" w:rsidP="00186F7C">
      <w:pPr>
        <w:pStyle w:val="TOC2"/>
        <w:rPr>
          <w:rFonts w:eastAsiaTheme="minorEastAsia"/>
        </w:rPr>
      </w:pPr>
      <w:hyperlink w:anchor="_Toc180156207" w:history="1">
        <w:r w:rsidR="00147168" w:rsidRPr="00186F7C">
          <w:rPr>
            <w:rStyle w:val="Hyperlink"/>
            <w:color w:val="000000" w:themeColor="text2"/>
          </w:rPr>
          <w:t>Australia</w:t>
        </w:r>
        <w:r w:rsidR="00147168" w:rsidRPr="00186F7C">
          <w:rPr>
            <w:webHidden/>
          </w:rPr>
          <w:tab/>
        </w:r>
        <w:r w:rsidR="00147168" w:rsidRPr="00186F7C">
          <w:rPr>
            <w:webHidden/>
          </w:rPr>
          <w:fldChar w:fldCharType="begin"/>
        </w:r>
        <w:r w:rsidR="00147168" w:rsidRPr="00186F7C">
          <w:rPr>
            <w:webHidden/>
          </w:rPr>
          <w:instrText xml:space="preserve"> PAGEREF _Toc180156207 \h </w:instrText>
        </w:r>
        <w:r w:rsidR="00147168" w:rsidRPr="00186F7C">
          <w:rPr>
            <w:webHidden/>
          </w:rPr>
        </w:r>
        <w:r w:rsidR="00147168" w:rsidRPr="00186F7C">
          <w:rPr>
            <w:webHidden/>
          </w:rPr>
          <w:fldChar w:fldCharType="separate"/>
        </w:r>
        <w:r w:rsidR="00501146" w:rsidRPr="00186F7C">
          <w:rPr>
            <w:webHidden/>
          </w:rPr>
          <w:t>8</w:t>
        </w:r>
        <w:r w:rsidR="00147168" w:rsidRPr="00186F7C">
          <w:rPr>
            <w:webHidden/>
          </w:rPr>
          <w:fldChar w:fldCharType="end"/>
        </w:r>
      </w:hyperlink>
    </w:p>
    <w:p w14:paraId="6D4D1C97" w14:textId="77777777" w:rsidR="00147168" w:rsidRPr="00186F7C" w:rsidRDefault="00000000" w:rsidP="00186F7C">
      <w:pPr>
        <w:pStyle w:val="TOC2"/>
        <w:rPr>
          <w:rFonts w:eastAsiaTheme="minorEastAsia"/>
        </w:rPr>
      </w:pPr>
      <w:hyperlink w:anchor="_Toc180156208" w:history="1">
        <w:r w:rsidR="00147168" w:rsidRPr="00186F7C">
          <w:rPr>
            <w:rStyle w:val="Hyperlink"/>
            <w:color w:val="000000" w:themeColor="text2"/>
          </w:rPr>
          <w:t>New Zealand</w:t>
        </w:r>
        <w:r w:rsidR="00147168" w:rsidRPr="00186F7C">
          <w:rPr>
            <w:webHidden/>
          </w:rPr>
          <w:tab/>
        </w:r>
        <w:r w:rsidR="00147168" w:rsidRPr="00186F7C">
          <w:rPr>
            <w:webHidden/>
          </w:rPr>
          <w:fldChar w:fldCharType="begin"/>
        </w:r>
        <w:r w:rsidR="00147168" w:rsidRPr="00186F7C">
          <w:rPr>
            <w:webHidden/>
          </w:rPr>
          <w:instrText xml:space="preserve"> PAGEREF _Toc180156208 \h </w:instrText>
        </w:r>
        <w:r w:rsidR="00147168" w:rsidRPr="00186F7C">
          <w:rPr>
            <w:webHidden/>
          </w:rPr>
        </w:r>
        <w:r w:rsidR="00147168" w:rsidRPr="00186F7C">
          <w:rPr>
            <w:webHidden/>
          </w:rPr>
          <w:fldChar w:fldCharType="separate"/>
        </w:r>
        <w:r w:rsidR="00501146" w:rsidRPr="00186F7C">
          <w:rPr>
            <w:webHidden/>
          </w:rPr>
          <w:t>8</w:t>
        </w:r>
        <w:r w:rsidR="00147168" w:rsidRPr="00186F7C">
          <w:rPr>
            <w:webHidden/>
          </w:rPr>
          <w:fldChar w:fldCharType="end"/>
        </w:r>
      </w:hyperlink>
    </w:p>
    <w:p w14:paraId="424EC411" w14:textId="77777777" w:rsidR="00147168" w:rsidRDefault="00000000" w:rsidP="00F40C44">
      <w:pPr>
        <w:pStyle w:val="TOC1"/>
        <w:spacing w:after="120"/>
        <w:ind w:right="0"/>
        <w:rPr>
          <w:rFonts w:eastAsiaTheme="minorEastAsia" w:cstheme="minorBidi"/>
          <w:b w:val="0"/>
          <w:color w:val="auto"/>
          <w:kern w:val="2"/>
          <w:sz w:val="22"/>
          <w14:ligatures w14:val="standardContextual"/>
        </w:rPr>
      </w:pPr>
      <w:hyperlink w:anchor="_Toc180156209" w:history="1">
        <w:r w:rsidR="00147168" w:rsidRPr="00100C00">
          <w:rPr>
            <w:rStyle w:val="Hyperlink"/>
          </w:rPr>
          <w:t>Annex: Australia</w:t>
        </w:r>
        <w:r w:rsidR="000069AA">
          <w:rPr>
            <w:rStyle w:val="Hyperlink"/>
          </w:rPr>
          <w:noBreakHyphen/>
        </w:r>
        <w:r w:rsidR="00147168" w:rsidRPr="00100C00">
          <w:rPr>
            <w:rStyle w:val="Hyperlink"/>
          </w:rPr>
          <w:t>New Zealand Electronic Invoicing Board Terms of Reference</w:t>
        </w:r>
        <w:r w:rsidR="00147168">
          <w:rPr>
            <w:webHidden/>
          </w:rPr>
          <w:tab/>
        </w:r>
        <w:r w:rsidR="00147168">
          <w:rPr>
            <w:webHidden/>
          </w:rPr>
          <w:fldChar w:fldCharType="begin"/>
        </w:r>
        <w:r w:rsidR="00147168">
          <w:rPr>
            <w:webHidden/>
          </w:rPr>
          <w:instrText xml:space="preserve"> PAGEREF _Toc180156209 \h </w:instrText>
        </w:r>
        <w:r w:rsidR="00147168">
          <w:rPr>
            <w:webHidden/>
          </w:rPr>
        </w:r>
        <w:r w:rsidR="00147168">
          <w:rPr>
            <w:webHidden/>
          </w:rPr>
          <w:fldChar w:fldCharType="separate"/>
        </w:r>
        <w:r w:rsidR="00501146">
          <w:rPr>
            <w:webHidden/>
          </w:rPr>
          <w:t>9</w:t>
        </w:r>
        <w:r w:rsidR="00147168">
          <w:rPr>
            <w:webHidden/>
          </w:rPr>
          <w:fldChar w:fldCharType="end"/>
        </w:r>
      </w:hyperlink>
    </w:p>
    <w:p w14:paraId="62C499B7" w14:textId="77777777" w:rsidR="00147168" w:rsidRDefault="00000000">
      <w:pPr>
        <w:pStyle w:val="TOC2"/>
        <w:tabs>
          <w:tab w:val="left" w:pos="660"/>
        </w:tabs>
        <w:rPr>
          <w:rFonts w:eastAsiaTheme="minorEastAsia" w:cstheme="minorBidi"/>
          <w:color w:val="auto"/>
          <w:kern w:val="2"/>
          <w:szCs w:val="22"/>
          <w14:ligatures w14:val="standardContextual"/>
        </w:rPr>
      </w:pPr>
      <w:hyperlink w:anchor="_Toc180156210" w:history="1">
        <w:r w:rsidR="00147168" w:rsidRPr="00100C00">
          <w:rPr>
            <w:rStyle w:val="Hyperlink"/>
          </w:rPr>
          <w:t>Primary Purpose</w:t>
        </w:r>
        <w:r w:rsidR="00147168">
          <w:rPr>
            <w:webHidden/>
          </w:rPr>
          <w:tab/>
        </w:r>
        <w:r w:rsidR="00147168">
          <w:rPr>
            <w:webHidden/>
          </w:rPr>
          <w:fldChar w:fldCharType="begin"/>
        </w:r>
        <w:r w:rsidR="00147168">
          <w:rPr>
            <w:webHidden/>
          </w:rPr>
          <w:instrText xml:space="preserve"> PAGEREF _Toc180156210 \h </w:instrText>
        </w:r>
        <w:r w:rsidR="00147168">
          <w:rPr>
            <w:webHidden/>
          </w:rPr>
        </w:r>
        <w:r w:rsidR="00147168">
          <w:rPr>
            <w:webHidden/>
          </w:rPr>
          <w:fldChar w:fldCharType="separate"/>
        </w:r>
        <w:r w:rsidR="00501146">
          <w:rPr>
            <w:webHidden/>
          </w:rPr>
          <w:t>9</w:t>
        </w:r>
        <w:r w:rsidR="00147168">
          <w:rPr>
            <w:webHidden/>
          </w:rPr>
          <w:fldChar w:fldCharType="end"/>
        </w:r>
      </w:hyperlink>
    </w:p>
    <w:p w14:paraId="2B49DDA5" w14:textId="77777777" w:rsidR="00147168" w:rsidRDefault="00000000">
      <w:pPr>
        <w:pStyle w:val="TOC2"/>
        <w:tabs>
          <w:tab w:val="left" w:pos="660"/>
        </w:tabs>
        <w:rPr>
          <w:rFonts w:eastAsiaTheme="minorEastAsia" w:cstheme="minorBidi"/>
          <w:color w:val="auto"/>
          <w:kern w:val="2"/>
          <w:szCs w:val="22"/>
          <w14:ligatures w14:val="standardContextual"/>
        </w:rPr>
      </w:pPr>
      <w:hyperlink w:anchor="_Toc180156211" w:history="1">
        <w:r w:rsidR="00147168" w:rsidRPr="00100C00">
          <w:rPr>
            <w:rStyle w:val="Hyperlink"/>
          </w:rPr>
          <w:t>Functions and Scope</w:t>
        </w:r>
        <w:r w:rsidR="00147168">
          <w:rPr>
            <w:webHidden/>
          </w:rPr>
          <w:tab/>
        </w:r>
        <w:r w:rsidR="00147168">
          <w:rPr>
            <w:webHidden/>
          </w:rPr>
          <w:fldChar w:fldCharType="begin"/>
        </w:r>
        <w:r w:rsidR="00147168">
          <w:rPr>
            <w:webHidden/>
          </w:rPr>
          <w:instrText xml:space="preserve"> PAGEREF _Toc180156211 \h </w:instrText>
        </w:r>
        <w:r w:rsidR="00147168">
          <w:rPr>
            <w:webHidden/>
          </w:rPr>
        </w:r>
        <w:r w:rsidR="00147168">
          <w:rPr>
            <w:webHidden/>
          </w:rPr>
          <w:fldChar w:fldCharType="separate"/>
        </w:r>
        <w:r w:rsidR="00501146">
          <w:rPr>
            <w:webHidden/>
          </w:rPr>
          <w:t>9</w:t>
        </w:r>
        <w:r w:rsidR="00147168">
          <w:rPr>
            <w:webHidden/>
          </w:rPr>
          <w:fldChar w:fldCharType="end"/>
        </w:r>
      </w:hyperlink>
    </w:p>
    <w:p w14:paraId="4BC8C674" w14:textId="77777777" w:rsidR="00147168" w:rsidRDefault="00000000">
      <w:pPr>
        <w:pStyle w:val="TOC2"/>
        <w:tabs>
          <w:tab w:val="left" w:pos="660"/>
        </w:tabs>
        <w:rPr>
          <w:rFonts w:eastAsiaTheme="minorEastAsia" w:cstheme="minorBidi"/>
          <w:color w:val="auto"/>
          <w:kern w:val="2"/>
          <w:szCs w:val="22"/>
          <w14:ligatures w14:val="standardContextual"/>
        </w:rPr>
      </w:pPr>
      <w:hyperlink w:anchor="_Toc180156212" w:history="1">
        <w:r w:rsidR="00147168" w:rsidRPr="00100C00">
          <w:rPr>
            <w:rStyle w:val="Hyperlink"/>
          </w:rPr>
          <w:t>Board Membership and Appointment</w:t>
        </w:r>
        <w:r w:rsidR="00147168">
          <w:rPr>
            <w:webHidden/>
          </w:rPr>
          <w:tab/>
        </w:r>
        <w:r w:rsidR="00147168">
          <w:rPr>
            <w:webHidden/>
          </w:rPr>
          <w:fldChar w:fldCharType="begin"/>
        </w:r>
        <w:r w:rsidR="00147168">
          <w:rPr>
            <w:webHidden/>
          </w:rPr>
          <w:instrText xml:space="preserve"> PAGEREF _Toc180156212 \h </w:instrText>
        </w:r>
        <w:r w:rsidR="00147168">
          <w:rPr>
            <w:webHidden/>
          </w:rPr>
        </w:r>
        <w:r w:rsidR="00147168">
          <w:rPr>
            <w:webHidden/>
          </w:rPr>
          <w:fldChar w:fldCharType="separate"/>
        </w:r>
        <w:r w:rsidR="00501146">
          <w:rPr>
            <w:webHidden/>
          </w:rPr>
          <w:t>10</w:t>
        </w:r>
        <w:r w:rsidR="00147168">
          <w:rPr>
            <w:webHidden/>
          </w:rPr>
          <w:fldChar w:fldCharType="end"/>
        </w:r>
      </w:hyperlink>
    </w:p>
    <w:p w14:paraId="70721CDD" w14:textId="77777777" w:rsidR="00147168" w:rsidRDefault="00000000">
      <w:pPr>
        <w:pStyle w:val="TOC2"/>
        <w:tabs>
          <w:tab w:val="left" w:pos="660"/>
        </w:tabs>
        <w:rPr>
          <w:rFonts w:eastAsiaTheme="minorEastAsia" w:cstheme="minorBidi"/>
          <w:color w:val="auto"/>
          <w:kern w:val="2"/>
          <w:szCs w:val="22"/>
          <w14:ligatures w14:val="standardContextual"/>
        </w:rPr>
      </w:pPr>
      <w:hyperlink w:anchor="_Toc180156213" w:history="1">
        <w:r w:rsidR="00147168" w:rsidRPr="00100C00">
          <w:rPr>
            <w:rStyle w:val="Hyperlink"/>
          </w:rPr>
          <w:t>Meetings of the Board</w:t>
        </w:r>
        <w:r w:rsidR="00147168">
          <w:rPr>
            <w:webHidden/>
          </w:rPr>
          <w:tab/>
        </w:r>
        <w:r w:rsidR="00147168">
          <w:rPr>
            <w:webHidden/>
          </w:rPr>
          <w:fldChar w:fldCharType="begin"/>
        </w:r>
        <w:r w:rsidR="00147168">
          <w:rPr>
            <w:webHidden/>
          </w:rPr>
          <w:instrText xml:space="preserve"> PAGEREF _Toc180156213 \h </w:instrText>
        </w:r>
        <w:r w:rsidR="00147168">
          <w:rPr>
            <w:webHidden/>
          </w:rPr>
        </w:r>
        <w:r w:rsidR="00147168">
          <w:rPr>
            <w:webHidden/>
          </w:rPr>
          <w:fldChar w:fldCharType="separate"/>
        </w:r>
        <w:r w:rsidR="00501146">
          <w:rPr>
            <w:webHidden/>
          </w:rPr>
          <w:t>10</w:t>
        </w:r>
        <w:r w:rsidR="00147168">
          <w:rPr>
            <w:webHidden/>
          </w:rPr>
          <w:fldChar w:fldCharType="end"/>
        </w:r>
      </w:hyperlink>
    </w:p>
    <w:p w14:paraId="64CA4A7C" w14:textId="77777777" w:rsidR="00147168" w:rsidRDefault="00000000" w:rsidP="00F40C44">
      <w:pPr>
        <w:pStyle w:val="TOC1"/>
        <w:spacing w:after="120"/>
        <w:ind w:right="0"/>
        <w:rPr>
          <w:rFonts w:eastAsiaTheme="minorEastAsia" w:cstheme="minorBidi"/>
          <w:b w:val="0"/>
          <w:color w:val="auto"/>
          <w:kern w:val="2"/>
          <w:sz w:val="22"/>
          <w14:ligatures w14:val="standardContextual"/>
        </w:rPr>
      </w:pPr>
      <w:hyperlink w:anchor="_Toc180156214" w:history="1">
        <w:r w:rsidR="00147168" w:rsidRPr="00100C00">
          <w:rPr>
            <w:rStyle w:val="Hyperlink"/>
          </w:rPr>
          <w:t>Annex: Charter of the Australia‍‍‍‍</w:t>
        </w:r>
        <w:r w:rsidR="000069AA">
          <w:rPr>
            <w:rStyle w:val="Hyperlink"/>
          </w:rPr>
          <w:noBreakHyphen/>
        </w:r>
        <w:r w:rsidR="00147168" w:rsidRPr="00100C00">
          <w:rPr>
            <w:rStyle w:val="Hyperlink"/>
          </w:rPr>
          <w:t>‍New Zealand Electronic Invoicing Board</w:t>
        </w:r>
        <w:r w:rsidR="00147168">
          <w:rPr>
            <w:webHidden/>
          </w:rPr>
          <w:tab/>
        </w:r>
        <w:r w:rsidR="00147168">
          <w:rPr>
            <w:webHidden/>
          </w:rPr>
          <w:fldChar w:fldCharType="begin"/>
        </w:r>
        <w:r w:rsidR="00147168">
          <w:rPr>
            <w:webHidden/>
          </w:rPr>
          <w:instrText xml:space="preserve"> PAGEREF _Toc180156214 \h </w:instrText>
        </w:r>
        <w:r w:rsidR="00147168">
          <w:rPr>
            <w:webHidden/>
          </w:rPr>
        </w:r>
        <w:r w:rsidR="00147168">
          <w:rPr>
            <w:webHidden/>
          </w:rPr>
          <w:fldChar w:fldCharType="separate"/>
        </w:r>
        <w:r w:rsidR="00501146">
          <w:rPr>
            <w:webHidden/>
          </w:rPr>
          <w:t>11</w:t>
        </w:r>
        <w:r w:rsidR="00147168">
          <w:rPr>
            <w:webHidden/>
          </w:rPr>
          <w:fldChar w:fldCharType="end"/>
        </w:r>
      </w:hyperlink>
    </w:p>
    <w:p w14:paraId="3F986F28" w14:textId="77777777" w:rsidR="00147168" w:rsidRDefault="00000000">
      <w:pPr>
        <w:pStyle w:val="TOC2"/>
        <w:tabs>
          <w:tab w:val="left" w:pos="660"/>
        </w:tabs>
        <w:rPr>
          <w:rFonts w:eastAsiaTheme="minorEastAsia" w:cstheme="minorBidi"/>
          <w:color w:val="auto"/>
          <w:kern w:val="2"/>
          <w:szCs w:val="22"/>
          <w14:ligatures w14:val="standardContextual"/>
        </w:rPr>
      </w:pPr>
      <w:hyperlink w:anchor="_Toc180156215" w:history="1">
        <w:r w:rsidR="00147168" w:rsidRPr="00100C00">
          <w:rPr>
            <w:rStyle w:val="Hyperlink"/>
          </w:rPr>
          <w:t>Introduction</w:t>
        </w:r>
        <w:r w:rsidR="00147168">
          <w:rPr>
            <w:webHidden/>
          </w:rPr>
          <w:tab/>
        </w:r>
        <w:r w:rsidR="00147168">
          <w:rPr>
            <w:webHidden/>
          </w:rPr>
          <w:fldChar w:fldCharType="begin"/>
        </w:r>
        <w:r w:rsidR="00147168">
          <w:rPr>
            <w:webHidden/>
          </w:rPr>
          <w:instrText xml:space="preserve"> PAGEREF _Toc180156215 \h </w:instrText>
        </w:r>
        <w:r w:rsidR="00147168">
          <w:rPr>
            <w:webHidden/>
          </w:rPr>
        </w:r>
        <w:r w:rsidR="00147168">
          <w:rPr>
            <w:webHidden/>
          </w:rPr>
          <w:fldChar w:fldCharType="separate"/>
        </w:r>
        <w:r w:rsidR="00501146">
          <w:rPr>
            <w:webHidden/>
          </w:rPr>
          <w:t>11</w:t>
        </w:r>
        <w:r w:rsidR="00147168">
          <w:rPr>
            <w:webHidden/>
          </w:rPr>
          <w:fldChar w:fldCharType="end"/>
        </w:r>
      </w:hyperlink>
    </w:p>
    <w:p w14:paraId="55ED31E3" w14:textId="77777777" w:rsidR="00147168" w:rsidRDefault="00000000">
      <w:pPr>
        <w:pStyle w:val="TOC2"/>
        <w:tabs>
          <w:tab w:val="left" w:pos="660"/>
        </w:tabs>
        <w:rPr>
          <w:rFonts w:eastAsiaTheme="minorEastAsia" w:cstheme="minorBidi"/>
          <w:color w:val="auto"/>
          <w:kern w:val="2"/>
          <w:szCs w:val="22"/>
          <w14:ligatures w14:val="standardContextual"/>
        </w:rPr>
      </w:pPr>
      <w:hyperlink w:anchor="_Toc180156216" w:history="1">
        <w:r w:rsidR="00147168" w:rsidRPr="00100C00">
          <w:rPr>
            <w:rStyle w:val="Hyperlink"/>
          </w:rPr>
          <w:t>Board activities</w:t>
        </w:r>
        <w:r w:rsidR="00147168">
          <w:rPr>
            <w:webHidden/>
          </w:rPr>
          <w:tab/>
        </w:r>
        <w:r w:rsidR="00147168">
          <w:rPr>
            <w:webHidden/>
          </w:rPr>
          <w:fldChar w:fldCharType="begin"/>
        </w:r>
        <w:r w:rsidR="00147168">
          <w:rPr>
            <w:webHidden/>
          </w:rPr>
          <w:instrText xml:space="preserve"> PAGEREF _Toc180156216 \h </w:instrText>
        </w:r>
        <w:r w:rsidR="00147168">
          <w:rPr>
            <w:webHidden/>
          </w:rPr>
        </w:r>
        <w:r w:rsidR="00147168">
          <w:rPr>
            <w:webHidden/>
          </w:rPr>
          <w:fldChar w:fldCharType="separate"/>
        </w:r>
        <w:r w:rsidR="00501146">
          <w:rPr>
            <w:webHidden/>
          </w:rPr>
          <w:t>11</w:t>
        </w:r>
        <w:r w:rsidR="00147168">
          <w:rPr>
            <w:webHidden/>
          </w:rPr>
          <w:fldChar w:fldCharType="end"/>
        </w:r>
      </w:hyperlink>
    </w:p>
    <w:p w14:paraId="079FC1F0" w14:textId="77777777" w:rsidR="00147168" w:rsidRDefault="00000000">
      <w:pPr>
        <w:pStyle w:val="TOC2"/>
        <w:tabs>
          <w:tab w:val="left" w:pos="660"/>
        </w:tabs>
        <w:rPr>
          <w:rFonts w:eastAsiaTheme="minorEastAsia" w:cstheme="minorBidi"/>
          <w:color w:val="auto"/>
          <w:kern w:val="2"/>
          <w:szCs w:val="22"/>
          <w14:ligatures w14:val="standardContextual"/>
        </w:rPr>
      </w:pPr>
      <w:hyperlink w:anchor="_Toc180156217" w:history="1">
        <w:r w:rsidR="00147168" w:rsidRPr="00100C00">
          <w:rPr>
            <w:rStyle w:val="Hyperlink"/>
          </w:rPr>
          <w:t>Board servicing and administrative matters</w:t>
        </w:r>
        <w:r w:rsidR="00147168">
          <w:rPr>
            <w:webHidden/>
          </w:rPr>
          <w:tab/>
        </w:r>
        <w:r w:rsidR="00147168">
          <w:rPr>
            <w:webHidden/>
          </w:rPr>
          <w:fldChar w:fldCharType="begin"/>
        </w:r>
        <w:r w:rsidR="00147168">
          <w:rPr>
            <w:webHidden/>
          </w:rPr>
          <w:instrText xml:space="preserve"> PAGEREF _Toc180156217 \h </w:instrText>
        </w:r>
        <w:r w:rsidR="00147168">
          <w:rPr>
            <w:webHidden/>
          </w:rPr>
        </w:r>
        <w:r w:rsidR="00147168">
          <w:rPr>
            <w:webHidden/>
          </w:rPr>
          <w:fldChar w:fldCharType="separate"/>
        </w:r>
        <w:r w:rsidR="00501146">
          <w:rPr>
            <w:webHidden/>
          </w:rPr>
          <w:t>11</w:t>
        </w:r>
        <w:r w:rsidR="00147168">
          <w:rPr>
            <w:webHidden/>
          </w:rPr>
          <w:fldChar w:fldCharType="end"/>
        </w:r>
      </w:hyperlink>
    </w:p>
    <w:p w14:paraId="16DFB9F4" w14:textId="77777777" w:rsidR="00147168" w:rsidRPr="00186F7C" w:rsidRDefault="00000000" w:rsidP="00186F7C">
      <w:pPr>
        <w:pStyle w:val="TOC3"/>
        <w:rPr>
          <w:rFonts w:eastAsiaTheme="minorEastAsia"/>
        </w:rPr>
      </w:pPr>
      <w:hyperlink w:anchor="_Toc180156218" w:history="1">
        <w:r w:rsidR="00147168" w:rsidRPr="00186F7C">
          <w:rPr>
            <w:rStyle w:val="Hyperlink"/>
            <w:color w:val="000000" w:themeColor="text1"/>
          </w:rPr>
          <w:t>Secretariat</w:t>
        </w:r>
        <w:r w:rsidR="00147168" w:rsidRPr="00186F7C">
          <w:rPr>
            <w:webHidden/>
          </w:rPr>
          <w:tab/>
        </w:r>
        <w:r w:rsidR="00147168" w:rsidRPr="00186F7C">
          <w:rPr>
            <w:webHidden/>
          </w:rPr>
          <w:fldChar w:fldCharType="begin"/>
        </w:r>
        <w:r w:rsidR="00147168" w:rsidRPr="00186F7C">
          <w:rPr>
            <w:webHidden/>
          </w:rPr>
          <w:instrText xml:space="preserve"> PAGEREF _Toc180156218 \h </w:instrText>
        </w:r>
        <w:r w:rsidR="00147168" w:rsidRPr="00186F7C">
          <w:rPr>
            <w:webHidden/>
          </w:rPr>
        </w:r>
        <w:r w:rsidR="00147168" w:rsidRPr="00186F7C">
          <w:rPr>
            <w:webHidden/>
          </w:rPr>
          <w:fldChar w:fldCharType="separate"/>
        </w:r>
        <w:r w:rsidR="00501146" w:rsidRPr="00186F7C">
          <w:rPr>
            <w:webHidden/>
          </w:rPr>
          <w:t>11</w:t>
        </w:r>
        <w:r w:rsidR="00147168" w:rsidRPr="00186F7C">
          <w:rPr>
            <w:webHidden/>
          </w:rPr>
          <w:fldChar w:fldCharType="end"/>
        </w:r>
      </w:hyperlink>
    </w:p>
    <w:p w14:paraId="1FED8E19" w14:textId="77777777" w:rsidR="00147168" w:rsidRPr="00186F7C" w:rsidRDefault="00000000" w:rsidP="00186F7C">
      <w:pPr>
        <w:pStyle w:val="TOC3"/>
        <w:rPr>
          <w:rFonts w:eastAsiaTheme="minorEastAsia"/>
        </w:rPr>
      </w:pPr>
      <w:hyperlink w:anchor="_Toc180156219" w:history="1">
        <w:r w:rsidR="00147168" w:rsidRPr="00186F7C">
          <w:rPr>
            <w:rStyle w:val="Hyperlink"/>
            <w:color w:val="000000" w:themeColor="text1"/>
          </w:rPr>
          <w:t>Minutes</w:t>
        </w:r>
        <w:r w:rsidR="00147168" w:rsidRPr="00186F7C">
          <w:rPr>
            <w:webHidden/>
          </w:rPr>
          <w:tab/>
        </w:r>
        <w:r w:rsidR="00147168" w:rsidRPr="00186F7C">
          <w:rPr>
            <w:webHidden/>
          </w:rPr>
          <w:fldChar w:fldCharType="begin"/>
        </w:r>
        <w:r w:rsidR="00147168" w:rsidRPr="00186F7C">
          <w:rPr>
            <w:webHidden/>
          </w:rPr>
          <w:instrText xml:space="preserve"> PAGEREF _Toc180156219 \h </w:instrText>
        </w:r>
        <w:r w:rsidR="00147168" w:rsidRPr="00186F7C">
          <w:rPr>
            <w:webHidden/>
          </w:rPr>
        </w:r>
        <w:r w:rsidR="00147168" w:rsidRPr="00186F7C">
          <w:rPr>
            <w:webHidden/>
          </w:rPr>
          <w:fldChar w:fldCharType="separate"/>
        </w:r>
        <w:r w:rsidR="00501146" w:rsidRPr="00186F7C">
          <w:rPr>
            <w:webHidden/>
          </w:rPr>
          <w:t>11</w:t>
        </w:r>
        <w:r w:rsidR="00147168" w:rsidRPr="00186F7C">
          <w:rPr>
            <w:webHidden/>
          </w:rPr>
          <w:fldChar w:fldCharType="end"/>
        </w:r>
      </w:hyperlink>
    </w:p>
    <w:p w14:paraId="7771215B" w14:textId="77777777" w:rsidR="00147168" w:rsidRPr="00186F7C" w:rsidRDefault="00000000" w:rsidP="00186F7C">
      <w:pPr>
        <w:pStyle w:val="TOC3"/>
        <w:rPr>
          <w:rFonts w:eastAsiaTheme="minorEastAsia"/>
        </w:rPr>
      </w:pPr>
      <w:hyperlink w:anchor="_Toc180156220" w:history="1">
        <w:r w:rsidR="00147168" w:rsidRPr="00186F7C">
          <w:rPr>
            <w:rStyle w:val="Hyperlink"/>
            <w:color w:val="000000" w:themeColor="text1"/>
          </w:rPr>
          <w:t>Agenda</w:t>
        </w:r>
        <w:r w:rsidR="00147168" w:rsidRPr="00186F7C">
          <w:rPr>
            <w:webHidden/>
          </w:rPr>
          <w:tab/>
        </w:r>
        <w:r w:rsidR="00147168" w:rsidRPr="00186F7C">
          <w:rPr>
            <w:webHidden/>
          </w:rPr>
          <w:fldChar w:fldCharType="begin"/>
        </w:r>
        <w:r w:rsidR="00147168" w:rsidRPr="00186F7C">
          <w:rPr>
            <w:webHidden/>
          </w:rPr>
          <w:instrText xml:space="preserve"> PAGEREF _Toc180156220 \h </w:instrText>
        </w:r>
        <w:r w:rsidR="00147168" w:rsidRPr="00186F7C">
          <w:rPr>
            <w:webHidden/>
          </w:rPr>
        </w:r>
        <w:r w:rsidR="00147168" w:rsidRPr="00186F7C">
          <w:rPr>
            <w:webHidden/>
          </w:rPr>
          <w:fldChar w:fldCharType="separate"/>
        </w:r>
        <w:r w:rsidR="00501146" w:rsidRPr="00186F7C">
          <w:rPr>
            <w:webHidden/>
          </w:rPr>
          <w:t>12</w:t>
        </w:r>
        <w:r w:rsidR="00147168" w:rsidRPr="00186F7C">
          <w:rPr>
            <w:webHidden/>
          </w:rPr>
          <w:fldChar w:fldCharType="end"/>
        </w:r>
      </w:hyperlink>
    </w:p>
    <w:p w14:paraId="4A199CD0" w14:textId="77777777" w:rsidR="00147168" w:rsidRDefault="00000000">
      <w:pPr>
        <w:pStyle w:val="TOC2"/>
        <w:tabs>
          <w:tab w:val="left" w:pos="660"/>
        </w:tabs>
        <w:rPr>
          <w:rFonts w:eastAsiaTheme="minorEastAsia" w:cstheme="minorBidi"/>
          <w:color w:val="auto"/>
          <w:kern w:val="2"/>
          <w:szCs w:val="22"/>
          <w14:ligatures w14:val="standardContextual"/>
        </w:rPr>
      </w:pPr>
      <w:hyperlink w:anchor="_Toc180156221" w:history="1">
        <w:r w:rsidR="00147168" w:rsidRPr="00100C00">
          <w:rPr>
            <w:rStyle w:val="Hyperlink"/>
          </w:rPr>
          <w:t>Meetings of the Board</w:t>
        </w:r>
        <w:r w:rsidR="00147168">
          <w:rPr>
            <w:webHidden/>
          </w:rPr>
          <w:tab/>
        </w:r>
        <w:r w:rsidR="00147168">
          <w:rPr>
            <w:webHidden/>
          </w:rPr>
          <w:fldChar w:fldCharType="begin"/>
        </w:r>
        <w:r w:rsidR="00147168">
          <w:rPr>
            <w:webHidden/>
          </w:rPr>
          <w:instrText xml:space="preserve"> PAGEREF _Toc180156221 \h </w:instrText>
        </w:r>
        <w:r w:rsidR="00147168">
          <w:rPr>
            <w:webHidden/>
          </w:rPr>
        </w:r>
        <w:r w:rsidR="00147168">
          <w:rPr>
            <w:webHidden/>
          </w:rPr>
          <w:fldChar w:fldCharType="separate"/>
        </w:r>
        <w:r w:rsidR="00501146">
          <w:rPr>
            <w:webHidden/>
          </w:rPr>
          <w:t>12</w:t>
        </w:r>
        <w:r w:rsidR="00147168">
          <w:rPr>
            <w:webHidden/>
          </w:rPr>
          <w:fldChar w:fldCharType="end"/>
        </w:r>
      </w:hyperlink>
    </w:p>
    <w:p w14:paraId="53A1C209" w14:textId="77777777" w:rsidR="00147168" w:rsidRDefault="00000000">
      <w:pPr>
        <w:pStyle w:val="TOC2"/>
        <w:tabs>
          <w:tab w:val="left" w:pos="660"/>
        </w:tabs>
        <w:rPr>
          <w:rFonts w:eastAsiaTheme="minorEastAsia" w:cstheme="minorBidi"/>
          <w:color w:val="auto"/>
          <w:kern w:val="2"/>
          <w:szCs w:val="22"/>
          <w14:ligatures w14:val="standardContextual"/>
        </w:rPr>
      </w:pPr>
      <w:hyperlink w:anchor="_Toc180156222" w:history="1">
        <w:r w:rsidR="00147168" w:rsidRPr="00100C00">
          <w:rPr>
            <w:rStyle w:val="Hyperlink"/>
          </w:rPr>
          <w:t>Responsibilities of the presiding co</w:t>
        </w:r>
        <w:r w:rsidR="000069AA">
          <w:rPr>
            <w:rStyle w:val="Hyperlink"/>
          </w:rPr>
          <w:noBreakHyphen/>
        </w:r>
        <w:r w:rsidR="00147168" w:rsidRPr="00100C00">
          <w:rPr>
            <w:rStyle w:val="Hyperlink"/>
          </w:rPr>
          <w:t>Chair</w:t>
        </w:r>
        <w:r w:rsidR="00147168">
          <w:rPr>
            <w:webHidden/>
          </w:rPr>
          <w:tab/>
        </w:r>
        <w:r w:rsidR="00147168">
          <w:rPr>
            <w:webHidden/>
          </w:rPr>
          <w:fldChar w:fldCharType="begin"/>
        </w:r>
        <w:r w:rsidR="00147168">
          <w:rPr>
            <w:webHidden/>
          </w:rPr>
          <w:instrText xml:space="preserve"> PAGEREF _Toc180156222 \h </w:instrText>
        </w:r>
        <w:r w:rsidR="00147168">
          <w:rPr>
            <w:webHidden/>
          </w:rPr>
        </w:r>
        <w:r w:rsidR="00147168">
          <w:rPr>
            <w:webHidden/>
          </w:rPr>
          <w:fldChar w:fldCharType="separate"/>
        </w:r>
        <w:r w:rsidR="00501146">
          <w:rPr>
            <w:webHidden/>
          </w:rPr>
          <w:t>13</w:t>
        </w:r>
        <w:r w:rsidR="00147168">
          <w:rPr>
            <w:webHidden/>
          </w:rPr>
          <w:fldChar w:fldCharType="end"/>
        </w:r>
      </w:hyperlink>
    </w:p>
    <w:p w14:paraId="7F9DB160" w14:textId="77777777" w:rsidR="00147168" w:rsidRDefault="00000000">
      <w:pPr>
        <w:pStyle w:val="TOC2"/>
        <w:tabs>
          <w:tab w:val="left" w:pos="660"/>
        </w:tabs>
        <w:rPr>
          <w:rFonts w:eastAsiaTheme="minorEastAsia" w:cstheme="minorBidi"/>
          <w:color w:val="auto"/>
          <w:kern w:val="2"/>
          <w:szCs w:val="22"/>
          <w14:ligatures w14:val="standardContextual"/>
        </w:rPr>
      </w:pPr>
      <w:hyperlink w:anchor="_Toc180156223" w:history="1">
        <w:r w:rsidR="00147168" w:rsidRPr="00100C00">
          <w:rPr>
            <w:rStyle w:val="Hyperlink"/>
          </w:rPr>
          <w:t>Conflicts of interest</w:t>
        </w:r>
        <w:r w:rsidR="00147168">
          <w:rPr>
            <w:webHidden/>
          </w:rPr>
          <w:tab/>
        </w:r>
        <w:r w:rsidR="00147168">
          <w:rPr>
            <w:webHidden/>
          </w:rPr>
          <w:fldChar w:fldCharType="begin"/>
        </w:r>
        <w:r w:rsidR="00147168">
          <w:rPr>
            <w:webHidden/>
          </w:rPr>
          <w:instrText xml:space="preserve"> PAGEREF _Toc180156223 \h </w:instrText>
        </w:r>
        <w:r w:rsidR="00147168">
          <w:rPr>
            <w:webHidden/>
          </w:rPr>
        </w:r>
        <w:r w:rsidR="00147168">
          <w:rPr>
            <w:webHidden/>
          </w:rPr>
          <w:fldChar w:fldCharType="separate"/>
        </w:r>
        <w:r w:rsidR="00501146">
          <w:rPr>
            <w:webHidden/>
          </w:rPr>
          <w:t>13</w:t>
        </w:r>
        <w:r w:rsidR="00147168">
          <w:rPr>
            <w:webHidden/>
          </w:rPr>
          <w:fldChar w:fldCharType="end"/>
        </w:r>
      </w:hyperlink>
    </w:p>
    <w:p w14:paraId="5FAAB578" w14:textId="77777777" w:rsidR="00147168" w:rsidRDefault="00000000">
      <w:pPr>
        <w:pStyle w:val="TOC2"/>
        <w:tabs>
          <w:tab w:val="left" w:pos="660"/>
        </w:tabs>
        <w:rPr>
          <w:rFonts w:eastAsiaTheme="minorEastAsia" w:cstheme="minorBidi"/>
          <w:color w:val="auto"/>
          <w:kern w:val="2"/>
          <w:szCs w:val="22"/>
          <w14:ligatures w14:val="standardContextual"/>
        </w:rPr>
      </w:pPr>
      <w:hyperlink w:anchor="_Toc180156224" w:history="1">
        <w:r w:rsidR="00147168" w:rsidRPr="00100C00">
          <w:rPr>
            <w:rStyle w:val="Hyperlink"/>
          </w:rPr>
          <w:t>Confidentiality</w:t>
        </w:r>
        <w:r w:rsidR="00147168">
          <w:rPr>
            <w:webHidden/>
          </w:rPr>
          <w:tab/>
        </w:r>
        <w:r w:rsidR="00147168">
          <w:rPr>
            <w:webHidden/>
          </w:rPr>
          <w:fldChar w:fldCharType="begin"/>
        </w:r>
        <w:r w:rsidR="00147168">
          <w:rPr>
            <w:webHidden/>
          </w:rPr>
          <w:instrText xml:space="preserve"> PAGEREF _Toc180156224 \h </w:instrText>
        </w:r>
        <w:r w:rsidR="00147168">
          <w:rPr>
            <w:webHidden/>
          </w:rPr>
        </w:r>
        <w:r w:rsidR="00147168">
          <w:rPr>
            <w:webHidden/>
          </w:rPr>
          <w:fldChar w:fldCharType="separate"/>
        </w:r>
        <w:r w:rsidR="00501146">
          <w:rPr>
            <w:webHidden/>
          </w:rPr>
          <w:t>13</w:t>
        </w:r>
        <w:r w:rsidR="00147168">
          <w:rPr>
            <w:webHidden/>
          </w:rPr>
          <w:fldChar w:fldCharType="end"/>
        </w:r>
      </w:hyperlink>
    </w:p>
    <w:p w14:paraId="3300B7B4" w14:textId="77777777" w:rsidR="00147168" w:rsidRDefault="00000000">
      <w:pPr>
        <w:pStyle w:val="TOC2"/>
        <w:tabs>
          <w:tab w:val="left" w:pos="660"/>
        </w:tabs>
        <w:rPr>
          <w:rFonts w:eastAsiaTheme="minorEastAsia" w:cstheme="minorBidi"/>
          <w:color w:val="auto"/>
          <w:kern w:val="2"/>
          <w:szCs w:val="22"/>
          <w14:ligatures w14:val="standardContextual"/>
        </w:rPr>
      </w:pPr>
      <w:hyperlink w:anchor="_Toc180156225" w:history="1">
        <w:r w:rsidR="00147168" w:rsidRPr="00100C00">
          <w:rPr>
            <w:rStyle w:val="Hyperlink"/>
          </w:rPr>
          <w:t>Observers</w:t>
        </w:r>
        <w:r w:rsidR="00147168">
          <w:rPr>
            <w:webHidden/>
          </w:rPr>
          <w:tab/>
        </w:r>
        <w:r w:rsidR="00147168">
          <w:rPr>
            <w:webHidden/>
          </w:rPr>
          <w:fldChar w:fldCharType="begin"/>
        </w:r>
        <w:r w:rsidR="00147168">
          <w:rPr>
            <w:webHidden/>
          </w:rPr>
          <w:instrText xml:space="preserve"> PAGEREF _Toc180156225 \h </w:instrText>
        </w:r>
        <w:r w:rsidR="00147168">
          <w:rPr>
            <w:webHidden/>
          </w:rPr>
        </w:r>
        <w:r w:rsidR="00147168">
          <w:rPr>
            <w:webHidden/>
          </w:rPr>
          <w:fldChar w:fldCharType="separate"/>
        </w:r>
        <w:r w:rsidR="00501146">
          <w:rPr>
            <w:webHidden/>
          </w:rPr>
          <w:t>14</w:t>
        </w:r>
        <w:r w:rsidR="00147168">
          <w:rPr>
            <w:webHidden/>
          </w:rPr>
          <w:fldChar w:fldCharType="end"/>
        </w:r>
      </w:hyperlink>
    </w:p>
    <w:p w14:paraId="3D943893" w14:textId="77777777" w:rsidR="00147168" w:rsidRDefault="00000000">
      <w:pPr>
        <w:pStyle w:val="TOC2"/>
        <w:tabs>
          <w:tab w:val="left" w:pos="660"/>
        </w:tabs>
        <w:rPr>
          <w:rFonts w:eastAsiaTheme="minorEastAsia" w:cstheme="minorBidi"/>
          <w:color w:val="auto"/>
          <w:kern w:val="2"/>
          <w:szCs w:val="22"/>
          <w14:ligatures w14:val="standardContextual"/>
        </w:rPr>
      </w:pPr>
      <w:hyperlink w:anchor="_Toc180156226" w:history="1">
        <w:r w:rsidR="00147168" w:rsidRPr="00100C00">
          <w:rPr>
            <w:rStyle w:val="Hyperlink"/>
          </w:rPr>
          <w:t>Variation of Charter and Disputes</w:t>
        </w:r>
        <w:r w:rsidR="00147168">
          <w:rPr>
            <w:webHidden/>
          </w:rPr>
          <w:tab/>
        </w:r>
        <w:r w:rsidR="00147168">
          <w:rPr>
            <w:webHidden/>
          </w:rPr>
          <w:fldChar w:fldCharType="begin"/>
        </w:r>
        <w:r w:rsidR="00147168">
          <w:rPr>
            <w:webHidden/>
          </w:rPr>
          <w:instrText xml:space="preserve"> PAGEREF _Toc180156226 \h </w:instrText>
        </w:r>
        <w:r w:rsidR="00147168">
          <w:rPr>
            <w:webHidden/>
          </w:rPr>
        </w:r>
        <w:r w:rsidR="00147168">
          <w:rPr>
            <w:webHidden/>
          </w:rPr>
          <w:fldChar w:fldCharType="separate"/>
        </w:r>
        <w:r w:rsidR="00501146">
          <w:rPr>
            <w:webHidden/>
          </w:rPr>
          <w:t>14</w:t>
        </w:r>
        <w:r w:rsidR="00147168">
          <w:rPr>
            <w:webHidden/>
          </w:rPr>
          <w:fldChar w:fldCharType="end"/>
        </w:r>
      </w:hyperlink>
    </w:p>
    <w:p w14:paraId="7A4B447A" w14:textId="77777777" w:rsidR="004E7897" w:rsidRPr="00B775EE" w:rsidRDefault="000E0B74" w:rsidP="0042426E">
      <w:pPr>
        <w:pStyle w:val="SingleParagraph"/>
        <w:ind w:right="-2"/>
        <w:sectPr w:rsidR="004E7897" w:rsidRPr="00B775EE" w:rsidSect="008D43B4">
          <w:headerReference w:type="even" r:id="rId10"/>
          <w:headerReference w:type="default" r:id="rId11"/>
          <w:footerReference w:type="even" r:id="rId12"/>
          <w:headerReference w:type="first" r:id="rId13"/>
          <w:footerReference w:type="first" r:id="rId14"/>
          <w:pgSz w:w="11906" w:h="16838" w:code="9"/>
          <w:pgMar w:top="1843" w:right="1418" w:bottom="1418" w:left="1418" w:header="709" w:footer="709" w:gutter="0"/>
          <w:pgNumType w:fmt="lowerRoman" w:start="3"/>
          <w:cols w:space="708"/>
          <w:titlePg/>
          <w:docGrid w:linePitch="360"/>
        </w:sectPr>
      </w:pPr>
      <w:r>
        <w:fldChar w:fldCharType="end"/>
      </w:r>
      <w:bookmarkStart w:id="6" w:name="_Toc432067103"/>
      <w:bookmarkStart w:id="7" w:name="_Toc452635030"/>
      <w:r w:rsidR="00B775EE" w:rsidRPr="002F3D0F">
        <w:t xml:space="preserve"> </w:t>
      </w:r>
    </w:p>
    <w:p w14:paraId="348EFDCC" w14:textId="77777777" w:rsidR="006C5B73" w:rsidRDefault="004E4E68" w:rsidP="00F40C44">
      <w:pPr>
        <w:pStyle w:val="Heading1"/>
        <w:spacing w:before="0" w:after="240"/>
      </w:pPr>
      <w:bookmarkStart w:id="8" w:name="_Toc180156195"/>
      <w:bookmarkEnd w:id="6"/>
      <w:bookmarkEnd w:id="7"/>
      <w:r>
        <w:lastRenderedPageBreak/>
        <w:t>Introduction</w:t>
      </w:r>
      <w:bookmarkEnd w:id="8"/>
      <w:r w:rsidR="00C555AC">
        <w:t xml:space="preserve"> </w:t>
      </w:r>
    </w:p>
    <w:p w14:paraId="6CAB5027" w14:textId="77777777" w:rsidR="00BA0C4E" w:rsidRPr="00CD78F7" w:rsidRDefault="00BA0C4E" w:rsidP="0042426E">
      <w:r w:rsidRPr="00CD78F7">
        <w:t>The Governments of Australia and New Zealand, hereinafter called the Participants:</w:t>
      </w:r>
    </w:p>
    <w:p w14:paraId="032EC83B" w14:textId="77777777" w:rsidR="00BA0C4E" w:rsidRPr="00CD78F7" w:rsidRDefault="00BA0C4E" w:rsidP="00B077E4">
      <w:pPr>
        <w:pStyle w:val="Bullet"/>
        <w:tabs>
          <w:tab w:val="clear" w:pos="520"/>
        </w:tabs>
        <w:ind w:left="567" w:hanging="567"/>
      </w:pPr>
      <w:r w:rsidRPr="00CD78F7">
        <w:t>Recognise the benefits of having a single economic market for electronic invoicing (</w:t>
      </w:r>
      <w:proofErr w:type="spellStart"/>
      <w:r w:rsidRPr="00CD78F7">
        <w:t>eInvoicing</w:t>
      </w:r>
      <w:proofErr w:type="spellEnd"/>
      <w:r w:rsidRPr="00CD78F7">
        <w:t xml:space="preserve">) </w:t>
      </w:r>
      <w:proofErr w:type="gramStart"/>
      <w:r w:rsidRPr="00CD78F7">
        <w:t>in order to</w:t>
      </w:r>
      <w:proofErr w:type="gramEnd"/>
      <w:r w:rsidRPr="00CD78F7">
        <w:t xml:space="preserve"> facilitate trade, improve productivity and reduce the costs of doing business for both government and industry.</w:t>
      </w:r>
    </w:p>
    <w:p w14:paraId="34C42DD1" w14:textId="5766DF72" w:rsidR="00BA0C4E" w:rsidRPr="00CD78F7" w:rsidRDefault="00BA0C4E" w:rsidP="00B077E4">
      <w:pPr>
        <w:pStyle w:val="Bullet"/>
        <w:tabs>
          <w:tab w:val="clear" w:pos="520"/>
        </w:tabs>
        <w:ind w:left="567" w:hanging="567"/>
      </w:pPr>
      <w:r w:rsidRPr="00CD78F7">
        <w:t xml:space="preserve">Acknowledge that greater use of </w:t>
      </w:r>
      <w:proofErr w:type="spellStart"/>
      <w:r w:rsidRPr="00CD78F7">
        <w:t>eInvoicing</w:t>
      </w:r>
      <w:proofErr w:type="spellEnd"/>
      <w:r w:rsidRPr="00CD78F7">
        <w:t xml:space="preserve"> in the economy could help to reduce the risk of invoice fraud and payment redirections scams</w:t>
      </w:r>
      <w:r w:rsidR="000069AA">
        <w:t xml:space="preserve">. </w:t>
      </w:r>
    </w:p>
    <w:p w14:paraId="651E6F1C" w14:textId="77777777" w:rsidR="00BA0C4E" w:rsidRPr="00CD78F7" w:rsidRDefault="00BA0C4E" w:rsidP="00B077E4">
      <w:pPr>
        <w:pStyle w:val="Bullet"/>
        <w:tabs>
          <w:tab w:val="clear" w:pos="520"/>
        </w:tabs>
        <w:ind w:left="567" w:hanging="567"/>
      </w:pPr>
      <w:r w:rsidRPr="00CD78F7">
        <w:t>Commit to working together under this Arrangement in accordance with the guiding principles of reciprocity, autonomy, honesty, loyalty, equity, integrity, fairness, and flexibility.</w:t>
      </w:r>
    </w:p>
    <w:p w14:paraId="5B998140" w14:textId="77777777" w:rsidR="00BA0C4E" w:rsidRPr="00CD78F7" w:rsidRDefault="00BA0C4E" w:rsidP="00EC2FBB">
      <w:r w:rsidRPr="00CD78F7">
        <w:t xml:space="preserve">Accordingly, the Participants have </w:t>
      </w:r>
      <w:proofErr w:type="gramStart"/>
      <w:r w:rsidRPr="00CD78F7">
        <w:t>entered into</w:t>
      </w:r>
      <w:proofErr w:type="gramEnd"/>
      <w:r w:rsidRPr="00CD78F7">
        <w:t xml:space="preserve"> this Arrangement, to be known as the </w:t>
      </w:r>
      <w:r w:rsidRPr="00CD78F7">
        <w:rPr>
          <w:i/>
          <w:iCs/>
        </w:rPr>
        <w:t>Australia and New Zealand Government Electronic Invoicing Arrangement,</w:t>
      </w:r>
      <w:r w:rsidRPr="00CD78F7">
        <w:t xml:space="preserve"> which covers all </w:t>
      </w:r>
      <w:proofErr w:type="spellStart"/>
      <w:r w:rsidRPr="00CD78F7">
        <w:t>eInvoicing</w:t>
      </w:r>
      <w:proofErr w:type="spellEnd"/>
      <w:r w:rsidRPr="00CD78F7">
        <w:t xml:space="preserve"> arrangements developed and implemented by the Participants.</w:t>
      </w:r>
    </w:p>
    <w:p w14:paraId="2B006CA9" w14:textId="77777777" w:rsidR="006C5B73" w:rsidRDefault="000006EC" w:rsidP="00F40C44">
      <w:pPr>
        <w:pStyle w:val="Heading1"/>
        <w:spacing w:after="240"/>
      </w:pPr>
      <w:bookmarkStart w:id="9" w:name="_Toc180156196"/>
      <w:r>
        <w:t>Objective of this Arrangement</w:t>
      </w:r>
      <w:bookmarkEnd w:id="9"/>
    </w:p>
    <w:p w14:paraId="4A556543" w14:textId="77777777" w:rsidR="005D0269" w:rsidRPr="00CD78F7" w:rsidRDefault="005D0269" w:rsidP="00B077E4">
      <w:pPr>
        <w:pStyle w:val="OutlineNumbered1"/>
        <w:ind w:left="567" w:hanging="567"/>
      </w:pPr>
      <w:r w:rsidRPr="00CD78F7">
        <w:t xml:space="preserve">The objective of this Arrangement is to support the adoption and uptake of </w:t>
      </w:r>
      <w:proofErr w:type="spellStart"/>
      <w:r w:rsidRPr="00CD78F7">
        <w:t>eInvoicing</w:t>
      </w:r>
      <w:proofErr w:type="spellEnd"/>
      <w:r w:rsidRPr="00CD78F7" w:rsidDel="00AE3C8A">
        <w:t xml:space="preserve"> </w:t>
      </w:r>
      <w:r w:rsidRPr="00CD78F7">
        <w:t>in the Trans</w:t>
      </w:r>
      <w:r w:rsidR="000069AA">
        <w:noBreakHyphen/>
      </w:r>
      <w:r w:rsidRPr="00CD78F7">
        <w:t xml:space="preserve">Tasman by maintaining a common Australia and New Zealand approach and interoperable single economic market for </w:t>
      </w:r>
      <w:proofErr w:type="spellStart"/>
      <w:r w:rsidRPr="00CD78F7">
        <w:t>eInvoicing</w:t>
      </w:r>
      <w:proofErr w:type="spellEnd"/>
      <w:r w:rsidRPr="00CD78F7">
        <w:t>.</w:t>
      </w:r>
    </w:p>
    <w:p w14:paraId="491A9B53" w14:textId="77777777" w:rsidR="005D0269" w:rsidRPr="00CD78F7" w:rsidRDefault="005D0269" w:rsidP="00B077E4">
      <w:pPr>
        <w:pStyle w:val="OutlineNumbered1"/>
        <w:ind w:left="567" w:hanging="567"/>
      </w:pPr>
      <w:r w:rsidRPr="00CD78F7">
        <w:t>This will be achieved by:</w:t>
      </w:r>
    </w:p>
    <w:p w14:paraId="1CC58CC8" w14:textId="77777777" w:rsidR="005D0269" w:rsidRPr="0001497D" w:rsidRDefault="005D0269" w:rsidP="00B077E4">
      <w:pPr>
        <w:pStyle w:val="Bullet"/>
        <w:tabs>
          <w:tab w:val="clear" w:pos="520"/>
        </w:tabs>
        <w:ind w:left="567" w:hanging="567"/>
      </w:pPr>
      <w:r w:rsidRPr="00B077E4">
        <w:rPr>
          <w:b/>
          <w:bCs/>
          <w:i/>
          <w:iCs/>
        </w:rPr>
        <w:t>Collaborating and sharing knowledge</w:t>
      </w:r>
      <w:r w:rsidRPr="0001497D">
        <w:t xml:space="preserve"> – to proactively work together to share ideas, learnings and align strategies to support adoption.</w:t>
      </w:r>
    </w:p>
    <w:p w14:paraId="61B68F06" w14:textId="77777777" w:rsidR="005D0269" w:rsidRPr="0001497D" w:rsidRDefault="005D0269" w:rsidP="00B077E4">
      <w:pPr>
        <w:pStyle w:val="Bullet"/>
        <w:tabs>
          <w:tab w:val="clear" w:pos="520"/>
        </w:tabs>
        <w:ind w:left="567" w:hanging="567"/>
      </w:pPr>
      <w:r w:rsidRPr="00B077E4">
        <w:rPr>
          <w:b/>
          <w:bCs/>
          <w:i/>
          <w:iCs/>
        </w:rPr>
        <w:t>Meeting Digital Service Standards</w:t>
      </w:r>
      <w:r w:rsidRPr="0001497D">
        <w:t xml:space="preserve"> – to ensure that </w:t>
      </w:r>
      <w:proofErr w:type="spellStart"/>
      <w:r w:rsidRPr="0001497D">
        <w:t>eInvoicing</w:t>
      </w:r>
      <w:proofErr w:type="spellEnd"/>
      <w:r w:rsidRPr="0001497D">
        <w:t xml:space="preserve"> and content supporting adoption is easy to access, understand and use.</w:t>
      </w:r>
    </w:p>
    <w:p w14:paraId="3399C620" w14:textId="77777777" w:rsidR="005D0269" w:rsidRPr="0001497D" w:rsidRDefault="005D0269" w:rsidP="00B077E4">
      <w:pPr>
        <w:pStyle w:val="Bullet"/>
        <w:tabs>
          <w:tab w:val="clear" w:pos="520"/>
        </w:tabs>
        <w:ind w:left="567" w:hanging="567"/>
      </w:pPr>
      <w:r w:rsidRPr="00B077E4">
        <w:rPr>
          <w:b/>
          <w:bCs/>
          <w:i/>
          <w:iCs/>
        </w:rPr>
        <w:t>Adopting an open attitude to change and innovation</w:t>
      </w:r>
      <w:r w:rsidRPr="0001497D">
        <w:t xml:space="preserve"> – to respond to change in a dynamic environment whilst enabling innovation in broader contexts (such as developments in </w:t>
      </w:r>
      <w:proofErr w:type="spellStart"/>
      <w:r w:rsidRPr="0001497D">
        <w:t>eDelivery</w:t>
      </w:r>
      <w:proofErr w:type="spellEnd"/>
      <w:r w:rsidRPr="0001497D">
        <w:t>).</w:t>
      </w:r>
    </w:p>
    <w:p w14:paraId="2D529783" w14:textId="77777777" w:rsidR="005D0269" w:rsidRPr="0001497D" w:rsidRDefault="005D0269" w:rsidP="00B077E4">
      <w:pPr>
        <w:pStyle w:val="Bullet"/>
        <w:tabs>
          <w:tab w:val="clear" w:pos="520"/>
        </w:tabs>
        <w:ind w:left="567" w:hanging="567"/>
      </w:pPr>
      <w:r w:rsidRPr="00B077E4">
        <w:rPr>
          <w:b/>
          <w:bCs/>
          <w:i/>
          <w:iCs/>
        </w:rPr>
        <w:t>Focusing on system integrity</w:t>
      </w:r>
      <w:r w:rsidRPr="0001497D">
        <w:t xml:space="preserve"> – to design and operate a trusted and secure network for users, that can support large scale adoption. </w:t>
      </w:r>
    </w:p>
    <w:p w14:paraId="548B46EB" w14:textId="77777777" w:rsidR="005D0269" w:rsidRPr="0001497D" w:rsidRDefault="005D0269" w:rsidP="00B077E4">
      <w:pPr>
        <w:pStyle w:val="Bullet"/>
        <w:tabs>
          <w:tab w:val="clear" w:pos="520"/>
        </w:tabs>
        <w:ind w:left="567" w:hanging="567"/>
      </w:pPr>
      <w:r w:rsidRPr="00B077E4">
        <w:rPr>
          <w:b/>
          <w:bCs/>
          <w:i/>
          <w:iCs/>
        </w:rPr>
        <w:t>Government commitment</w:t>
      </w:r>
      <w:r w:rsidRPr="0001497D">
        <w:t xml:space="preserve"> – to foster support for </w:t>
      </w:r>
      <w:proofErr w:type="spellStart"/>
      <w:r w:rsidRPr="0001497D">
        <w:t>eInvoicing</w:t>
      </w:r>
      <w:proofErr w:type="spellEnd"/>
      <w:r w:rsidRPr="0001497D">
        <w:t xml:space="preserve"> and deliver an interoperable solution across multiple jurisdictions and levels of Government.</w:t>
      </w:r>
    </w:p>
    <w:p w14:paraId="7E2C8666" w14:textId="77777777" w:rsidR="0042426E" w:rsidRDefault="0042426E">
      <w:pPr>
        <w:spacing w:before="0" w:after="160" w:line="259" w:lineRule="auto"/>
        <w:rPr>
          <w:rFonts w:asciiTheme="majorHAnsi" w:hAnsiTheme="majorHAnsi" w:cs="Arial"/>
          <w:iCs/>
          <w:color w:val="4D4D4D" w:themeColor="accent6"/>
          <w:kern w:val="32"/>
          <w:sz w:val="48"/>
          <w:szCs w:val="28"/>
        </w:rPr>
      </w:pPr>
      <w:r>
        <w:br w:type="page"/>
      </w:r>
    </w:p>
    <w:p w14:paraId="0D2CFFE1" w14:textId="77777777" w:rsidR="005D0269" w:rsidRDefault="00496DD3" w:rsidP="00F40C44">
      <w:pPr>
        <w:pStyle w:val="Heading2"/>
        <w:spacing w:after="240"/>
      </w:pPr>
      <w:bookmarkStart w:id="10" w:name="_Toc180156197"/>
      <w:r>
        <w:lastRenderedPageBreak/>
        <w:t>Coverage</w:t>
      </w:r>
      <w:bookmarkEnd w:id="10"/>
    </w:p>
    <w:p w14:paraId="126101EE" w14:textId="77777777" w:rsidR="003D08C0" w:rsidRDefault="003D08C0" w:rsidP="00B077E4">
      <w:pPr>
        <w:pStyle w:val="OutlineNumbered1"/>
        <w:ind w:left="567" w:hanging="567"/>
      </w:pPr>
      <w:r w:rsidRPr="009F7DE9">
        <w:t xml:space="preserve">This Arrangement applies to </w:t>
      </w:r>
      <w:proofErr w:type="spellStart"/>
      <w:r w:rsidRPr="009F7DE9">
        <w:t>eInvoicing</w:t>
      </w:r>
      <w:proofErr w:type="spellEnd"/>
      <w:r w:rsidRPr="009F7DE9">
        <w:t xml:space="preserve"> arrangements created, maintained, and jointly monitored by the Participants.</w:t>
      </w:r>
    </w:p>
    <w:p w14:paraId="2E93BADD" w14:textId="77777777" w:rsidR="009F7DE9" w:rsidRPr="00551602" w:rsidRDefault="009F7DE9" w:rsidP="00F40C44">
      <w:pPr>
        <w:pStyle w:val="Heading2"/>
        <w:spacing w:after="240"/>
      </w:pPr>
      <w:bookmarkStart w:id="11" w:name="_Toc180156198"/>
      <w:r w:rsidRPr="00551602">
        <w:t>Definitions</w:t>
      </w:r>
      <w:bookmarkEnd w:id="11"/>
    </w:p>
    <w:p w14:paraId="74747AFC" w14:textId="77777777" w:rsidR="00401401" w:rsidRPr="00CD78F7" w:rsidRDefault="00401401" w:rsidP="00B077E4">
      <w:pPr>
        <w:pStyle w:val="OutlineNumbered1"/>
        <w:ind w:left="567" w:hanging="567"/>
      </w:pPr>
      <w:r w:rsidRPr="00CD78F7">
        <w:t>The following terms are defined for the purposes of this Arrangement.</w:t>
      </w:r>
    </w:p>
    <w:p w14:paraId="339F196C" w14:textId="77777777" w:rsidR="00401401" w:rsidRPr="00E1308A" w:rsidRDefault="00401401" w:rsidP="00B077E4">
      <w:pPr>
        <w:pStyle w:val="AlphaParagraph"/>
        <w:ind w:left="993"/>
      </w:pPr>
      <w:r w:rsidRPr="00E1308A">
        <w:t>Designated Bodies: bodies designated in each Participant to manage this Arrangement at a national level. They may include an agency or office responsible to a Participant, or a position located within such agency or office.</w:t>
      </w:r>
    </w:p>
    <w:p w14:paraId="799F1215" w14:textId="77777777" w:rsidR="00401401" w:rsidRPr="00E1308A" w:rsidRDefault="00401401" w:rsidP="00B077E4">
      <w:pPr>
        <w:pStyle w:val="AlphaParagraph"/>
        <w:ind w:left="993"/>
      </w:pPr>
      <w:r w:rsidRPr="00E1308A">
        <w:t>Electronic Invoicing (</w:t>
      </w:r>
      <w:proofErr w:type="spellStart"/>
      <w:r w:rsidRPr="00E1308A">
        <w:t>eInvoicing</w:t>
      </w:r>
      <w:proofErr w:type="spellEnd"/>
      <w:r w:rsidRPr="00E1308A">
        <w:t>): the direct, electronic exchange of invoices between suppliers</w:t>
      </w:r>
      <w:r w:rsidR="000069AA">
        <w:t>’</w:t>
      </w:r>
      <w:r w:rsidRPr="00E1308A">
        <w:t xml:space="preserve"> and buyers</w:t>
      </w:r>
      <w:r w:rsidR="000069AA">
        <w:t>’</w:t>
      </w:r>
      <w:r w:rsidRPr="00E1308A">
        <w:t xml:space="preserve"> financial systems.</w:t>
      </w:r>
    </w:p>
    <w:p w14:paraId="6685A544" w14:textId="77777777" w:rsidR="00401401" w:rsidRPr="00E1308A" w:rsidRDefault="00401401" w:rsidP="00B077E4">
      <w:pPr>
        <w:pStyle w:val="AlphaParagraph"/>
        <w:ind w:left="993"/>
      </w:pPr>
      <w:r w:rsidRPr="00E1308A">
        <w:t xml:space="preserve">Responsible Ministers: Ministers for each Participant with portfolio responsibility for </w:t>
      </w:r>
      <w:proofErr w:type="spellStart"/>
      <w:r w:rsidRPr="00E1308A">
        <w:t>eInvoicing</w:t>
      </w:r>
      <w:proofErr w:type="spellEnd"/>
      <w:r w:rsidRPr="00E1308A">
        <w:t xml:space="preserve"> policy where such direct responsibility exists, or Ministers for each Participant with portfolio responsibility for this Arrangement.</w:t>
      </w:r>
    </w:p>
    <w:p w14:paraId="30220270" w14:textId="77777777" w:rsidR="00401401" w:rsidRPr="00E1308A" w:rsidRDefault="00401401" w:rsidP="00B077E4">
      <w:pPr>
        <w:pStyle w:val="AlphaParagraph"/>
        <w:ind w:left="993"/>
      </w:pPr>
      <w:r w:rsidRPr="00E1308A">
        <w:t xml:space="preserve">The </w:t>
      </w:r>
      <w:proofErr w:type="spellStart"/>
      <w:r w:rsidRPr="00E1308A">
        <w:t>Peppol</w:t>
      </w:r>
      <w:proofErr w:type="spellEnd"/>
      <w:r w:rsidRPr="00E1308A">
        <w:t xml:space="preserve"> Interoperability Framework: an international framework supporting the exchange of business documents between buyers and suppliers across sectors and borders via the </w:t>
      </w:r>
      <w:proofErr w:type="spellStart"/>
      <w:r w:rsidRPr="00E1308A">
        <w:t>Peppol</w:t>
      </w:r>
      <w:proofErr w:type="spellEnd"/>
      <w:r w:rsidRPr="00E1308A">
        <w:t xml:space="preserve"> network. The </w:t>
      </w:r>
      <w:proofErr w:type="spellStart"/>
      <w:r w:rsidRPr="00E1308A">
        <w:t>Peppol</w:t>
      </w:r>
      <w:proofErr w:type="spellEnd"/>
      <w:r w:rsidRPr="00E1308A">
        <w:t xml:space="preserve"> Interoperability Framework consists of the rules and specifications, </w:t>
      </w:r>
      <w:proofErr w:type="spellStart"/>
      <w:r w:rsidRPr="00E1308A">
        <w:t>eDelivery</w:t>
      </w:r>
      <w:proofErr w:type="spellEnd"/>
      <w:r w:rsidRPr="00E1308A">
        <w:t xml:space="preserve"> network and governance components that operate together to ensure a trusted and interoperable environment. </w:t>
      </w:r>
      <w:proofErr w:type="spellStart"/>
      <w:r w:rsidRPr="00E1308A">
        <w:t>OpenPeppol</w:t>
      </w:r>
      <w:proofErr w:type="spellEnd"/>
      <w:r w:rsidRPr="00E1308A">
        <w:t xml:space="preserve"> AISBL is a non</w:t>
      </w:r>
      <w:r w:rsidR="000069AA">
        <w:noBreakHyphen/>
      </w:r>
      <w:r w:rsidRPr="00E1308A">
        <w:t xml:space="preserve">profit organisation domiciled in Belgium that oversees the Framework. </w:t>
      </w:r>
    </w:p>
    <w:p w14:paraId="23C44946" w14:textId="77777777" w:rsidR="00401401" w:rsidRPr="00E1308A" w:rsidRDefault="00401401" w:rsidP="00B077E4">
      <w:pPr>
        <w:pStyle w:val="AlphaParagraph"/>
        <w:ind w:left="993"/>
      </w:pPr>
      <w:proofErr w:type="spellStart"/>
      <w:r w:rsidRPr="00E1308A">
        <w:t>Peppol</w:t>
      </w:r>
      <w:proofErr w:type="spellEnd"/>
      <w:r w:rsidRPr="00E1308A">
        <w:t xml:space="preserve"> Authority: a </w:t>
      </w:r>
      <w:proofErr w:type="spellStart"/>
      <w:r w:rsidRPr="00E1308A">
        <w:t>Peppol</w:t>
      </w:r>
      <w:proofErr w:type="spellEnd"/>
      <w:r w:rsidRPr="00E1308A">
        <w:t xml:space="preserve"> Authority is authorised by </w:t>
      </w:r>
      <w:proofErr w:type="spellStart"/>
      <w:r w:rsidRPr="00E1308A">
        <w:t>OpenPeppol</w:t>
      </w:r>
      <w:proofErr w:type="spellEnd"/>
      <w:r w:rsidRPr="00E1308A">
        <w:t xml:space="preserve"> to facilitate and govern the adoption and use of the </w:t>
      </w:r>
      <w:proofErr w:type="spellStart"/>
      <w:r w:rsidRPr="00E1308A">
        <w:t>Peppol</w:t>
      </w:r>
      <w:proofErr w:type="spellEnd"/>
      <w:r w:rsidRPr="00E1308A">
        <w:t xml:space="preserve"> Framework within its jurisdiction. </w:t>
      </w:r>
    </w:p>
    <w:p w14:paraId="3C3BB9F4" w14:textId="77777777" w:rsidR="000900CB" w:rsidRPr="00501146" w:rsidRDefault="000900CB" w:rsidP="00501146">
      <w:bookmarkStart w:id="12" w:name="_Toc180156199"/>
      <w:r>
        <w:rPr>
          <w:rFonts w:cstheme="minorHAnsi"/>
          <w:bCs/>
          <w:color w:val="auto"/>
          <w:szCs w:val="24"/>
        </w:rPr>
        <w:br w:type="page"/>
      </w:r>
    </w:p>
    <w:p w14:paraId="5A598FF8" w14:textId="77777777" w:rsidR="005D7656" w:rsidRDefault="005D7656" w:rsidP="005D7656">
      <w:pPr>
        <w:pStyle w:val="Heading1"/>
      </w:pPr>
      <w:r>
        <w:rPr>
          <w:rFonts w:cstheme="minorHAnsi"/>
          <w:bCs/>
          <w:color w:val="auto"/>
          <w:szCs w:val="24"/>
        </w:rPr>
        <w:lastRenderedPageBreak/>
        <w:t>Electronic Invoicing Arrangement</w:t>
      </w:r>
      <w:bookmarkEnd w:id="12"/>
    </w:p>
    <w:p w14:paraId="38F4FE20" w14:textId="77777777" w:rsidR="005D7656" w:rsidRPr="005D7656" w:rsidRDefault="005D7656" w:rsidP="00F40C44">
      <w:pPr>
        <w:pStyle w:val="Heading2"/>
        <w:spacing w:after="240"/>
      </w:pPr>
      <w:bookmarkStart w:id="13" w:name="_Toc180156200"/>
      <w:r w:rsidRPr="005D7656">
        <w:t xml:space="preserve">A common </w:t>
      </w:r>
      <w:proofErr w:type="spellStart"/>
      <w:r w:rsidRPr="005D7656">
        <w:t>eInvoicing</w:t>
      </w:r>
      <w:proofErr w:type="spellEnd"/>
      <w:r w:rsidRPr="005D7656">
        <w:t xml:space="preserve"> approach</w:t>
      </w:r>
      <w:bookmarkEnd w:id="13"/>
    </w:p>
    <w:p w14:paraId="29C5F415" w14:textId="77777777" w:rsidR="00C70329" w:rsidRPr="00CD78F7" w:rsidRDefault="00C70329" w:rsidP="00B077E4">
      <w:pPr>
        <w:pStyle w:val="OutlineNumbered1"/>
        <w:ind w:left="567" w:hanging="567"/>
      </w:pPr>
      <w:r w:rsidRPr="00CD78F7">
        <w:t>It is decided that, except as stated otherwise in this Arrangement, the Participants will in association with industry:</w:t>
      </w:r>
    </w:p>
    <w:p w14:paraId="2A319708" w14:textId="77777777" w:rsidR="00C70329" w:rsidRPr="004324E5" w:rsidRDefault="00C70329" w:rsidP="00311DE0">
      <w:pPr>
        <w:pStyle w:val="AlphaParagraph"/>
        <w:numPr>
          <w:ilvl w:val="1"/>
          <w:numId w:val="12"/>
        </w:numPr>
        <w:ind w:left="993"/>
      </w:pPr>
      <w:r w:rsidRPr="004324E5">
        <w:t xml:space="preserve">Maintain a common Australia and New Zealand </w:t>
      </w:r>
      <w:proofErr w:type="spellStart"/>
      <w:r w:rsidRPr="004324E5">
        <w:t>eInvoicing</w:t>
      </w:r>
      <w:proofErr w:type="spellEnd"/>
      <w:r w:rsidRPr="004324E5">
        <w:t xml:space="preserve"> approach, including common specifications and standards developed as part of the </w:t>
      </w:r>
      <w:proofErr w:type="spellStart"/>
      <w:r w:rsidRPr="004324E5">
        <w:t>Peppol</w:t>
      </w:r>
      <w:proofErr w:type="spellEnd"/>
      <w:r w:rsidRPr="004324E5">
        <w:t xml:space="preserve"> Interoperability Framework).</w:t>
      </w:r>
    </w:p>
    <w:p w14:paraId="4B7BD9BC" w14:textId="77777777" w:rsidR="00C70329" w:rsidRPr="004324E5" w:rsidRDefault="00C70329" w:rsidP="00311DE0">
      <w:pPr>
        <w:pStyle w:val="AlphaParagraph"/>
        <w:ind w:left="993"/>
      </w:pPr>
      <w:r w:rsidRPr="004324E5">
        <w:t xml:space="preserve">Encourage government bodies and industry within their jurisdictions to use the joint </w:t>
      </w:r>
      <w:proofErr w:type="spellStart"/>
      <w:r w:rsidRPr="004324E5">
        <w:t>eInvoicing</w:t>
      </w:r>
      <w:proofErr w:type="spellEnd"/>
      <w:r w:rsidRPr="004324E5">
        <w:t xml:space="preserve"> arrangements maintained under this Arrangement.</w:t>
      </w:r>
    </w:p>
    <w:p w14:paraId="695CD43E" w14:textId="77777777" w:rsidR="00C70329" w:rsidRPr="004324E5" w:rsidRDefault="00C70329" w:rsidP="00311DE0">
      <w:pPr>
        <w:pStyle w:val="AlphaParagraph"/>
        <w:ind w:left="993"/>
      </w:pPr>
      <w:r w:rsidRPr="004324E5">
        <w:t xml:space="preserve">Achieve maximum practicable simplicity and consistency in the application of </w:t>
      </w:r>
      <w:proofErr w:type="spellStart"/>
      <w:r w:rsidRPr="004324E5">
        <w:t>eInvoicing</w:t>
      </w:r>
      <w:proofErr w:type="spellEnd"/>
      <w:r w:rsidRPr="004324E5">
        <w:t xml:space="preserve"> policies, practices, and procedures.</w:t>
      </w:r>
    </w:p>
    <w:p w14:paraId="29472B49" w14:textId="77777777" w:rsidR="00C70329" w:rsidRPr="00CD78F7" w:rsidRDefault="00C70329" w:rsidP="00B077E4">
      <w:pPr>
        <w:pStyle w:val="OutlineNumbered1"/>
        <w:ind w:left="567" w:hanging="567"/>
      </w:pPr>
      <w:r w:rsidRPr="00CD78F7">
        <w:t xml:space="preserve">The Participants will seek to maximise competitive opportunities in the ongoing operation of </w:t>
      </w:r>
      <w:proofErr w:type="spellStart"/>
      <w:r w:rsidRPr="00CD78F7">
        <w:t>eInvoicing</w:t>
      </w:r>
      <w:proofErr w:type="spellEnd"/>
      <w:r w:rsidRPr="00CD78F7">
        <w:t xml:space="preserve"> arrangements within their jurisdictions while conforming to any commitments of the Participants under relevant domestic laws and policies and international agreements.</w:t>
      </w:r>
    </w:p>
    <w:p w14:paraId="2A54646A" w14:textId="77777777" w:rsidR="00D539CA" w:rsidRPr="00333841" w:rsidRDefault="00D539CA" w:rsidP="00F40C44">
      <w:pPr>
        <w:pStyle w:val="Heading2"/>
        <w:spacing w:after="240"/>
      </w:pPr>
      <w:bookmarkStart w:id="14" w:name="_Toc166236760"/>
      <w:bookmarkStart w:id="15" w:name="_Toc180156201"/>
      <w:r w:rsidRPr="00333841">
        <w:t>Responsibility</w:t>
      </w:r>
      <w:bookmarkEnd w:id="14"/>
      <w:bookmarkEnd w:id="15"/>
    </w:p>
    <w:p w14:paraId="029D08A2" w14:textId="77777777" w:rsidR="00D539CA" w:rsidRPr="00573814" w:rsidRDefault="00D539CA" w:rsidP="00B077E4">
      <w:pPr>
        <w:pStyle w:val="OutlineNumbered1"/>
        <w:ind w:left="567" w:hanging="567"/>
      </w:pPr>
      <w:r w:rsidRPr="00573814">
        <w:t>Responsibility for this Arrangement lies with the Responsible Ministers. Changes to the Arrangement will be subject to approval by Responsible Ministers.</w:t>
      </w:r>
    </w:p>
    <w:p w14:paraId="5D60E553" w14:textId="77777777" w:rsidR="00D539CA" w:rsidRPr="00CD78F7" w:rsidRDefault="00D539CA" w:rsidP="00B077E4">
      <w:pPr>
        <w:pStyle w:val="OutlineNumbered1"/>
        <w:ind w:left="567" w:hanging="567"/>
      </w:pPr>
      <w:r w:rsidRPr="00CD78F7">
        <w:t>This Arrangement is administered by the Australia</w:t>
      </w:r>
      <w:r w:rsidR="000069AA">
        <w:noBreakHyphen/>
      </w:r>
      <w:r w:rsidRPr="00CD78F7">
        <w:t>New Zealand Electronic Invoicing Board (ANZEIB) which includes senior officials representing the Participants. The ANZEIB will operate in accordance with Terms of Reference and Board Charter.</w:t>
      </w:r>
    </w:p>
    <w:p w14:paraId="694A7D04" w14:textId="77777777" w:rsidR="00D539CA" w:rsidRPr="00CD78F7" w:rsidRDefault="00D539CA" w:rsidP="00B077E4">
      <w:pPr>
        <w:pStyle w:val="OutlineNumbered1"/>
        <w:ind w:left="567" w:hanging="567"/>
      </w:pPr>
      <w:r w:rsidRPr="00CD78F7">
        <w:t>ANZEIB will work with industry to manage the delivery arrangements (i.e. operational governance and strategy) necessary to ensure the achievement of the objective of this Arrangement.</w:t>
      </w:r>
    </w:p>
    <w:p w14:paraId="69AAE774" w14:textId="77777777" w:rsidR="00913CD7" w:rsidRDefault="00D539CA" w:rsidP="00913CD7">
      <w:pPr>
        <w:pStyle w:val="Heading2"/>
        <w:spacing w:after="240"/>
      </w:pPr>
      <w:bookmarkStart w:id="16" w:name="_Toc166236761"/>
      <w:bookmarkStart w:id="17" w:name="_Toc180156202"/>
      <w:r w:rsidRPr="00333841">
        <w:t>Monitoring</w:t>
      </w:r>
      <w:bookmarkStart w:id="18" w:name="_Toc166236762"/>
      <w:bookmarkStart w:id="19" w:name="_Toc180156203"/>
      <w:bookmarkEnd w:id="16"/>
      <w:bookmarkEnd w:id="17"/>
    </w:p>
    <w:p w14:paraId="5C7E47A6" w14:textId="77777777" w:rsidR="00913CD7" w:rsidRDefault="00913CD7" w:rsidP="00B077E4">
      <w:pPr>
        <w:pStyle w:val="OutlineNumbered1"/>
        <w:ind w:left="567" w:hanging="567"/>
      </w:pPr>
      <w:r w:rsidRPr="00913CD7">
        <w:t xml:space="preserve">The ANZEIB will monitor and report, as required, to the Responsible Ministers on any developments or issues in the operation of this Arrangement and the common </w:t>
      </w:r>
      <w:proofErr w:type="spellStart"/>
      <w:r w:rsidRPr="00913CD7">
        <w:t>eInvoicing</w:t>
      </w:r>
      <w:proofErr w:type="spellEnd"/>
      <w:r w:rsidRPr="00913CD7">
        <w:t xml:space="preserve"> approach.</w:t>
      </w:r>
    </w:p>
    <w:p w14:paraId="738F8477" w14:textId="77777777" w:rsidR="00913CD7" w:rsidRPr="00913CD7" w:rsidRDefault="00913CD7" w:rsidP="00B077E4">
      <w:pPr>
        <w:pStyle w:val="OutlineNumbered1"/>
        <w:ind w:left="567" w:hanging="567"/>
      </w:pPr>
      <w:r w:rsidRPr="00913CD7">
        <w:t xml:space="preserve">Monitoring of </w:t>
      </w:r>
      <w:proofErr w:type="spellStart"/>
      <w:r w:rsidRPr="00913CD7">
        <w:t>eInvoicing</w:t>
      </w:r>
      <w:proofErr w:type="spellEnd"/>
      <w:r w:rsidRPr="00913CD7">
        <w:t xml:space="preserve"> and compliance with this Arrangement will be carried out by bodies designated by the Participants for this purpose. The Participants will co</w:t>
      </w:r>
      <w:r w:rsidR="00B077E4">
        <w:noBreakHyphen/>
      </w:r>
      <w:r w:rsidRPr="00913CD7">
        <w:t>operate in this process.</w:t>
      </w:r>
    </w:p>
    <w:p w14:paraId="63D9CF46" w14:textId="77777777" w:rsidR="00D539CA" w:rsidRPr="007A016A" w:rsidRDefault="00913CD7" w:rsidP="00913CD7">
      <w:pPr>
        <w:pStyle w:val="Heading2"/>
        <w:spacing w:after="240"/>
      </w:pPr>
      <w:r>
        <w:br w:type="column"/>
      </w:r>
      <w:r w:rsidR="00D539CA" w:rsidRPr="007A016A">
        <w:lastRenderedPageBreak/>
        <w:t>Review of the Arrangement</w:t>
      </w:r>
      <w:bookmarkEnd w:id="18"/>
      <w:bookmarkEnd w:id="19"/>
    </w:p>
    <w:p w14:paraId="35F1AEFC" w14:textId="77777777" w:rsidR="00573814" w:rsidRPr="00573814" w:rsidRDefault="00573814" w:rsidP="00B077E4">
      <w:pPr>
        <w:pStyle w:val="OutlineNumbered1"/>
        <w:ind w:left="567" w:hanging="567"/>
      </w:pPr>
      <w:r w:rsidRPr="00573814">
        <w:t>This Arrangement will be reviewed at four</w:t>
      </w:r>
      <w:r w:rsidR="000069AA">
        <w:noBreakHyphen/>
      </w:r>
      <w:r w:rsidRPr="00573814">
        <w:t>yearly intervals unless otherwise decided unanimously by Responsible Ministers.</w:t>
      </w:r>
    </w:p>
    <w:p w14:paraId="13D2CB5F" w14:textId="77777777" w:rsidR="00573814" w:rsidRPr="00CD78F7" w:rsidRDefault="00573814" w:rsidP="00B077E4">
      <w:pPr>
        <w:pStyle w:val="OutlineNumbered1"/>
        <w:ind w:left="567" w:hanging="567"/>
      </w:pPr>
      <w:r w:rsidRPr="00CD78F7">
        <w:t>This Arrangement may be amended at any time by mutual consent of the Responsible Ministers in writing.</w:t>
      </w:r>
    </w:p>
    <w:p w14:paraId="18D0BC7A" w14:textId="77777777" w:rsidR="00573814" w:rsidRPr="008B3AE2" w:rsidRDefault="00573814" w:rsidP="00F40C44">
      <w:pPr>
        <w:pStyle w:val="Heading1"/>
        <w:spacing w:after="240"/>
      </w:pPr>
      <w:bookmarkStart w:id="20" w:name="_Toc166236763"/>
      <w:bookmarkStart w:id="21" w:name="_Toc180156204"/>
      <w:r w:rsidRPr="008B3AE2">
        <w:t>Status of Annexes</w:t>
      </w:r>
      <w:bookmarkEnd w:id="20"/>
      <w:bookmarkEnd w:id="21"/>
    </w:p>
    <w:p w14:paraId="1ADB5A4E" w14:textId="77777777" w:rsidR="007C2727" w:rsidRDefault="00573814" w:rsidP="00B077E4">
      <w:pPr>
        <w:pStyle w:val="OutlineNumbered1"/>
        <w:ind w:left="567" w:hanging="567"/>
      </w:pPr>
      <w:r w:rsidRPr="00CD78F7">
        <w:t>The Annexes of this Arrangement (including the Board Terms of Reference and the Charter of ANZEIB) are an integral part of this Arrangement.</w:t>
      </w:r>
    </w:p>
    <w:p w14:paraId="6C242ED6" w14:textId="77777777" w:rsidR="00573814" w:rsidRPr="0042426E" w:rsidRDefault="00573814" w:rsidP="00F40C44">
      <w:pPr>
        <w:pStyle w:val="Heading1"/>
        <w:spacing w:after="240"/>
      </w:pPr>
      <w:bookmarkStart w:id="22" w:name="_Toc166236764"/>
      <w:bookmarkStart w:id="23" w:name="_Toc180156205"/>
      <w:r w:rsidRPr="004F19CE">
        <w:t>Term</w:t>
      </w:r>
      <w:bookmarkEnd w:id="22"/>
      <w:bookmarkEnd w:id="23"/>
    </w:p>
    <w:p w14:paraId="4325B30A" w14:textId="77777777" w:rsidR="00573814" w:rsidRPr="00CD78F7" w:rsidRDefault="00573814" w:rsidP="00B077E4">
      <w:pPr>
        <w:pStyle w:val="OutlineNumbered1"/>
        <w:ind w:left="567" w:hanging="567"/>
      </w:pPr>
      <w:r w:rsidRPr="00CD78F7">
        <w:t xml:space="preserve">The update of this Arrangement, that was first established in October 2018, takes effect on the date it has been signed on behalf of both Participants; and remains in effect until terminated by either Participant giving at least </w:t>
      </w:r>
      <w:r w:rsidR="00931267">
        <w:t>6 </w:t>
      </w:r>
      <w:r w:rsidRPr="00CD78F7">
        <w:t>months</w:t>
      </w:r>
      <w:r w:rsidR="000069AA">
        <w:t>’</w:t>
      </w:r>
      <w:r w:rsidRPr="00CD78F7">
        <w:t xml:space="preserve"> written notice to the other.</w:t>
      </w:r>
    </w:p>
    <w:p w14:paraId="185264AC" w14:textId="77777777" w:rsidR="00B077E4" w:rsidRDefault="00B077E4" w:rsidP="007C2727">
      <w:pPr>
        <w:spacing w:before="0" w:after="160" w:line="259" w:lineRule="auto"/>
        <w:rPr>
          <w:rFonts w:cstheme="minorHAnsi"/>
        </w:rPr>
      </w:pPr>
    </w:p>
    <w:p w14:paraId="2BECCC63" w14:textId="77777777" w:rsidR="00B077E4" w:rsidRDefault="00B077E4" w:rsidP="007C2727">
      <w:pPr>
        <w:spacing w:before="0" w:after="160" w:line="259" w:lineRule="auto"/>
        <w:rPr>
          <w:rFonts w:cstheme="minorHAnsi"/>
        </w:rPr>
      </w:pPr>
    </w:p>
    <w:p w14:paraId="3669CAC1" w14:textId="77777777" w:rsidR="00573814" w:rsidRPr="00CD78F7" w:rsidRDefault="00573814" w:rsidP="007C2727">
      <w:pPr>
        <w:spacing w:before="0" w:after="160" w:line="259" w:lineRule="auto"/>
        <w:rPr>
          <w:rFonts w:cstheme="minorHAnsi"/>
        </w:rPr>
      </w:pPr>
      <w:r w:rsidRPr="00CD78F7">
        <w:rPr>
          <w:rFonts w:cstheme="minorHAnsi"/>
        </w:rPr>
        <w:t>The foregoing represents the understandings reached between the Participants.</w:t>
      </w:r>
    </w:p>
    <w:p w14:paraId="13943152" w14:textId="44020084" w:rsidR="00573814" w:rsidRPr="00CD78F7" w:rsidRDefault="00573814" w:rsidP="00573814">
      <w:pPr>
        <w:spacing w:after="656"/>
        <w:ind w:right="4"/>
        <w:rPr>
          <w:rFonts w:cstheme="minorHAnsi"/>
        </w:rPr>
      </w:pPr>
      <w:r w:rsidRPr="00CD78F7">
        <w:rPr>
          <w:rFonts w:cstheme="minorHAnsi"/>
        </w:rPr>
        <w:t>Signed in duplicate at</w:t>
      </w:r>
      <w:r w:rsidR="00261A63">
        <w:rPr>
          <w:rFonts w:cstheme="minorHAnsi"/>
        </w:rPr>
        <w:t xml:space="preserve"> Wellington, New Zealand </w:t>
      </w:r>
      <w:r w:rsidRPr="00CD78F7">
        <w:rPr>
          <w:rFonts w:cstheme="minorHAnsi"/>
        </w:rPr>
        <w:t>on the</w:t>
      </w:r>
      <w:r w:rsidR="00261A63">
        <w:rPr>
          <w:rFonts w:cstheme="minorHAnsi"/>
        </w:rPr>
        <w:t xml:space="preserve"> 16th </w:t>
      </w:r>
      <w:r w:rsidRPr="00CD78F7">
        <w:rPr>
          <w:rFonts w:cstheme="minorHAnsi"/>
        </w:rPr>
        <w:t>of</w:t>
      </w:r>
      <w:r w:rsidR="00261A63">
        <w:rPr>
          <w:rFonts w:cstheme="minorHAnsi"/>
        </w:rPr>
        <w:t xml:space="preserve"> December </w:t>
      </w:r>
      <w:r w:rsidRPr="00CD78F7">
        <w:rPr>
          <w:rFonts w:cstheme="minorHAnsi"/>
        </w:rPr>
        <w:t>2024</w:t>
      </w:r>
    </w:p>
    <w:tbl>
      <w:tblPr>
        <w:tblW w:w="0" w:type="auto"/>
        <w:tblLook w:val="04A0" w:firstRow="1" w:lastRow="0" w:firstColumn="1" w:lastColumn="0" w:noHBand="0" w:noVBand="1"/>
      </w:tblPr>
      <w:tblGrid>
        <w:gridCol w:w="3828"/>
        <w:gridCol w:w="1275"/>
        <w:gridCol w:w="3967"/>
      </w:tblGrid>
      <w:tr w:rsidR="0042426E" w14:paraId="4D654207" w14:textId="77777777" w:rsidTr="00D63AC1">
        <w:tc>
          <w:tcPr>
            <w:tcW w:w="3828" w:type="dxa"/>
            <w:tcBorders>
              <w:bottom w:val="single" w:sz="4" w:space="0" w:color="auto"/>
            </w:tcBorders>
          </w:tcPr>
          <w:p w14:paraId="3734DD26" w14:textId="77777777" w:rsidR="0042426E" w:rsidRDefault="0042426E" w:rsidP="00573814">
            <w:pPr>
              <w:tabs>
                <w:tab w:val="center" w:pos="6737"/>
              </w:tabs>
              <w:spacing w:after="12"/>
              <w:rPr>
                <w:rFonts w:cstheme="minorHAnsi"/>
              </w:rPr>
            </w:pPr>
          </w:p>
        </w:tc>
        <w:tc>
          <w:tcPr>
            <w:tcW w:w="1275" w:type="dxa"/>
          </w:tcPr>
          <w:p w14:paraId="0214C3CA" w14:textId="77777777" w:rsidR="0042426E" w:rsidRDefault="0042426E" w:rsidP="00573814">
            <w:pPr>
              <w:tabs>
                <w:tab w:val="center" w:pos="6737"/>
              </w:tabs>
              <w:spacing w:after="12"/>
              <w:rPr>
                <w:rFonts w:cstheme="minorHAnsi"/>
              </w:rPr>
            </w:pPr>
          </w:p>
        </w:tc>
        <w:tc>
          <w:tcPr>
            <w:tcW w:w="3967" w:type="dxa"/>
            <w:tcBorders>
              <w:bottom w:val="single" w:sz="4" w:space="0" w:color="auto"/>
            </w:tcBorders>
          </w:tcPr>
          <w:p w14:paraId="71A7CCB5" w14:textId="77777777" w:rsidR="0042426E" w:rsidRDefault="0042426E" w:rsidP="00573814">
            <w:pPr>
              <w:tabs>
                <w:tab w:val="center" w:pos="6737"/>
              </w:tabs>
              <w:spacing w:after="12"/>
              <w:rPr>
                <w:rFonts w:cstheme="minorHAnsi"/>
              </w:rPr>
            </w:pPr>
          </w:p>
        </w:tc>
      </w:tr>
      <w:tr w:rsidR="0042426E" w14:paraId="0CEE7810" w14:textId="77777777" w:rsidTr="00D63AC1">
        <w:tc>
          <w:tcPr>
            <w:tcW w:w="3828" w:type="dxa"/>
            <w:tcBorders>
              <w:top w:val="single" w:sz="4" w:space="0" w:color="auto"/>
            </w:tcBorders>
          </w:tcPr>
          <w:p w14:paraId="40A2E447" w14:textId="77777777" w:rsidR="0042426E" w:rsidRPr="0042426E" w:rsidRDefault="0042426E" w:rsidP="00D63AC1">
            <w:r w:rsidRPr="0042426E">
              <w:t>For the Government of Australia</w:t>
            </w:r>
          </w:p>
        </w:tc>
        <w:tc>
          <w:tcPr>
            <w:tcW w:w="1275" w:type="dxa"/>
          </w:tcPr>
          <w:p w14:paraId="441C5A8C" w14:textId="77777777" w:rsidR="0042426E" w:rsidRDefault="0042426E" w:rsidP="0042426E"/>
        </w:tc>
        <w:tc>
          <w:tcPr>
            <w:tcW w:w="3967" w:type="dxa"/>
            <w:tcBorders>
              <w:top w:val="single" w:sz="4" w:space="0" w:color="auto"/>
            </w:tcBorders>
          </w:tcPr>
          <w:p w14:paraId="0ECA9623" w14:textId="77777777" w:rsidR="0042426E" w:rsidRDefault="0042426E" w:rsidP="00D63AC1">
            <w:r w:rsidRPr="0042426E">
              <w:t>For the Government of New Zealand</w:t>
            </w:r>
          </w:p>
        </w:tc>
      </w:tr>
    </w:tbl>
    <w:p w14:paraId="3380ABE5" w14:textId="77777777" w:rsidR="00884290" w:rsidRDefault="00884290">
      <w:pPr>
        <w:spacing w:before="0" w:after="160" w:line="259" w:lineRule="auto"/>
        <w:rPr>
          <w:rFonts w:asciiTheme="majorHAnsi" w:hAnsiTheme="majorHAnsi" w:cs="Arial"/>
          <w:iCs/>
          <w:color w:val="4D4D4D" w:themeColor="accent6"/>
          <w:kern w:val="32"/>
          <w:sz w:val="48"/>
          <w:szCs w:val="28"/>
        </w:rPr>
      </w:pPr>
      <w:bookmarkStart w:id="24" w:name="_Toc166236765"/>
      <w:r>
        <w:br w:type="page"/>
      </w:r>
    </w:p>
    <w:p w14:paraId="6A4F3EDD" w14:textId="77777777" w:rsidR="00637B5D" w:rsidRPr="0042426E" w:rsidRDefault="00637B5D" w:rsidP="00B077E4">
      <w:pPr>
        <w:pStyle w:val="Heading1"/>
        <w:spacing w:after="360"/>
      </w:pPr>
      <w:bookmarkStart w:id="25" w:name="_Toc180156206"/>
      <w:r w:rsidRPr="007A016A">
        <w:lastRenderedPageBreak/>
        <w:t>Annex: Contact details for designated</w:t>
      </w:r>
      <w:r w:rsidR="001E025D">
        <w:t> </w:t>
      </w:r>
      <w:r w:rsidRPr="007A016A">
        <w:t>bodies</w:t>
      </w:r>
      <w:bookmarkEnd w:id="24"/>
      <w:bookmarkEnd w:id="25"/>
    </w:p>
    <w:p w14:paraId="7D2B99D8" w14:textId="77777777" w:rsidR="0006017E" w:rsidRPr="0006017E" w:rsidRDefault="008614A0" w:rsidP="00B077E4">
      <w:pPr>
        <w:pStyle w:val="Heading2"/>
        <w:spacing w:before="480" w:after="240"/>
      </w:pPr>
      <w:bookmarkStart w:id="26" w:name="_Toc166236766"/>
      <w:bookmarkStart w:id="27" w:name="_Toc180156207"/>
      <w:r w:rsidRPr="00A2759B">
        <w:t>A</w:t>
      </w:r>
      <w:bookmarkEnd w:id="26"/>
      <w:r w:rsidR="001E025D" w:rsidRPr="00A2759B">
        <w:t>ustralia</w:t>
      </w:r>
      <w:bookmarkEnd w:id="27"/>
    </w:p>
    <w:p w14:paraId="0CB9F373" w14:textId="77777777" w:rsidR="008614A0" w:rsidRPr="00681D29" w:rsidRDefault="008614A0" w:rsidP="00B077E4">
      <w:pPr>
        <w:spacing w:after="120" w:line="259" w:lineRule="auto"/>
        <w:ind w:left="38"/>
        <w:rPr>
          <w:rFonts w:cstheme="minorHAnsi"/>
          <w:szCs w:val="24"/>
        </w:rPr>
      </w:pPr>
      <w:r w:rsidRPr="00681D29">
        <w:rPr>
          <w:rFonts w:cstheme="minorHAnsi"/>
          <w:szCs w:val="24"/>
        </w:rPr>
        <w:t xml:space="preserve">Organisation: </w:t>
      </w:r>
      <w:r w:rsidRPr="00681D29">
        <w:rPr>
          <w:rFonts w:cstheme="minorHAnsi"/>
          <w:szCs w:val="24"/>
        </w:rPr>
        <w:tab/>
      </w:r>
      <w:r>
        <w:rPr>
          <w:rFonts w:cstheme="minorHAnsi"/>
          <w:szCs w:val="24"/>
        </w:rPr>
        <w:tab/>
      </w:r>
      <w:r w:rsidRPr="00681D29">
        <w:rPr>
          <w:rFonts w:cstheme="minorHAnsi"/>
          <w:szCs w:val="24"/>
        </w:rPr>
        <w:t>Australian Taxation Office</w:t>
      </w:r>
    </w:p>
    <w:p w14:paraId="54BD3F8B" w14:textId="77777777" w:rsidR="008614A0" w:rsidRPr="00681D29" w:rsidRDefault="008614A0" w:rsidP="00B077E4">
      <w:pPr>
        <w:spacing w:after="120" w:line="259" w:lineRule="auto"/>
        <w:ind w:left="38" w:hanging="11"/>
        <w:rPr>
          <w:rFonts w:cstheme="minorHAnsi"/>
          <w:szCs w:val="24"/>
        </w:rPr>
      </w:pPr>
      <w:r w:rsidRPr="00681D29">
        <w:rPr>
          <w:rFonts w:cstheme="minorHAnsi"/>
          <w:szCs w:val="24"/>
        </w:rPr>
        <w:t xml:space="preserve">Position: </w:t>
      </w:r>
      <w:r w:rsidRPr="00681D29">
        <w:rPr>
          <w:rFonts w:cstheme="minorHAnsi"/>
          <w:szCs w:val="24"/>
        </w:rPr>
        <w:tab/>
      </w:r>
      <w:r w:rsidRPr="00681D29">
        <w:rPr>
          <w:rFonts w:cstheme="minorHAnsi"/>
          <w:szCs w:val="24"/>
        </w:rPr>
        <w:tab/>
        <w:t xml:space="preserve">Director, Australian </w:t>
      </w:r>
      <w:proofErr w:type="spellStart"/>
      <w:r w:rsidRPr="00681D29">
        <w:rPr>
          <w:rFonts w:cstheme="minorHAnsi"/>
          <w:szCs w:val="24"/>
        </w:rPr>
        <w:t>Peppol</w:t>
      </w:r>
      <w:proofErr w:type="spellEnd"/>
      <w:r w:rsidRPr="00681D29">
        <w:rPr>
          <w:rFonts w:cstheme="minorHAnsi"/>
          <w:szCs w:val="24"/>
        </w:rPr>
        <w:t xml:space="preserve"> Authority</w:t>
      </w:r>
    </w:p>
    <w:p w14:paraId="7B3B9D3F" w14:textId="77777777" w:rsidR="008614A0" w:rsidRPr="00681D29" w:rsidRDefault="008614A0" w:rsidP="00B077E4">
      <w:pPr>
        <w:spacing w:after="120" w:line="259" w:lineRule="auto"/>
        <w:ind w:left="38"/>
        <w:rPr>
          <w:rFonts w:cstheme="minorHAnsi"/>
          <w:szCs w:val="24"/>
        </w:rPr>
      </w:pPr>
      <w:r w:rsidRPr="00681D29">
        <w:rPr>
          <w:rFonts w:cstheme="minorHAnsi"/>
          <w:szCs w:val="24"/>
        </w:rPr>
        <w:t xml:space="preserve">Name: </w:t>
      </w:r>
      <w:r w:rsidRPr="00681D29">
        <w:rPr>
          <w:rFonts w:cstheme="minorHAnsi"/>
          <w:szCs w:val="24"/>
        </w:rPr>
        <w:tab/>
      </w:r>
      <w:r w:rsidRPr="00681D29">
        <w:rPr>
          <w:rFonts w:cstheme="minorHAnsi"/>
          <w:szCs w:val="24"/>
        </w:rPr>
        <w:tab/>
      </w:r>
      <w:r>
        <w:rPr>
          <w:rFonts w:cstheme="minorHAnsi"/>
          <w:szCs w:val="24"/>
        </w:rPr>
        <w:tab/>
      </w:r>
      <w:r w:rsidRPr="00681D29">
        <w:rPr>
          <w:rFonts w:cstheme="minorHAnsi"/>
          <w:szCs w:val="24"/>
        </w:rPr>
        <w:t>Chi</w:t>
      </w:r>
      <w:r w:rsidR="000069AA">
        <w:rPr>
          <w:rFonts w:cstheme="minorHAnsi"/>
          <w:szCs w:val="24"/>
        </w:rPr>
        <w:noBreakHyphen/>
      </w:r>
      <w:proofErr w:type="spellStart"/>
      <w:r w:rsidRPr="00681D29">
        <w:rPr>
          <w:rFonts w:cstheme="minorHAnsi"/>
          <w:szCs w:val="24"/>
        </w:rPr>
        <w:t>ho</w:t>
      </w:r>
      <w:proofErr w:type="spellEnd"/>
      <w:r w:rsidRPr="00681D29">
        <w:rPr>
          <w:rFonts w:cstheme="minorHAnsi"/>
          <w:szCs w:val="24"/>
        </w:rPr>
        <w:t xml:space="preserve"> Yeung</w:t>
      </w:r>
    </w:p>
    <w:p w14:paraId="390C6D5A" w14:textId="77777777" w:rsidR="008614A0" w:rsidRPr="00681D29" w:rsidRDefault="008614A0" w:rsidP="00B077E4">
      <w:pPr>
        <w:spacing w:after="120" w:line="259" w:lineRule="auto"/>
        <w:ind w:left="38"/>
        <w:rPr>
          <w:rFonts w:cstheme="minorHAnsi"/>
          <w:szCs w:val="24"/>
        </w:rPr>
      </w:pPr>
      <w:r w:rsidRPr="00681D29">
        <w:rPr>
          <w:rFonts w:cstheme="minorHAnsi"/>
          <w:szCs w:val="24"/>
        </w:rPr>
        <w:t>Contact details:</w:t>
      </w:r>
      <w:r w:rsidR="00AB311E">
        <w:rPr>
          <w:rFonts w:cstheme="minorHAnsi"/>
          <w:szCs w:val="24"/>
        </w:rPr>
        <w:tab/>
      </w:r>
      <w:r w:rsidRPr="00681D29">
        <w:rPr>
          <w:rFonts w:cstheme="minorHAnsi"/>
          <w:szCs w:val="24"/>
        </w:rPr>
        <w:tab/>
      </w:r>
      <w:r w:rsidRPr="00681D29">
        <w:rPr>
          <w:rFonts w:cstheme="minorHAnsi"/>
          <w:szCs w:val="24"/>
          <w:u w:color="000000"/>
        </w:rPr>
        <w:t xml:space="preserve">Email: </w:t>
      </w:r>
      <w:r w:rsidRPr="00681D29">
        <w:rPr>
          <w:rFonts w:cstheme="minorHAnsi"/>
          <w:szCs w:val="24"/>
          <w:u w:color="000000"/>
        </w:rPr>
        <w:tab/>
      </w:r>
      <w:r w:rsidRPr="00681D29">
        <w:rPr>
          <w:rFonts w:cstheme="minorHAnsi"/>
          <w:szCs w:val="24"/>
          <w:u w:color="000000"/>
        </w:rPr>
        <w:tab/>
        <w:t>chi</w:t>
      </w:r>
      <w:r w:rsidR="000069AA">
        <w:rPr>
          <w:rFonts w:cstheme="minorHAnsi"/>
          <w:szCs w:val="24"/>
          <w:u w:color="000000"/>
        </w:rPr>
        <w:noBreakHyphen/>
      </w:r>
      <w:r w:rsidRPr="00681D29">
        <w:rPr>
          <w:rFonts w:cstheme="minorHAnsi"/>
          <w:szCs w:val="24"/>
          <w:u w:color="000000"/>
        </w:rPr>
        <w:t>ho.yeung@ato.gov.au</w:t>
      </w:r>
    </w:p>
    <w:p w14:paraId="2CCBEC17" w14:textId="77777777" w:rsidR="008614A0" w:rsidRPr="00681D29" w:rsidRDefault="008614A0" w:rsidP="00B077E4">
      <w:pPr>
        <w:spacing w:after="120"/>
        <w:ind w:left="1423" w:right="4" w:firstLine="720"/>
        <w:rPr>
          <w:rFonts w:cstheme="minorHAnsi"/>
          <w:szCs w:val="24"/>
        </w:rPr>
      </w:pPr>
      <w:r w:rsidRPr="00681D29">
        <w:rPr>
          <w:rFonts w:cstheme="minorHAnsi"/>
          <w:szCs w:val="24"/>
        </w:rPr>
        <w:t>Telephone:</w:t>
      </w:r>
      <w:r w:rsidRPr="00681D29">
        <w:rPr>
          <w:rFonts w:cstheme="minorHAnsi"/>
          <w:szCs w:val="24"/>
        </w:rPr>
        <w:tab/>
        <w:t>+61 412 268 211</w:t>
      </w:r>
    </w:p>
    <w:p w14:paraId="262CF264" w14:textId="77777777" w:rsidR="008614A0" w:rsidRDefault="008614A0" w:rsidP="00B077E4">
      <w:pPr>
        <w:tabs>
          <w:tab w:val="center" w:pos="1701"/>
        </w:tabs>
        <w:spacing w:after="120" w:line="264" w:lineRule="auto"/>
        <w:ind w:left="2143"/>
        <w:rPr>
          <w:rFonts w:cstheme="minorHAnsi"/>
          <w:szCs w:val="24"/>
        </w:rPr>
      </w:pPr>
      <w:r>
        <w:rPr>
          <w:rFonts w:cstheme="minorHAnsi"/>
          <w:szCs w:val="24"/>
        </w:rPr>
        <w:tab/>
      </w:r>
      <w:r w:rsidRPr="00681D29">
        <w:rPr>
          <w:rFonts w:cstheme="minorHAnsi"/>
          <w:szCs w:val="24"/>
        </w:rPr>
        <w:t>Mobile:</w:t>
      </w:r>
      <w:r w:rsidRPr="00681D29">
        <w:rPr>
          <w:rFonts w:cstheme="minorHAnsi"/>
          <w:szCs w:val="24"/>
        </w:rPr>
        <w:tab/>
      </w:r>
      <w:r w:rsidR="00AB311E">
        <w:rPr>
          <w:rFonts w:cstheme="minorHAnsi"/>
          <w:szCs w:val="24"/>
        </w:rPr>
        <w:tab/>
      </w:r>
      <w:r w:rsidRPr="00681D29">
        <w:rPr>
          <w:rFonts w:cstheme="minorHAnsi"/>
          <w:szCs w:val="24"/>
        </w:rPr>
        <w:t>+61 7 3149 5333</w:t>
      </w:r>
    </w:p>
    <w:p w14:paraId="255BBD79" w14:textId="77777777" w:rsidR="00B077E4" w:rsidRPr="00681D29" w:rsidRDefault="00B077E4" w:rsidP="008614A0">
      <w:pPr>
        <w:tabs>
          <w:tab w:val="center" w:pos="1701"/>
        </w:tabs>
        <w:spacing w:after="160" w:line="264" w:lineRule="auto"/>
        <w:ind w:left="2143"/>
        <w:rPr>
          <w:rFonts w:cstheme="minorHAnsi"/>
          <w:szCs w:val="24"/>
        </w:rPr>
      </w:pPr>
    </w:p>
    <w:p w14:paraId="4B8087F3" w14:textId="77777777" w:rsidR="005E12FD" w:rsidRPr="0026127D" w:rsidRDefault="005E12FD" w:rsidP="00F40C44">
      <w:pPr>
        <w:pStyle w:val="Heading2"/>
        <w:spacing w:after="240"/>
      </w:pPr>
      <w:bookmarkStart w:id="28" w:name="_Toc180156208"/>
      <w:r w:rsidRPr="0026127D">
        <w:t>N</w:t>
      </w:r>
      <w:r w:rsidR="001E025D">
        <w:t xml:space="preserve">ew </w:t>
      </w:r>
      <w:r w:rsidR="001E025D" w:rsidRPr="00A2759B">
        <w:t>Zealand</w:t>
      </w:r>
      <w:bookmarkEnd w:id="28"/>
    </w:p>
    <w:p w14:paraId="1CEC4993" w14:textId="77777777" w:rsidR="005E12FD" w:rsidRPr="00681D29" w:rsidRDefault="005E12FD" w:rsidP="00B077E4">
      <w:pPr>
        <w:spacing w:after="120" w:line="259" w:lineRule="auto"/>
        <w:ind w:left="38"/>
        <w:rPr>
          <w:rFonts w:cstheme="minorHAnsi"/>
          <w:szCs w:val="24"/>
        </w:rPr>
      </w:pPr>
      <w:r w:rsidRPr="00681D29">
        <w:rPr>
          <w:rFonts w:cstheme="minorHAnsi"/>
          <w:szCs w:val="24"/>
        </w:rPr>
        <w:t xml:space="preserve">Organisation: </w:t>
      </w:r>
      <w:r w:rsidRPr="00681D29">
        <w:rPr>
          <w:rFonts w:cstheme="minorHAnsi"/>
          <w:szCs w:val="24"/>
        </w:rPr>
        <w:tab/>
      </w:r>
      <w:r>
        <w:rPr>
          <w:rFonts w:cstheme="minorHAnsi"/>
          <w:szCs w:val="24"/>
        </w:rPr>
        <w:tab/>
      </w:r>
      <w:r w:rsidRPr="00681D29">
        <w:rPr>
          <w:rFonts w:cstheme="minorHAnsi"/>
          <w:szCs w:val="24"/>
        </w:rPr>
        <w:t>Ministry of Business Innovation and Employment, Wellington</w:t>
      </w:r>
    </w:p>
    <w:p w14:paraId="2FCF4D24" w14:textId="77777777" w:rsidR="005E12FD" w:rsidRPr="00681D29" w:rsidRDefault="005E12FD" w:rsidP="00B077E4">
      <w:pPr>
        <w:spacing w:after="120" w:line="259" w:lineRule="auto"/>
        <w:ind w:left="38"/>
        <w:rPr>
          <w:rFonts w:cstheme="minorHAnsi"/>
          <w:szCs w:val="24"/>
        </w:rPr>
      </w:pPr>
      <w:r w:rsidRPr="00681D29">
        <w:rPr>
          <w:rFonts w:cstheme="minorHAnsi"/>
          <w:szCs w:val="24"/>
        </w:rPr>
        <w:t xml:space="preserve">Position: </w:t>
      </w:r>
      <w:r w:rsidRPr="00681D29">
        <w:rPr>
          <w:rFonts w:cstheme="minorHAnsi"/>
          <w:szCs w:val="24"/>
        </w:rPr>
        <w:tab/>
      </w:r>
      <w:r w:rsidRPr="00681D29">
        <w:rPr>
          <w:rFonts w:cstheme="minorHAnsi"/>
          <w:szCs w:val="24"/>
        </w:rPr>
        <w:tab/>
        <w:t>Director</w:t>
      </w:r>
      <w:r w:rsidR="003169DF">
        <w:rPr>
          <w:rFonts w:cstheme="minorHAnsi"/>
          <w:szCs w:val="24"/>
        </w:rPr>
        <w:t>,</w:t>
      </w:r>
      <w:r w:rsidRPr="00681D29">
        <w:rPr>
          <w:rFonts w:cstheme="minorHAnsi"/>
          <w:szCs w:val="24"/>
        </w:rPr>
        <w:t xml:space="preserve"> New Zealand </w:t>
      </w:r>
      <w:proofErr w:type="spellStart"/>
      <w:r w:rsidRPr="00681D29">
        <w:rPr>
          <w:rFonts w:cstheme="minorHAnsi"/>
          <w:szCs w:val="24"/>
        </w:rPr>
        <w:t>Peppol</w:t>
      </w:r>
      <w:proofErr w:type="spellEnd"/>
      <w:r w:rsidRPr="00681D29">
        <w:rPr>
          <w:rFonts w:cstheme="minorHAnsi"/>
          <w:szCs w:val="24"/>
        </w:rPr>
        <w:t xml:space="preserve"> Authority</w:t>
      </w:r>
    </w:p>
    <w:p w14:paraId="3ECF3585" w14:textId="77777777" w:rsidR="005E12FD" w:rsidRPr="00681D29" w:rsidRDefault="005E12FD" w:rsidP="00B077E4">
      <w:pPr>
        <w:spacing w:after="120" w:line="259" w:lineRule="auto"/>
        <w:ind w:left="38"/>
        <w:rPr>
          <w:rFonts w:cstheme="minorHAnsi"/>
          <w:szCs w:val="24"/>
        </w:rPr>
      </w:pPr>
      <w:r w:rsidRPr="00681D29">
        <w:rPr>
          <w:rFonts w:cstheme="minorHAnsi"/>
          <w:szCs w:val="24"/>
        </w:rPr>
        <w:t xml:space="preserve">Name: </w:t>
      </w:r>
      <w:r w:rsidRPr="00681D29">
        <w:rPr>
          <w:rFonts w:cstheme="minorHAnsi"/>
          <w:szCs w:val="24"/>
        </w:rPr>
        <w:tab/>
      </w:r>
      <w:r w:rsidRPr="00681D29">
        <w:rPr>
          <w:rFonts w:cstheme="minorHAnsi"/>
          <w:szCs w:val="24"/>
        </w:rPr>
        <w:tab/>
      </w:r>
      <w:r w:rsidR="00887382">
        <w:rPr>
          <w:rFonts w:cstheme="minorHAnsi"/>
          <w:szCs w:val="24"/>
        </w:rPr>
        <w:tab/>
      </w:r>
      <w:r w:rsidRPr="00681D29">
        <w:rPr>
          <w:rFonts w:cstheme="minorHAnsi"/>
          <w:szCs w:val="24"/>
        </w:rPr>
        <w:t>Craig Smith</w:t>
      </w:r>
    </w:p>
    <w:p w14:paraId="2E45082F" w14:textId="77777777" w:rsidR="005E12FD" w:rsidRPr="00681D29" w:rsidRDefault="005E12FD" w:rsidP="00B077E4">
      <w:pPr>
        <w:spacing w:after="120" w:line="259" w:lineRule="auto"/>
        <w:ind w:left="38"/>
        <w:rPr>
          <w:rFonts w:cstheme="minorHAnsi"/>
          <w:szCs w:val="24"/>
        </w:rPr>
      </w:pPr>
      <w:r w:rsidRPr="00681D29">
        <w:rPr>
          <w:rFonts w:cstheme="minorHAnsi"/>
          <w:szCs w:val="24"/>
        </w:rPr>
        <w:t>Contact details:</w:t>
      </w:r>
      <w:r w:rsidR="00887382">
        <w:rPr>
          <w:rFonts w:cstheme="minorHAnsi"/>
          <w:szCs w:val="24"/>
        </w:rPr>
        <w:tab/>
      </w:r>
      <w:r w:rsidRPr="00681D29">
        <w:rPr>
          <w:rFonts w:cstheme="minorHAnsi"/>
          <w:szCs w:val="24"/>
        </w:rPr>
        <w:tab/>
        <w:t>Email:</w:t>
      </w:r>
      <w:r w:rsidRPr="00681D29">
        <w:rPr>
          <w:rFonts w:cstheme="minorHAnsi"/>
          <w:szCs w:val="24"/>
        </w:rPr>
        <w:tab/>
      </w:r>
      <w:r w:rsidRPr="00681D29">
        <w:rPr>
          <w:rFonts w:cstheme="minorHAnsi"/>
          <w:szCs w:val="24"/>
        </w:rPr>
        <w:tab/>
        <w:t>craig.smith3@mbie.govt.nz</w:t>
      </w:r>
    </w:p>
    <w:p w14:paraId="2957B6E3" w14:textId="77777777" w:rsidR="005E12FD" w:rsidRPr="00681D29" w:rsidRDefault="005E12FD" w:rsidP="00B077E4">
      <w:pPr>
        <w:spacing w:after="120" w:line="259" w:lineRule="auto"/>
        <w:ind w:left="2160"/>
        <w:rPr>
          <w:rFonts w:cstheme="minorHAnsi"/>
          <w:szCs w:val="24"/>
        </w:rPr>
      </w:pPr>
      <w:r w:rsidRPr="00681D29">
        <w:rPr>
          <w:rFonts w:cstheme="minorHAnsi"/>
          <w:szCs w:val="24"/>
        </w:rPr>
        <w:t xml:space="preserve">Telephone: </w:t>
      </w:r>
      <w:r w:rsidRPr="00681D29">
        <w:rPr>
          <w:rFonts w:cstheme="minorHAnsi"/>
          <w:szCs w:val="24"/>
        </w:rPr>
        <w:tab/>
        <w:t>+64 04 901 1449</w:t>
      </w:r>
    </w:p>
    <w:p w14:paraId="250FE4B4" w14:textId="77777777" w:rsidR="005E12FD" w:rsidRPr="00681D29" w:rsidRDefault="005E12FD" w:rsidP="00B077E4">
      <w:pPr>
        <w:tabs>
          <w:tab w:val="center" w:pos="284"/>
        </w:tabs>
        <w:spacing w:after="120" w:line="265" w:lineRule="auto"/>
        <w:ind w:left="2160"/>
        <w:rPr>
          <w:rFonts w:cstheme="minorBidi"/>
          <w:szCs w:val="24"/>
        </w:rPr>
      </w:pPr>
      <w:r w:rsidRPr="00681D29">
        <w:rPr>
          <w:rFonts w:cstheme="minorBidi"/>
          <w:szCs w:val="24"/>
        </w:rPr>
        <w:t>Mobile:</w:t>
      </w:r>
      <w:r w:rsidRPr="00681D29">
        <w:rPr>
          <w:szCs w:val="24"/>
        </w:rPr>
        <w:tab/>
      </w:r>
      <w:r w:rsidR="00887382">
        <w:rPr>
          <w:szCs w:val="24"/>
        </w:rPr>
        <w:tab/>
      </w:r>
      <w:r w:rsidRPr="00681D29">
        <w:rPr>
          <w:rFonts w:cstheme="minorBidi"/>
          <w:szCs w:val="24"/>
        </w:rPr>
        <w:t>+64 21 689 542</w:t>
      </w:r>
    </w:p>
    <w:p w14:paraId="6DC596BE" w14:textId="77777777" w:rsidR="004E7897" w:rsidRDefault="004E7897">
      <w:pPr>
        <w:spacing w:before="0" w:after="160" w:line="259" w:lineRule="auto"/>
      </w:pPr>
    </w:p>
    <w:p w14:paraId="5034F08E" w14:textId="77777777" w:rsidR="00E807F4" w:rsidRDefault="00E807F4">
      <w:pPr>
        <w:spacing w:before="0" w:after="160" w:line="259" w:lineRule="auto"/>
        <w:sectPr w:rsidR="00E807F4" w:rsidSect="00B66783">
          <w:headerReference w:type="even" r:id="rId15"/>
          <w:headerReference w:type="default" r:id="rId16"/>
          <w:footerReference w:type="even" r:id="rId17"/>
          <w:footerReference w:type="default" r:id="rId18"/>
          <w:headerReference w:type="first" r:id="rId19"/>
          <w:footerReference w:type="first" r:id="rId20"/>
          <w:pgSz w:w="11906" w:h="16838" w:code="9"/>
          <w:pgMar w:top="1843" w:right="1418" w:bottom="1418" w:left="1418" w:header="709" w:footer="709" w:gutter="0"/>
          <w:cols w:space="708"/>
          <w:docGrid w:linePitch="360"/>
        </w:sectPr>
      </w:pPr>
    </w:p>
    <w:p w14:paraId="19FD6968" w14:textId="77777777" w:rsidR="00FA14B3" w:rsidRPr="00A2759B" w:rsidRDefault="007817EA" w:rsidP="000069AA">
      <w:pPr>
        <w:pStyle w:val="Heading1"/>
      </w:pPr>
      <w:bookmarkStart w:id="29" w:name="_Toc180156209"/>
      <w:r w:rsidRPr="00A2759B">
        <w:lastRenderedPageBreak/>
        <w:t>Annex: Australia</w:t>
      </w:r>
      <w:r w:rsidR="000069AA">
        <w:noBreakHyphen/>
      </w:r>
      <w:r w:rsidRPr="00A2759B">
        <w:t xml:space="preserve">New Zealand </w:t>
      </w:r>
      <w:r w:rsidRPr="000069AA">
        <w:t>Electronic</w:t>
      </w:r>
      <w:r w:rsidRPr="00A2759B">
        <w:t xml:space="preserve"> Invoicing Board Terms of Reference</w:t>
      </w:r>
      <w:bookmarkEnd w:id="29"/>
    </w:p>
    <w:p w14:paraId="29C16AE3" w14:textId="77777777" w:rsidR="00D11558" w:rsidRPr="00405181" w:rsidRDefault="0044326B" w:rsidP="00F40C44">
      <w:pPr>
        <w:pStyle w:val="Heading2"/>
        <w:spacing w:after="240"/>
      </w:pPr>
      <w:bookmarkStart w:id="30" w:name="_Toc180156210"/>
      <w:r>
        <w:t>1</w:t>
      </w:r>
      <w:r w:rsidR="00166074">
        <w:t>.</w:t>
      </w:r>
      <w:r w:rsidR="001A6B47">
        <w:tab/>
      </w:r>
      <w:r w:rsidR="00D11558" w:rsidRPr="00405181">
        <w:t>Primary Purpose</w:t>
      </w:r>
      <w:bookmarkEnd w:id="30"/>
    </w:p>
    <w:p w14:paraId="7C2E5177" w14:textId="77777777" w:rsidR="00D11558" w:rsidRPr="00723E14" w:rsidRDefault="00D11558" w:rsidP="00A2759B">
      <w:r w:rsidRPr="00723E14">
        <w:t>The Australia</w:t>
      </w:r>
      <w:r w:rsidR="000069AA">
        <w:noBreakHyphen/>
      </w:r>
      <w:r w:rsidRPr="00723E14">
        <w:t>New Zealand Electronic Invoicing Board (the Board) is a committee representing the collective interests of the Australian and New Zealand governments in respect of the Australia and New Zealand Government Electronic Invoicing Arrangement (the Arrangement).</w:t>
      </w:r>
    </w:p>
    <w:p w14:paraId="17F83B9E" w14:textId="77777777" w:rsidR="00D11558" w:rsidRPr="00723E14" w:rsidRDefault="00D11558" w:rsidP="00A2759B">
      <w:r w:rsidRPr="00723E14">
        <w:t>The Board is an advisory committee to Responsible Ministers and, as such, the Board will provide:</w:t>
      </w:r>
    </w:p>
    <w:p w14:paraId="2913D9C4" w14:textId="77777777" w:rsidR="00D11558" w:rsidRPr="00A2759B" w:rsidRDefault="00D11558" w:rsidP="00B077E4">
      <w:pPr>
        <w:pStyle w:val="Bullet"/>
        <w:tabs>
          <w:tab w:val="clear" w:pos="520"/>
        </w:tabs>
        <w:ind w:left="567" w:hanging="567"/>
      </w:pPr>
      <w:r w:rsidRPr="00A2759B">
        <w:t>Advice and written reports to Responsible Ministers, as required, outlining any issues relevant to the matters specified in section 2 or otherwise that may be of interest to Ministers.</w:t>
      </w:r>
    </w:p>
    <w:p w14:paraId="799604F9" w14:textId="77777777" w:rsidR="00D11558" w:rsidRPr="00A2759B" w:rsidRDefault="00D11558" w:rsidP="00B077E4">
      <w:pPr>
        <w:pStyle w:val="Bullet"/>
        <w:tabs>
          <w:tab w:val="clear" w:pos="520"/>
        </w:tabs>
        <w:ind w:left="567" w:hanging="567"/>
      </w:pPr>
      <w:r w:rsidRPr="00A2759B">
        <w:t>Any clarifying, or further, information that may subsequently be required by Responsible Ministers.</w:t>
      </w:r>
    </w:p>
    <w:p w14:paraId="0B49BD52" w14:textId="77777777" w:rsidR="00D11558" w:rsidRPr="00ED7023" w:rsidRDefault="00166074" w:rsidP="00F40C44">
      <w:pPr>
        <w:pStyle w:val="Heading2"/>
        <w:spacing w:after="240"/>
      </w:pPr>
      <w:bookmarkStart w:id="31" w:name="_Toc180156211"/>
      <w:r>
        <w:t>2.</w:t>
      </w:r>
      <w:r w:rsidR="001A6B47">
        <w:tab/>
      </w:r>
      <w:r w:rsidR="00D11558" w:rsidRPr="00ED7023">
        <w:t>Functions and Scope</w:t>
      </w:r>
      <w:bookmarkEnd w:id="31"/>
    </w:p>
    <w:p w14:paraId="26F0A5D1" w14:textId="77777777" w:rsidR="00D11558" w:rsidRPr="00723E14" w:rsidRDefault="00D11558" w:rsidP="006F1454">
      <w:r w:rsidRPr="00723E14">
        <w:t>The Board will, with input and support from government agencies and industry stakeholders, develop and provide advice and information on:</w:t>
      </w:r>
    </w:p>
    <w:p w14:paraId="79161126" w14:textId="77777777" w:rsidR="00D11558" w:rsidRPr="00723E14" w:rsidRDefault="00D11558" w:rsidP="00B077E4">
      <w:pPr>
        <w:pStyle w:val="Bullet"/>
        <w:tabs>
          <w:tab w:val="clear" w:pos="520"/>
        </w:tabs>
        <w:ind w:left="567" w:hanging="567"/>
      </w:pPr>
      <w:r w:rsidRPr="00723E14">
        <w:t>Barriers and high</w:t>
      </w:r>
      <w:r w:rsidR="000069AA">
        <w:noBreakHyphen/>
      </w:r>
      <w:r w:rsidRPr="00723E14">
        <w:t xml:space="preserve">level policies relevant to the </w:t>
      </w:r>
      <w:proofErr w:type="spellStart"/>
      <w:r w:rsidRPr="00723E14">
        <w:t>eInvoicing</w:t>
      </w:r>
      <w:proofErr w:type="spellEnd"/>
      <w:r w:rsidRPr="00723E14">
        <w:t xml:space="preserve"> collaboration.</w:t>
      </w:r>
    </w:p>
    <w:p w14:paraId="5E9CD0EB" w14:textId="77777777" w:rsidR="00D11558" w:rsidRPr="00723E14" w:rsidRDefault="00D11558" w:rsidP="00B077E4">
      <w:pPr>
        <w:pStyle w:val="Bullet"/>
        <w:tabs>
          <w:tab w:val="clear" w:pos="520"/>
        </w:tabs>
        <w:ind w:left="567" w:hanging="567"/>
      </w:pPr>
      <w:r w:rsidRPr="00723E14">
        <w:t xml:space="preserve">Strategic priorities for the collaboration and implementation of </w:t>
      </w:r>
      <w:proofErr w:type="spellStart"/>
      <w:r w:rsidRPr="00723E14">
        <w:t>eInvoicing</w:t>
      </w:r>
      <w:proofErr w:type="spellEnd"/>
      <w:r w:rsidRPr="00723E14">
        <w:t xml:space="preserve"> in Australia and New</w:t>
      </w:r>
      <w:r w:rsidR="00931267">
        <w:t> </w:t>
      </w:r>
      <w:r w:rsidRPr="00723E14">
        <w:t>Zealand.</w:t>
      </w:r>
    </w:p>
    <w:p w14:paraId="4107B9C9" w14:textId="77777777" w:rsidR="00D11558" w:rsidRPr="00723E14" w:rsidRDefault="00D11558" w:rsidP="00B077E4">
      <w:pPr>
        <w:pStyle w:val="Bullet"/>
        <w:tabs>
          <w:tab w:val="clear" w:pos="520"/>
        </w:tabs>
        <w:ind w:left="567" w:hanging="567"/>
      </w:pPr>
      <w:r w:rsidRPr="00723E14">
        <w:t>Key risks to the success of the collaboration and risk mitigation options.</w:t>
      </w:r>
    </w:p>
    <w:p w14:paraId="606F3BDE" w14:textId="77777777" w:rsidR="00D11558" w:rsidRPr="00723E14" w:rsidRDefault="00D11558" w:rsidP="00B077E4">
      <w:pPr>
        <w:pStyle w:val="Bullet"/>
        <w:tabs>
          <w:tab w:val="clear" w:pos="520"/>
        </w:tabs>
        <w:ind w:left="567" w:hanging="567"/>
      </w:pPr>
      <w:r w:rsidRPr="00723E14">
        <w:t xml:space="preserve">The performance of </w:t>
      </w:r>
      <w:proofErr w:type="spellStart"/>
      <w:r w:rsidRPr="00723E14">
        <w:t>eInvoicing</w:t>
      </w:r>
      <w:proofErr w:type="spellEnd"/>
      <w:r w:rsidRPr="00723E14">
        <w:t xml:space="preserve"> (e.g., impacts and benefits realisation over time).</w:t>
      </w:r>
    </w:p>
    <w:p w14:paraId="2658AA69" w14:textId="77777777" w:rsidR="00D11558" w:rsidRPr="00723E14" w:rsidRDefault="00D11558" w:rsidP="00B077E4">
      <w:pPr>
        <w:pStyle w:val="Bullet"/>
        <w:tabs>
          <w:tab w:val="clear" w:pos="520"/>
        </w:tabs>
        <w:ind w:left="567" w:hanging="567"/>
      </w:pPr>
      <w:r w:rsidRPr="00723E14">
        <w:t xml:space="preserve">Issues directly related to </w:t>
      </w:r>
      <w:proofErr w:type="spellStart"/>
      <w:r w:rsidRPr="00723E14">
        <w:t>eInvoicing</w:t>
      </w:r>
      <w:proofErr w:type="spellEnd"/>
      <w:r w:rsidRPr="00723E14">
        <w:t xml:space="preserve"> and ensuring the environment can support large scale adoption (e.g., interoperability, network security, and wider eProcurement opportunities). </w:t>
      </w:r>
    </w:p>
    <w:p w14:paraId="328E542A" w14:textId="77777777" w:rsidR="0042426E" w:rsidRDefault="0042426E">
      <w:pPr>
        <w:spacing w:before="0" w:after="160" w:line="259" w:lineRule="auto"/>
        <w:rPr>
          <w:rFonts w:asciiTheme="majorHAnsi" w:hAnsiTheme="majorHAnsi" w:cs="Arial"/>
          <w:iCs/>
          <w:color w:val="4D4D4D" w:themeColor="accent6"/>
          <w:kern w:val="32"/>
          <w:sz w:val="48"/>
          <w:szCs w:val="28"/>
        </w:rPr>
      </w:pPr>
      <w:r>
        <w:br w:type="page"/>
      </w:r>
    </w:p>
    <w:p w14:paraId="193F96D1" w14:textId="77777777" w:rsidR="00D11558" w:rsidRPr="00ED7023" w:rsidRDefault="00230D66" w:rsidP="00F40C44">
      <w:pPr>
        <w:pStyle w:val="Heading2"/>
        <w:spacing w:after="240"/>
      </w:pPr>
      <w:bookmarkStart w:id="32" w:name="_Toc180156212"/>
      <w:r>
        <w:lastRenderedPageBreak/>
        <w:t>3.</w:t>
      </w:r>
      <w:r w:rsidR="001A6B47">
        <w:tab/>
      </w:r>
      <w:r w:rsidR="00D11558" w:rsidRPr="00ED7023">
        <w:t>Board Membership and Appointment</w:t>
      </w:r>
      <w:bookmarkEnd w:id="32"/>
    </w:p>
    <w:p w14:paraId="3789954F" w14:textId="77777777" w:rsidR="00D11558" w:rsidRPr="00723E14" w:rsidRDefault="00D11558" w:rsidP="006F1454">
      <w:r w:rsidRPr="00723E14">
        <w:t xml:space="preserve">The Board will have </w:t>
      </w:r>
      <w:r w:rsidR="00931267">
        <w:t>8 </w:t>
      </w:r>
      <w:r w:rsidRPr="00723E14">
        <w:t xml:space="preserve">members. Australia and New Zealand will each have: </w:t>
      </w:r>
    </w:p>
    <w:p w14:paraId="3431D92F" w14:textId="77777777" w:rsidR="00D11558" w:rsidRPr="002A5362" w:rsidRDefault="00D11558" w:rsidP="00B077E4">
      <w:pPr>
        <w:pStyle w:val="Bullet"/>
        <w:tabs>
          <w:tab w:val="clear" w:pos="520"/>
        </w:tabs>
        <w:ind w:left="567" w:hanging="567"/>
      </w:pPr>
      <w:r w:rsidRPr="00723E14">
        <w:t>A co</w:t>
      </w:r>
      <w:r w:rsidR="000069AA">
        <w:noBreakHyphen/>
      </w:r>
      <w:r w:rsidRPr="00723E14">
        <w:t xml:space="preserve">Chair who is the senior executive responsible for their respective </w:t>
      </w:r>
      <w:proofErr w:type="spellStart"/>
      <w:r w:rsidRPr="00723E14">
        <w:t>Peppol</w:t>
      </w:r>
      <w:proofErr w:type="spellEnd"/>
      <w:r w:rsidRPr="00723E14">
        <w:t xml:space="preserve"> Authority. </w:t>
      </w:r>
    </w:p>
    <w:p w14:paraId="77659F9C" w14:textId="77777777" w:rsidR="00D11558" w:rsidRPr="00723E14" w:rsidRDefault="00D11558" w:rsidP="00B077E4">
      <w:pPr>
        <w:pStyle w:val="Bullet"/>
        <w:tabs>
          <w:tab w:val="clear" w:pos="520"/>
        </w:tabs>
        <w:ind w:left="567" w:hanging="567"/>
      </w:pPr>
      <w:r w:rsidRPr="00723E14">
        <w:t>Three members who are senior officials (one of which will include the co</w:t>
      </w:r>
      <w:r w:rsidR="000069AA">
        <w:noBreakHyphen/>
      </w:r>
      <w:r w:rsidRPr="00723E14">
        <w:t xml:space="preserve">Chair). </w:t>
      </w:r>
    </w:p>
    <w:p w14:paraId="10A92514" w14:textId="77777777" w:rsidR="00D11558" w:rsidRPr="00723E14" w:rsidRDefault="00D11558" w:rsidP="00B077E4">
      <w:pPr>
        <w:pStyle w:val="Bullet"/>
        <w:tabs>
          <w:tab w:val="clear" w:pos="520"/>
        </w:tabs>
        <w:ind w:left="567" w:hanging="567"/>
      </w:pPr>
      <w:r w:rsidRPr="00723E14">
        <w:t>One part</w:t>
      </w:r>
      <w:r w:rsidR="000069AA">
        <w:noBreakHyphen/>
      </w:r>
      <w:r w:rsidRPr="00723E14">
        <w:t xml:space="preserve">time Independent Member. </w:t>
      </w:r>
    </w:p>
    <w:p w14:paraId="4400180D" w14:textId="77777777" w:rsidR="00D11558" w:rsidRPr="002A5362" w:rsidRDefault="00D11558" w:rsidP="006F1454">
      <w:r w:rsidRPr="00723E14">
        <w:t>It is intended that the senior officials and co</w:t>
      </w:r>
      <w:r w:rsidR="000069AA">
        <w:noBreakHyphen/>
      </w:r>
      <w:r w:rsidRPr="00723E14">
        <w:t>Chairs will be ex</w:t>
      </w:r>
      <w:r w:rsidR="000069AA">
        <w:noBreakHyphen/>
      </w:r>
      <w:r w:rsidRPr="00723E14">
        <w:t xml:space="preserve">officio positions. </w:t>
      </w:r>
    </w:p>
    <w:p w14:paraId="52A795DF" w14:textId="77777777" w:rsidR="00D11558" w:rsidRDefault="00D11558" w:rsidP="006F1454">
      <w:r w:rsidRPr="00723E14">
        <w:t>Subject to the requirements of these terms of reference and any Board Charter agreed by the Board, the co</w:t>
      </w:r>
      <w:r w:rsidR="000069AA">
        <w:noBreakHyphen/>
      </w:r>
      <w:r w:rsidRPr="00723E14">
        <w:t xml:space="preserve">Chairs are free to conduct Board meetings as they see fit. </w:t>
      </w:r>
    </w:p>
    <w:p w14:paraId="022D5C1D" w14:textId="77777777" w:rsidR="00D11558" w:rsidRPr="00975529" w:rsidRDefault="00975529" w:rsidP="00F40C44">
      <w:pPr>
        <w:pStyle w:val="Heading2"/>
        <w:spacing w:after="240"/>
        <w:rPr>
          <w:rFonts w:asciiTheme="minorHAnsi" w:hAnsiTheme="minorHAnsi" w:cstheme="minorHAnsi"/>
          <w:color w:val="000000" w:themeColor="text1"/>
          <w:kern w:val="0"/>
          <w:sz w:val="22"/>
          <w:szCs w:val="20"/>
        </w:rPr>
      </w:pPr>
      <w:bookmarkStart w:id="33" w:name="_Toc180156213"/>
      <w:r>
        <w:t>4.</w:t>
      </w:r>
      <w:r w:rsidR="001A6B47">
        <w:tab/>
      </w:r>
      <w:r w:rsidR="00D11558" w:rsidRPr="00ED7023">
        <w:t>Meetings of the Board</w:t>
      </w:r>
      <w:bookmarkEnd w:id="33"/>
    </w:p>
    <w:p w14:paraId="21337EAF" w14:textId="77777777" w:rsidR="00D11558" w:rsidRPr="00723E14" w:rsidRDefault="00D11558" w:rsidP="006F1454">
      <w:r w:rsidRPr="00723E14">
        <w:t>The Board is to meet no less than twice a year.</w:t>
      </w:r>
    </w:p>
    <w:p w14:paraId="4F8FB141" w14:textId="77777777" w:rsidR="00D11558" w:rsidRPr="00723E14" w:rsidRDefault="00D11558" w:rsidP="006F1454">
      <w:r w:rsidRPr="00723E14">
        <w:t>The quorum for meetings of the Board is greater than 50</w:t>
      </w:r>
      <w:r w:rsidR="00931267">
        <w:t> </w:t>
      </w:r>
      <w:r w:rsidRPr="00723E14">
        <w:t>per</w:t>
      </w:r>
      <w:r w:rsidR="00931267">
        <w:t> </w:t>
      </w:r>
      <w:r w:rsidRPr="00723E14">
        <w:t>cent of the Members, of whom one must be a co</w:t>
      </w:r>
      <w:r w:rsidR="000069AA">
        <w:noBreakHyphen/>
      </w:r>
      <w:r w:rsidRPr="00723E14">
        <w:t xml:space="preserve">Chair and at least one representative from each country. </w:t>
      </w:r>
    </w:p>
    <w:p w14:paraId="568FE580" w14:textId="77777777" w:rsidR="00D11558" w:rsidRPr="00723E14" w:rsidRDefault="00D11558" w:rsidP="006F1454">
      <w:r w:rsidRPr="00723E14">
        <w:t>With the approval of a co</w:t>
      </w:r>
      <w:r w:rsidR="000069AA">
        <w:noBreakHyphen/>
      </w:r>
      <w:r w:rsidRPr="00723E14">
        <w:t>Chair, ahead of a meeting, a Board Member can seek to nominate a proxy to act as their delegate or substitute at a Board meeting. The co</w:t>
      </w:r>
      <w:r w:rsidR="000069AA">
        <w:noBreakHyphen/>
      </w:r>
      <w:r w:rsidRPr="00723E14">
        <w:t>Chair may have regard to the justification for the request and the proxy should have sufficient experience or subject matter expertise. This is expected to be limited to one</w:t>
      </w:r>
      <w:r w:rsidR="000069AA">
        <w:noBreakHyphen/>
      </w:r>
      <w:r w:rsidRPr="00723E14">
        <w:t xml:space="preserve">off instances and should not occur regularly. </w:t>
      </w:r>
    </w:p>
    <w:p w14:paraId="69644600" w14:textId="77777777" w:rsidR="00E977F2" w:rsidRPr="00BE5F3B" w:rsidRDefault="00E977F2" w:rsidP="00BE5F3B">
      <w:r>
        <w:br w:type="page"/>
      </w:r>
    </w:p>
    <w:p w14:paraId="46DE5A6C" w14:textId="77777777" w:rsidR="00E977F2" w:rsidRPr="00E977F2" w:rsidRDefault="00E977F2" w:rsidP="00E977F2">
      <w:pPr>
        <w:pStyle w:val="Heading1"/>
      </w:pPr>
      <w:bookmarkStart w:id="34" w:name="_Toc180156214"/>
      <w:r w:rsidRPr="00E977F2">
        <w:lastRenderedPageBreak/>
        <w:t>Annex: Charter of the Australia</w:t>
      </w:r>
      <w:r w:rsidR="009514AF">
        <w:t>‍‍‍‍</w:t>
      </w:r>
      <w:r w:rsidR="000069AA">
        <w:noBreakHyphen/>
      </w:r>
      <w:r w:rsidR="009514AF">
        <w:t>‍</w:t>
      </w:r>
      <w:r w:rsidRPr="00E977F2">
        <w:t>New</w:t>
      </w:r>
      <w:r w:rsidR="009514AF">
        <w:t> </w:t>
      </w:r>
      <w:r w:rsidRPr="00E977F2">
        <w:t>Zealand Electronic Invoicing Board</w:t>
      </w:r>
      <w:bookmarkEnd w:id="34"/>
    </w:p>
    <w:p w14:paraId="5B3FB4B4" w14:textId="77777777" w:rsidR="004975F7" w:rsidRPr="00ED7023" w:rsidRDefault="006D3A89" w:rsidP="00F40C44">
      <w:pPr>
        <w:pStyle w:val="Heading2"/>
        <w:spacing w:after="240"/>
      </w:pPr>
      <w:bookmarkStart w:id="35" w:name="_Toc180156215"/>
      <w:r>
        <w:t>1.</w:t>
      </w:r>
      <w:r w:rsidR="00762EFB">
        <w:tab/>
      </w:r>
      <w:r w:rsidR="004975F7" w:rsidRPr="00ED7023">
        <w:t>Introduction</w:t>
      </w:r>
      <w:bookmarkEnd w:id="35"/>
    </w:p>
    <w:p w14:paraId="36044491" w14:textId="77777777" w:rsidR="004975F7" w:rsidRPr="00723E14" w:rsidRDefault="004975F7" w:rsidP="006F1454">
      <w:r w:rsidRPr="00723E14">
        <w:t>This Charter complements the Terms of Reference of the Australia</w:t>
      </w:r>
      <w:r w:rsidR="000069AA">
        <w:noBreakHyphen/>
      </w:r>
      <w:r w:rsidRPr="00723E14">
        <w:t>New Zealand Electronic Invoicing Board (the Board). The Charter provides further information to clarify and confirm how the Board will conduct its functions.</w:t>
      </w:r>
    </w:p>
    <w:p w14:paraId="5CC74D16" w14:textId="77777777" w:rsidR="004975F7" w:rsidRPr="00ED7023" w:rsidRDefault="006D3A89" w:rsidP="00F40C44">
      <w:pPr>
        <w:pStyle w:val="Heading2"/>
        <w:spacing w:after="240"/>
      </w:pPr>
      <w:bookmarkStart w:id="36" w:name="_Toc180156216"/>
      <w:r>
        <w:t>2.</w:t>
      </w:r>
      <w:r w:rsidR="00762EFB">
        <w:tab/>
      </w:r>
      <w:r w:rsidR="004975F7" w:rsidRPr="00ED7023">
        <w:t>Board activities</w:t>
      </w:r>
      <w:bookmarkEnd w:id="36"/>
    </w:p>
    <w:p w14:paraId="64E519BC" w14:textId="77777777" w:rsidR="004975F7" w:rsidRPr="00723E14" w:rsidRDefault="004975F7" w:rsidP="006F1454">
      <w:r w:rsidRPr="00723E14">
        <w:t>In conducting its functions, the Board will consider research and other information presented to the Board jointly or independently by national electronic invoicing (</w:t>
      </w:r>
      <w:proofErr w:type="spellStart"/>
      <w:r w:rsidRPr="00723E14">
        <w:t>eInvoicing</w:t>
      </w:r>
      <w:proofErr w:type="spellEnd"/>
      <w:r w:rsidRPr="00723E14">
        <w:t>) steering groups or other arrangements maintained by Australia and New Zealand to support and advise the Board.</w:t>
      </w:r>
    </w:p>
    <w:p w14:paraId="44192BD8" w14:textId="77777777" w:rsidR="004975F7" w:rsidRPr="00723E14" w:rsidRDefault="004975F7" w:rsidP="006F1454">
      <w:r w:rsidRPr="00723E14">
        <w:t>As appropriate, the Board (subject to the confidentiality provisions below) may also:</w:t>
      </w:r>
    </w:p>
    <w:p w14:paraId="14B3E28D" w14:textId="77777777" w:rsidR="004975F7" w:rsidRPr="00723E14" w:rsidRDefault="004975F7" w:rsidP="00B077E4">
      <w:pPr>
        <w:pStyle w:val="Bullet"/>
        <w:tabs>
          <w:tab w:val="clear" w:pos="520"/>
        </w:tabs>
        <w:ind w:left="567" w:hanging="567"/>
      </w:pPr>
      <w:r w:rsidRPr="00723E14">
        <w:t>Engage and consult with others whose perspective would be valuable to the Board.</w:t>
      </w:r>
    </w:p>
    <w:p w14:paraId="5406EFF9" w14:textId="77777777" w:rsidR="004975F7" w:rsidRPr="00723E14" w:rsidRDefault="004975F7" w:rsidP="00B077E4">
      <w:pPr>
        <w:pStyle w:val="Bullet"/>
        <w:tabs>
          <w:tab w:val="clear" w:pos="520"/>
        </w:tabs>
        <w:ind w:left="567" w:hanging="567"/>
      </w:pPr>
      <w:r w:rsidRPr="00723E14">
        <w:t>Engage and work with other special focus or interest groups, industry representatives, researchers and advisors that may be required from time to time for specific issues and problem solving.</w:t>
      </w:r>
    </w:p>
    <w:p w14:paraId="2930F881" w14:textId="77777777" w:rsidR="004975F7" w:rsidRPr="00723E14" w:rsidRDefault="004975F7" w:rsidP="006F1454">
      <w:r w:rsidRPr="00723E14">
        <w:t>The Board</w:t>
      </w:r>
      <w:r w:rsidR="000069AA">
        <w:t>’</w:t>
      </w:r>
      <w:r w:rsidRPr="00723E14">
        <w:t>s functions do not include participation in government procurement or contracting processes.</w:t>
      </w:r>
    </w:p>
    <w:p w14:paraId="56BA268F" w14:textId="77777777" w:rsidR="004975F7" w:rsidRPr="00ED7023" w:rsidRDefault="006D3A89" w:rsidP="00F40C44">
      <w:pPr>
        <w:pStyle w:val="Heading2"/>
        <w:spacing w:after="240"/>
      </w:pPr>
      <w:bookmarkStart w:id="37" w:name="_Toc180156217"/>
      <w:r>
        <w:t>3.</w:t>
      </w:r>
      <w:r w:rsidR="00762EFB">
        <w:tab/>
      </w:r>
      <w:r w:rsidR="004975F7" w:rsidRPr="00ED7023">
        <w:t>Board servicing and administrative matters</w:t>
      </w:r>
      <w:bookmarkEnd w:id="37"/>
    </w:p>
    <w:p w14:paraId="3E66108B" w14:textId="77777777" w:rsidR="004975F7" w:rsidRPr="00ED7023" w:rsidRDefault="004975F7" w:rsidP="006F1454">
      <w:pPr>
        <w:pStyle w:val="Heading3"/>
      </w:pPr>
      <w:bookmarkStart w:id="38" w:name="_Toc180156218"/>
      <w:r w:rsidRPr="00ED7023">
        <w:t>Secretariat</w:t>
      </w:r>
      <w:bookmarkEnd w:id="38"/>
    </w:p>
    <w:p w14:paraId="6C95811B" w14:textId="77777777" w:rsidR="004975F7" w:rsidRPr="00723E14" w:rsidRDefault="004975F7" w:rsidP="006F1454">
      <w:r w:rsidRPr="00723E14">
        <w:t>The Australian Taxation Office (ATO) and New Zealand Ministry of Business Innovation and Employment (MBIE) will collaborate to continuously provide administrative (Secretariat) support to the Board. Administrative support will include all the services necessary for the smooth operation of the Board.</w:t>
      </w:r>
    </w:p>
    <w:p w14:paraId="3E86D621" w14:textId="77777777" w:rsidR="004975F7" w:rsidRPr="00723E14" w:rsidRDefault="004975F7" w:rsidP="006F1454">
      <w:r w:rsidRPr="00723E14">
        <w:t>The co</w:t>
      </w:r>
      <w:r w:rsidR="000069AA">
        <w:noBreakHyphen/>
      </w:r>
      <w:r w:rsidRPr="00723E14">
        <w:t>Chairs are responsible for liaising with the ATO and MBIE regarding the resources to be allocated to the Board.</w:t>
      </w:r>
    </w:p>
    <w:p w14:paraId="55D18A6D" w14:textId="77777777" w:rsidR="004975F7" w:rsidRPr="00ED7023" w:rsidRDefault="004975F7" w:rsidP="006F1454">
      <w:pPr>
        <w:pStyle w:val="Heading3"/>
      </w:pPr>
      <w:bookmarkStart w:id="39" w:name="_Toc180156219"/>
      <w:r w:rsidRPr="00ED7023">
        <w:t>Minutes</w:t>
      </w:r>
      <w:bookmarkEnd w:id="39"/>
    </w:p>
    <w:p w14:paraId="62B85AA7" w14:textId="77777777" w:rsidR="004975F7" w:rsidRPr="00723E14" w:rsidRDefault="004975F7" w:rsidP="0042426E">
      <w:r w:rsidRPr="00723E14">
        <w:t>The process for finalising the Board minutes will be as follows:</w:t>
      </w:r>
    </w:p>
    <w:p w14:paraId="557A9774" w14:textId="77777777" w:rsidR="004975F7" w:rsidRPr="00723E14" w:rsidRDefault="004975F7" w:rsidP="00B077E4">
      <w:pPr>
        <w:pStyle w:val="Bullet"/>
        <w:tabs>
          <w:tab w:val="clear" w:pos="520"/>
        </w:tabs>
        <w:ind w:left="567" w:hanging="567"/>
      </w:pPr>
      <w:r w:rsidRPr="00723E14">
        <w:lastRenderedPageBreak/>
        <w:t xml:space="preserve">Minutes are to be prepared and sent to Members as soon as possible after a Board meeting. </w:t>
      </w:r>
    </w:p>
    <w:p w14:paraId="5B110E5D" w14:textId="77777777" w:rsidR="004975F7" w:rsidRPr="00723E14" w:rsidRDefault="004975F7" w:rsidP="00B077E4">
      <w:pPr>
        <w:pStyle w:val="Bullet"/>
        <w:tabs>
          <w:tab w:val="clear" w:pos="520"/>
        </w:tabs>
        <w:ind w:left="567" w:hanging="567"/>
      </w:pPr>
      <w:r w:rsidRPr="00723E14">
        <w:t>Members are to peruse the minutes and return comments promptly.</w:t>
      </w:r>
    </w:p>
    <w:p w14:paraId="3860DBBB" w14:textId="77777777" w:rsidR="004975F7" w:rsidRPr="00723E14" w:rsidRDefault="004975F7" w:rsidP="00B077E4">
      <w:pPr>
        <w:pStyle w:val="Bullet"/>
        <w:tabs>
          <w:tab w:val="clear" w:pos="520"/>
        </w:tabs>
        <w:ind w:left="567" w:hanging="567"/>
      </w:pPr>
      <w:r w:rsidRPr="00723E14">
        <w:t xml:space="preserve">In consultation with the Chair, a final draft of the minutes will be prepared promptly </w:t>
      </w:r>
      <w:proofErr w:type="gramStart"/>
      <w:r w:rsidRPr="00723E14">
        <w:t>in light of</w:t>
      </w:r>
      <w:proofErr w:type="gramEnd"/>
      <w:r w:rsidRPr="00723E14">
        <w:t xml:space="preserve"> the Members</w:t>
      </w:r>
      <w:r w:rsidR="000069AA">
        <w:t>’</w:t>
      </w:r>
      <w:r w:rsidRPr="00723E14">
        <w:t xml:space="preserve"> comments.</w:t>
      </w:r>
    </w:p>
    <w:p w14:paraId="76DA5585" w14:textId="77777777" w:rsidR="004975F7" w:rsidRPr="00723E14" w:rsidRDefault="004975F7" w:rsidP="00B077E4">
      <w:pPr>
        <w:pStyle w:val="Bullet"/>
        <w:tabs>
          <w:tab w:val="clear" w:pos="520"/>
        </w:tabs>
        <w:ind w:left="567" w:hanging="567"/>
      </w:pPr>
      <w:r w:rsidRPr="00723E14">
        <w:t>A copy of the minutes will be available for Responsible Ministers and included for final confirmation as part of the agenda of the next meeting of the Board.</w:t>
      </w:r>
    </w:p>
    <w:p w14:paraId="310FBF30" w14:textId="77777777" w:rsidR="004975F7" w:rsidRPr="00723E14" w:rsidRDefault="004975F7" w:rsidP="006F1454">
      <w:r w:rsidRPr="00723E14">
        <w:t>The Board will write to Responsible Ministers on matters of strategic interest, when appropriate.</w:t>
      </w:r>
    </w:p>
    <w:p w14:paraId="44264F42" w14:textId="77777777" w:rsidR="004975F7" w:rsidRPr="00ED7023" w:rsidRDefault="004975F7" w:rsidP="006F1454">
      <w:pPr>
        <w:pStyle w:val="Heading3"/>
      </w:pPr>
      <w:bookmarkStart w:id="40" w:name="_Toc180156220"/>
      <w:r w:rsidRPr="00ED7023">
        <w:t>Agenda</w:t>
      </w:r>
      <w:bookmarkEnd w:id="40"/>
    </w:p>
    <w:p w14:paraId="0CBB6102" w14:textId="77777777" w:rsidR="004975F7" w:rsidRPr="00723E14" w:rsidRDefault="004975F7" w:rsidP="006F1454">
      <w:r w:rsidRPr="00723E14">
        <w:t>The agenda for each meeting is to be developed collaboratively by the ATO, MBIE and the co</w:t>
      </w:r>
      <w:r w:rsidR="000069AA">
        <w:noBreakHyphen/>
      </w:r>
      <w:r w:rsidRPr="00723E14">
        <w:t xml:space="preserve">Chairs. Members may forward items to the Secretariat for inclusion on the agenda up to 15 working days prior to the meeting. </w:t>
      </w:r>
    </w:p>
    <w:p w14:paraId="0B854EE4" w14:textId="77777777" w:rsidR="004975F7" w:rsidRPr="00723E14" w:rsidRDefault="004975F7" w:rsidP="006F1454">
      <w:r w:rsidRPr="00723E14">
        <w:t xml:space="preserve">The agreed agenda and related papers are to be sent to Members, if possible, </w:t>
      </w:r>
      <w:proofErr w:type="gramStart"/>
      <w:r w:rsidRPr="00723E14">
        <w:t>so as to</w:t>
      </w:r>
      <w:proofErr w:type="gramEnd"/>
      <w:r w:rsidRPr="00723E14">
        <w:t xml:space="preserve"> allow </w:t>
      </w:r>
      <w:r w:rsidR="00931267">
        <w:t>5 </w:t>
      </w:r>
      <w:r w:rsidRPr="00723E14">
        <w:t>working days before the relevant meeting.</w:t>
      </w:r>
    </w:p>
    <w:p w14:paraId="1430270B" w14:textId="77777777" w:rsidR="004975F7" w:rsidRPr="00ED7023" w:rsidRDefault="00546E3B" w:rsidP="00F40C44">
      <w:pPr>
        <w:pStyle w:val="Heading2"/>
        <w:spacing w:after="240"/>
      </w:pPr>
      <w:bookmarkStart w:id="41" w:name="_Toc180156221"/>
      <w:r>
        <w:t>4.</w:t>
      </w:r>
      <w:r w:rsidR="00F7017F">
        <w:tab/>
      </w:r>
      <w:r w:rsidR="004975F7" w:rsidRPr="00ED7023">
        <w:t>Meetings of the Board</w:t>
      </w:r>
      <w:bookmarkEnd w:id="41"/>
    </w:p>
    <w:p w14:paraId="16569CE7" w14:textId="77777777" w:rsidR="004975F7" w:rsidRPr="00723E14" w:rsidRDefault="004975F7" w:rsidP="006F1454">
      <w:r w:rsidRPr="00723E14">
        <w:t>Unless the co</w:t>
      </w:r>
      <w:r w:rsidR="000069AA">
        <w:noBreakHyphen/>
      </w:r>
      <w:r w:rsidRPr="00723E14">
        <w:t>Chairs direct otherwise, ordinary meetings of the Board are to be held by electronic conferences. From time</w:t>
      </w:r>
      <w:r w:rsidR="000069AA">
        <w:noBreakHyphen/>
      </w:r>
      <w:r w:rsidRPr="00723E14">
        <w:t>to</w:t>
      </w:r>
      <w:r w:rsidR="000069AA">
        <w:noBreakHyphen/>
      </w:r>
      <w:r w:rsidRPr="00723E14">
        <w:t>time meetings may be held in person.</w:t>
      </w:r>
    </w:p>
    <w:p w14:paraId="13CDFD79" w14:textId="77777777" w:rsidR="004975F7" w:rsidRPr="00723E14" w:rsidRDefault="004975F7" w:rsidP="006F1454">
      <w:r w:rsidRPr="00723E14">
        <w:t>Dates for Board meetings will be determined by consensus among Board Members. Members will receive prior written notice of each Board meeting, which will be delivered to the Members by electronic mail message.</w:t>
      </w:r>
    </w:p>
    <w:p w14:paraId="6081BD3B" w14:textId="77777777" w:rsidR="004975F7" w:rsidRPr="00723E14" w:rsidRDefault="004975F7" w:rsidP="006F1454">
      <w:r w:rsidRPr="00723E14">
        <w:t>One of the co</w:t>
      </w:r>
      <w:r w:rsidR="000069AA">
        <w:noBreakHyphen/>
      </w:r>
      <w:r w:rsidRPr="00723E14">
        <w:t xml:space="preserve">Chairs is to preside at each meeting of the Board. </w:t>
      </w:r>
    </w:p>
    <w:p w14:paraId="6C457C10" w14:textId="77777777" w:rsidR="004975F7" w:rsidRPr="00723E14" w:rsidRDefault="004975F7" w:rsidP="006F1454">
      <w:r w:rsidRPr="00723E14">
        <w:t xml:space="preserve">Members are to endeavour, </w:t>
      </w:r>
      <w:proofErr w:type="gramStart"/>
      <w:r w:rsidRPr="00723E14">
        <w:t>at all times</w:t>
      </w:r>
      <w:proofErr w:type="gramEnd"/>
      <w:r w:rsidRPr="00723E14">
        <w:t>, to reach a consensus, including on any matters to be communicated to Responsible Ministers. If the Members are unable to reach a consensus, then there is to be a vote, with a majority prevailing. If a vote is tied, the presiding co</w:t>
      </w:r>
      <w:r w:rsidR="000069AA">
        <w:noBreakHyphen/>
      </w:r>
      <w:r w:rsidRPr="00723E14">
        <w:t xml:space="preserve">Chair is to have a second or casting vote. </w:t>
      </w:r>
    </w:p>
    <w:p w14:paraId="40B566C7" w14:textId="77777777" w:rsidR="004975F7" w:rsidRPr="00723E14" w:rsidRDefault="004975F7" w:rsidP="006F1454">
      <w:r w:rsidRPr="00723E14">
        <w:t xml:space="preserve">Members who disagree with, or dissent from, a recommendation/decision of the Board </w:t>
      </w:r>
      <w:proofErr w:type="gramStart"/>
      <w:r w:rsidRPr="00723E14">
        <w:t>are able to</w:t>
      </w:r>
      <w:proofErr w:type="gramEnd"/>
      <w:r w:rsidRPr="00723E14">
        <w:t xml:space="preserve"> register their dissent or disagreement in the minutes. However, Members are bound by each recommendation/decision and will not take any steps outside the meeting to undermine a consensus or majority recommendation/decision.</w:t>
      </w:r>
    </w:p>
    <w:p w14:paraId="0A34A89A" w14:textId="77777777" w:rsidR="004975F7" w:rsidRPr="00723E14" w:rsidRDefault="004975F7" w:rsidP="006F1454">
      <w:r w:rsidRPr="00723E14">
        <w:t>Relevant Australian and New Zealand government staff and contractors who are not Board Members, may attend each meeting of the Board and, at the invitation of the presiding co</w:t>
      </w:r>
      <w:r w:rsidR="000069AA">
        <w:noBreakHyphen/>
      </w:r>
      <w:r w:rsidRPr="00723E14">
        <w:t>Chair, participate in discussions at the meeting, but may not vote on any matter at that meeting. The Board may invite Responsible Ministers to attend meetings of the Board from time to time.</w:t>
      </w:r>
    </w:p>
    <w:p w14:paraId="2134DA4A" w14:textId="77777777" w:rsidR="004975F7" w:rsidRPr="00723E14" w:rsidRDefault="004975F7" w:rsidP="006F1454">
      <w:r w:rsidRPr="00723E14">
        <w:t>Subject to compliance with the above procedures, the presiding co</w:t>
      </w:r>
      <w:r w:rsidR="000069AA">
        <w:noBreakHyphen/>
      </w:r>
      <w:r w:rsidRPr="00723E14">
        <w:t>Chair may regulate the Board</w:t>
      </w:r>
      <w:r w:rsidR="000069AA">
        <w:t>’</w:t>
      </w:r>
      <w:r w:rsidRPr="00723E14">
        <w:t>s meeting procedures in such manner as they think fit.</w:t>
      </w:r>
    </w:p>
    <w:p w14:paraId="03A70128" w14:textId="77777777" w:rsidR="004975F7" w:rsidRPr="00ED7023" w:rsidRDefault="00546E3B" w:rsidP="00F40C44">
      <w:pPr>
        <w:pStyle w:val="Heading2"/>
        <w:spacing w:after="240"/>
      </w:pPr>
      <w:bookmarkStart w:id="42" w:name="_Toc180156222"/>
      <w:r>
        <w:lastRenderedPageBreak/>
        <w:t>5.</w:t>
      </w:r>
      <w:r w:rsidR="00F75C69">
        <w:tab/>
      </w:r>
      <w:r w:rsidR="004975F7" w:rsidRPr="00ED7023">
        <w:t>Responsibilities of the presiding co</w:t>
      </w:r>
      <w:r w:rsidR="000069AA">
        <w:noBreakHyphen/>
      </w:r>
      <w:r w:rsidR="004975F7" w:rsidRPr="00ED7023">
        <w:t>Chair</w:t>
      </w:r>
      <w:bookmarkEnd w:id="42"/>
    </w:p>
    <w:p w14:paraId="38E41ED1" w14:textId="77777777" w:rsidR="004975F7" w:rsidRPr="00723E14" w:rsidRDefault="004975F7" w:rsidP="006F1454">
      <w:r w:rsidRPr="00723E14">
        <w:t>Subject to the requirements set out above, the presiding co</w:t>
      </w:r>
      <w:r w:rsidR="000069AA">
        <w:noBreakHyphen/>
      </w:r>
      <w:r w:rsidRPr="00723E14">
        <w:t xml:space="preserve">Chair (Chair) is free to conduct Board meetings as they see fit. </w:t>
      </w:r>
    </w:p>
    <w:p w14:paraId="227F161D" w14:textId="77777777" w:rsidR="004975F7" w:rsidRPr="00723E14" w:rsidRDefault="004975F7" w:rsidP="006F1454">
      <w:r w:rsidRPr="00723E14">
        <w:t xml:space="preserve">The Chair will endeavour to ensure all Board meetings start and finish on time and that, where possible, all agenda items are covered. </w:t>
      </w:r>
    </w:p>
    <w:p w14:paraId="00801661" w14:textId="77777777" w:rsidR="004975F7" w:rsidRPr="00723E14" w:rsidRDefault="004975F7" w:rsidP="006F1454">
      <w:r w:rsidRPr="00723E14">
        <w:t>The Chair is responsible for signing off the final version of the minutes of any meetings.</w:t>
      </w:r>
    </w:p>
    <w:p w14:paraId="4CE7316C" w14:textId="77777777" w:rsidR="004975F7" w:rsidRPr="00723E14" w:rsidRDefault="004975F7" w:rsidP="006F1454">
      <w:r w:rsidRPr="00723E14">
        <w:t>The Chair should be aware of the range of perspectives across the Board and is to manage discussion of those differing perspectives.</w:t>
      </w:r>
    </w:p>
    <w:p w14:paraId="5C5FE030" w14:textId="77777777" w:rsidR="004975F7" w:rsidRPr="00ED7023" w:rsidRDefault="00582093" w:rsidP="00F40C44">
      <w:pPr>
        <w:pStyle w:val="Heading2"/>
        <w:spacing w:after="240"/>
      </w:pPr>
      <w:bookmarkStart w:id="43" w:name="_Toc180156223"/>
      <w:r>
        <w:t>6.</w:t>
      </w:r>
      <w:r w:rsidR="00F75C69">
        <w:tab/>
      </w:r>
      <w:r w:rsidR="004975F7" w:rsidRPr="00ED7023">
        <w:t>Conflicts of interest</w:t>
      </w:r>
      <w:bookmarkEnd w:id="43"/>
    </w:p>
    <w:p w14:paraId="65288294" w14:textId="77777777" w:rsidR="004975F7" w:rsidRPr="00723E14" w:rsidRDefault="004975F7" w:rsidP="006F1454">
      <w:r w:rsidRPr="00723E14">
        <w:t>Members are to be aware of potential direct or indirect conflicts of interest as they arise in their daily professional life or otherwise and declare any such conflicts at the next Board meeting.</w:t>
      </w:r>
    </w:p>
    <w:p w14:paraId="5E264C3E" w14:textId="77777777" w:rsidR="004975F7" w:rsidRPr="00723E14" w:rsidRDefault="004975F7" w:rsidP="006F1454">
      <w:r w:rsidRPr="00723E14">
        <w:t xml:space="preserve">Members are to avoid, to the greatest extent possible, any direct or indirect conflict between the performance of their duties and obligations as Members, and any obligations and interests they may have </w:t>
      </w:r>
      <w:proofErr w:type="gramStart"/>
      <w:r w:rsidRPr="00723E14">
        <w:t>as a result of</w:t>
      </w:r>
      <w:proofErr w:type="gramEnd"/>
      <w:r w:rsidRPr="00723E14">
        <w:t xml:space="preserve"> their professional duties and obligations.</w:t>
      </w:r>
    </w:p>
    <w:p w14:paraId="7E47D69D" w14:textId="77777777" w:rsidR="004975F7" w:rsidRPr="00723E14" w:rsidRDefault="004975F7" w:rsidP="006F1454">
      <w:r w:rsidRPr="00723E14">
        <w:t>A Member who is directly or indirectly interested in any matter that is under consideration by the Board is to disclose the nature of that interest to the Board immediately after they become aware of it. A Member who discloses an interest to the Board in accordance with this section will not be disqualified from discussing or voting on the matter concerned and is to be counted in the quorum for that meeting, unless the Chair, in their discretion, decides that the particular interest is likely to affect the Member</w:t>
      </w:r>
      <w:r w:rsidR="000069AA">
        <w:t>’</w:t>
      </w:r>
      <w:r w:rsidRPr="00723E14">
        <w:t xml:space="preserve">s ability to properly discharge their duties. </w:t>
      </w:r>
    </w:p>
    <w:p w14:paraId="25013B0D" w14:textId="77777777" w:rsidR="004975F7" w:rsidRPr="00723E14" w:rsidRDefault="004975F7" w:rsidP="006F1454">
      <w:r w:rsidRPr="00723E14">
        <w:t xml:space="preserve">If, </w:t>
      </w:r>
      <w:proofErr w:type="gramStart"/>
      <w:r w:rsidRPr="00723E14">
        <w:t>as a result of</w:t>
      </w:r>
      <w:proofErr w:type="gramEnd"/>
      <w:r w:rsidRPr="00723E14">
        <w:t xml:space="preserve"> the disqualification of a Member under this section, a quorum cannot be maintained, then the relevant matter is to be referred to the next meeting.</w:t>
      </w:r>
    </w:p>
    <w:p w14:paraId="3B43187F" w14:textId="77777777" w:rsidR="004975F7" w:rsidRPr="00723E14" w:rsidRDefault="004975F7" w:rsidP="006F1454">
      <w:r w:rsidRPr="00723E14">
        <w:t xml:space="preserve">Where a </w:t>
      </w:r>
      <w:proofErr w:type="gramStart"/>
      <w:r w:rsidRPr="00723E14">
        <w:t>Member</w:t>
      </w:r>
      <w:proofErr w:type="gramEnd"/>
      <w:r w:rsidRPr="00723E14">
        <w:t xml:space="preserve"> declares or discloses a conflict of interest, this will be recorded in a Conflict of Interest Register, which is to be attached to each Board meeting agenda.</w:t>
      </w:r>
    </w:p>
    <w:p w14:paraId="180F9183" w14:textId="77777777" w:rsidR="004975F7" w:rsidRPr="00ED7023" w:rsidRDefault="00582093" w:rsidP="00F40C44">
      <w:pPr>
        <w:pStyle w:val="Heading2"/>
        <w:spacing w:after="240"/>
      </w:pPr>
      <w:bookmarkStart w:id="44" w:name="_Toc180156224"/>
      <w:r>
        <w:t>7.</w:t>
      </w:r>
      <w:r w:rsidR="00F75C69">
        <w:tab/>
      </w:r>
      <w:r w:rsidR="004975F7" w:rsidRPr="00ED7023">
        <w:t>Confidentiality</w:t>
      </w:r>
      <w:bookmarkEnd w:id="44"/>
    </w:p>
    <w:p w14:paraId="284E0C1C" w14:textId="77777777" w:rsidR="004975F7" w:rsidRPr="00723E14" w:rsidRDefault="004975F7" w:rsidP="006F1454">
      <w:r w:rsidRPr="00723E14">
        <w:t>Except as otherwise permitted by this section, all information, documents, and other material relating to matters on the Board</w:t>
      </w:r>
      <w:r w:rsidR="000069AA">
        <w:t>’</w:t>
      </w:r>
      <w:r w:rsidRPr="00723E14">
        <w:t>s agenda, as well as the proceedings of the Board, are confidential to Members of the Board, Responsible Ministers, and relevant government agencies.</w:t>
      </w:r>
    </w:p>
    <w:p w14:paraId="55334684" w14:textId="77777777" w:rsidR="004975F7" w:rsidRPr="00723E14" w:rsidRDefault="004975F7" w:rsidP="006F1454">
      <w:r w:rsidRPr="00723E14">
        <w:t>Members must comply with any statements of confidentiality obligations issued by</w:t>
      </w:r>
    </w:p>
    <w:p w14:paraId="2B252692" w14:textId="77777777" w:rsidR="004975F7" w:rsidRPr="00723E14" w:rsidRDefault="004975F7" w:rsidP="006F1454">
      <w:r w:rsidRPr="00723E14">
        <w:t>Ministers or the co</w:t>
      </w:r>
      <w:r w:rsidR="000069AA">
        <w:noBreakHyphen/>
      </w:r>
      <w:r w:rsidRPr="00723E14">
        <w:t>Chairs from time to time and will, if required, sign confidentiality undertakings in the form required by the co</w:t>
      </w:r>
      <w:r w:rsidR="000069AA">
        <w:noBreakHyphen/>
      </w:r>
      <w:r w:rsidRPr="00723E14">
        <w:t>Chairs.</w:t>
      </w:r>
    </w:p>
    <w:p w14:paraId="4B45891A" w14:textId="77777777" w:rsidR="004975F7" w:rsidRPr="00723E14" w:rsidRDefault="004975F7" w:rsidP="006F1454">
      <w:r w:rsidRPr="00723E14">
        <w:t>Members must store all material relating to the Board in a secure place.</w:t>
      </w:r>
    </w:p>
    <w:p w14:paraId="45A99106" w14:textId="77777777" w:rsidR="004975F7" w:rsidRPr="00723E14" w:rsidRDefault="004975F7" w:rsidP="006F1454">
      <w:r w:rsidRPr="00723E14">
        <w:lastRenderedPageBreak/>
        <w:t>Members are prohibited from speaking to the media in relation to the activities of the Board and any matters discussed at, or considered by the Board at its meetings, unless they have the prior agreement of the co</w:t>
      </w:r>
      <w:r w:rsidR="000069AA">
        <w:noBreakHyphen/>
      </w:r>
      <w:r w:rsidRPr="00723E14">
        <w:t>Chairs.</w:t>
      </w:r>
    </w:p>
    <w:p w14:paraId="152D6035" w14:textId="77777777" w:rsidR="004975F7" w:rsidRPr="00723E14" w:rsidRDefault="004975F7" w:rsidP="006F1454">
      <w:r w:rsidRPr="00723E14">
        <w:t>For the avoidance of doubt this section does not:</w:t>
      </w:r>
    </w:p>
    <w:p w14:paraId="08D0A09B" w14:textId="77777777" w:rsidR="004975F7" w:rsidRPr="00723E14" w:rsidRDefault="004975F7" w:rsidP="00B077E4">
      <w:pPr>
        <w:pStyle w:val="Bullet"/>
        <w:tabs>
          <w:tab w:val="clear" w:pos="520"/>
        </w:tabs>
        <w:ind w:left="567" w:hanging="567"/>
      </w:pPr>
      <w:r w:rsidRPr="00723E14">
        <w:t>compromise any Member</w:t>
      </w:r>
      <w:r w:rsidR="000069AA">
        <w:t>’</w:t>
      </w:r>
      <w:r w:rsidRPr="00723E14">
        <w:t>s right or ability to:</w:t>
      </w:r>
    </w:p>
    <w:p w14:paraId="46AE1B7F" w14:textId="77777777" w:rsidR="004975F7" w:rsidRPr="00723E14" w:rsidRDefault="004975F7" w:rsidP="00311DE0">
      <w:pPr>
        <w:pStyle w:val="DoubleDot"/>
        <w:numPr>
          <w:ilvl w:val="2"/>
          <w:numId w:val="13"/>
        </w:numPr>
      </w:pPr>
      <w:r w:rsidRPr="00723E14">
        <w:t xml:space="preserve">raise matters relating to the provision of their services with relevant Ministers, government agencies or the </w:t>
      </w:r>
      <w:proofErr w:type="gramStart"/>
      <w:r w:rsidRPr="00723E14">
        <w:t>media</w:t>
      </w:r>
      <w:proofErr w:type="gramEnd"/>
    </w:p>
    <w:p w14:paraId="2061B207" w14:textId="77777777" w:rsidR="004975F7" w:rsidRPr="00723E14" w:rsidRDefault="004975F7" w:rsidP="00311DE0">
      <w:pPr>
        <w:pStyle w:val="DoubleDot"/>
        <w:numPr>
          <w:ilvl w:val="2"/>
          <w:numId w:val="13"/>
        </w:numPr>
      </w:pPr>
      <w:r w:rsidRPr="00723E14">
        <w:t>discuss within their own organisation, in general, issues that fall within the scope of the ANZEIB Terms of Reference.</w:t>
      </w:r>
    </w:p>
    <w:p w14:paraId="5EF776AE" w14:textId="77777777" w:rsidR="004975F7" w:rsidRPr="00723E14" w:rsidRDefault="004975F7" w:rsidP="00B077E4">
      <w:pPr>
        <w:pStyle w:val="Bullet"/>
        <w:tabs>
          <w:tab w:val="clear" w:pos="520"/>
        </w:tabs>
        <w:ind w:left="567" w:hanging="567"/>
      </w:pPr>
      <w:r w:rsidRPr="00723E14">
        <w:t xml:space="preserve">prevent Responsible Ministers, or officials acting for their respective governments, from releasing information or making announcements about the </w:t>
      </w:r>
      <w:proofErr w:type="spellStart"/>
      <w:r w:rsidRPr="00723E14">
        <w:t>eInvoicing</w:t>
      </w:r>
      <w:proofErr w:type="spellEnd"/>
      <w:r w:rsidRPr="00723E14">
        <w:t xml:space="preserve"> collaboration and/or its implementation in their jurisdiction in a manner that is consistent with the Arrangement.</w:t>
      </w:r>
    </w:p>
    <w:p w14:paraId="5690DDA2" w14:textId="77777777" w:rsidR="004975F7" w:rsidRPr="00ED7023" w:rsidRDefault="00582093" w:rsidP="00F40C44">
      <w:pPr>
        <w:pStyle w:val="Heading2"/>
        <w:spacing w:after="240"/>
      </w:pPr>
      <w:bookmarkStart w:id="45" w:name="_Toc180156225"/>
      <w:r>
        <w:t>8.</w:t>
      </w:r>
      <w:r w:rsidR="00F75C69">
        <w:tab/>
      </w:r>
      <w:r w:rsidR="004975F7" w:rsidRPr="00ED7023">
        <w:t>Observers</w:t>
      </w:r>
      <w:bookmarkEnd w:id="45"/>
    </w:p>
    <w:p w14:paraId="0E936353" w14:textId="77777777" w:rsidR="004975F7" w:rsidRPr="00723E14" w:rsidRDefault="004975F7" w:rsidP="006F1454">
      <w:r w:rsidRPr="00723E14">
        <w:t xml:space="preserve">At the discretion of the Board, observers, including invited experts, may attend meetings of the Board. These observers are not, and are not to be deemed to be, Members. </w:t>
      </w:r>
    </w:p>
    <w:p w14:paraId="475627F7" w14:textId="77777777" w:rsidR="004975F7" w:rsidRPr="00723E14" w:rsidRDefault="004975F7" w:rsidP="006F1454">
      <w:r w:rsidRPr="00723E14">
        <w:t>Observers should not, in the view of the Board, by their presence affect any Member of the Board, either by influencing or constraining discussion at any Board meeting. The Board must endeavour to ensure that observers do not act in a manner that influences or constrains discussions at a Board meeting and may require an observer to leave a meeting if the Board considers that observer</w:t>
      </w:r>
      <w:r w:rsidR="000069AA">
        <w:t>’</w:t>
      </w:r>
      <w:r w:rsidRPr="00723E14">
        <w:t>s presence could otherwise influence or constrain discussion.</w:t>
      </w:r>
    </w:p>
    <w:p w14:paraId="4F480D24" w14:textId="77777777" w:rsidR="004975F7" w:rsidRPr="00723E14" w:rsidRDefault="004975F7" w:rsidP="006F1454">
      <w:r w:rsidRPr="00723E14">
        <w:t>Observers may be required to sign confidentiality undertakings, prior to attending any meeting of the Board, in the form required by the Board.</w:t>
      </w:r>
    </w:p>
    <w:p w14:paraId="1A2CF2D3" w14:textId="77777777" w:rsidR="004975F7" w:rsidRPr="00ED7023" w:rsidRDefault="00582093" w:rsidP="00F40C44">
      <w:pPr>
        <w:pStyle w:val="Heading2"/>
        <w:spacing w:after="240"/>
      </w:pPr>
      <w:bookmarkStart w:id="46" w:name="_Toc180156226"/>
      <w:r>
        <w:t>9.</w:t>
      </w:r>
      <w:r w:rsidR="00F75C69">
        <w:tab/>
      </w:r>
      <w:r w:rsidR="004975F7" w:rsidRPr="00ED7023">
        <w:t>Variation of Charter and Disputes</w:t>
      </w:r>
      <w:bookmarkEnd w:id="46"/>
    </w:p>
    <w:p w14:paraId="496C4CD6" w14:textId="77777777" w:rsidR="004975F7" w:rsidRPr="00723E14" w:rsidRDefault="004975F7" w:rsidP="006F1454">
      <w:r w:rsidRPr="00723E14">
        <w:t>This Charter provides direction on the Board</w:t>
      </w:r>
      <w:r w:rsidR="000069AA">
        <w:t>’</w:t>
      </w:r>
      <w:r w:rsidRPr="00723E14">
        <w:t xml:space="preserve">s functions and processes but is not intended to cover every eventuality. It is to be interpreted flexibly and pragmatically, to allow the Board the scope to adapt its functions and processes as the need arises. </w:t>
      </w:r>
    </w:p>
    <w:p w14:paraId="5ACC92D2" w14:textId="77777777" w:rsidR="004975F7" w:rsidRPr="00723E14" w:rsidRDefault="004975F7" w:rsidP="006F1454">
      <w:r w:rsidRPr="00723E14">
        <w:t>This Charter may also be varied or revoked at any time (which may, where the co</w:t>
      </w:r>
      <w:r w:rsidR="000069AA">
        <w:noBreakHyphen/>
      </w:r>
      <w:r w:rsidRPr="00723E14">
        <w:t>Chairs consider it appropriate, involve prior consultation with persons other than Members).</w:t>
      </w:r>
    </w:p>
    <w:p w14:paraId="75295D66" w14:textId="77777777" w:rsidR="004975F7" w:rsidRPr="00723E14" w:rsidRDefault="004975F7" w:rsidP="006F1454">
      <w:r w:rsidRPr="00723E14">
        <w:t>Any dispute or disagreement as to the meaning or application of any section in this Charter is to be determined by the co</w:t>
      </w:r>
      <w:r w:rsidR="000069AA">
        <w:noBreakHyphen/>
      </w:r>
      <w:r w:rsidRPr="00723E14">
        <w:t>Chairs, whose decision is final.</w:t>
      </w:r>
    </w:p>
    <w:sectPr w:rsidR="004975F7" w:rsidRPr="00723E14" w:rsidSect="00B66783">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3F931" w14:textId="77777777" w:rsidR="007E3ADD" w:rsidRDefault="007E3ADD">
      <w:pPr>
        <w:spacing w:before="0" w:after="0"/>
      </w:pPr>
      <w:r>
        <w:separator/>
      </w:r>
    </w:p>
  </w:endnote>
  <w:endnote w:type="continuationSeparator" w:id="0">
    <w:p w14:paraId="5B22F17F" w14:textId="77777777" w:rsidR="007E3ADD" w:rsidRDefault="007E3A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2D15" w14:textId="77777777" w:rsidR="00B55B04" w:rsidRPr="00577281" w:rsidRDefault="0088666B" w:rsidP="00577281">
    <w:pPr>
      <w:pStyle w:val="FooterEven"/>
    </w:pPr>
    <w:r w:rsidRPr="00577281">
      <w:fldChar w:fldCharType="begin"/>
    </w:r>
    <w:r w:rsidRPr="00577281">
      <w:instrText xml:space="preserve"> PAGE   \* MERGEFORMAT </w:instrText>
    </w:r>
    <w:r w:rsidRPr="00577281">
      <w:fldChar w:fldCharType="separate"/>
    </w:r>
    <w:r w:rsidRPr="00577281">
      <w:t>2</w:t>
    </w:r>
    <w:r w:rsidRPr="00577281">
      <w:fldChar w:fldCharType="end"/>
    </w:r>
    <w:r w:rsidRPr="00577281">
      <w:t xml:space="preserve"> | </w:t>
    </w:r>
    <w:fldSimple w:instr=" STYLEREF  Title  \* MERGEFORMAT ">
      <w:r w:rsidR="00501146">
        <w:t>Government Electronic Invoicing Arrangement</w:t>
      </w:r>
    </w:fldSimple>
    <w:fldSimple w:instr=" STYLEREF  Title  \* MERGEFORMAT ">
      <w:r w:rsidR="00501146">
        <w:t>Government Electronic Invoicing Arrangement</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3052" w14:textId="796B26E0" w:rsidR="00B55B04" w:rsidRDefault="00B55B04" w:rsidP="003C6534">
    <w:pPr>
      <w:pStyle w:val="FooterOdd"/>
    </w:pPr>
    <w:r>
      <w:ptab w:relativeTo="margin" w:alignment="right" w:leader="none"/>
    </w:r>
    <w:fldSimple w:instr=" STYLEREF  &quot;Heading 1&quot;  \* MERGEFORMAT ">
      <w:r w:rsidR="00473B01">
        <w:rPr>
          <w:noProof/>
        </w:rPr>
        <w:t>Contents</w:t>
      </w:r>
    </w:fldSimple>
    <w:r>
      <w:rPr>
        <w:noProof/>
      </w:rPr>
      <w:t xml:space="preserve"> </w:t>
    </w:r>
    <w:r>
      <w:t xml:space="preserve">| </w:t>
    </w: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2656" w14:textId="7F7620EE" w:rsidR="00C60B0F" w:rsidRPr="00C60B0F" w:rsidRDefault="00000000" w:rsidP="009A390A">
    <w:pPr>
      <w:pStyle w:val="FooterOdd"/>
    </w:pPr>
    <w:fldSimple w:instr=" STYLEREF  &quot;Heading 1&quot;  \* MERGEFORMAT ">
      <w:r w:rsidR="00473B01">
        <w:rPr>
          <w:noProof/>
        </w:rPr>
        <w:t>Annex: Charter of the Australia-New Zealand Electronic Invoicing Board</w:t>
      </w:r>
    </w:fldSimple>
    <w:r w:rsidR="009A390A" w:rsidRPr="00C60B0F">
      <w:t xml:space="preserve"> |</w:t>
    </w:r>
    <w:r w:rsidR="009A390A" w:rsidRPr="00C60B0F">
      <w:fldChar w:fldCharType="begin"/>
    </w:r>
    <w:r w:rsidR="009A390A" w:rsidRPr="00C60B0F">
      <w:instrText xml:space="preserve"> PAGE   \* MERGEFORMAT </w:instrText>
    </w:r>
    <w:r w:rsidR="009A390A" w:rsidRPr="00C60B0F">
      <w:fldChar w:fldCharType="separate"/>
    </w:r>
    <w:r w:rsidR="009A390A">
      <w:t>4</w:t>
    </w:r>
    <w:r w:rsidR="009A390A" w:rsidRPr="00C60B0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0475" w14:textId="626B930D" w:rsidR="00C60B0F" w:rsidRPr="001515FD" w:rsidRDefault="00000000" w:rsidP="00AB738A">
    <w:pPr>
      <w:pStyle w:val="FooterOdd"/>
    </w:pPr>
    <w:fldSimple w:instr=" STYLEREF  &quot;Heading 1&quot;  \* MERGEFORMAT ">
      <w:r w:rsidR="00473B01">
        <w:rPr>
          <w:noProof/>
        </w:rPr>
        <w:t>Annex: Charter of the Australia-New Zealand Electronic Invoicing Board</w:t>
      </w:r>
    </w:fldSimple>
    <w:r w:rsidR="00C60B0F">
      <w:t xml:space="preserve"> | </w:t>
    </w:r>
    <w:r w:rsidR="00C60B0F">
      <w:fldChar w:fldCharType="begin"/>
    </w:r>
    <w:r w:rsidR="00C60B0F">
      <w:instrText xml:space="preserve"> PAGE   \* MERGEFORMAT </w:instrText>
    </w:r>
    <w:r w:rsidR="00C60B0F">
      <w:fldChar w:fldCharType="separate"/>
    </w:r>
    <w:r w:rsidR="00C60B0F">
      <w:t>1</w:t>
    </w:r>
    <w:r w:rsidR="00C60B0F">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2CE7" w14:textId="77777777" w:rsidR="00C60B0F" w:rsidRDefault="00C60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D63D7" w14:textId="77777777" w:rsidR="007E3ADD" w:rsidRPr="00ED5A20" w:rsidRDefault="007E3ADD" w:rsidP="000F6233">
      <w:pPr>
        <w:rPr>
          <w:color w:val="B2B2B2" w:themeColor="accent2"/>
        </w:rPr>
      </w:pPr>
      <w:r w:rsidRPr="00ED5A20">
        <w:rPr>
          <w:color w:val="B2B2B2" w:themeColor="accent2"/>
        </w:rPr>
        <w:separator/>
      </w:r>
    </w:p>
  </w:footnote>
  <w:footnote w:type="continuationSeparator" w:id="0">
    <w:p w14:paraId="27C4BE6C" w14:textId="77777777" w:rsidR="007E3ADD" w:rsidRPr="00B737EB" w:rsidRDefault="007E3ADD">
      <w:pPr>
        <w:spacing w:before="0" w:after="0"/>
        <w:rPr>
          <w:color w:val="E6E6E6" w:themeColor="accent1"/>
        </w:rPr>
      </w:pPr>
      <w:r w:rsidRPr="00B737EB">
        <w:rPr>
          <w:color w:val="E6E6E6" w:themeColor="accent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203D" w14:textId="77777777" w:rsidR="00B55B04" w:rsidRPr="005C5571" w:rsidRDefault="00000000" w:rsidP="005C5571">
    <w:pPr>
      <w:pStyle w:val="HeaderEven"/>
    </w:pPr>
    <w:fldSimple w:instr=" STYLEREF  Title  \* MERGEFORMAT ">
      <w:r w:rsidR="00501146">
        <w:rPr>
          <w:noProof/>
        </w:rPr>
        <w:t>Government Electronic Invoicing Arrangement</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3B92A" w14:textId="77777777" w:rsidR="00B55B04" w:rsidRPr="00F836F9" w:rsidRDefault="00B55B04" w:rsidP="00F836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8A3E" w14:textId="77777777" w:rsidR="005C5571" w:rsidRPr="00647692" w:rsidRDefault="005C5571" w:rsidP="00420CD3">
    <w:pPr>
      <w:pStyle w:val="HeaderOd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9B8C" w14:textId="61A9835D" w:rsidR="003C5DD7" w:rsidRPr="0006017E" w:rsidRDefault="003C5DD7" w:rsidP="003C5DD7">
    <w:pPr>
      <w:pStyle w:val="HeaderOdd"/>
    </w:pPr>
    <w:r>
      <w:t xml:space="preserve">Australia and New Zealand </w:t>
    </w:r>
    <w:fldSimple w:instr=" STYLEREF  Title  \* MERGEFORMAT ">
      <w:r w:rsidR="00473B01" w:rsidRPr="00473B01">
        <w:rPr>
          <w:noProof/>
          <w:lang w:val="en-US"/>
        </w:rPr>
        <w:t>Government</w:t>
      </w:r>
      <w:r w:rsidR="00473B01">
        <w:rPr>
          <w:noProof/>
        </w:rPr>
        <w:t xml:space="preserve"> Electronic Invoicing Arrangement</w:t>
      </w:r>
    </w:fldSimple>
  </w:p>
  <w:p w14:paraId="63350C3E" w14:textId="77777777" w:rsidR="00C60B0F" w:rsidRPr="003C5DD7" w:rsidRDefault="00C60B0F" w:rsidP="003C5D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43A4" w14:textId="144F2025" w:rsidR="00C60B0F" w:rsidRPr="0006017E" w:rsidRDefault="003C5DD7" w:rsidP="00420CD3">
    <w:pPr>
      <w:pStyle w:val="HeaderOdd"/>
    </w:pPr>
    <w:r>
      <w:t xml:space="preserve">Australia and New Zealand </w:t>
    </w:r>
    <w:fldSimple w:instr=" STYLEREF  Title  \* MERGEFORMAT ">
      <w:r w:rsidR="00473B01" w:rsidRPr="00473B01">
        <w:rPr>
          <w:noProof/>
          <w:lang w:val="en-US"/>
        </w:rPr>
        <w:t>Government</w:t>
      </w:r>
      <w:r w:rsidR="00473B01">
        <w:rPr>
          <w:noProof/>
        </w:rPr>
        <w:t xml:space="preserve"> Electronic Invoicing Arrangement</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930A" w14:textId="77777777" w:rsidR="00C60B0F" w:rsidRDefault="00C60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66B7D"/>
    <w:multiLevelType w:val="multilevel"/>
    <w:tmpl w:val="6D4C5EEE"/>
    <w:lvl w:ilvl="0">
      <w:start w:val="1"/>
      <w:numFmt w:val="bullet"/>
      <w:lvlText w:val="•"/>
      <w:lvlJc w:val="left"/>
      <w:pPr>
        <w:tabs>
          <w:tab w:val="num" w:pos="520"/>
        </w:tabs>
        <w:ind w:left="284" w:hanging="284"/>
      </w:pPr>
      <w:rPr>
        <w:rFonts w:ascii="Times New Roman" w:hAnsi="Times New Roman" w:cs="Times New Roman" w:hint="default"/>
        <w:color w:val="auto"/>
      </w:rPr>
    </w:lvl>
    <w:lvl w:ilvl="1">
      <w:start w:val="1"/>
      <w:numFmt w:val="bullet"/>
      <w:lvlText w:val="–"/>
      <w:lvlJc w:val="left"/>
      <w:pPr>
        <w:tabs>
          <w:tab w:val="num" w:pos="804"/>
        </w:tabs>
        <w:ind w:left="568" w:hanging="284"/>
      </w:pPr>
      <w:rPr>
        <w:rFonts w:ascii="Times New Roman" w:hAnsi="Times New Roman" w:cs="Times New Roman" w:hint="default"/>
      </w:rPr>
    </w:lvl>
    <w:lvl w:ilvl="2">
      <w:start w:val="1"/>
      <w:numFmt w:val="bullet"/>
      <w:lvlText w:val="o"/>
      <w:lvlJc w:val="left"/>
      <w:pPr>
        <w:ind w:left="928" w:hanging="360"/>
      </w:pPr>
      <w:rPr>
        <w:rFonts w:ascii="Courier New" w:hAnsi="Courier New" w:cs="Courier New"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10" w15:restartNumberingAfterBreak="0">
    <w:nsid w:val="7D6B5224"/>
    <w:multiLevelType w:val="multilevel"/>
    <w:tmpl w:val="D0025D30"/>
    <w:name w:val="StandardBulletedList"/>
    <w:lvl w:ilvl="0">
      <w:start w:val="1"/>
      <w:numFmt w:val="bullet"/>
      <w:pStyle w:val="Bullet"/>
      <w:lvlText w:val="•"/>
      <w:lvlJc w:val="left"/>
      <w:pPr>
        <w:tabs>
          <w:tab w:val="num" w:pos="520"/>
        </w:tabs>
        <w:ind w:left="284" w:hanging="284"/>
      </w:pPr>
      <w:rPr>
        <w:rFonts w:ascii="Times New Roman" w:hAnsi="Times New Roman" w:cs="Times New Roman" w:hint="default"/>
        <w:color w:val="auto"/>
      </w:rPr>
    </w:lvl>
    <w:lvl w:ilvl="1">
      <w:start w:val="1"/>
      <w:numFmt w:val="bullet"/>
      <w:pStyle w:val="Dash"/>
      <w:lvlText w:val="–"/>
      <w:lvlJc w:val="left"/>
      <w:pPr>
        <w:tabs>
          <w:tab w:val="num" w:pos="804"/>
        </w:tabs>
        <w:ind w:left="568" w:hanging="284"/>
      </w:pPr>
      <w:rPr>
        <w:rFonts w:ascii="Times New Roman" w:hAnsi="Times New Roman" w:cs="Times New Roman" w:hint="default"/>
      </w:rPr>
    </w:lvl>
    <w:lvl w:ilvl="2">
      <w:start w:val="1"/>
      <w:numFmt w:val="bullet"/>
      <w:pStyle w:val="DoubleDot"/>
      <w:lvlText w:val=":"/>
      <w:lvlJc w:val="left"/>
      <w:pPr>
        <w:tabs>
          <w:tab w:val="num" w:pos="1088"/>
        </w:tabs>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num w:numId="1" w16cid:durableId="747112092">
    <w:abstractNumId w:val="5"/>
  </w:num>
  <w:num w:numId="2" w16cid:durableId="125392115">
    <w:abstractNumId w:val="0"/>
  </w:num>
  <w:num w:numId="3" w16cid:durableId="1138493796">
    <w:abstractNumId w:val="7"/>
  </w:num>
  <w:num w:numId="4" w16cid:durableId="697198535">
    <w:abstractNumId w:val="1"/>
  </w:num>
  <w:num w:numId="5" w16cid:durableId="1530605932">
    <w:abstractNumId w:val="8"/>
  </w:num>
  <w:num w:numId="6" w16cid:durableId="1077706018">
    <w:abstractNumId w:val="6"/>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1334606905">
    <w:abstractNumId w:val="2"/>
  </w:num>
  <w:num w:numId="8" w16cid:durableId="732696603">
    <w:abstractNumId w:val="4"/>
  </w:num>
  <w:num w:numId="9" w16cid:durableId="157624863">
    <w:abstractNumId w:val="6"/>
  </w:num>
  <w:num w:numId="10" w16cid:durableId="1455251550">
    <w:abstractNumId w:val="10"/>
  </w:num>
  <w:num w:numId="11" w16cid:durableId="1065297974">
    <w:abstractNumId w:val="9"/>
  </w:num>
  <w:num w:numId="12" w16cid:durableId="5448272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683749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612"/>
    <w:rsid w:val="000006EC"/>
    <w:rsid w:val="000069AA"/>
    <w:rsid w:val="000070BE"/>
    <w:rsid w:val="00011725"/>
    <w:rsid w:val="00012C62"/>
    <w:rsid w:val="0001396A"/>
    <w:rsid w:val="0001497D"/>
    <w:rsid w:val="0002544D"/>
    <w:rsid w:val="00033C83"/>
    <w:rsid w:val="0003540B"/>
    <w:rsid w:val="0004274D"/>
    <w:rsid w:val="00043348"/>
    <w:rsid w:val="0004483F"/>
    <w:rsid w:val="00046CB4"/>
    <w:rsid w:val="0005138B"/>
    <w:rsid w:val="000522B7"/>
    <w:rsid w:val="00053717"/>
    <w:rsid w:val="00056880"/>
    <w:rsid w:val="0006017E"/>
    <w:rsid w:val="000675D1"/>
    <w:rsid w:val="00073521"/>
    <w:rsid w:val="000775DE"/>
    <w:rsid w:val="00080D67"/>
    <w:rsid w:val="00087FAF"/>
    <w:rsid w:val="000900CB"/>
    <w:rsid w:val="00097C29"/>
    <w:rsid w:val="000A3675"/>
    <w:rsid w:val="000B093F"/>
    <w:rsid w:val="000B302A"/>
    <w:rsid w:val="000B6612"/>
    <w:rsid w:val="000C2F13"/>
    <w:rsid w:val="000C571D"/>
    <w:rsid w:val="000C5F40"/>
    <w:rsid w:val="000E0B74"/>
    <w:rsid w:val="000E33D4"/>
    <w:rsid w:val="000E727D"/>
    <w:rsid w:val="000E7901"/>
    <w:rsid w:val="000F19AB"/>
    <w:rsid w:val="000F35A9"/>
    <w:rsid w:val="000F6233"/>
    <w:rsid w:val="000F6CF9"/>
    <w:rsid w:val="00123AC0"/>
    <w:rsid w:val="00131DC3"/>
    <w:rsid w:val="00135E4C"/>
    <w:rsid w:val="001373F5"/>
    <w:rsid w:val="00147168"/>
    <w:rsid w:val="001515FD"/>
    <w:rsid w:val="001574C0"/>
    <w:rsid w:val="001606CF"/>
    <w:rsid w:val="0016128D"/>
    <w:rsid w:val="00164599"/>
    <w:rsid w:val="00165C2A"/>
    <w:rsid w:val="00166074"/>
    <w:rsid w:val="0017089D"/>
    <w:rsid w:val="001805A8"/>
    <w:rsid w:val="00181651"/>
    <w:rsid w:val="00186F7C"/>
    <w:rsid w:val="0019101A"/>
    <w:rsid w:val="00191CFE"/>
    <w:rsid w:val="00195C8E"/>
    <w:rsid w:val="00195CBF"/>
    <w:rsid w:val="001972D2"/>
    <w:rsid w:val="001A5383"/>
    <w:rsid w:val="001A6B47"/>
    <w:rsid w:val="001C358D"/>
    <w:rsid w:val="001C40A0"/>
    <w:rsid w:val="001C4EBD"/>
    <w:rsid w:val="001E025D"/>
    <w:rsid w:val="001F1B27"/>
    <w:rsid w:val="002020EC"/>
    <w:rsid w:val="00221EC0"/>
    <w:rsid w:val="00230D66"/>
    <w:rsid w:val="00231049"/>
    <w:rsid w:val="002314D2"/>
    <w:rsid w:val="0023305C"/>
    <w:rsid w:val="00241881"/>
    <w:rsid w:val="0024294C"/>
    <w:rsid w:val="002437D1"/>
    <w:rsid w:val="002461BA"/>
    <w:rsid w:val="002472FB"/>
    <w:rsid w:val="00253878"/>
    <w:rsid w:val="002543D8"/>
    <w:rsid w:val="0025652F"/>
    <w:rsid w:val="002608F1"/>
    <w:rsid w:val="0026127D"/>
    <w:rsid w:val="00261A63"/>
    <w:rsid w:val="00263B6C"/>
    <w:rsid w:val="00272939"/>
    <w:rsid w:val="0027590B"/>
    <w:rsid w:val="00275AA1"/>
    <w:rsid w:val="002835F6"/>
    <w:rsid w:val="00285969"/>
    <w:rsid w:val="00295B30"/>
    <w:rsid w:val="00296BB1"/>
    <w:rsid w:val="002A25B8"/>
    <w:rsid w:val="002A74EF"/>
    <w:rsid w:val="002A7A31"/>
    <w:rsid w:val="002B231D"/>
    <w:rsid w:val="002B3829"/>
    <w:rsid w:val="002C22EF"/>
    <w:rsid w:val="002D7351"/>
    <w:rsid w:val="002E1FB6"/>
    <w:rsid w:val="002E454C"/>
    <w:rsid w:val="002F26A5"/>
    <w:rsid w:val="002F617F"/>
    <w:rsid w:val="00300109"/>
    <w:rsid w:val="00301755"/>
    <w:rsid w:val="0030665E"/>
    <w:rsid w:val="00306894"/>
    <w:rsid w:val="003074FE"/>
    <w:rsid w:val="00311DE0"/>
    <w:rsid w:val="003122F4"/>
    <w:rsid w:val="0031318A"/>
    <w:rsid w:val="0031334A"/>
    <w:rsid w:val="003169DF"/>
    <w:rsid w:val="00326062"/>
    <w:rsid w:val="003268D5"/>
    <w:rsid w:val="0032700D"/>
    <w:rsid w:val="00327CFF"/>
    <w:rsid w:val="00333841"/>
    <w:rsid w:val="00334176"/>
    <w:rsid w:val="0033755F"/>
    <w:rsid w:val="003443A3"/>
    <w:rsid w:val="003448F6"/>
    <w:rsid w:val="0034598E"/>
    <w:rsid w:val="00350388"/>
    <w:rsid w:val="00350759"/>
    <w:rsid w:val="003525FC"/>
    <w:rsid w:val="00354D27"/>
    <w:rsid w:val="0035675B"/>
    <w:rsid w:val="0035738A"/>
    <w:rsid w:val="00372D99"/>
    <w:rsid w:val="003744B0"/>
    <w:rsid w:val="00375655"/>
    <w:rsid w:val="003858A6"/>
    <w:rsid w:val="0039150C"/>
    <w:rsid w:val="00392DCC"/>
    <w:rsid w:val="00397BB5"/>
    <w:rsid w:val="003A5B36"/>
    <w:rsid w:val="003C24B4"/>
    <w:rsid w:val="003C5DD7"/>
    <w:rsid w:val="003C6534"/>
    <w:rsid w:val="003D08C0"/>
    <w:rsid w:val="003E20D6"/>
    <w:rsid w:val="003E4D87"/>
    <w:rsid w:val="003F041C"/>
    <w:rsid w:val="003F26E4"/>
    <w:rsid w:val="00401082"/>
    <w:rsid w:val="00401401"/>
    <w:rsid w:val="00410819"/>
    <w:rsid w:val="00412369"/>
    <w:rsid w:val="00416762"/>
    <w:rsid w:val="00416E55"/>
    <w:rsid w:val="00420CD3"/>
    <w:rsid w:val="00421955"/>
    <w:rsid w:val="004233EB"/>
    <w:rsid w:val="0042426E"/>
    <w:rsid w:val="0042518A"/>
    <w:rsid w:val="004276A0"/>
    <w:rsid w:val="004324E5"/>
    <w:rsid w:val="004327A3"/>
    <w:rsid w:val="00437EE9"/>
    <w:rsid w:val="0044326B"/>
    <w:rsid w:val="00444A63"/>
    <w:rsid w:val="00445265"/>
    <w:rsid w:val="004559CE"/>
    <w:rsid w:val="004565FA"/>
    <w:rsid w:val="00460E1A"/>
    <w:rsid w:val="00463DF8"/>
    <w:rsid w:val="00471F60"/>
    <w:rsid w:val="00473B01"/>
    <w:rsid w:val="00475085"/>
    <w:rsid w:val="00476CF6"/>
    <w:rsid w:val="00477AA8"/>
    <w:rsid w:val="00492FCB"/>
    <w:rsid w:val="00496DD3"/>
    <w:rsid w:val="004975F7"/>
    <w:rsid w:val="00497F86"/>
    <w:rsid w:val="004A0F11"/>
    <w:rsid w:val="004A3EAA"/>
    <w:rsid w:val="004A7D97"/>
    <w:rsid w:val="004B329D"/>
    <w:rsid w:val="004B5133"/>
    <w:rsid w:val="004C2902"/>
    <w:rsid w:val="004C3F59"/>
    <w:rsid w:val="004C41B6"/>
    <w:rsid w:val="004D1036"/>
    <w:rsid w:val="004D6E37"/>
    <w:rsid w:val="004E00EA"/>
    <w:rsid w:val="004E307D"/>
    <w:rsid w:val="004E4E68"/>
    <w:rsid w:val="004E6B14"/>
    <w:rsid w:val="004E7897"/>
    <w:rsid w:val="004F19CE"/>
    <w:rsid w:val="004F4B92"/>
    <w:rsid w:val="005005F5"/>
    <w:rsid w:val="00501146"/>
    <w:rsid w:val="00501B6C"/>
    <w:rsid w:val="00502A9D"/>
    <w:rsid w:val="005041BC"/>
    <w:rsid w:val="00516785"/>
    <w:rsid w:val="005179C9"/>
    <w:rsid w:val="00520EB3"/>
    <w:rsid w:val="0052419D"/>
    <w:rsid w:val="005301F8"/>
    <w:rsid w:val="005312FC"/>
    <w:rsid w:val="00532C6D"/>
    <w:rsid w:val="0053569E"/>
    <w:rsid w:val="0053603D"/>
    <w:rsid w:val="0053742A"/>
    <w:rsid w:val="00537C85"/>
    <w:rsid w:val="00541D29"/>
    <w:rsid w:val="00543F23"/>
    <w:rsid w:val="00546E3B"/>
    <w:rsid w:val="00551602"/>
    <w:rsid w:val="005550D2"/>
    <w:rsid w:val="00562F17"/>
    <w:rsid w:val="00565232"/>
    <w:rsid w:val="0056582C"/>
    <w:rsid w:val="00573814"/>
    <w:rsid w:val="00577281"/>
    <w:rsid w:val="005776B2"/>
    <w:rsid w:val="00582093"/>
    <w:rsid w:val="00586605"/>
    <w:rsid w:val="005868DE"/>
    <w:rsid w:val="005877AC"/>
    <w:rsid w:val="00594C70"/>
    <w:rsid w:val="005966B7"/>
    <w:rsid w:val="005B5E2A"/>
    <w:rsid w:val="005C02A4"/>
    <w:rsid w:val="005C20D2"/>
    <w:rsid w:val="005C32FE"/>
    <w:rsid w:val="005C503A"/>
    <w:rsid w:val="005C5571"/>
    <w:rsid w:val="005D024A"/>
    <w:rsid w:val="005D0269"/>
    <w:rsid w:val="005D4FD4"/>
    <w:rsid w:val="005D6D64"/>
    <w:rsid w:val="005D7656"/>
    <w:rsid w:val="005E12FD"/>
    <w:rsid w:val="005E2343"/>
    <w:rsid w:val="005F1AA9"/>
    <w:rsid w:val="00601650"/>
    <w:rsid w:val="00604EEF"/>
    <w:rsid w:val="00605AFD"/>
    <w:rsid w:val="00611F76"/>
    <w:rsid w:val="006123D4"/>
    <w:rsid w:val="0061445B"/>
    <w:rsid w:val="00616959"/>
    <w:rsid w:val="00624C4B"/>
    <w:rsid w:val="00637B5D"/>
    <w:rsid w:val="006469CC"/>
    <w:rsid w:val="00647692"/>
    <w:rsid w:val="00657FD2"/>
    <w:rsid w:val="00672B5D"/>
    <w:rsid w:val="0067622C"/>
    <w:rsid w:val="00682249"/>
    <w:rsid w:val="00685CF7"/>
    <w:rsid w:val="00685E81"/>
    <w:rsid w:val="00686165"/>
    <w:rsid w:val="00691CB5"/>
    <w:rsid w:val="006923DF"/>
    <w:rsid w:val="006A37F5"/>
    <w:rsid w:val="006B38FF"/>
    <w:rsid w:val="006C1892"/>
    <w:rsid w:val="006C5B73"/>
    <w:rsid w:val="006C645D"/>
    <w:rsid w:val="006D3A89"/>
    <w:rsid w:val="006E2D2A"/>
    <w:rsid w:val="006E3CC3"/>
    <w:rsid w:val="006F1454"/>
    <w:rsid w:val="00706E8E"/>
    <w:rsid w:val="00713A4C"/>
    <w:rsid w:val="007169B7"/>
    <w:rsid w:val="00722B53"/>
    <w:rsid w:val="007309DC"/>
    <w:rsid w:val="007341BE"/>
    <w:rsid w:val="00742366"/>
    <w:rsid w:val="00744484"/>
    <w:rsid w:val="007509DD"/>
    <w:rsid w:val="007600E9"/>
    <w:rsid w:val="00762EFB"/>
    <w:rsid w:val="00763474"/>
    <w:rsid w:val="00766184"/>
    <w:rsid w:val="007817EA"/>
    <w:rsid w:val="0078257B"/>
    <w:rsid w:val="00783D75"/>
    <w:rsid w:val="00784C0A"/>
    <w:rsid w:val="00784F42"/>
    <w:rsid w:val="00790447"/>
    <w:rsid w:val="00794B40"/>
    <w:rsid w:val="00796E26"/>
    <w:rsid w:val="007A1079"/>
    <w:rsid w:val="007B18FF"/>
    <w:rsid w:val="007B2677"/>
    <w:rsid w:val="007B76AB"/>
    <w:rsid w:val="007C2727"/>
    <w:rsid w:val="007D592B"/>
    <w:rsid w:val="007D5AA6"/>
    <w:rsid w:val="007D5F1A"/>
    <w:rsid w:val="007D7282"/>
    <w:rsid w:val="007D7A91"/>
    <w:rsid w:val="007E3ADD"/>
    <w:rsid w:val="007E6456"/>
    <w:rsid w:val="00801865"/>
    <w:rsid w:val="00811943"/>
    <w:rsid w:val="00815C81"/>
    <w:rsid w:val="008207F0"/>
    <w:rsid w:val="008311B8"/>
    <w:rsid w:val="00834243"/>
    <w:rsid w:val="008374C4"/>
    <w:rsid w:val="00857969"/>
    <w:rsid w:val="008614A0"/>
    <w:rsid w:val="00866C1D"/>
    <w:rsid w:val="00871DE1"/>
    <w:rsid w:val="00882CC4"/>
    <w:rsid w:val="00884290"/>
    <w:rsid w:val="008844AC"/>
    <w:rsid w:val="00884926"/>
    <w:rsid w:val="0088666B"/>
    <w:rsid w:val="00887382"/>
    <w:rsid w:val="00897F46"/>
    <w:rsid w:val="008A1B2D"/>
    <w:rsid w:val="008B3AE2"/>
    <w:rsid w:val="008C4B22"/>
    <w:rsid w:val="008C5EC0"/>
    <w:rsid w:val="008C7F71"/>
    <w:rsid w:val="008D339F"/>
    <w:rsid w:val="008D4124"/>
    <w:rsid w:val="008D43B4"/>
    <w:rsid w:val="008E6292"/>
    <w:rsid w:val="008E65FF"/>
    <w:rsid w:val="008F23EB"/>
    <w:rsid w:val="00906E61"/>
    <w:rsid w:val="00913CD7"/>
    <w:rsid w:val="00917E28"/>
    <w:rsid w:val="009250E6"/>
    <w:rsid w:val="00925AA5"/>
    <w:rsid w:val="00927DDB"/>
    <w:rsid w:val="00931267"/>
    <w:rsid w:val="0093540D"/>
    <w:rsid w:val="009376A8"/>
    <w:rsid w:val="00937AF5"/>
    <w:rsid w:val="0094019D"/>
    <w:rsid w:val="00942C11"/>
    <w:rsid w:val="0094351F"/>
    <w:rsid w:val="009514AF"/>
    <w:rsid w:val="009547F8"/>
    <w:rsid w:val="00962ACF"/>
    <w:rsid w:val="009729D4"/>
    <w:rsid w:val="00975529"/>
    <w:rsid w:val="00980759"/>
    <w:rsid w:val="009817B0"/>
    <w:rsid w:val="009821CE"/>
    <w:rsid w:val="00993455"/>
    <w:rsid w:val="009A277C"/>
    <w:rsid w:val="009A390A"/>
    <w:rsid w:val="009A658F"/>
    <w:rsid w:val="009A65CD"/>
    <w:rsid w:val="009A6EA0"/>
    <w:rsid w:val="009B088F"/>
    <w:rsid w:val="009B2249"/>
    <w:rsid w:val="009B2B91"/>
    <w:rsid w:val="009C2707"/>
    <w:rsid w:val="009C4692"/>
    <w:rsid w:val="009C6AED"/>
    <w:rsid w:val="009D2CFF"/>
    <w:rsid w:val="009E04E4"/>
    <w:rsid w:val="009E0CA5"/>
    <w:rsid w:val="009E171B"/>
    <w:rsid w:val="009F0307"/>
    <w:rsid w:val="009F7DE9"/>
    <w:rsid w:val="00A00436"/>
    <w:rsid w:val="00A015E8"/>
    <w:rsid w:val="00A07D47"/>
    <w:rsid w:val="00A10593"/>
    <w:rsid w:val="00A12F62"/>
    <w:rsid w:val="00A14FE9"/>
    <w:rsid w:val="00A24911"/>
    <w:rsid w:val="00A2759B"/>
    <w:rsid w:val="00A36293"/>
    <w:rsid w:val="00A3749B"/>
    <w:rsid w:val="00A37D87"/>
    <w:rsid w:val="00A50D88"/>
    <w:rsid w:val="00A54654"/>
    <w:rsid w:val="00A56923"/>
    <w:rsid w:val="00A62E42"/>
    <w:rsid w:val="00A631B1"/>
    <w:rsid w:val="00A64A71"/>
    <w:rsid w:val="00A65143"/>
    <w:rsid w:val="00A65CD3"/>
    <w:rsid w:val="00A7236C"/>
    <w:rsid w:val="00A72960"/>
    <w:rsid w:val="00A72D8F"/>
    <w:rsid w:val="00A74815"/>
    <w:rsid w:val="00A93401"/>
    <w:rsid w:val="00A97160"/>
    <w:rsid w:val="00AA6FCE"/>
    <w:rsid w:val="00AA7D7E"/>
    <w:rsid w:val="00AB311E"/>
    <w:rsid w:val="00AB738A"/>
    <w:rsid w:val="00AC102B"/>
    <w:rsid w:val="00AC3196"/>
    <w:rsid w:val="00AC4065"/>
    <w:rsid w:val="00AD2E26"/>
    <w:rsid w:val="00AE2F90"/>
    <w:rsid w:val="00B03DD6"/>
    <w:rsid w:val="00B077E4"/>
    <w:rsid w:val="00B214C6"/>
    <w:rsid w:val="00B3583B"/>
    <w:rsid w:val="00B37A8F"/>
    <w:rsid w:val="00B42163"/>
    <w:rsid w:val="00B55B04"/>
    <w:rsid w:val="00B5791B"/>
    <w:rsid w:val="00B65347"/>
    <w:rsid w:val="00B65DE1"/>
    <w:rsid w:val="00B66783"/>
    <w:rsid w:val="00B72AF0"/>
    <w:rsid w:val="00B737EB"/>
    <w:rsid w:val="00B775EE"/>
    <w:rsid w:val="00B87927"/>
    <w:rsid w:val="00B97308"/>
    <w:rsid w:val="00BA0C4E"/>
    <w:rsid w:val="00BB00F3"/>
    <w:rsid w:val="00BB0973"/>
    <w:rsid w:val="00BB39C9"/>
    <w:rsid w:val="00BC6E69"/>
    <w:rsid w:val="00BD26AA"/>
    <w:rsid w:val="00BD2B12"/>
    <w:rsid w:val="00BD454F"/>
    <w:rsid w:val="00BD659D"/>
    <w:rsid w:val="00BE5F3B"/>
    <w:rsid w:val="00BE7EA5"/>
    <w:rsid w:val="00BF4942"/>
    <w:rsid w:val="00C01DCC"/>
    <w:rsid w:val="00C04388"/>
    <w:rsid w:val="00C05DB5"/>
    <w:rsid w:val="00C17787"/>
    <w:rsid w:val="00C202B3"/>
    <w:rsid w:val="00C21EE0"/>
    <w:rsid w:val="00C26EE8"/>
    <w:rsid w:val="00C30297"/>
    <w:rsid w:val="00C41C3D"/>
    <w:rsid w:val="00C50B48"/>
    <w:rsid w:val="00C555AC"/>
    <w:rsid w:val="00C60B0F"/>
    <w:rsid w:val="00C70329"/>
    <w:rsid w:val="00C713ED"/>
    <w:rsid w:val="00C722C8"/>
    <w:rsid w:val="00C72318"/>
    <w:rsid w:val="00C723D6"/>
    <w:rsid w:val="00C724E6"/>
    <w:rsid w:val="00C738B4"/>
    <w:rsid w:val="00C747A5"/>
    <w:rsid w:val="00C85314"/>
    <w:rsid w:val="00C964E0"/>
    <w:rsid w:val="00CA0116"/>
    <w:rsid w:val="00CA4BC0"/>
    <w:rsid w:val="00CA5CA8"/>
    <w:rsid w:val="00CB0157"/>
    <w:rsid w:val="00CB28E9"/>
    <w:rsid w:val="00CB5205"/>
    <w:rsid w:val="00CC2F27"/>
    <w:rsid w:val="00CC38AC"/>
    <w:rsid w:val="00CC559D"/>
    <w:rsid w:val="00CD0C13"/>
    <w:rsid w:val="00CD654B"/>
    <w:rsid w:val="00CE223E"/>
    <w:rsid w:val="00CE7B45"/>
    <w:rsid w:val="00CF3F0D"/>
    <w:rsid w:val="00D03464"/>
    <w:rsid w:val="00D0497B"/>
    <w:rsid w:val="00D101F7"/>
    <w:rsid w:val="00D11558"/>
    <w:rsid w:val="00D145F5"/>
    <w:rsid w:val="00D316A1"/>
    <w:rsid w:val="00D3285B"/>
    <w:rsid w:val="00D329F1"/>
    <w:rsid w:val="00D355F0"/>
    <w:rsid w:val="00D43AC8"/>
    <w:rsid w:val="00D50879"/>
    <w:rsid w:val="00D51610"/>
    <w:rsid w:val="00D53937"/>
    <w:rsid w:val="00D539CA"/>
    <w:rsid w:val="00D54098"/>
    <w:rsid w:val="00D54F12"/>
    <w:rsid w:val="00D54F46"/>
    <w:rsid w:val="00D56113"/>
    <w:rsid w:val="00D63AC1"/>
    <w:rsid w:val="00D643F4"/>
    <w:rsid w:val="00D833D9"/>
    <w:rsid w:val="00D83BD9"/>
    <w:rsid w:val="00D94DCF"/>
    <w:rsid w:val="00D94EAE"/>
    <w:rsid w:val="00DA586F"/>
    <w:rsid w:val="00DB08DA"/>
    <w:rsid w:val="00DB5E34"/>
    <w:rsid w:val="00DB7F09"/>
    <w:rsid w:val="00DC00E8"/>
    <w:rsid w:val="00DC1C56"/>
    <w:rsid w:val="00DC4756"/>
    <w:rsid w:val="00DC6379"/>
    <w:rsid w:val="00DC6AAD"/>
    <w:rsid w:val="00DC7A3B"/>
    <w:rsid w:val="00DE2763"/>
    <w:rsid w:val="00DE3A53"/>
    <w:rsid w:val="00DE3C77"/>
    <w:rsid w:val="00DE70F1"/>
    <w:rsid w:val="00DF6F61"/>
    <w:rsid w:val="00E03934"/>
    <w:rsid w:val="00E101C6"/>
    <w:rsid w:val="00E1308A"/>
    <w:rsid w:val="00E14C06"/>
    <w:rsid w:val="00E16D96"/>
    <w:rsid w:val="00E22D51"/>
    <w:rsid w:val="00E349A7"/>
    <w:rsid w:val="00E50E7C"/>
    <w:rsid w:val="00E51545"/>
    <w:rsid w:val="00E51D9E"/>
    <w:rsid w:val="00E537D1"/>
    <w:rsid w:val="00E567E6"/>
    <w:rsid w:val="00E56971"/>
    <w:rsid w:val="00E61484"/>
    <w:rsid w:val="00E65DDD"/>
    <w:rsid w:val="00E7017C"/>
    <w:rsid w:val="00E711D7"/>
    <w:rsid w:val="00E807F4"/>
    <w:rsid w:val="00E815E1"/>
    <w:rsid w:val="00E84969"/>
    <w:rsid w:val="00E902B0"/>
    <w:rsid w:val="00E902E8"/>
    <w:rsid w:val="00E9296B"/>
    <w:rsid w:val="00E977F2"/>
    <w:rsid w:val="00E97C19"/>
    <w:rsid w:val="00EA0285"/>
    <w:rsid w:val="00EA23AC"/>
    <w:rsid w:val="00EA398F"/>
    <w:rsid w:val="00EA63CA"/>
    <w:rsid w:val="00EA7C3D"/>
    <w:rsid w:val="00EB4B0B"/>
    <w:rsid w:val="00EB6878"/>
    <w:rsid w:val="00EC1E0E"/>
    <w:rsid w:val="00EC236D"/>
    <w:rsid w:val="00EC2FBB"/>
    <w:rsid w:val="00EC6B16"/>
    <w:rsid w:val="00ED5A20"/>
    <w:rsid w:val="00EE1447"/>
    <w:rsid w:val="00EE1BF1"/>
    <w:rsid w:val="00EE4864"/>
    <w:rsid w:val="00EE7744"/>
    <w:rsid w:val="00EF03E1"/>
    <w:rsid w:val="00EF145E"/>
    <w:rsid w:val="00EF2BBB"/>
    <w:rsid w:val="00F0082D"/>
    <w:rsid w:val="00F015AB"/>
    <w:rsid w:val="00F045E0"/>
    <w:rsid w:val="00F07C90"/>
    <w:rsid w:val="00F11922"/>
    <w:rsid w:val="00F20F8A"/>
    <w:rsid w:val="00F256CE"/>
    <w:rsid w:val="00F304A4"/>
    <w:rsid w:val="00F33DB8"/>
    <w:rsid w:val="00F40C44"/>
    <w:rsid w:val="00F514B8"/>
    <w:rsid w:val="00F51D7F"/>
    <w:rsid w:val="00F57BED"/>
    <w:rsid w:val="00F60198"/>
    <w:rsid w:val="00F669CD"/>
    <w:rsid w:val="00F7017F"/>
    <w:rsid w:val="00F737DB"/>
    <w:rsid w:val="00F73BCE"/>
    <w:rsid w:val="00F75C69"/>
    <w:rsid w:val="00F7613A"/>
    <w:rsid w:val="00F82746"/>
    <w:rsid w:val="00F836F9"/>
    <w:rsid w:val="00F845D7"/>
    <w:rsid w:val="00F92279"/>
    <w:rsid w:val="00FA14B3"/>
    <w:rsid w:val="00FB4D21"/>
    <w:rsid w:val="00FB762B"/>
    <w:rsid w:val="00FC6ADA"/>
    <w:rsid w:val="00FE14AD"/>
    <w:rsid w:val="00FF24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8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232"/>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0069AA"/>
    <w:pPr>
      <w:spacing w:before="600" w:line="500" w:lineRule="exact"/>
      <w:outlineLvl w:val="0"/>
    </w:pPr>
    <w:rPr>
      <w:b/>
      <w:bCs w:val="0"/>
      <w:sz w:val="56"/>
    </w:rPr>
  </w:style>
  <w:style w:type="paragraph" w:styleId="Heading2">
    <w:name w:val="heading 2"/>
    <w:basedOn w:val="HeadingBase"/>
    <w:next w:val="Normal"/>
    <w:link w:val="Heading2Char"/>
    <w:qFormat/>
    <w:rsid w:val="0039150C"/>
    <w:pPr>
      <w:spacing w:before="360" w:line="460" w:lineRule="exact"/>
      <w:outlineLvl w:val="1"/>
    </w:pPr>
    <w:rPr>
      <w:bCs w:val="0"/>
      <w:iCs/>
      <w:color w:val="4D4D4D" w:themeColor="accent6"/>
      <w:szCs w:val="28"/>
    </w:rPr>
  </w:style>
  <w:style w:type="paragraph" w:styleId="Heading3">
    <w:name w:val="heading 3"/>
    <w:basedOn w:val="HeadingBase"/>
    <w:next w:val="Normal"/>
    <w:link w:val="Heading3Char"/>
    <w:qFormat/>
    <w:rsid w:val="0039150C"/>
    <w:pPr>
      <w:spacing w:before="320" w:line="276" w:lineRule="auto"/>
      <w:outlineLvl w:val="2"/>
    </w:pPr>
    <w:rPr>
      <w:bCs w:val="0"/>
      <w:color w:val="5F5F5F" w:themeColor="accent5"/>
      <w:sz w:val="36"/>
      <w:szCs w:val="26"/>
    </w:rPr>
  </w:style>
  <w:style w:type="paragraph" w:styleId="Heading4">
    <w:name w:val="heading 4"/>
    <w:basedOn w:val="HeadingBase"/>
    <w:next w:val="Normal"/>
    <w:link w:val="Heading4Char"/>
    <w:qFormat/>
    <w:rsid w:val="0039150C"/>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96BB1"/>
    <w:pPr>
      <w:spacing w:before="240" w:after="0" w:line="276" w:lineRule="auto"/>
      <w:outlineLvl w:val="4"/>
    </w:pPr>
    <w:rPr>
      <w:bCs w:val="0"/>
      <w:iCs/>
      <w:color w:val="4D4D4D" w:themeColor="accent6"/>
      <w:sz w:val="25"/>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5F5F5F" w:themeColor="accent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69AA"/>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39150C"/>
    <w:rPr>
      <w:rFonts w:asciiTheme="majorHAnsi" w:eastAsia="Times New Roman" w:hAnsiTheme="majorHAnsi" w:cs="Arial"/>
      <w:iCs/>
      <w:color w:val="4D4D4D" w:themeColor="accent6"/>
      <w:kern w:val="32"/>
      <w:sz w:val="48"/>
      <w:szCs w:val="28"/>
      <w:lang w:eastAsia="en-AU"/>
    </w:rPr>
  </w:style>
  <w:style w:type="character" w:customStyle="1" w:styleId="Heading3Char">
    <w:name w:val="Heading 3 Char"/>
    <w:basedOn w:val="DefaultParagraphFont"/>
    <w:link w:val="Heading3"/>
    <w:rsid w:val="0039150C"/>
    <w:rPr>
      <w:rFonts w:asciiTheme="majorHAnsi" w:eastAsia="Times New Roman" w:hAnsiTheme="majorHAnsi" w:cs="Arial"/>
      <w:color w:val="5F5F5F" w:themeColor="accent5"/>
      <w:kern w:val="32"/>
      <w:sz w:val="36"/>
      <w:szCs w:val="26"/>
      <w:lang w:eastAsia="en-AU"/>
    </w:rPr>
  </w:style>
  <w:style w:type="character" w:customStyle="1" w:styleId="Heading4Char">
    <w:name w:val="Heading 4 Char"/>
    <w:basedOn w:val="DefaultParagraphFont"/>
    <w:link w:val="Heading4"/>
    <w:rsid w:val="0039150C"/>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96BB1"/>
    <w:rPr>
      <w:rFonts w:asciiTheme="majorHAnsi" w:eastAsia="Times New Roman" w:hAnsiTheme="majorHAnsi" w:cs="Arial"/>
      <w:iCs/>
      <w:color w:val="4D4D4D" w:themeColor="accent6"/>
      <w:kern w:val="32"/>
      <w:sz w:val="25"/>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5F5F5F" w:themeColor="accent5"/>
      <w:kern w:val="32"/>
      <w:sz w:val="23"/>
      <w:lang w:eastAsia="en-AU"/>
    </w:rPr>
  </w:style>
  <w:style w:type="paragraph" w:customStyle="1" w:styleId="ChartGraphic">
    <w:name w:val="Chart Graphic"/>
    <w:basedOn w:val="Normal"/>
    <w:next w:val="Normal"/>
    <w:rsid w:val="009250E6"/>
    <w:pPr>
      <w:keepNext/>
      <w:spacing w:before="0" w:after="0"/>
      <w:jc w:val="center"/>
    </w:pPr>
    <w:rPr>
      <w:color w:val="4D4D4D" w:themeColor="accent6"/>
      <w:sz w:val="20"/>
    </w:rPr>
  </w:style>
  <w:style w:type="paragraph" w:customStyle="1" w:styleId="AlphaParagraph">
    <w:name w:val="Alpha Paragraph"/>
    <w:basedOn w:val="Normal"/>
    <w:qFormat/>
    <w:rsid w:val="00931267"/>
    <w:pPr>
      <w:numPr>
        <w:ilvl w:val="1"/>
        <w:numId w:val="8"/>
      </w:numPr>
      <w:spacing w:before="0"/>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basedOn w:val="DefaultParagraphFont"/>
    <w:link w:val="Bullet"/>
    <w:qFormat/>
    <w:locked/>
    <w:rsid w:val="000E33D4"/>
    <w:rPr>
      <w:rFonts w:eastAsia="Times New Roman" w:cs="Times New Roman"/>
      <w:color w:val="000000" w:themeColor="text1"/>
      <w:szCs w:val="20"/>
      <w:lang w:eastAsia="en-AU"/>
    </w:rPr>
  </w:style>
  <w:style w:type="paragraph" w:customStyle="1" w:styleId="BoxHeading">
    <w:name w:val="Box Heading"/>
    <w:basedOn w:val="Normal"/>
    <w:next w:val="Normal"/>
    <w:rsid w:val="00565232"/>
    <w:pPr>
      <w:keepNext/>
      <w:spacing w:before="120"/>
    </w:pPr>
    <w:rPr>
      <w:b/>
      <w:sz w:val="26"/>
      <w:szCs w:val="26"/>
    </w:rPr>
  </w:style>
  <w:style w:type="paragraph" w:customStyle="1" w:styleId="BoxText">
    <w:name w:val="Box Text"/>
    <w:basedOn w:val="Normal"/>
    <w:link w:val="BoxTextChar"/>
    <w:rsid w:val="00A65143"/>
    <w:pPr>
      <w:spacing w:before="120" w:after="120"/>
    </w:pPr>
    <w:rPr>
      <w:sz w:val="20"/>
    </w:rPr>
  </w:style>
  <w:style w:type="paragraph" w:customStyle="1" w:styleId="Bullet">
    <w:name w:val="Bullet"/>
    <w:basedOn w:val="Normal"/>
    <w:link w:val="BulletChar"/>
    <w:qFormat/>
    <w:rsid w:val="000E33D4"/>
    <w:pPr>
      <w:numPr>
        <w:numId w:val="10"/>
      </w:numPr>
      <w:spacing w:before="120" w:after="60" w:line="276" w:lineRule="auto"/>
    </w:pPr>
  </w:style>
  <w:style w:type="paragraph" w:customStyle="1" w:styleId="ChartandTableFootnoteAlpha">
    <w:name w:val="Chart and Table Footnote Alpha"/>
    <w:rsid w:val="0039150C"/>
    <w:pPr>
      <w:numPr>
        <w:numId w:val="6"/>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9150C"/>
  </w:style>
  <w:style w:type="paragraph" w:customStyle="1" w:styleId="ChartorTableNote">
    <w:name w:val="Chart or Table Note"/>
    <w:next w:val="Normal"/>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9150C"/>
    <w:rPr>
      <w:bCs/>
    </w:rPr>
  </w:style>
  <w:style w:type="paragraph" w:customStyle="1" w:styleId="ReportDate">
    <w:name w:val="Report Date"/>
    <w:basedOn w:val="Normal"/>
    <w:link w:val="ReportDateChar"/>
    <w:rsid w:val="004E307D"/>
    <w:pPr>
      <w:keepNext/>
      <w:spacing w:before="0" w:after="360"/>
    </w:pPr>
    <w:rPr>
      <w:color w:val="auto"/>
      <w:sz w:val="32"/>
    </w:rPr>
  </w:style>
  <w:style w:type="paragraph" w:customStyle="1" w:styleId="Dash">
    <w:name w:val="Dash"/>
    <w:basedOn w:val="Normal"/>
    <w:link w:val="DashChar"/>
    <w:qFormat/>
    <w:rsid w:val="00D54098"/>
    <w:pPr>
      <w:numPr>
        <w:ilvl w:val="1"/>
        <w:numId w:val="10"/>
      </w:numPr>
      <w:spacing w:before="120" w:after="120"/>
    </w:pPr>
  </w:style>
  <w:style w:type="paragraph" w:customStyle="1" w:styleId="DoubleDot">
    <w:name w:val="Double Dot"/>
    <w:basedOn w:val="Normal"/>
    <w:link w:val="DoubleDotChar"/>
    <w:qFormat/>
    <w:rsid w:val="00D54098"/>
    <w:pPr>
      <w:numPr>
        <w:ilvl w:val="2"/>
        <w:numId w:val="10"/>
      </w:numPr>
      <w:tabs>
        <w:tab w:val="clear" w:pos="1088"/>
      </w:tabs>
      <w:spacing w:before="120" w:after="120"/>
    </w:pPr>
  </w:style>
  <w:style w:type="paragraph" w:customStyle="1" w:styleId="TableMainHeading">
    <w:name w:val="Table Main Heading"/>
    <w:basedOn w:val="Heading3"/>
    <w:next w:val="Normal"/>
    <w:rsid w:val="00D54F46"/>
    <w:pPr>
      <w:spacing w:before="240" w:after="60"/>
      <w:outlineLvl w:val="3"/>
    </w:pPr>
    <w:rPr>
      <w:b/>
      <w:color w:val="auto"/>
      <w:sz w:val="26"/>
    </w:rPr>
  </w:style>
  <w:style w:type="paragraph" w:customStyle="1" w:styleId="FooterEven">
    <w:name w:val="Footer Even"/>
    <w:basedOn w:val="Footer"/>
    <w:rsid w:val="008A1B2D"/>
    <w:pPr>
      <w:keepNext/>
      <w:tabs>
        <w:tab w:val="clear" w:pos="4513"/>
        <w:tab w:val="clear" w:pos="9026"/>
      </w:tabs>
      <w:jc w:val="left"/>
    </w:pPr>
    <w:rPr>
      <w:noProof/>
      <w:color w:val="auto"/>
    </w:rPr>
  </w:style>
  <w:style w:type="paragraph" w:customStyle="1" w:styleId="FooterOdd">
    <w:name w:val="Footer Odd"/>
    <w:basedOn w:val="Footer"/>
    <w:rsid w:val="008A1B2D"/>
    <w:pPr>
      <w:keepNext/>
      <w:tabs>
        <w:tab w:val="clear" w:pos="4513"/>
        <w:tab w:val="clear" w:pos="9026"/>
      </w:tabs>
      <w:jc w:val="right"/>
    </w:pPr>
    <w:rPr>
      <w:color w:val="auto"/>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link w:val="OutlineNumbered1Char"/>
    <w:rsid w:val="00931267"/>
    <w:pPr>
      <w:numPr>
        <w:numId w:val="5"/>
      </w:numPr>
      <w:spacing w:before="0"/>
    </w:pPr>
  </w:style>
  <w:style w:type="paragraph" w:customStyle="1" w:styleId="OutlineNumbered2">
    <w:name w:val="Outline Numbered 2"/>
    <w:basedOn w:val="Normal"/>
    <w:link w:val="OutlineNumbered2Char"/>
    <w:rsid w:val="000E0B74"/>
    <w:pPr>
      <w:numPr>
        <w:ilvl w:val="1"/>
        <w:numId w:val="5"/>
      </w:numPr>
      <w:spacing w:before="0"/>
    </w:pPr>
  </w:style>
  <w:style w:type="paragraph" w:customStyle="1" w:styleId="OutlineNumbered3">
    <w:name w:val="Outline Numbered 3"/>
    <w:basedOn w:val="Normal"/>
    <w:rsid w:val="000E0B74"/>
    <w:pPr>
      <w:numPr>
        <w:ilvl w:val="2"/>
        <w:numId w:val="5"/>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39150C"/>
    <w:pPr>
      <w:keepNext/>
      <w:spacing w:before="60" w:after="60"/>
    </w:pPr>
    <w:rPr>
      <w:b/>
      <w:color w:val="5F5F5F"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296BB1"/>
    <w:rPr>
      <w:b/>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E6E6E6" w:themeColor="accent1"/>
        <w:sz w:val="20"/>
      </w:rPr>
      <w:tblPr/>
      <w:tcPr>
        <w:shd w:val="clear" w:color="auto" w:fill="F8F8F8"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565232"/>
    <w:pPr>
      <w:keepNext/>
      <w:tabs>
        <w:tab w:val="right" w:leader="dot" w:pos="9072"/>
      </w:tabs>
      <w:spacing w:before="180" w:after="0"/>
      <w:ind w:right="-2"/>
    </w:pPr>
    <w:rPr>
      <w:b/>
      <w:noProof/>
      <w:sz w:val="24"/>
      <w:szCs w:val="22"/>
    </w:rPr>
  </w:style>
  <w:style w:type="paragraph" w:styleId="TOC2">
    <w:name w:val="toc 2"/>
    <w:basedOn w:val="Normal"/>
    <w:next w:val="Normal"/>
    <w:uiPriority w:val="39"/>
    <w:rsid w:val="002608F1"/>
    <w:pPr>
      <w:keepNext/>
      <w:tabs>
        <w:tab w:val="right" w:leader="dot" w:pos="9072"/>
      </w:tabs>
      <w:spacing w:before="40" w:after="20"/>
      <w:ind w:right="-2"/>
    </w:pPr>
    <w:rPr>
      <w:noProof/>
      <w:color w:val="000000" w:themeColor="text2"/>
    </w:rPr>
  </w:style>
  <w:style w:type="paragraph" w:styleId="TOC3">
    <w:name w:val="toc 3"/>
    <w:basedOn w:val="Normal"/>
    <w:next w:val="Normal"/>
    <w:uiPriority w:val="39"/>
    <w:rsid w:val="002608F1"/>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9"/>
      </w:numPr>
    </w:pPr>
  </w:style>
  <w:style w:type="paragraph" w:customStyle="1" w:styleId="Heading1Numbered">
    <w:name w:val="Heading 1 Numbered"/>
    <w:basedOn w:val="Heading1"/>
    <w:next w:val="Normal"/>
    <w:rsid w:val="00EE1BF1"/>
    <w:pPr>
      <w:numPr>
        <w:numId w:val="7"/>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7"/>
      </w:numPr>
      <w:ind w:left="284" w:hanging="284"/>
    </w:pPr>
  </w:style>
  <w:style w:type="paragraph" w:customStyle="1" w:styleId="Heading3Numbered">
    <w:name w:val="Heading 3 Numbered"/>
    <w:basedOn w:val="Heading3"/>
    <w:rsid w:val="00EE1BF1"/>
    <w:pPr>
      <w:numPr>
        <w:ilvl w:val="2"/>
        <w:numId w:val="7"/>
      </w:numPr>
      <w:ind w:left="284" w:hanging="284"/>
    </w:pPr>
  </w:style>
  <w:style w:type="paragraph" w:styleId="Title">
    <w:name w:val="Title"/>
    <w:basedOn w:val="Normal"/>
    <w:next w:val="Normal"/>
    <w:link w:val="TitleChar"/>
    <w:uiPriority w:val="10"/>
    <w:rsid w:val="000069AA"/>
    <w:pPr>
      <w:spacing w:before="2400" w:after="300" w:line="780" w:lineRule="exact"/>
      <w:contextualSpacing/>
      <w:outlineLvl w:val="0"/>
    </w:pPr>
    <w:rPr>
      <w:rFonts w:asciiTheme="majorHAnsi" w:eastAsiaTheme="majorEastAsia" w:hAnsiTheme="majorHAnsi" w:cstheme="majorBidi"/>
      <w:b/>
      <w:color w:val="auto"/>
      <w:spacing w:val="5"/>
      <w:kern w:val="28"/>
      <w:sz w:val="72"/>
      <w:szCs w:val="52"/>
    </w:rPr>
  </w:style>
  <w:style w:type="character" w:customStyle="1" w:styleId="TitleChar">
    <w:name w:val="Title Char"/>
    <w:basedOn w:val="DefaultParagraphFont"/>
    <w:link w:val="Title"/>
    <w:uiPriority w:val="10"/>
    <w:rsid w:val="000069AA"/>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4E307D"/>
    <w:pPr>
      <w:numPr>
        <w:ilvl w:val="1"/>
      </w:numPr>
    </w:pPr>
    <w:rPr>
      <w:rFonts w:asciiTheme="majorHAnsi" w:eastAsiaTheme="majorEastAsia" w:hAnsiTheme="majorHAnsi" w:cstheme="majorBidi"/>
      <w:iCs/>
      <w:color w:val="auto"/>
      <w:sz w:val="44"/>
      <w:szCs w:val="44"/>
    </w:rPr>
  </w:style>
  <w:style w:type="character" w:customStyle="1" w:styleId="SubtitleChar">
    <w:name w:val="Subtitle Char"/>
    <w:basedOn w:val="DefaultParagraphFont"/>
    <w:link w:val="Subtitle"/>
    <w:uiPriority w:val="11"/>
    <w:rsid w:val="004E307D"/>
    <w:rPr>
      <w:rFonts w:asciiTheme="majorHAnsi" w:eastAsiaTheme="majorEastAsia" w:hAnsiTheme="majorHAnsi" w:cstheme="majorBidi"/>
      <w:iCs/>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191CFE"/>
    <w:pPr>
      <w:tabs>
        <w:tab w:val="center" w:pos="4513"/>
        <w:tab w:val="right" w:pos="9026"/>
      </w:tabs>
      <w:spacing w:before="0" w:after="0"/>
      <w:jc w:val="center"/>
    </w:pPr>
    <w:rPr>
      <w:sz w:val="20"/>
    </w:rPr>
  </w:style>
  <w:style w:type="character" w:customStyle="1" w:styleId="FooterChar">
    <w:name w:val="Footer Char"/>
    <w:basedOn w:val="DefaultParagraphFont"/>
    <w:link w:val="Footer"/>
    <w:rsid w:val="00191CFE"/>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C723D6"/>
    <w:pPr>
      <w:keepNext/>
      <w:spacing w:before="0" w:after="0"/>
    </w:pPr>
    <w:rPr>
      <w:color w:val="auto"/>
      <w:sz w:val="20"/>
    </w:rPr>
  </w:style>
  <w:style w:type="character" w:customStyle="1" w:styleId="HeaderChar">
    <w:name w:val="Header Char"/>
    <w:basedOn w:val="DefaultParagraphFont"/>
    <w:link w:val="Header"/>
    <w:uiPriority w:val="99"/>
    <w:rsid w:val="00C723D6"/>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4E307D"/>
    <w:rPr>
      <w:rFonts w:eastAsia="Times New Roman" w:cs="Times New Roman"/>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000000"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style>
  <w:style w:type="paragraph" w:customStyle="1" w:styleId="HeaderOdd">
    <w:name w:val="Header Odd"/>
    <w:basedOn w:val="Header"/>
    <w:qFormat/>
    <w:rsid w:val="00420CD3"/>
    <w:pPr>
      <w:jc w:val="right"/>
    </w:p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65143"/>
    <w:rPr>
      <w:rFonts w:eastAsia="Times New Roman" w:cs="Times New Roman"/>
      <w:color w:val="000000" w:themeColor="text1"/>
      <w:sz w:val="20"/>
      <w:szCs w:val="20"/>
      <w:lang w:eastAsia="en-AU"/>
    </w:rPr>
  </w:style>
  <w:style w:type="paragraph" w:customStyle="1" w:styleId="Boxbullet">
    <w:name w:val="Box bullet"/>
    <w:basedOn w:val="BoxText"/>
    <w:rsid w:val="00565232"/>
    <w:pPr>
      <w:numPr>
        <w:numId w:val="11"/>
      </w:numPr>
    </w:pPr>
    <w:rPr>
      <w:lang w:eastAsia="en-US"/>
    </w:rPr>
  </w:style>
  <w:style w:type="paragraph" w:customStyle="1" w:styleId="Boxdash">
    <w:name w:val="Box dash"/>
    <w:basedOn w:val="Boxbulle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 w:type="character" w:styleId="UnresolvedMention">
    <w:name w:val="Unresolved Mention"/>
    <w:basedOn w:val="DefaultParagraphFont"/>
    <w:uiPriority w:val="99"/>
    <w:semiHidden/>
    <w:unhideWhenUsed/>
    <w:rsid w:val="00AC102B"/>
    <w:rPr>
      <w:color w:val="605E5C"/>
      <w:shd w:val="clear" w:color="auto" w:fill="E1DFDD"/>
    </w:rPr>
  </w:style>
  <w:style w:type="character" w:styleId="Emphasis">
    <w:name w:val="Emphasis"/>
    <w:basedOn w:val="DefaultParagraphFont"/>
    <w:uiPriority w:val="20"/>
    <w:rsid w:val="005005F5"/>
    <w:rPr>
      <w:i/>
      <w:iCs/>
    </w:rPr>
  </w:style>
  <w:style w:type="table" w:customStyle="1" w:styleId="SidebySideChartTable">
    <w:name w:val="Side by Side Chart Table"/>
    <w:basedOn w:val="TableNormal"/>
    <w:uiPriority w:val="99"/>
    <w:rsid w:val="00BB0973"/>
    <w:pPr>
      <w:spacing w:after="0" w:line="240" w:lineRule="auto"/>
    </w:pPr>
    <w:tblPr>
      <w:tblStyleRowBandSize w:val="1"/>
      <w:tblStyleColBandSize w:val="1"/>
      <w:tblCellMar>
        <w:left w:w="0" w:type="dxa"/>
        <w:right w:w="0" w:type="dxa"/>
      </w:tblCellMar>
    </w:tblPr>
    <w:trPr>
      <w:cantSplit/>
    </w:trPr>
    <w:tblStylePr w:type="firstRow">
      <w:tblPr/>
      <w:trPr>
        <w:cantSplit/>
        <w:tblHeader/>
      </w:trPr>
    </w:tblStylePr>
  </w:style>
  <w:style w:type="table" w:customStyle="1" w:styleId="BoxStyle">
    <w:name w:val="Box Style"/>
    <w:basedOn w:val="TableNormal"/>
    <w:uiPriority w:val="99"/>
    <w:rsid w:val="004E7897"/>
    <w:pPr>
      <w:spacing w:after="0" w:line="240" w:lineRule="auto"/>
    </w:pPr>
    <w:rPr>
      <w:sz w:val="20"/>
    </w:rPr>
    <w:tblPr>
      <w:tblCellMar>
        <w:top w:w="284" w:type="dxa"/>
        <w:left w:w="284" w:type="dxa"/>
        <w:bottom w:w="284" w:type="dxa"/>
        <w:right w:w="284" w:type="dxa"/>
      </w:tblCellMar>
    </w:tblPr>
    <w:tcPr>
      <w:shd w:val="clear" w:color="auto" w:fill="F8F8F8" w:themeFill="background2"/>
    </w:tcPr>
  </w:style>
  <w:style w:type="character" w:styleId="Strong">
    <w:name w:val="Strong"/>
    <w:basedOn w:val="DefaultParagraphFont"/>
    <w:qFormat/>
    <w:rsid w:val="00372D99"/>
    <w:rPr>
      <w:b/>
      <w:bCs/>
    </w:rPr>
  </w:style>
  <w:style w:type="character" w:customStyle="1" w:styleId="OutlineNumbered1Char">
    <w:name w:val="Outline Numbered 1 Char"/>
    <w:basedOn w:val="DefaultParagraphFont"/>
    <w:link w:val="OutlineNumbered1"/>
    <w:rsid w:val="00931267"/>
    <w:rPr>
      <w:rFonts w:eastAsia="Times New Roman" w:cs="Times New Roman"/>
      <w:color w:val="000000" w:themeColor="text1"/>
      <w:szCs w:val="20"/>
      <w:lang w:eastAsia="en-AU"/>
    </w:rPr>
  </w:style>
  <w:style w:type="character" w:customStyle="1" w:styleId="OutlineNumbered2Char">
    <w:name w:val="Outline Numbered 2 Char"/>
    <w:basedOn w:val="DefaultParagraphFont"/>
    <w:link w:val="OutlineNumbered2"/>
    <w:rsid w:val="00D11558"/>
    <w:rPr>
      <w:rFonts w:eastAsia="Times New Roman" w:cs="Times New Roman"/>
      <w:color w:val="000000" w:themeColor="text1"/>
      <w:szCs w:val="20"/>
      <w:lang w:eastAsia="en-AU"/>
    </w:rPr>
  </w:style>
  <w:style w:type="paragraph" w:styleId="NormalWeb">
    <w:name w:val="Normal (Web)"/>
    <w:basedOn w:val="Normal"/>
    <w:uiPriority w:val="99"/>
    <w:semiHidden/>
    <w:unhideWhenUsed/>
    <w:rsid w:val="002020E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TSYBrand">
  <a:themeElements>
    <a:clrScheme name="Treasury Grayscale">
      <a:dk1>
        <a:sysClr val="windowText" lastClr="000000"/>
      </a:dk1>
      <a:lt1>
        <a:sysClr val="window" lastClr="FFFFFF"/>
      </a:lt1>
      <a:dk2>
        <a:srgbClr val="000000"/>
      </a:dk2>
      <a:lt2>
        <a:srgbClr val="F8F8F8"/>
      </a:lt2>
      <a:accent1>
        <a:srgbClr val="E6E6E6"/>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71AA6-96F6-46F0-82A2-A2BEBB6A9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2897</Words>
  <Characters>16230</Characters>
  <Application>Microsoft Office Word</Application>
  <DocSecurity>0</DocSecurity>
  <Lines>344</Lines>
  <Paragraphs>184</Paragraphs>
  <ScaleCrop>false</ScaleCrop>
  <HeadingPairs>
    <vt:vector size="2" baseType="variant">
      <vt:variant>
        <vt:lpstr>Title</vt:lpstr>
      </vt:variant>
      <vt:variant>
        <vt:i4>1</vt:i4>
      </vt:variant>
    </vt:vector>
  </HeadingPairs>
  <TitlesOfParts>
    <vt:vector size="1" baseType="lpstr">
      <vt:lpstr>Australia and New Zealand Government Electronic Invoicing Arrangement</vt:lpstr>
    </vt:vector>
  </TitlesOfParts>
  <Company/>
  <LinksUpToDate>false</LinksUpToDate>
  <CharactersWithSpaces>19019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and New Zealand Government Electronic Invoicing Arrangement</dc:title>
  <dc:subject/>
  <dc:creator>Australian Government and New Zealand Government</dc:creator>
  <cp:keywords/>
  <cp:lastModifiedBy/>
  <cp:revision>1</cp:revision>
  <dcterms:created xsi:type="dcterms:W3CDTF">2025-01-14T23:43:00Z</dcterms:created>
  <dcterms:modified xsi:type="dcterms:W3CDTF">2025-01-14T23:44:00Z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2025-01-14T23:43:57Z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d0bbad45-c187-4713-9e4a-af1be0002887</vt:lpwstr>
  </property>
  <property fmtid="{D5CDD505-2E9C-101B-9397-08002B2CF9AE}" pid="8" name="MSIP_Label_4f932d64-9ab1-4d9b-81d2-a3a8b82dd47d_ContentBits">
    <vt:lpwstr>0</vt:lpwstr>
  </property>
</Properties>
</file>