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EADB" w14:textId="77777777" w:rsidR="006562A5" w:rsidRPr="00A62575" w:rsidRDefault="006562A5" w:rsidP="006562A5">
      <w:pPr>
        <w:pStyle w:val="Heading1"/>
        <w:jc w:val="center"/>
      </w:pPr>
      <w:r>
        <w:t xml:space="preserve">EXPOSURE DRAFT </w:t>
      </w:r>
      <w:r w:rsidRPr="003C5719">
        <w:t>EXPLANATORY STATEMENT</w:t>
      </w:r>
    </w:p>
    <w:p w14:paraId="3ED08C81" w14:textId="46467F7D" w:rsidR="006562A5" w:rsidRPr="009D113A" w:rsidRDefault="006562A5" w:rsidP="00823004">
      <w:pPr>
        <w:pStyle w:val="NormalWeb"/>
        <w:rPr>
          <w:color w:val="000000"/>
        </w:rPr>
      </w:pPr>
      <w:r w:rsidRPr="009D113A">
        <w:rPr>
          <w:color w:val="000000"/>
        </w:rPr>
        <w:t xml:space="preserve">The purpose of the </w:t>
      </w:r>
      <w:r w:rsidR="00823004" w:rsidRPr="00823004">
        <w:rPr>
          <w:i/>
          <w:iCs/>
          <w:color w:val="000000"/>
        </w:rPr>
        <w:t>Treasury Laws Amendment (Miscellaneous and Technical Amendments No. 1) Instrument 2025</w:t>
      </w:r>
      <w:r w:rsidR="00823004">
        <w:rPr>
          <w:i/>
          <w:iCs/>
          <w:color w:val="000000"/>
        </w:rPr>
        <w:t xml:space="preserve"> </w:t>
      </w:r>
      <w:r w:rsidRPr="009D113A">
        <w:rPr>
          <w:color w:val="000000"/>
        </w:rPr>
        <w:t xml:space="preserve">(the Amending </w:t>
      </w:r>
      <w:r w:rsidR="00EC5EDB">
        <w:rPr>
          <w:color w:val="000000"/>
        </w:rPr>
        <w:t>Instrument</w:t>
      </w:r>
      <w:r w:rsidRPr="009D113A">
        <w:rPr>
          <w:color w:val="000000"/>
        </w:rPr>
        <w:t xml:space="preserve">) is to make miscellaneous and technical amendments to </w:t>
      </w:r>
      <w:r w:rsidR="00EC5EDB">
        <w:rPr>
          <w:color w:val="000000"/>
        </w:rPr>
        <w:t>instruments</w:t>
      </w:r>
      <w:r w:rsidRPr="009D113A">
        <w:rPr>
          <w:color w:val="000000"/>
        </w:rPr>
        <w:t xml:space="preserve"> in the Treasury portfolio. </w:t>
      </w:r>
    </w:p>
    <w:p w14:paraId="61AB0C80" w14:textId="77777777" w:rsidR="006562A5" w:rsidRPr="009D113A" w:rsidRDefault="006562A5" w:rsidP="006562A5">
      <w:pPr>
        <w:pStyle w:val="NormalWeb"/>
        <w:rPr>
          <w:color w:val="000000"/>
        </w:rPr>
      </w:pPr>
      <w:r w:rsidRPr="009D113A">
        <w:rPr>
          <w:color w:val="000000"/>
        </w:rPr>
        <w:t>Miscellaneous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p w14:paraId="7A0B69F5" w14:textId="2CAEED93" w:rsidR="006562A5" w:rsidRPr="009D113A" w:rsidRDefault="006562A5" w:rsidP="006562A5">
      <w:pPr>
        <w:pStyle w:val="NormalWeb"/>
        <w:rPr>
          <w:color w:val="000000"/>
        </w:rPr>
      </w:pPr>
      <w:r w:rsidRPr="6A3AAFA8">
        <w:rPr>
          <w:color w:val="000000" w:themeColor="text1"/>
        </w:rPr>
        <w:t xml:space="preserve">The Amending </w:t>
      </w:r>
      <w:r w:rsidR="00A80958" w:rsidRPr="6A3AAFA8">
        <w:rPr>
          <w:color w:val="000000" w:themeColor="text1"/>
        </w:rPr>
        <w:t xml:space="preserve">Instrument </w:t>
      </w:r>
      <w:r w:rsidRPr="6A3AAFA8">
        <w:rPr>
          <w:color w:val="000000" w:themeColor="text1"/>
        </w:rPr>
        <w:t>amend</w:t>
      </w:r>
      <w:r w:rsidR="00A80958" w:rsidRPr="6A3AAFA8">
        <w:rPr>
          <w:color w:val="000000" w:themeColor="text1"/>
        </w:rPr>
        <w:t>s</w:t>
      </w:r>
      <w:r w:rsidRPr="6A3AAFA8">
        <w:rPr>
          <w:color w:val="000000" w:themeColor="text1"/>
        </w:rPr>
        <w:t xml:space="preserve"> various Treasury portfolio </w:t>
      </w:r>
      <w:r w:rsidR="00A80958" w:rsidRPr="6A3AAFA8">
        <w:rPr>
          <w:color w:val="000000" w:themeColor="text1"/>
        </w:rPr>
        <w:t xml:space="preserve">instruments </w:t>
      </w:r>
      <w:r w:rsidRPr="6A3AAFA8">
        <w:rPr>
          <w:color w:val="000000" w:themeColor="text1"/>
        </w:rPr>
        <w:t>to correct drafting errors and unintended outcomes, repeal inoperative provisions, and make other technical changes.</w:t>
      </w:r>
      <w:r w:rsidR="008860F4" w:rsidRPr="008860F4">
        <w:rPr>
          <w:color w:val="000000"/>
        </w:rPr>
        <w:t xml:space="preserve"> </w:t>
      </w:r>
      <w:r w:rsidR="008860F4" w:rsidRPr="009D113A">
        <w:rPr>
          <w:color w:val="000000"/>
        </w:rPr>
        <w:t>The amendments demonstrate the Government’s commitment to the care and maintenance of Treasury portfolio legislation.</w:t>
      </w:r>
    </w:p>
    <w:p w14:paraId="22ECC594" w14:textId="3AE8FFF3" w:rsidR="006562A5" w:rsidRDefault="006562A5" w:rsidP="006562A5">
      <w:pPr>
        <w:pStyle w:val="NormalWeb"/>
        <w:rPr>
          <w:color w:val="000000"/>
        </w:rPr>
      </w:pPr>
      <w:r w:rsidRPr="6A3AAFA8">
        <w:rPr>
          <w:color w:val="000000" w:themeColor="text1"/>
        </w:rPr>
        <w:t xml:space="preserve">Details of the Amending </w:t>
      </w:r>
      <w:r w:rsidR="00A80958" w:rsidRPr="6A3AAFA8">
        <w:rPr>
          <w:color w:val="000000" w:themeColor="text1"/>
        </w:rPr>
        <w:t xml:space="preserve">Instrument </w:t>
      </w:r>
      <w:r w:rsidRPr="6A3AAFA8">
        <w:rPr>
          <w:color w:val="000000" w:themeColor="text1"/>
        </w:rPr>
        <w:t>are set out in Attachment A.</w:t>
      </w:r>
    </w:p>
    <w:p w14:paraId="55E5D929" w14:textId="77777777" w:rsidR="00995C77" w:rsidRDefault="00995C77" w:rsidP="006562A5">
      <w:pPr>
        <w:pStyle w:val="NormalWeb"/>
        <w:rPr>
          <w:color w:val="000000"/>
        </w:rPr>
      </w:pPr>
    </w:p>
    <w:p w14:paraId="4D94D7C7" w14:textId="77777777" w:rsidR="00995C77" w:rsidRPr="009D113A" w:rsidRDefault="00995C77" w:rsidP="006562A5">
      <w:pPr>
        <w:pStyle w:val="NormalWeb"/>
        <w:rPr>
          <w:color w:val="000000"/>
        </w:rPr>
      </w:pPr>
    </w:p>
    <w:p w14:paraId="65B468C7" w14:textId="6226C854" w:rsidR="00995C77" w:rsidRDefault="00995C77">
      <w:pPr>
        <w:spacing w:before="0" w:after="0"/>
      </w:pPr>
      <w:r>
        <w:br w:type="page"/>
      </w:r>
    </w:p>
    <w:p w14:paraId="280F9ED2" w14:textId="77777777" w:rsidR="00995C77" w:rsidRPr="009D113A" w:rsidRDefault="00995C77" w:rsidP="00995C77">
      <w:pPr>
        <w:pStyle w:val="NormalWeb"/>
        <w:rPr>
          <w:b/>
          <w:bCs/>
          <w:color w:val="000000"/>
        </w:rPr>
      </w:pPr>
      <w:r w:rsidRPr="009D113A">
        <w:rPr>
          <w:b/>
          <w:bCs/>
          <w:color w:val="000000"/>
        </w:rPr>
        <w:lastRenderedPageBreak/>
        <w:t>Consultation preamble</w:t>
      </w:r>
    </w:p>
    <w:p w14:paraId="7A4CB281" w14:textId="77777777" w:rsidR="00995C77" w:rsidRPr="009D113A" w:rsidRDefault="00995C77" w:rsidP="00995C77">
      <w:pPr>
        <w:pStyle w:val="NormalWeb"/>
        <w:rPr>
          <w:color w:val="000000"/>
        </w:rPr>
      </w:pPr>
      <w:r w:rsidRPr="009D113A">
        <w:rPr>
          <w:color w:val="000000"/>
        </w:rPr>
        <w:t>Treasury seeks feedback on the effectiveness of this exposure draft explanatory material in explaining the policy context and operation of the proposed new law, including, but not limited to:</w:t>
      </w:r>
    </w:p>
    <w:p w14:paraId="6B69055B" w14:textId="77777777" w:rsidR="00995C77" w:rsidRPr="009D113A" w:rsidRDefault="00995C77" w:rsidP="00995C77">
      <w:pPr>
        <w:pStyle w:val="Bullet"/>
        <w:rPr>
          <w:szCs w:val="24"/>
        </w:rPr>
      </w:pPr>
      <w:r w:rsidRPr="009D113A">
        <w:rPr>
          <w:szCs w:val="24"/>
        </w:rPr>
        <w:t>how the new law is intended to operate;</w:t>
      </w:r>
    </w:p>
    <w:p w14:paraId="36FF760F" w14:textId="77777777" w:rsidR="00995C77" w:rsidRPr="009D113A" w:rsidRDefault="00995C77" w:rsidP="00995C77">
      <w:pPr>
        <w:pStyle w:val="Bullet"/>
        <w:rPr>
          <w:szCs w:val="24"/>
        </w:rPr>
      </w:pPr>
      <w:r w:rsidRPr="009D113A">
        <w:rPr>
          <w:szCs w:val="24"/>
        </w:rPr>
        <w:t xml:space="preserve">whether the background and policy context </w:t>
      </w:r>
      <w:proofErr w:type="gramStart"/>
      <w:r w:rsidRPr="009D113A">
        <w:rPr>
          <w:szCs w:val="24"/>
        </w:rPr>
        <w:t>is</w:t>
      </w:r>
      <w:proofErr w:type="gramEnd"/>
      <w:r w:rsidRPr="009D113A">
        <w:rPr>
          <w:szCs w:val="24"/>
        </w:rPr>
        <w:t xml:space="preserve"> sufficiently comprehensive to support understanding of the policy intent and outcomes of the new law;</w:t>
      </w:r>
    </w:p>
    <w:p w14:paraId="0160FCFD" w14:textId="77777777" w:rsidR="00995C77" w:rsidRPr="009D113A" w:rsidRDefault="00995C77" w:rsidP="00995C77">
      <w:pPr>
        <w:pStyle w:val="Bullet"/>
        <w:rPr>
          <w:szCs w:val="24"/>
        </w:rPr>
      </w:pPr>
      <w:r w:rsidRPr="009D113A">
        <w:rPr>
          <w:szCs w:val="24"/>
        </w:rPr>
        <w:t>the use of relevant examples, illustrations or diagrams as explanatory aids; and</w:t>
      </w:r>
    </w:p>
    <w:p w14:paraId="00D619BB" w14:textId="77777777" w:rsidR="00995C77" w:rsidRPr="009D113A" w:rsidRDefault="00995C77" w:rsidP="00995C77">
      <w:pPr>
        <w:pStyle w:val="Bullet"/>
        <w:rPr>
          <w:szCs w:val="24"/>
        </w:rPr>
      </w:pPr>
      <w:r w:rsidRPr="009D113A">
        <w:rPr>
          <w:szCs w:val="24"/>
        </w:rPr>
        <w:t>any other matters affecting the readability or presentation of the explanatory material.</w:t>
      </w:r>
    </w:p>
    <w:p w14:paraId="04E032F5" w14:textId="77777777" w:rsidR="00EB2AEF" w:rsidRPr="003C5719" w:rsidRDefault="00EB2AEF" w:rsidP="004A27A8">
      <w:pPr>
        <w:spacing w:before="240"/>
      </w:pPr>
    </w:p>
    <w:p w14:paraId="55248D4F" w14:textId="1B43202D" w:rsidR="00EA4DD8" w:rsidRPr="003C5719" w:rsidRDefault="00EA4DD8" w:rsidP="006562A5">
      <w:pPr>
        <w:pStyle w:val="Heading1"/>
      </w:pPr>
      <w:r w:rsidRPr="006562A5">
        <w:lastRenderedPageBreak/>
        <w:t>ATTACHMENT</w:t>
      </w:r>
      <w:r w:rsidRPr="003C5719">
        <w:t xml:space="preserve"> </w:t>
      </w:r>
      <w:r w:rsidR="00995C77">
        <w:t>A</w:t>
      </w:r>
    </w:p>
    <w:p w14:paraId="764DE291" w14:textId="498A45F3" w:rsidR="00EA4DD8" w:rsidRPr="003C5719" w:rsidRDefault="00EA4DD8" w:rsidP="004A27A8">
      <w:pPr>
        <w:spacing w:before="240"/>
        <w:rPr>
          <w:b/>
          <w:bCs/>
          <w:szCs w:val="24"/>
          <w:u w:val="single"/>
        </w:rPr>
      </w:pPr>
      <w:r w:rsidRPr="003C5719">
        <w:rPr>
          <w:b/>
          <w:bCs/>
          <w:u w:val="single"/>
        </w:rPr>
        <w:t xml:space="preserve">Details of the </w:t>
      </w:r>
      <w:r w:rsidR="00EE0A21" w:rsidRPr="00EE0A21">
        <w:rPr>
          <w:b/>
          <w:i/>
          <w:u w:val="single"/>
        </w:rPr>
        <w:t>Treasury Laws Amendment (Miscellaneous and Technical Amendments No. 1) Instrument 2025</w:t>
      </w:r>
    </w:p>
    <w:p w14:paraId="24F9D0D5" w14:textId="77777777" w:rsidR="002466F6" w:rsidRPr="003C5719" w:rsidRDefault="002466F6" w:rsidP="002466F6">
      <w:pPr>
        <w:pStyle w:val="Heading2"/>
        <w:rPr>
          <w:rFonts w:ascii="Calibri" w:hAnsi="Calibri"/>
          <w:sz w:val="22"/>
          <w:szCs w:val="22"/>
          <w:lang w:eastAsia="en-US"/>
        </w:rPr>
      </w:pPr>
      <w:r w:rsidRPr="003C5719">
        <w:t xml:space="preserve">Section 1 – Name </w:t>
      </w:r>
    </w:p>
    <w:p w14:paraId="1ECD5479" w14:textId="59FD6E9B" w:rsidR="002466F6" w:rsidRPr="003C5719" w:rsidRDefault="002466F6" w:rsidP="002466F6">
      <w:pPr>
        <w:spacing w:before="240"/>
      </w:pPr>
      <w:r>
        <w:t xml:space="preserve">This section provides that the name of the instrument is the </w:t>
      </w:r>
      <w:r w:rsidRPr="49D783B4">
        <w:rPr>
          <w:i/>
          <w:iCs/>
          <w:color w:val="000000" w:themeColor="text1"/>
        </w:rPr>
        <w:t xml:space="preserve">Treasury Laws Amendment (Miscellaneous and Technical Amendments No. 1) Instrument 2025 </w:t>
      </w:r>
      <w:r>
        <w:t>(the Amending Instrument).</w:t>
      </w:r>
    </w:p>
    <w:p w14:paraId="462E584F" w14:textId="77777777" w:rsidR="002466F6" w:rsidRPr="003C5719" w:rsidRDefault="002466F6" w:rsidP="002466F6">
      <w:pPr>
        <w:pStyle w:val="Heading2"/>
      </w:pPr>
      <w:r w:rsidRPr="003C5719">
        <w:t>Section 2 – Commencement</w:t>
      </w:r>
    </w:p>
    <w:p w14:paraId="7AFEAAEF" w14:textId="2EA32A0F" w:rsidR="002466F6" w:rsidRPr="003C5719" w:rsidRDefault="002466F6" w:rsidP="002466F6">
      <w:pPr>
        <w:spacing w:before="240"/>
      </w:pPr>
      <w:r>
        <w:t>Schedule 1 to the Amending Instrument commences the day after the instrument is registered on the Federal Register of Legislation.</w:t>
      </w:r>
    </w:p>
    <w:p w14:paraId="16F083AB" w14:textId="77777777" w:rsidR="002466F6" w:rsidRPr="003C5719" w:rsidRDefault="002466F6" w:rsidP="002466F6">
      <w:pPr>
        <w:pStyle w:val="Heading2"/>
      </w:pPr>
      <w:r w:rsidRPr="003C5719">
        <w:t>Section 3 – Authority</w:t>
      </w:r>
    </w:p>
    <w:p w14:paraId="23F7FFE1" w14:textId="6B9058D8" w:rsidR="002466F6" w:rsidRPr="003C5719" w:rsidRDefault="002466F6" w:rsidP="002466F6">
      <w:pPr>
        <w:spacing w:before="240"/>
      </w:pPr>
      <w:r>
        <w:t xml:space="preserve">The Amending Instrument is made under the </w:t>
      </w:r>
      <w:r w:rsidRPr="49D783B4">
        <w:rPr>
          <w:i/>
          <w:iCs/>
        </w:rPr>
        <w:t>Local Government (Financial Assistance) Act 1995</w:t>
      </w:r>
      <w:r>
        <w:t xml:space="preserve">, the </w:t>
      </w:r>
      <w:r w:rsidRPr="49D783B4">
        <w:rPr>
          <w:i/>
          <w:iCs/>
        </w:rPr>
        <w:t>Payment Times Reporting Act 2020</w:t>
      </w:r>
      <w:r>
        <w:t xml:space="preserve">, and the </w:t>
      </w:r>
      <w:r w:rsidRPr="49D783B4">
        <w:rPr>
          <w:i/>
          <w:iCs/>
        </w:rPr>
        <w:t>Tax Agent Services Act 2009</w:t>
      </w:r>
      <w:r>
        <w:t xml:space="preserve"> (collectively the Authorising Acts).</w:t>
      </w:r>
    </w:p>
    <w:p w14:paraId="7C201C86" w14:textId="295C7D0E" w:rsidR="002466F6" w:rsidRPr="003C5719" w:rsidRDefault="002466F6" w:rsidP="002466F6">
      <w:pPr>
        <w:pStyle w:val="Heading2"/>
      </w:pPr>
      <w:r w:rsidRPr="003C5719">
        <w:t>Section 4 – Schedul</w:t>
      </w:r>
      <w:r>
        <w:t>es</w:t>
      </w:r>
    </w:p>
    <w:p w14:paraId="76F32CF3" w14:textId="77777777" w:rsidR="002466F6" w:rsidRDefault="002466F6" w:rsidP="002466F6">
      <w:pPr>
        <w:spacing w:before="240" w:after="200"/>
      </w:pPr>
      <w:r w:rsidRPr="003C5719">
        <w:t xml:space="preserve">This section provides that each instrument that is specified in the Schedules to this instrument </w:t>
      </w:r>
      <w:r>
        <w:t xml:space="preserve">are </w:t>
      </w:r>
      <w:r w:rsidRPr="003C5719">
        <w:t>amended or repealed as set out in the applicable items in the Schedules, and any other item in the Schedules to this instrument has effect according to its terms.</w:t>
      </w:r>
    </w:p>
    <w:p w14:paraId="15B338F1" w14:textId="3EB4841A" w:rsidR="002466F6" w:rsidRDefault="002466F6" w:rsidP="002466F6">
      <w:pPr>
        <w:pStyle w:val="Heading2"/>
      </w:pPr>
      <w:r>
        <w:t>Schedule 1 – Amendments</w:t>
      </w:r>
    </w:p>
    <w:p w14:paraId="06616D59" w14:textId="2CFBB7E2" w:rsidR="002466F6" w:rsidRDefault="002466F6" w:rsidP="002466F6">
      <w:pPr>
        <w:spacing w:before="240" w:after="200"/>
      </w:pPr>
      <w:r>
        <w:t>Legislative references are made to Schedule 1 to the Amending Instrument unless otherwise stated.</w:t>
      </w:r>
    </w:p>
    <w:p w14:paraId="49375E0E" w14:textId="172886A9" w:rsidR="002466F6" w:rsidRPr="00BE0AEC" w:rsidRDefault="002466F6" w:rsidP="002466F6">
      <w:pPr>
        <w:pStyle w:val="Heading3"/>
        <w:rPr>
          <w:i/>
          <w:iCs/>
        </w:rPr>
      </w:pPr>
      <w:r w:rsidRPr="00BE0AEC">
        <w:rPr>
          <w:i/>
          <w:iCs/>
        </w:rPr>
        <w:t>Local Government (Financial Assistance) (Final Factor for 2022-23 and Estimated Factor for 2023-24) Determination 2023</w:t>
      </w:r>
    </w:p>
    <w:p w14:paraId="4004B86B" w14:textId="0D5D436B" w:rsidR="002466F6" w:rsidRPr="001E6B68" w:rsidRDefault="002466F6" w:rsidP="002466F6">
      <w:pPr>
        <w:pStyle w:val="Heading4"/>
      </w:pPr>
      <w:r w:rsidRPr="001E6B68">
        <w:t xml:space="preserve">Items [1 to </w:t>
      </w:r>
      <w:r>
        <w:t>3</w:t>
      </w:r>
      <w:r w:rsidRPr="001E6B68">
        <w:t xml:space="preserve">] – </w:t>
      </w:r>
      <w:r>
        <w:t>Subsection 8(3)</w:t>
      </w:r>
    </w:p>
    <w:p w14:paraId="761E9E7E" w14:textId="7F97F1EF" w:rsidR="002466F6" w:rsidRDefault="002466F6" w:rsidP="002466F6">
      <w:r>
        <w:t xml:space="preserve">Items 1 to 3 amend subsection 8(3) of the </w:t>
      </w:r>
      <w:r w:rsidRPr="008C0A55">
        <w:rPr>
          <w:i/>
          <w:iCs/>
        </w:rPr>
        <w:t>Local Government (Financial Assistance) (Final Factor for 2022-23 and Estimated Factor for 2023-24) Determination 2023</w:t>
      </w:r>
      <w:r>
        <w:t xml:space="preserve"> (the Financial Assistance Determination) to correct typographical errors in cross-references. </w:t>
      </w:r>
    </w:p>
    <w:p w14:paraId="625C7071" w14:textId="77777777" w:rsidR="002466F6" w:rsidRDefault="002466F6" w:rsidP="002466F6">
      <w:r w:rsidRPr="00003CDC">
        <w:t>Each year, the level of financial assistance available to the States and Territories from the Commonwealth for local government purposes is indexed by a factor which is to be estimated before the start of each financial year.</w:t>
      </w:r>
      <w:r>
        <w:t xml:space="preserve"> </w:t>
      </w:r>
    </w:p>
    <w:p w14:paraId="0FB3310D" w14:textId="3A58C1A6" w:rsidR="002466F6" w:rsidRDefault="002466F6" w:rsidP="002466F6">
      <w:r w:rsidRPr="00C3070A">
        <w:t xml:space="preserve">Section 8 </w:t>
      </w:r>
      <w:r>
        <w:t xml:space="preserve">of the Financial Assistance Determination </w:t>
      </w:r>
      <w:r w:rsidRPr="00C3070A">
        <w:t xml:space="preserve">provides </w:t>
      </w:r>
      <w:r>
        <w:t xml:space="preserve">for </w:t>
      </w:r>
      <w:r w:rsidRPr="00C3070A">
        <w:t xml:space="preserve">the details </w:t>
      </w:r>
      <w:r>
        <w:t>of</w:t>
      </w:r>
      <w:r w:rsidRPr="00C3070A">
        <w:t xml:space="preserve"> </w:t>
      </w:r>
      <w:r>
        <w:t>working out the</w:t>
      </w:r>
      <w:r w:rsidRPr="00C3070A">
        <w:t xml:space="preserve"> estimated factor for the 2023-24 financial year.</w:t>
      </w:r>
      <w:r>
        <w:t xml:space="preserve"> Subsection 8(3) of the Financial Assistance Determination incorrectly referred to “subsection (3)” and “sub (3) factor”. The amendments correct these references to “subsection (2)” and “sub (2) factor” respectively.</w:t>
      </w:r>
    </w:p>
    <w:p w14:paraId="686D7B23" w14:textId="0711A159" w:rsidR="002466F6" w:rsidRDefault="002466F6" w:rsidP="002466F6">
      <w:r>
        <w:t xml:space="preserve">The amendments do not change the </w:t>
      </w:r>
      <w:r w:rsidRPr="00003CDC">
        <w:t>estimated factor for</w:t>
      </w:r>
      <w:r>
        <w:t xml:space="preserve"> the</w:t>
      </w:r>
      <w:r w:rsidRPr="00003CDC">
        <w:t xml:space="preserve"> 2023-24</w:t>
      </w:r>
      <w:r>
        <w:t xml:space="preserve"> financial year.</w:t>
      </w:r>
    </w:p>
    <w:p w14:paraId="79552D42" w14:textId="77777777" w:rsidR="002466F6" w:rsidRDefault="002466F6" w:rsidP="002466F6"/>
    <w:p w14:paraId="63322700" w14:textId="5BD532FD" w:rsidR="002466F6" w:rsidRPr="006257B1" w:rsidRDefault="002466F6" w:rsidP="002466F6">
      <w:pPr>
        <w:pStyle w:val="Heading3"/>
        <w:rPr>
          <w:i/>
          <w:iCs/>
        </w:rPr>
      </w:pPr>
      <w:r w:rsidRPr="006257B1">
        <w:rPr>
          <w:i/>
          <w:iCs/>
        </w:rPr>
        <w:lastRenderedPageBreak/>
        <w:t>Payment Times Reporting Rules 2024</w:t>
      </w:r>
    </w:p>
    <w:p w14:paraId="5B9A8CDB" w14:textId="78D2DB36" w:rsidR="002466F6" w:rsidRDefault="002466F6" w:rsidP="002466F6">
      <w:pPr>
        <w:pStyle w:val="Heading4"/>
      </w:pPr>
      <w:r>
        <w:t>Items [4 and 5] – paragraph 13(1)(a) and section 101</w:t>
      </w:r>
    </w:p>
    <w:p w14:paraId="75BA3624" w14:textId="77777777" w:rsidR="005373BF" w:rsidRDefault="005373BF" w:rsidP="005373BF">
      <w:pPr>
        <w:spacing w:before="240" w:after="200"/>
      </w:pPr>
      <w:r>
        <w:t xml:space="preserve">Item 4 amends paragraph 13(1)(a) of the </w:t>
      </w:r>
      <w:r w:rsidRPr="59BCADF0">
        <w:rPr>
          <w:i/>
          <w:iCs/>
        </w:rPr>
        <w:t>Payment Times Reporting Rules 2024</w:t>
      </w:r>
      <w:r>
        <w:t xml:space="preserve"> (PTR Rules) to correct a typographical error. </w:t>
      </w:r>
    </w:p>
    <w:p w14:paraId="03BBED2E" w14:textId="77777777" w:rsidR="005373BF" w:rsidRDefault="005373BF" w:rsidP="005373BF">
      <w:pPr>
        <w:spacing w:before="240" w:after="200"/>
      </w:pPr>
      <w:r>
        <w:t xml:space="preserve">Paragraph 13(1)(a) of the PTR Rules provides that the payment times report of a reporting entity must include the proportion of the total number of payments in the trade credit payments dataset for a reporting period that comprises payments in the small business trade credit payments dataset for the reporting period (expressed as a percentage). </w:t>
      </w:r>
    </w:p>
    <w:p w14:paraId="5B86B8FA" w14:textId="77777777" w:rsidR="005373BF" w:rsidRDefault="005373BF" w:rsidP="005373BF">
      <w:pPr>
        <w:spacing w:before="240" w:after="200"/>
      </w:pPr>
      <w:r>
        <w:t xml:space="preserve">The amendment corrects the provision by replacing the word ‘number of payments’ with ‘value of payments’ in the calculation. The amendment ensures continuity with the previous scheme of payment reporting provided for under the </w:t>
      </w:r>
      <w:r w:rsidRPr="005F7C37">
        <w:rPr>
          <w:i/>
          <w:iCs/>
        </w:rPr>
        <w:t>Payment Times Reporting Rules 2020</w:t>
      </w:r>
      <w:r>
        <w:t xml:space="preserve"> and affords greater insight into economic impact. The continuity with the previous scheme effected by the amendment also prevents imposition of administrative burden on reporting entities.</w:t>
      </w:r>
    </w:p>
    <w:p w14:paraId="5A7342A8" w14:textId="77777777" w:rsidR="005373BF" w:rsidRDefault="005373BF" w:rsidP="005373BF">
      <w:pPr>
        <w:spacing w:before="240" w:after="200"/>
      </w:pPr>
      <w:r>
        <w:t>Item 5 of the amendment inserts an application provision to ensure consistency with the application of the PTR Rules and to reports given to the Regulator on or after 1 January 2025 for a reporting period starting on or after 1 July 2024.</w:t>
      </w:r>
    </w:p>
    <w:p w14:paraId="3AFB82A3" w14:textId="77777777" w:rsidR="002466F6" w:rsidRDefault="002466F6" w:rsidP="002466F6">
      <w:pPr>
        <w:spacing w:before="240" w:after="200"/>
      </w:pPr>
    </w:p>
    <w:p w14:paraId="09DF7F64" w14:textId="7543968C" w:rsidR="002466F6" w:rsidRDefault="002466F6" w:rsidP="002466F6">
      <w:pPr>
        <w:pStyle w:val="Heading3"/>
        <w:rPr>
          <w:i/>
          <w:iCs/>
        </w:rPr>
      </w:pPr>
      <w:r w:rsidRPr="00F03B26">
        <w:rPr>
          <w:i/>
          <w:iCs/>
        </w:rPr>
        <w:t>Tax Agent Services (Code of Professional Conduct) Determination 2024</w:t>
      </w:r>
    </w:p>
    <w:p w14:paraId="4926F7CA" w14:textId="3EFE33EB" w:rsidR="00B15AB4" w:rsidRPr="00D93BC2" w:rsidRDefault="00B15AB4" w:rsidP="00B15AB4">
      <w:pPr>
        <w:spacing w:after="200"/>
        <w:outlineLvl w:val="3"/>
        <w:rPr>
          <w:b/>
          <w:bCs/>
        </w:rPr>
      </w:pPr>
      <w:r w:rsidRPr="00D93BC2">
        <w:rPr>
          <w:b/>
          <w:bCs/>
        </w:rPr>
        <w:t>Item [</w:t>
      </w:r>
      <w:r>
        <w:rPr>
          <w:b/>
          <w:bCs/>
        </w:rPr>
        <w:t>6</w:t>
      </w:r>
      <w:r w:rsidRPr="00D93BC2">
        <w:rPr>
          <w:b/>
          <w:bCs/>
        </w:rPr>
        <w:t xml:space="preserve">] – </w:t>
      </w:r>
      <w:r>
        <w:rPr>
          <w:b/>
          <w:bCs/>
        </w:rPr>
        <w:t>subsection 151(1)</w:t>
      </w:r>
    </w:p>
    <w:p w14:paraId="7C7DCE7C" w14:textId="4BDB2F0D" w:rsidR="002466F6" w:rsidRDefault="002466F6" w:rsidP="002466F6">
      <w:pPr>
        <w:spacing w:before="240" w:after="200"/>
      </w:pPr>
      <w:r>
        <w:t xml:space="preserve">The Code of Professional Conduct (the Code), set out in section 30-10 of the </w:t>
      </w:r>
      <w:r w:rsidRPr="5027CB37">
        <w:rPr>
          <w:i/>
          <w:iCs/>
        </w:rPr>
        <w:t xml:space="preserve">Tax Agent Services Act 2009 </w:t>
      </w:r>
      <w:r>
        <w:t xml:space="preserve">(the TAS Act), establishes ethical principles that apply to all registered tax agents and business activity statement (BAS) agents (together referred to as ‘tax practitioners’). The </w:t>
      </w:r>
      <w:r w:rsidRPr="5027CB37">
        <w:rPr>
          <w:i/>
          <w:iCs/>
        </w:rPr>
        <w:t>Tax Agent Services (Code of Professional Conduct) Determination 2024</w:t>
      </w:r>
      <w:r>
        <w:t>, made under section 30-12 of the TAS Act, sets out additional professional and ethical obligations that supplement the Code.</w:t>
      </w:r>
    </w:p>
    <w:p w14:paraId="51E78B2F" w14:textId="7E55D91F" w:rsidR="00EE0A21" w:rsidRPr="002466F6" w:rsidRDefault="002466F6" w:rsidP="002466F6">
      <w:pPr>
        <w:spacing w:before="240" w:after="200"/>
        <w:rPr>
          <w:u w:val="single"/>
        </w:rPr>
      </w:pPr>
      <w:r>
        <w:t xml:space="preserve">Item </w:t>
      </w:r>
      <w:r w:rsidR="00B15AB4">
        <w:t>6</w:t>
      </w:r>
      <w:r>
        <w:t xml:space="preserve"> corrects a typographical error in a cross-reference in the transitional provisions of subsection 151(1) of the </w:t>
      </w:r>
      <w:r w:rsidRPr="008B12F9">
        <w:rPr>
          <w:i/>
          <w:iCs/>
        </w:rPr>
        <w:t>Tax Agent Services (Code of Professional Conduct) Determination 2024</w:t>
      </w:r>
      <w:r>
        <w:t xml:space="preserve"> to paragraph 45(1)(d) instead of 45(1)(c). The amendment confirms that section 45 of the </w:t>
      </w:r>
      <w:r w:rsidRPr="003D5A31">
        <w:rPr>
          <w:i/>
          <w:iCs/>
        </w:rPr>
        <w:t>Tax Agent Services (Code of Professional Conduct) Determination 2024</w:t>
      </w:r>
      <w:r>
        <w:t xml:space="preserve"> applies only in relation to events that have arisen on or after 1 July 2022.</w:t>
      </w:r>
    </w:p>
    <w:sectPr w:rsidR="00EE0A21" w:rsidRPr="002466F6" w:rsidSect="004A27A8">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DDB8" w14:textId="77777777" w:rsidR="00186B91" w:rsidRDefault="00186B91" w:rsidP="00954679">
      <w:pPr>
        <w:spacing w:before="0" w:after="0"/>
      </w:pPr>
      <w:r>
        <w:separator/>
      </w:r>
    </w:p>
  </w:endnote>
  <w:endnote w:type="continuationSeparator" w:id="0">
    <w:p w14:paraId="4840E505" w14:textId="77777777" w:rsidR="00186B91" w:rsidRDefault="00186B91" w:rsidP="00954679">
      <w:pPr>
        <w:spacing w:before="0" w:after="0"/>
      </w:pPr>
      <w:r>
        <w:continuationSeparator/>
      </w:r>
    </w:p>
  </w:endnote>
  <w:endnote w:type="continuationNotice" w:id="1">
    <w:p w14:paraId="73A8F700" w14:textId="77777777" w:rsidR="00186B91" w:rsidRDefault="00186B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1EF47A6"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99E0" w14:textId="77777777" w:rsidR="00186B91" w:rsidRDefault="00186B91" w:rsidP="00954679">
      <w:pPr>
        <w:spacing w:before="0" w:after="0"/>
      </w:pPr>
      <w:r>
        <w:separator/>
      </w:r>
    </w:p>
  </w:footnote>
  <w:footnote w:type="continuationSeparator" w:id="0">
    <w:p w14:paraId="00E0C404" w14:textId="77777777" w:rsidR="00186B91" w:rsidRDefault="00186B91" w:rsidP="00954679">
      <w:pPr>
        <w:spacing w:before="0" w:after="0"/>
      </w:pPr>
      <w:r>
        <w:continuationSeparator/>
      </w:r>
    </w:p>
  </w:footnote>
  <w:footnote w:type="continuationNotice" w:id="1">
    <w:p w14:paraId="475266ED" w14:textId="77777777" w:rsidR="00186B91" w:rsidRDefault="00186B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4355"/>
      <w:docPartObj>
        <w:docPartGallery w:val="Watermarks"/>
        <w:docPartUnique/>
      </w:docPartObj>
    </w:sdtPr>
    <w:sdtEndPr/>
    <w:sdtContent>
      <w:p w14:paraId="37574E09" w14:textId="41233198" w:rsidR="00823004" w:rsidRDefault="00187398">
        <w:pPr>
          <w:pStyle w:val="Header"/>
        </w:pPr>
        <w:r>
          <w:rPr>
            <w:noProof/>
          </w:rPr>
          <w:pict w14:anchorId="766A0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84659" o:spid="_x0000_s1025" type="#_x0000_t136" style="position:absolute;margin-left:0;margin-top:0;width:542.05pt;height:77.4pt;rotation:315;z-index:-251658752;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45255D4F"/>
    <w:multiLevelType w:val="multilevel"/>
    <w:tmpl w:val="3B023F9E"/>
    <w:name w:val="StandardNumberedList"/>
    <w:lvl w:ilvl="0">
      <w:start w:val="1"/>
      <w:numFmt w:val="decimal"/>
      <w:lvlText w:val="%1."/>
      <w:lvlJc w:val="left"/>
      <w:pPr>
        <w:tabs>
          <w:tab w:val="num" w:pos="638"/>
        </w:tabs>
        <w:ind w:left="638" w:hanging="638"/>
      </w:pPr>
    </w:lvl>
    <w:lvl w:ilvl="1">
      <w:start w:val="1"/>
      <w:numFmt w:val="decimal"/>
      <w:lvlText w:val="%1.%2."/>
      <w:lvlJc w:val="left"/>
      <w:pPr>
        <w:tabs>
          <w:tab w:val="num" w:pos="1276"/>
        </w:tabs>
        <w:ind w:left="1276" w:hanging="638"/>
      </w:pPr>
    </w:lvl>
    <w:lvl w:ilvl="2">
      <w:start w:val="1"/>
      <w:numFmt w:val="decimal"/>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4"/>
  </w:num>
  <w:num w:numId="3" w16cid:durableId="102648425">
    <w:abstractNumId w:val="1"/>
  </w:num>
  <w:num w:numId="4" w16cid:durableId="1451314351">
    <w:abstractNumId w:val="0"/>
  </w:num>
  <w:num w:numId="5" w16cid:durableId="1455824937">
    <w:abstractNumId w:val="4"/>
  </w:num>
  <w:num w:numId="6" w16cid:durableId="2012178582">
    <w:abstractNumId w:val="4"/>
  </w:num>
  <w:num w:numId="7" w16cid:durableId="1173374635">
    <w:abstractNumId w:val="4"/>
  </w:num>
  <w:num w:numId="8" w16cid:durableId="1074162301">
    <w:abstractNumId w:val="4"/>
  </w:num>
  <w:num w:numId="9" w16cid:durableId="1206795025">
    <w:abstractNumId w:val="4"/>
  </w:num>
  <w:num w:numId="10" w16cid:durableId="474571849">
    <w:abstractNumId w:val="4"/>
  </w:num>
  <w:num w:numId="11" w16cid:durableId="890385033">
    <w:abstractNumId w:val="4"/>
  </w:num>
  <w:num w:numId="12" w16cid:durableId="392780191">
    <w:abstractNumId w:val="4"/>
  </w:num>
  <w:num w:numId="13" w16cid:durableId="1793669345">
    <w:abstractNumId w:val="4"/>
  </w:num>
  <w:num w:numId="14" w16cid:durableId="2085832638">
    <w:abstractNumId w:val="4"/>
  </w:num>
  <w:num w:numId="15" w16cid:durableId="724838217">
    <w:abstractNumId w:val="4"/>
  </w:num>
  <w:num w:numId="16" w16cid:durableId="951398036">
    <w:abstractNumId w:val="4"/>
  </w:num>
  <w:num w:numId="17" w16cid:durableId="1463422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A9"/>
    <w:rsid w:val="000026BE"/>
    <w:rsid w:val="00003189"/>
    <w:rsid w:val="00005B51"/>
    <w:rsid w:val="0000628C"/>
    <w:rsid w:val="00013390"/>
    <w:rsid w:val="00016EA2"/>
    <w:rsid w:val="0002546A"/>
    <w:rsid w:val="00025E6D"/>
    <w:rsid w:val="00031AE1"/>
    <w:rsid w:val="00034521"/>
    <w:rsid w:val="00041C87"/>
    <w:rsid w:val="00042793"/>
    <w:rsid w:val="00042888"/>
    <w:rsid w:val="000455BA"/>
    <w:rsid w:val="00050936"/>
    <w:rsid w:val="00051648"/>
    <w:rsid w:val="000524A9"/>
    <w:rsid w:val="0005316A"/>
    <w:rsid w:val="000547DB"/>
    <w:rsid w:val="000604A6"/>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935"/>
    <w:rsid w:val="000D11E5"/>
    <w:rsid w:val="000D2234"/>
    <w:rsid w:val="000D5827"/>
    <w:rsid w:val="000D59B4"/>
    <w:rsid w:val="000E1390"/>
    <w:rsid w:val="000E1D7A"/>
    <w:rsid w:val="000E32E3"/>
    <w:rsid w:val="000F1F12"/>
    <w:rsid w:val="000F3A05"/>
    <w:rsid w:val="000F4D65"/>
    <w:rsid w:val="000F53D9"/>
    <w:rsid w:val="001012C2"/>
    <w:rsid w:val="00112269"/>
    <w:rsid w:val="00113B45"/>
    <w:rsid w:val="00114003"/>
    <w:rsid w:val="0011527C"/>
    <w:rsid w:val="00117C02"/>
    <w:rsid w:val="001276B4"/>
    <w:rsid w:val="001319C8"/>
    <w:rsid w:val="001331B7"/>
    <w:rsid w:val="00133D7A"/>
    <w:rsid w:val="00142BCF"/>
    <w:rsid w:val="0014608E"/>
    <w:rsid w:val="00172B5A"/>
    <w:rsid w:val="00186B91"/>
    <w:rsid w:val="00187398"/>
    <w:rsid w:val="00187857"/>
    <w:rsid w:val="00195A29"/>
    <w:rsid w:val="001A3B23"/>
    <w:rsid w:val="001B1978"/>
    <w:rsid w:val="001B4919"/>
    <w:rsid w:val="001B7535"/>
    <w:rsid w:val="001B7EC2"/>
    <w:rsid w:val="001C0477"/>
    <w:rsid w:val="001D249C"/>
    <w:rsid w:val="001E6A74"/>
    <w:rsid w:val="001E6B68"/>
    <w:rsid w:val="001F37BE"/>
    <w:rsid w:val="001F41D0"/>
    <w:rsid w:val="001F462C"/>
    <w:rsid w:val="001F7A25"/>
    <w:rsid w:val="00212C4A"/>
    <w:rsid w:val="00220F16"/>
    <w:rsid w:val="00221082"/>
    <w:rsid w:val="0022550C"/>
    <w:rsid w:val="00231837"/>
    <w:rsid w:val="002349A0"/>
    <w:rsid w:val="00240D31"/>
    <w:rsid w:val="0024245F"/>
    <w:rsid w:val="002439CC"/>
    <w:rsid w:val="002457FC"/>
    <w:rsid w:val="00246470"/>
    <w:rsid w:val="002466F6"/>
    <w:rsid w:val="00254C5B"/>
    <w:rsid w:val="002563CB"/>
    <w:rsid w:val="0027118E"/>
    <w:rsid w:val="002725F4"/>
    <w:rsid w:val="002771E5"/>
    <w:rsid w:val="00277840"/>
    <w:rsid w:val="002817A9"/>
    <w:rsid w:val="00282392"/>
    <w:rsid w:val="00287C5A"/>
    <w:rsid w:val="00293839"/>
    <w:rsid w:val="002A1236"/>
    <w:rsid w:val="002A3C80"/>
    <w:rsid w:val="002A6DA4"/>
    <w:rsid w:val="002A7B74"/>
    <w:rsid w:val="002A7E1F"/>
    <w:rsid w:val="002C0792"/>
    <w:rsid w:val="002C0A5A"/>
    <w:rsid w:val="002C1607"/>
    <w:rsid w:val="002C226C"/>
    <w:rsid w:val="002C3EE2"/>
    <w:rsid w:val="002C7A8B"/>
    <w:rsid w:val="002D4B55"/>
    <w:rsid w:val="002E73BB"/>
    <w:rsid w:val="002F022D"/>
    <w:rsid w:val="002F6BB1"/>
    <w:rsid w:val="003037F8"/>
    <w:rsid w:val="003041FA"/>
    <w:rsid w:val="00312A68"/>
    <w:rsid w:val="00315B03"/>
    <w:rsid w:val="003342CD"/>
    <w:rsid w:val="0033477F"/>
    <w:rsid w:val="00335042"/>
    <w:rsid w:val="00341642"/>
    <w:rsid w:val="003440D9"/>
    <w:rsid w:val="00355872"/>
    <w:rsid w:val="00357733"/>
    <w:rsid w:val="00360C0A"/>
    <w:rsid w:val="00362B70"/>
    <w:rsid w:val="00363F88"/>
    <w:rsid w:val="00364DEE"/>
    <w:rsid w:val="00370235"/>
    <w:rsid w:val="00370395"/>
    <w:rsid w:val="0037180D"/>
    <w:rsid w:val="00373853"/>
    <w:rsid w:val="0038213C"/>
    <w:rsid w:val="003870AB"/>
    <w:rsid w:val="00392BBA"/>
    <w:rsid w:val="00392C0C"/>
    <w:rsid w:val="003954FD"/>
    <w:rsid w:val="003B19DD"/>
    <w:rsid w:val="003B31F4"/>
    <w:rsid w:val="003B4356"/>
    <w:rsid w:val="003C445C"/>
    <w:rsid w:val="003C5719"/>
    <w:rsid w:val="003C7907"/>
    <w:rsid w:val="003C7B82"/>
    <w:rsid w:val="003D0B99"/>
    <w:rsid w:val="003D392B"/>
    <w:rsid w:val="003D5A31"/>
    <w:rsid w:val="003D60D7"/>
    <w:rsid w:val="003E0411"/>
    <w:rsid w:val="003E1C8F"/>
    <w:rsid w:val="003E1CE3"/>
    <w:rsid w:val="003E77BC"/>
    <w:rsid w:val="003F17A4"/>
    <w:rsid w:val="003F3B86"/>
    <w:rsid w:val="004000AE"/>
    <w:rsid w:val="00400714"/>
    <w:rsid w:val="00400C77"/>
    <w:rsid w:val="004049A9"/>
    <w:rsid w:val="00412BB6"/>
    <w:rsid w:val="00436952"/>
    <w:rsid w:val="004453FA"/>
    <w:rsid w:val="00454E2D"/>
    <w:rsid w:val="00456D0E"/>
    <w:rsid w:val="004577E7"/>
    <w:rsid w:val="00462095"/>
    <w:rsid w:val="00464356"/>
    <w:rsid w:val="00466731"/>
    <w:rsid w:val="00466DD5"/>
    <w:rsid w:val="00467E83"/>
    <w:rsid w:val="0047265F"/>
    <w:rsid w:val="00473B71"/>
    <w:rsid w:val="004755FE"/>
    <w:rsid w:val="0047741C"/>
    <w:rsid w:val="00482B81"/>
    <w:rsid w:val="00482D4C"/>
    <w:rsid w:val="00483475"/>
    <w:rsid w:val="004838E4"/>
    <w:rsid w:val="0048463A"/>
    <w:rsid w:val="00492BF6"/>
    <w:rsid w:val="004A10CE"/>
    <w:rsid w:val="004A1638"/>
    <w:rsid w:val="004A27A8"/>
    <w:rsid w:val="004A3018"/>
    <w:rsid w:val="004A4499"/>
    <w:rsid w:val="004B3C0F"/>
    <w:rsid w:val="004B4A3C"/>
    <w:rsid w:val="004C05E4"/>
    <w:rsid w:val="004C28DF"/>
    <w:rsid w:val="004C3F42"/>
    <w:rsid w:val="004D4031"/>
    <w:rsid w:val="004D4AE5"/>
    <w:rsid w:val="004E1293"/>
    <w:rsid w:val="004E2EE7"/>
    <w:rsid w:val="004E3590"/>
    <w:rsid w:val="004E39E1"/>
    <w:rsid w:val="004F00BA"/>
    <w:rsid w:val="004F011F"/>
    <w:rsid w:val="004F03F4"/>
    <w:rsid w:val="004F3510"/>
    <w:rsid w:val="004F4C00"/>
    <w:rsid w:val="004F56D0"/>
    <w:rsid w:val="0050235E"/>
    <w:rsid w:val="00503A99"/>
    <w:rsid w:val="00503E44"/>
    <w:rsid w:val="0050777E"/>
    <w:rsid w:val="00513FE8"/>
    <w:rsid w:val="0051429B"/>
    <w:rsid w:val="00515283"/>
    <w:rsid w:val="005227CE"/>
    <w:rsid w:val="005231C5"/>
    <w:rsid w:val="00533926"/>
    <w:rsid w:val="005373BF"/>
    <w:rsid w:val="00537FB7"/>
    <w:rsid w:val="005411D1"/>
    <w:rsid w:val="00542873"/>
    <w:rsid w:val="00555D39"/>
    <w:rsid w:val="0055675D"/>
    <w:rsid w:val="005573C4"/>
    <w:rsid w:val="0056214C"/>
    <w:rsid w:val="00566E8F"/>
    <w:rsid w:val="005709DE"/>
    <w:rsid w:val="005726BA"/>
    <w:rsid w:val="00573FFC"/>
    <w:rsid w:val="0057422E"/>
    <w:rsid w:val="005833BE"/>
    <w:rsid w:val="005858FB"/>
    <w:rsid w:val="0059302A"/>
    <w:rsid w:val="00595EBF"/>
    <w:rsid w:val="005A1162"/>
    <w:rsid w:val="005A2572"/>
    <w:rsid w:val="005B3AF1"/>
    <w:rsid w:val="005C032C"/>
    <w:rsid w:val="005C62F7"/>
    <w:rsid w:val="005C73D6"/>
    <w:rsid w:val="005D2168"/>
    <w:rsid w:val="005D7D5A"/>
    <w:rsid w:val="005D7E35"/>
    <w:rsid w:val="005E4792"/>
    <w:rsid w:val="005E4BAC"/>
    <w:rsid w:val="005E580A"/>
    <w:rsid w:val="005F0ABE"/>
    <w:rsid w:val="005F1BC2"/>
    <w:rsid w:val="005F7C37"/>
    <w:rsid w:val="0060130D"/>
    <w:rsid w:val="00606671"/>
    <w:rsid w:val="006100E5"/>
    <w:rsid w:val="00612329"/>
    <w:rsid w:val="006134C3"/>
    <w:rsid w:val="006137A6"/>
    <w:rsid w:val="00613B16"/>
    <w:rsid w:val="00615574"/>
    <w:rsid w:val="00623F9C"/>
    <w:rsid w:val="006243C6"/>
    <w:rsid w:val="006257B1"/>
    <w:rsid w:val="00630893"/>
    <w:rsid w:val="0064129F"/>
    <w:rsid w:val="0064309D"/>
    <w:rsid w:val="00647BB7"/>
    <w:rsid w:val="006562A5"/>
    <w:rsid w:val="00660F56"/>
    <w:rsid w:val="006711DF"/>
    <w:rsid w:val="00672D87"/>
    <w:rsid w:val="00680297"/>
    <w:rsid w:val="0068046D"/>
    <w:rsid w:val="00680871"/>
    <w:rsid w:val="00683956"/>
    <w:rsid w:val="006873CE"/>
    <w:rsid w:val="0069205F"/>
    <w:rsid w:val="006A0786"/>
    <w:rsid w:val="006A11D6"/>
    <w:rsid w:val="006B520A"/>
    <w:rsid w:val="006B523A"/>
    <w:rsid w:val="006C170A"/>
    <w:rsid w:val="006D10EC"/>
    <w:rsid w:val="006D478B"/>
    <w:rsid w:val="006D4DAA"/>
    <w:rsid w:val="006D60D0"/>
    <w:rsid w:val="006D672B"/>
    <w:rsid w:val="006D6823"/>
    <w:rsid w:val="006E04DB"/>
    <w:rsid w:val="006E0852"/>
    <w:rsid w:val="006E0CBA"/>
    <w:rsid w:val="006E31D0"/>
    <w:rsid w:val="006E3AB4"/>
    <w:rsid w:val="006E6321"/>
    <w:rsid w:val="006F06C1"/>
    <w:rsid w:val="006F683C"/>
    <w:rsid w:val="006F6C2A"/>
    <w:rsid w:val="006F74AB"/>
    <w:rsid w:val="0070169C"/>
    <w:rsid w:val="00701F57"/>
    <w:rsid w:val="00704CCA"/>
    <w:rsid w:val="00705171"/>
    <w:rsid w:val="007053B0"/>
    <w:rsid w:val="00710E94"/>
    <w:rsid w:val="00725118"/>
    <w:rsid w:val="00727D8A"/>
    <w:rsid w:val="00730DA8"/>
    <w:rsid w:val="00731FEA"/>
    <w:rsid w:val="007323F4"/>
    <w:rsid w:val="00735921"/>
    <w:rsid w:val="0073599B"/>
    <w:rsid w:val="00736F61"/>
    <w:rsid w:val="0074185E"/>
    <w:rsid w:val="00742253"/>
    <w:rsid w:val="007436F0"/>
    <w:rsid w:val="0074422A"/>
    <w:rsid w:val="0074728E"/>
    <w:rsid w:val="0075089B"/>
    <w:rsid w:val="00757B95"/>
    <w:rsid w:val="007662C7"/>
    <w:rsid w:val="00772FAF"/>
    <w:rsid w:val="00776306"/>
    <w:rsid w:val="007816E2"/>
    <w:rsid w:val="007A1887"/>
    <w:rsid w:val="007A33F8"/>
    <w:rsid w:val="007A55A7"/>
    <w:rsid w:val="007A57BC"/>
    <w:rsid w:val="007B1F10"/>
    <w:rsid w:val="007B2143"/>
    <w:rsid w:val="007B335E"/>
    <w:rsid w:val="007B4A9D"/>
    <w:rsid w:val="007C137D"/>
    <w:rsid w:val="007C7D64"/>
    <w:rsid w:val="007D5826"/>
    <w:rsid w:val="007D6771"/>
    <w:rsid w:val="007E018D"/>
    <w:rsid w:val="007E6A45"/>
    <w:rsid w:val="007E6B0C"/>
    <w:rsid w:val="007F1B71"/>
    <w:rsid w:val="0080320B"/>
    <w:rsid w:val="00807E7D"/>
    <w:rsid w:val="008145BA"/>
    <w:rsid w:val="00823004"/>
    <w:rsid w:val="008249BE"/>
    <w:rsid w:val="00831675"/>
    <w:rsid w:val="00832CD7"/>
    <w:rsid w:val="00833654"/>
    <w:rsid w:val="008404AD"/>
    <w:rsid w:val="00844849"/>
    <w:rsid w:val="00845A80"/>
    <w:rsid w:val="008552D6"/>
    <w:rsid w:val="00855DA3"/>
    <w:rsid w:val="00857CB1"/>
    <w:rsid w:val="00860BB5"/>
    <w:rsid w:val="00862443"/>
    <w:rsid w:val="0086516A"/>
    <w:rsid w:val="00870AAC"/>
    <w:rsid w:val="00877071"/>
    <w:rsid w:val="008779B4"/>
    <w:rsid w:val="00877A2F"/>
    <w:rsid w:val="0088138D"/>
    <w:rsid w:val="00883863"/>
    <w:rsid w:val="0088467C"/>
    <w:rsid w:val="008853B9"/>
    <w:rsid w:val="00885AA3"/>
    <w:rsid w:val="008860F4"/>
    <w:rsid w:val="00891F21"/>
    <w:rsid w:val="00892D3B"/>
    <w:rsid w:val="00894579"/>
    <w:rsid w:val="00897CE0"/>
    <w:rsid w:val="008A2BDB"/>
    <w:rsid w:val="008A5B67"/>
    <w:rsid w:val="008A5CCD"/>
    <w:rsid w:val="008A6A6D"/>
    <w:rsid w:val="008B12F9"/>
    <w:rsid w:val="008B29E7"/>
    <w:rsid w:val="008B2C4E"/>
    <w:rsid w:val="008B33DF"/>
    <w:rsid w:val="008B5C0B"/>
    <w:rsid w:val="008C0A55"/>
    <w:rsid w:val="008C2216"/>
    <w:rsid w:val="008D07E2"/>
    <w:rsid w:val="008D16F7"/>
    <w:rsid w:val="008D40FA"/>
    <w:rsid w:val="008D4835"/>
    <w:rsid w:val="008E1427"/>
    <w:rsid w:val="008E36A9"/>
    <w:rsid w:val="008E52C7"/>
    <w:rsid w:val="008E5A1D"/>
    <w:rsid w:val="008F0C50"/>
    <w:rsid w:val="008F2529"/>
    <w:rsid w:val="008F778A"/>
    <w:rsid w:val="00901F96"/>
    <w:rsid w:val="00902357"/>
    <w:rsid w:val="00902ED6"/>
    <w:rsid w:val="0090320B"/>
    <w:rsid w:val="00906037"/>
    <w:rsid w:val="0090644B"/>
    <w:rsid w:val="0091280A"/>
    <w:rsid w:val="009143A0"/>
    <w:rsid w:val="00921B5A"/>
    <w:rsid w:val="00925124"/>
    <w:rsid w:val="00925635"/>
    <w:rsid w:val="00927C59"/>
    <w:rsid w:val="00931881"/>
    <w:rsid w:val="0093421F"/>
    <w:rsid w:val="00936902"/>
    <w:rsid w:val="00942170"/>
    <w:rsid w:val="0094283B"/>
    <w:rsid w:val="0094358B"/>
    <w:rsid w:val="0094486D"/>
    <w:rsid w:val="00947665"/>
    <w:rsid w:val="00950E58"/>
    <w:rsid w:val="00952DF0"/>
    <w:rsid w:val="00954679"/>
    <w:rsid w:val="009552FE"/>
    <w:rsid w:val="00955673"/>
    <w:rsid w:val="009562E9"/>
    <w:rsid w:val="009655DA"/>
    <w:rsid w:val="00965BBC"/>
    <w:rsid w:val="009673D0"/>
    <w:rsid w:val="00972823"/>
    <w:rsid w:val="00974996"/>
    <w:rsid w:val="0098737D"/>
    <w:rsid w:val="00990BE6"/>
    <w:rsid w:val="00991424"/>
    <w:rsid w:val="00995C77"/>
    <w:rsid w:val="009A2167"/>
    <w:rsid w:val="009A49F0"/>
    <w:rsid w:val="009A5307"/>
    <w:rsid w:val="009B7A38"/>
    <w:rsid w:val="009C0051"/>
    <w:rsid w:val="009C4846"/>
    <w:rsid w:val="009C6A1E"/>
    <w:rsid w:val="009D113C"/>
    <w:rsid w:val="009D2E8D"/>
    <w:rsid w:val="009D2F0C"/>
    <w:rsid w:val="009D477C"/>
    <w:rsid w:val="009E27A5"/>
    <w:rsid w:val="009E2F86"/>
    <w:rsid w:val="00A12209"/>
    <w:rsid w:val="00A31484"/>
    <w:rsid w:val="00A31681"/>
    <w:rsid w:val="00A34CA4"/>
    <w:rsid w:val="00A36DF3"/>
    <w:rsid w:val="00A4317D"/>
    <w:rsid w:val="00A4441D"/>
    <w:rsid w:val="00A46200"/>
    <w:rsid w:val="00A532DD"/>
    <w:rsid w:val="00A5522E"/>
    <w:rsid w:val="00A649B6"/>
    <w:rsid w:val="00A74B90"/>
    <w:rsid w:val="00A760F0"/>
    <w:rsid w:val="00A763F0"/>
    <w:rsid w:val="00A77788"/>
    <w:rsid w:val="00A80958"/>
    <w:rsid w:val="00A80BCF"/>
    <w:rsid w:val="00A825D1"/>
    <w:rsid w:val="00A8369C"/>
    <w:rsid w:val="00A86579"/>
    <w:rsid w:val="00A90212"/>
    <w:rsid w:val="00A904A6"/>
    <w:rsid w:val="00A90CC4"/>
    <w:rsid w:val="00A9401D"/>
    <w:rsid w:val="00AA1689"/>
    <w:rsid w:val="00AA496F"/>
    <w:rsid w:val="00AA5770"/>
    <w:rsid w:val="00AA70DB"/>
    <w:rsid w:val="00AB2E70"/>
    <w:rsid w:val="00AB33C1"/>
    <w:rsid w:val="00AB3E03"/>
    <w:rsid w:val="00AB59AC"/>
    <w:rsid w:val="00AC1D15"/>
    <w:rsid w:val="00AD44C6"/>
    <w:rsid w:val="00AE2CAB"/>
    <w:rsid w:val="00AE460D"/>
    <w:rsid w:val="00AE7F82"/>
    <w:rsid w:val="00AF04D4"/>
    <w:rsid w:val="00AF7AEF"/>
    <w:rsid w:val="00B07B0C"/>
    <w:rsid w:val="00B10FC6"/>
    <w:rsid w:val="00B120F9"/>
    <w:rsid w:val="00B15AB4"/>
    <w:rsid w:val="00B23CDB"/>
    <w:rsid w:val="00B25563"/>
    <w:rsid w:val="00B26D48"/>
    <w:rsid w:val="00B2789F"/>
    <w:rsid w:val="00B36986"/>
    <w:rsid w:val="00B40949"/>
    <w:rsid w:val="00B40D80"/>
    <w:rsid w:val="00B41F7B"/>
    <w:rsid w:val="00B42EE1"/>
    <w:rsid w:val="00B42F05"/>
    <w:rsid w:val="00B47A59"/>
    <w:rsid w:val="00B518B1"/>
    <w:rsid w:val="00B5349B"/>
    <w:rsid w:val="00B5649C"/>
    <w:rsid w:val="00B60233"/>
    <w:rsid w:val="00B7138A"/>
    <w:rsid w:val="00B81F7E"/>
    <w:rsid w:val="00B8293D"/>
    <w:rsid w:val="00B87A49"/>
    <w:rsid w:val="00B91ECE"/>
    <w:rsid w:val="00B92478"/>
    <w:rsid w:val="00B943FB"/>
    <w:rsid w:val="00B97463"/>
    <w:rsid w:val="00B97D1A"/>
    <w:rsid w:val="00BA13A1"/>
    <w:rsid w:val="00BA25B4"/>
    <w:rsid w:val="00BA3BB5"/>
    <w:rsid w:val="00BA499A"/>
    <w:rsid w:val="00BA6188"/>
    <w:rsid w:val="00BA6A09"/>
    <w:rsid w:val="00BB608E"/>
    <w:rsid w:val="00BB7567"/>
    <w:rsid w:val="00BC361A"/>
    <w:rsid w:val="00BC68C2"/>
    <w:rsid w:val="00BD2045"/>
    <w:rsid w:val="00BD2768"/>
    <w:rsid w:val="00BD3450"/>
    <w:rsid w:val="00BD3D7D"/>
    <w:rsid w:val="00BD49F7"/>
    <w:rsid w:val="00BD61A2"/>
    <w:rsid w:val="00BE0AEC"/>
    <w:rsid w:val="00BE484D"/>
    <w:rsid w:val="00BF2596"/>
    <w:rsid w:val="00C00B11"/>
    <w:rsid w:val="00C14886"/>
    <w:rsid w:val="00C20B2C"/>
    <w:rsid w:val="00C24EDE"/>
    <w:rsid w:val="00C33EF9"/>
    <w:rsid w:val="00C37E05"/>
    <w:rsid w:val="00C4270A"/>
    <w:rsid w:val="00C47789"/>
    <w:rsid w:val="00C52172"/>
    <w:rsid w:val="00C55D29"/>
    <w:rsid w:val="00C56F2E"/>
    <w:rsid w:val="00C62B3A"/>
    <w:rsid w:val="00C63325"/>
    <w:rsid w:val="00C6549B"/>
    <w:rsid w:val="00C83DB6"/>
    <w:rsid w:val="00C84FA0"/>
    <w:rsid w:val="00C86F6D"/>
    <w:rsid w:val="00C948D8"/>
    <w:rsid w:val="00CA0BE9"/>
    <w:rsid w:val="00CA138D"/>
    <w:rsid w:val="00CA57D9"/>
    <w:rsid w:val="00CA5D67"/>
    <w:rsid w:val="00CB2001"/>
    <w:rsid w:val="00CB684F"/>
    <w:rsid w:val="00CC0CA5"/>
    <w:rsid w:val="00CC220F"/>
    <w:rsid w:val="00CC2AFE"/>
    <w:rsid w:val="00CC7641"/>
    <w:rsid w:val="00CE0B46"/>
    <w:rsid w:val="00CE352B"/>
    <w:rsid w:val="00CE4EFB"/>
    <w:rsid w:val="00CE7D19"/>
    <w:rsid w:val="00CF0681"/>
    <w:rsid w:val="00CF2515"/>
    <w:rsid w:val="00CF3E79"/>
    <w:rsid w:val="00D0256C"/>
    <w:rsid w:val="00D074A2"/>
    <w:rsid w:val="00D13794"/>
    <w:rsid w:val="00D218E7"/>
    <w:rsid w:val="00D24052"/>
    <w:rsid w:val="00D24386"/>
    <w:rsid w:val="00D31575"/>
    <w:rsid w:val="00D31A89"/>
    <w:rsid w:val="00D34626"/>
    <w:rsid w:val="00D34FB4"/>
    <w:rsid w:val="00D359BA"/>
    <w:rsid w:val="00D4257A"/>
    <w:rsid w:val="00D43659"/>
    <w:rsid w:val="00D456A9"/>
    <w:rsid w:val="00D52798"/>
    <w:rsid w:val="00D5468A"/>
    <w:rsid w:val="00D61745"/>
    <w:rsid w:val="00D62665"/>
    <w:rsid w:val="00D645AC"/>
    <w:rsid w:val="00D66C71"/>
    <w:rsid w:val="00D66D7C"/>
    <w:rsid w:val="00D70205"/>
    <w:rsid w:val="00D735EF"/>
    <w:rsid w:val="00D7609F"/>
    <w:rsid w:val="00D81039"/>
    <w:rsid w:val="00D81AA7"/>
    <w:rsid w:val="00D82E47"/>
    <w:rsid w:val="00D84A01"/>
    <w:rsid w:val="00D977EA"/>
    <w:rsid w:val="00DA0DD6"/>
    <w:rsid w:val="00DA37E0"/>
    <w:rsid w:val="00DB148C"/>
    <w:rsid w:val="00DB1A31"/>
    <w:rsid w:val="00DB202E"/>
    <w:rsid w:val="00DB4F78"/>
    <w:rsid w:val="00DC027B"/>
    <w:rsid w:val="00DC0CDE"/>
    <w:rsid w:val="00DC1A85"/>
    <w:rsid w:val="00DC498E"/>
    <w:rsid w:val="00DC4D72"/>
    <w:rsid w:val="00DC6525"/>
    <w:rsid w:val="00DC7018"/>
    <w:rsid w:val="00DC792C"/>
    <w:rsid w:val="00DD12B0"/>
    <w:rsid w:val="00DD5610"/>
    <w:rsid w:val="00DF0CB3"/>
    <w:rsid w:val="00DF494C"/>
    <w:rsid w:val="00DF6D0B"/>
    <w:rsid w:val="00DF7E0D"/>
    <w:rsid w:val="00E03DC9"/>
    <w:rsid w:val="00E05147"/>
    <w:rsid w:val="00E0624D"/>
    <w:rsid w:val="00E179D4"/>
    <w:rsid w:val="00E20023"/>
    <w:rsid w:val="00E353A3"/>
    <w:rsid w:val="00E35C9D"/>
    <w:rsid w:val="00E37FF7"/>
    <w:rsid w:val="00E4438C"/>
    <w:rsid w:val="00E457F3"/>
    <w:rsid w:val="00E50663"/>
    <w:rsid w:val="00E55F9B"/>
    <w:rsid w:val="00E576F5"/>
    <w:rsid w:val="00E57A6A"/>
    <w:rsid w:val="00E60D82"/>
    <w:rsid w:val="00E73CC1"/>
    <w:rsid w:val="00E81CD9"/>
    <w:rsid w:val="00E8363E"/>
    <w:rsid w:val="00E86357"/>
    <w:rsid w:val="00E863FB"/>
    <w:rsid w:val="00E87284"/>
    <w:rsid w:val="00E873E5"/>
    <w:rsid w:val="00E8744E"/>
    <w:rsid w:val="00E93664"/>
    <w:rsid w:val="00E973C8"/>
    <w:rsid w:val="00E97664"/>
    <w:rsid w:val="00EA3F3A"/>
    <w:rsid w:val="00EA4DD8"/>
    <w:rsid w:val="00EA7959"/>
    <w:rsid w:val="00EB2AEF"/>
    <w:rsid w:val="00EB2BED"/>
    <w:rsid w:val="00EB7E71"/>
    <w:rsid w:val="00EC5EDB"/>
    <w:rsid w:val="00ED123E"/>
    <w:rsid w:val="00ED1F15"/>
    <w:rsid w:val="00ED216B"/>
    <w:rsid w:val="00EE0A21"/>
    <w:rsid w:val="00EF2788"/>
    <w:rsid w:val="00EF3103"/>
    <w:rsid w:val="00EF6E9B"/>
    <w:rsid w:val="00EF7714"/>
    <w:rsid w:val="00F023DB"/>
    <w:rsid w:val="00F03B26"/>
    <w:rsid w:val="00F109D4"/>
    <w:rsid w:val="00F10A6F"/>
    <w:rsid w:val="00F14E69"/>
    <w:rsid w:val="00F15EE9"/>
    <w:rsid w:val="00F24736"/>
    <w:rsid w:val="00F27344"/>
    <w:rsid w:val="00F306C9"/>
    <w:rsid w:val="00F343AA"/>
    <w:rsid w:val="00F4241B"/>
    <w:rsid w:val="00F46704"/>
    <w:rsid w:val="00F46C17"/>
    <w:rsid w:val="00F47585"/>
    <w:rsid w:val="00F6249C"/>
    <w:rsid w:val="00F678B8"/>
    <w:rsid w:val="00F7078E"/>
    <w:rsid w:val="00F75BDB"/>
    <w:rsid w:val="00F81232"/>
    <w:rsid w:val="00F8291C"/>
    <w:rsid w:val="00F85E6F"/>
    <w:rsid w:val="00F928BD"/>
    <w:rsid w:val="00F95449"/>
    <w:rsid w:val="00FA1942"/>
    <w:rsid w:val="00FA380A"/>
    <w:rsid w:val="00FB67C2"/>
    <w:rsid w:val="00FC2CB5"/>
    <w:rsid w:val="00FC38D9"/>
    <w:rsid w:val="00FC3A8F"/>
    <w:rsid w:val="00FC595E"/>
    <w:rsid w:val="00FD076B"/>
    <w:rsid w:val="00FD19F7"/>
    <w:rsid w:val="00FD7402"/>
    <w:rsid w:val="00FE04E4"/>
    <w:rsid w:val="00FE2DD7"/>
    <w:rsid w:val="00FE73F9"/>
    <w:rsid w:val="00FF1057"/>
    <w:rsid w:val="00FF3E25"/>
    <w:rsid w:val="00FF5FD8"/>
    <w:rsid w:val="00FF7B22"/>
    <w:rsid w:val="03481E72"/>
    <w:rsid w:val="09B89C66"/>
    <w:rsid w:val="0BF099DF"/>
    <w:rsid w:val="143E12F0"/>
    <w:rsid w:val="147091EF"/>
    <w:rsid w:val="20F134B8"/>
    <w:rsid w:val="38EEC528"/>
    <w:rsid w:val="39297F2C"/>
    <w:rsid w:val="49D783B4"/>
    <w:rsid w:val="4DD86CFE"/>
    <w:rsid w:val="5027CB37"/>
    <w:rsid w:val="55593434"/>
    <w:rsid w:val="56CD8F5D"/>
    <w:rsid w:val="59BCADF0"/>
    <w:rsid w:val="6A3AAFA8"/>
    <w:rsid w:val="6DF84A39"/>
    <w:rsid w:val="7C97C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C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6562A5"/>
    <w:pPr>
      <w:pageBreakBefore/>
      <w:spacing w:before="240"/>
      <w:jc w:val="right"/>
      <w:outlineLvl w:val="0"/>
    </w:pPr>
    <w:rPr>
      <w:b/>
      <w:u w:val="single"/>
    </w:rPr>
  </w:style>
  <w:style w:type="paragraph" w:styleId="Heading2">
    <w:name w:val="heading 2"/>
    <w:basedOn w:val="Normal"/>
    <w:next w:val="Normal"/>
    <w:qFormat/>
    <w:rsid w:val="001F37BE"/>
    <w:pPr>
      <w:spacing w:before="240"/>
      <w:outlineLvl w:val="1"/>
    </w:pPr>
    <w:rPr>
      <w:u w:val="single"/>
    </w:rPr>
  </w:style>
  <w:style w:type="paragraph" w:styleId="Heading3">
    <w:name w:val="heading 3"/>
    <w:basedOn w:val="Normal"/>
    <w:next w:val="base-text-paragraph"/>
    <w:link w:val="Heading3Char"/>
    <w:qFormat/>
    <w:rsid w:val="001E6B68"/>
    <w:pPr>
      <w:spacing w:before="240" w:after="200"/>
      <w:outlineLvl w:val="2"/>
    </w:pPr>
    <w:rPr>
      <w:b/>
      <w:bCs/>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1E6B68"/>
    <w:rPr>
      <w:b/>
      <w:bCs/>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Explanatory statement: Treasury Laws Amendment (Miscellaneous and Technical Amendments No. 1) Instrument 2025 (the Amending Instrument)</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(Miscellaneous and Technical Amendments No. 1) Instrument 2025 (the Amending Instrument)</dc:title>
  <dc:subject/>
  <dc:creator/>
  <cp:keywords/>
  <dc:description/>
  <cp:lastModifiedBy/>
  <cp:revision>1</cp:revision>
  <dcterms:created xsi:type="dcterms:W3CDTF">2025-01-17T04:22:00Z</dcterms:created>
  <dcterms:modified xsi:type="dcterms:W3CDTF">2025-01-19T21:57:00Z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2025-01-17T04:23:18Z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98a1e485-0e0e-495c-b5aa-037366724cb5</vt:lpwstr>
  </property>
  <property fmtid="{D5CDD505-2E9C-101B-9397-08002B2CF9AE}" pid="8" name="MSIP_Label_4f932d64-9ab1-4d9b-81d2-a3a8b82dd47d_ContentBits">
    <vt:lpwstr>0</vt:lpwstr>
  </property>
</Properties>
</file>