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7303"/>
      </w:tblGrid>
      <w:tr w:rsidR="00AF611F" w14:paraId="23BFB633" w14:textId="77777777" w:rsidTr="00AF611F">
        <w:tc>
          <w:tcPr>
            <w:tcW w:w="5000" w:type="pct"/>
            <w:shd w:val="clear" w:color="auto" w:fill="auto"/>
          </w:tcPr>
          <w:p w14:paraId="4803EDA4" w14:textId="77777777" w:rsidR="00AF611F" w:rsidRDefault="00AF611F" w:rsidP="00AF611F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706D14B1" w14:textId="2507C5EE" w:rsidR="00AF611F" w:rsidRPr="00AF611F" w:rsidRDefault="00AF611F" w:rsidP="00AF611F">
            <w:pPr>
              <w:rPr>
                <w:b/>
                <w:sz w:val="20"/>
              </w:rPr>
            </w:pPr>
          </w:p>
        </w:tc>
      </w:tr>
    </w:tbl>
    <w:p w14:paraId="2B85B0AF" w14:textId="77777777" w:rsidR="00AF611F" w:rsidRDefault="00AF611F" w:rsidP="00693096">
      <w:pPr>
        <w:rPr>
          <w:sz w:val="32"/>
          <w:szCs w:val="32"/>
        </w:rPr>
      </w:pPr>
    </w:p>
    <w:p w14:paraId="4A05A607" w14:textId="523A8ED0" w:rsidR="00664C63" w:rsidRPr="00693096" w:rsidRDefault="00664C63" w:rsidP="00693096">
      <w:pPr>
        <w:rPr>
          <w:sz w:val="32"/>
          <w:szCs w:val="32"/>
        </w:rPr>
      </w:pPr>
      <w:r w:rsidRPr="00693096">
        <w:rPr>
          <w:sz w:val="32"/>
          <w:szCs w:val="32"/>
        </w:rPr>
        <w:t>Inserts for</w:t>
      </w:r>
    </w:p>
    <w:p w14:paraId="55BF495C" w14:textId="522E8E8B" w:rsidR="00664C63" w:rsidRPr="00693096" w:rsidRDefault="00200203" w:rsidP="00693096">
      <w:pPr>
        <w:pStyle w:val="ShortT"/>
      </w:pPr>
      <w:r w:rsidRPr="00693096">
        <w:t>Treasury Laws Amendment</w:t>
      </w:r>
      <w:r w:rsidR="00AE59F7" w:rsidRPr="00693096">
        <w:t xml:space="preserve"> Bill </w:t>
      </w:r>
      <w:r w:rsidR="00EE17B3" w:rsidRPr="00693096">
        <w:t>202</w:t>
      </w:r>
      <w:r w:rsidR="007C4A7A" w:rsidRPr="00693096">
        <w:t>5</w:t>
      </w:r>
      <w:r w:rsidR="00664C63" w:rsidRPr="00693096">
        <w:t xml:space="preserve">: </w:t>
      </w:r>
      <w:r w:rsidR="006922BE" w:rsidRPr="00693096">
        <w:t>M</w:t>
      </w:r>
      <w:r w:rsidRPr="00693096">
        <w:t>iscellaneous and technical amendments</w:t>
      </w:r>
      <w:r w:rsidR="006922BE" w:rsidRPr="00693096">
        <w:t xml:space="preserve"> (Autumn 2025)</w:t>
      </w:r>
    </w:p>
    <w:p w14:paraId="266E4110" w14:textId="77777777" w:rsidR="00664C63" w:rsidRPr="00693096" w:rsidRDefault="00664C63" w:rsidP="00693096">
      <w:pPr>
        <w:jc w:val="center"/>
      </w:pPr>
    </w:p>
    <w:p w14:paraId="1E742944" w14:textId="77777777" w:rsidR="00664C63" w:rsidRPr="00693096" w:rsidRDefault="00664C63" w:rsidP="00693096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664C63" w:rsidRPr="00693096" w14:paraId="1F618596" w14:textId="77777777" w:rsidTr="00DE1F58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95FE859" w14:textId="77777777" w:rsidR="00664C63" w:rsidRPr="00693096" w:rsidRDefault="00664C63" w:rsidP="00693096">
            <w:pPr>
              <w:pStyle w:val="TableHeading"/>
            </w:pPr>
            <w:r w:rsidRPr="00693096">
              <w:t>Commencement information</w:t>
            </w:r>
          </w:p>
        </w:tc>
      </w:tr>
      <w:tr w:rsidR="00664C63" w:rsidRPr="00693096" w14:paraId="5437B5AB" w14:textId="77777777" w:rsidTr="00DE1F58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4E8A81" w14:textId="77777777" w:rsidR="00664C63" w:rsidRPr="00693096" w:rsidRDefault="00664C63" w:rsidP="00693096">
            <w:pPr>
              <w:pStyle w:val="TableHeading"/>
            </w:pPr>
            <w:r w:rsidRPr="00693096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246DDA" w14:textId="77777777" w:rsidR="00664C63" w:rsidRPr="00693096" w:rsidRDefault="00664C63" w:rsidP="00693096">
            <w:pPr>
              <w:pStyle w:val="TableHeading"/>
            </w:pPr>
            <w:r w:rsidRPr="00693096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9708C2" w14:textId="77777777" w:rsidR="00664C63" w:rsidRPr="00693096" w:rsidRDefault="00664C63" w:rsidP="00693096">
            <w:pPr>
              <w:pStyle w:val="TableHeading"/>
            </w:pPr>
            <w:r w:rsidRPr="00693096">
              <w:t>Column 3</w:t>
            </w:r>
          </w:p>
        </w:tc>
      </w:tr>
      <w:tr w:rsidR="00664C63" w:rsidRPr="00693096" w14:paraId="0BFD25FC" w14:textId="77777777" w:rsidTr="00DE1F58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8414DFD" w14:textId="77777777" w:rsidR="00664C63" w:rsidRPr="00693096" w:rsidRDefault="00664C63" w:rsidP="00693096">
            <w:pPr>
              <w:pStyle w:val="TableHeading"/>
            </w:pPr>
            <w:r w:rsidRPr="00693096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C59E030" w14:textId="77777777" w:rsidR="00664C63" w:rsidRPr="00693096" w:rsidRDefault="00664C63" w:rsidP="00693096">
            <w:pPr>
              <w:pStyle w:val="TableHeading"/>
            </w:pPr>
            <w:r w:rsidRPr="00693096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EFA8641" w14:textId="77777777" w:rsidR="00664C63" w:rsidRPr="00693096" w:rsidRDefault="00664C63" w:rsidP="00693096">
            <w:pPr>
              <w:pStyle w:val="TableHeading"/>
            </w:pPr>
            <w:r w:rsidRPr="00693096">
              <w:t>Date/Details</w:t>
            </w:r>
          </w:p>
        </w:tc>
      </w:tr>
      <w:tr w:rsidR="00DE1F58" w:rsidRPr="00693096" w14:paraId="19058ED3" w14:textId="77777777" w:rsidTr="00DE1F58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14628BB7" w14:textId="77777777" w:rsidR="00DE1F58" w:rsidRPr="00693096" w:rsidRDefault="00DE1F58" w:rsidP="00693096">
            <w:pPr>
              <w:pStyle w:val="Tabletext"/>
            </w:pPr>
            <w:r w:rsidRPr="00693096">
              <w:t>1.  Schedule 1, Part 1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14:paraId="2396A986" w14:textId="77777777" w:rsidR="00DE1F58" w:rsidRPr="00693096" w:rsidRDefault="00DE1F58" w:rsidP="00693096">
            <w:pPr>
              <w:pStyle w:val="Tabletext"/>
            </w:pPr>
            <w:r w:rsidRPr="00693096">
              <w:t>The day after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14:paraId="65F23C70" w14:textId="77777777" w:rsidR="00DE1F58" w:rsidRPr="00693096" w:rsidRDefault="00DE1F58" w:rsidP="00693096">
            <w:pPr>
              <w:pStyle w:val="Tabletext"/>
            </w:pPr>
          </w:p>
        </w:tc>
      </w:tr>
      <w:tr w:rsidR="00DE1F58" w:rsidRPr="00693096" w14:paraId="2830C791" w14:textId="77777777" w:rsidTr="00DE1F58"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4DEFA9F8" w14:textId="28E901F4" w:rsidR="00DE1F58" w:rsidRPr="00693096" w:rsidRDefault="00DE1F58" w:rsidP="00693096">
            <w:pPr>
              <w:pStyle w:val="Tabletext"/>
            </w:pPr>
            <w:r w:rsidRPr="00693096">
              <w:t>2.  Schedule 1, Part 2</w:t>
            </w:r>
          </w:p>
        </w:tc>
        <w:tc>
          <w:tcPr>
            <w:tcW w:w="3828" w:type="dxa"/>
            <w:tcBorders>
              <w:bottom w:val="single" w:sz="2" w:space="0" w:color="auto"/>
            </w:tcBorders>
            <w:shd w:val="clear" w:color="auto" w:fill="auto"/>
          </w:tcPr>
          <w:p w14:paraId="7E5873DE" w14:textId="77777777" w:rsidR="00DE1F58" w:rsidRPr="00693096" w:rsidRDefault="00DE1F58" w:rsidP="00693096">
            <w:pPr>
              <w:pStyle w:val="Tabletext"/>
            </w:pPr>
            <w:r w:rsidRPr="00693096">
              <w:t>The first 1 January, 1 April, 1 July or 1 October to occur after the day this Act receives the Royal Assent.</w:t>
            </w:r>
          </w:p>
        </w:tc>
        <w:tc>
          <w:tcPr>
            <w:tcW w:w="1582" w:type="dxa"/>
            <w:tcBorders>
              <w:bottom w:val="single" w:sz="2" w:space="0" w:color="auto"/>
            </w:tcBorders>
            <w:shd w:val="clear" w:color="auto" w:fill="auto"/>
          </w:tcPr>
          <w:p w14:paraId="2262179E" w14:textId="77777777" w:rsidR="00DE1F58" w:rsidRPr="00693096" w:rsidRDefault="00DE1F58" w:rsidP="00693096">
            <w:pPr>
              <w:pStyle w:val="Tabletext"/>
            </w:pPr>
          </w:p>
        </w:tc>
      </w:tr>
      <w:tr w:rsidR="00DE1F58" w:rsidRPr="00693096" w14:paraId="349A16F6" w14:textId="77777777" w:rsidTr="00DE1F58"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E8A89DF" w14:textId="38BAA0C4" w:rsidR="00DE1F58" w:rsidRPr="00693096" w:rsidRDefault="00DE1F58" w:rsidP="00693096">
            <w:pPr>
              <w:pStyle w:val="Tabletext"/>
            </w:pPr>
            <w:r w:rsidRPr="00693096">
              <w:t>3.  Schedule 1, Part 3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3D80B47" w14:textId="77777777" w:rsidR="00DE1F58" w:rsidRPr="00693096" w:rsidRDefault="00DE1F58" w:rsidP="00693096">
            <w:pPr>
              <w:pStyle w:val="Tabletext"/>
            </w:pPr>
            <w:r w:rsidRPr="00693096">
              <w:t>The 28th day after this Act receives the Royal Assent.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2355F68" w14:textId="77777777" w:rsidR="00DE1F58" w:rsidRPr="00693096" w:rsidRDefault="00DE1F58" w:rsidP="00693096">
            <w:pPr>
              <w:pStyle w:val="Tabletext"/>
            </w:pPr>
          </w:p>
        </w:tc>
      </w:tr>
    </w:tbl>
    <w:p w14:paraId="61066B07" w14:textId="77777777" w:rsidR="00DE1F58" w:rsidRPr="00693096" w:rsidRDefault="00DE1F58" w:rsidP="00693096">
      <w:pPr>
        <w:pStyle w:val="ActHead6"/>
        <w:pageBreakBefore/>
      </w:pPr>
      <w:r w:rsidRPr="00AF611F">
        <w:rPr>
          <w:rStyle w:val="CharAmSchNo"/>
        </w:rPr>
        <w:lastRenderedPageBreak/>
        <w:t>Schedule 1</w:t>
      </w:r>
      <w:r w:rsidRPr="00693096">
        <w:t>—</w:t>
      </w:r>
      <w:r w:rsidRPr="00AF611F">
        <w:rPr>
          <w:rStyle w:val="CharAmSchText"/>
        </w:rPr>
        <w:t>Miscellaneous and technical amendments</w:t>
      </w:r>
    </w:p>
    <w:p w14:paraId="4E44DDF5" w14:textId="77777777" w:rsidR="00DE1F58" w:rsidRPr="00693096" w:rsidRDefault="00DE1F58" w:rsidP="00693096">
      <w:pPr>
        <w:pStyle w:val="ActHead7"/>
      </w:pPr>
      <w:r w:rsidRPr="00AF611F">
        <w:rPr>
          <w:rStyle w:val="CharAmPartNo"/>
        </w:rPr>
        <w:t>Part 1</w:t>
      </w:r>
      <w:r w:rsidRPr="00693096">
        <w:t>—</w:t>
      </w:r>
      <w:r w:rsidRPr="00AF611F">
        <w:rPr>
          <w:rStyle w:val="CharAmPartText"/>
        </w:rPr>
        <w:t>Amendments commencing day after Royal Assent</w:t>
      </w:r>
    </w:p>
    <w:p w14:paraId="75DEBF6E" w14:textId="3613E4A3" w:rsidR="008A6FAD" w:rsidRPr="00693096" w:rsidRDefault="00693096" w:rsidP="00693096">
      <w:pPr>
        <w:pStyle w:val="ActHead8"/>
      </w:pPr>
      <w:r w:rsidRPr="00693096">
        <w:t>Division </w:t>
      </w:r>
      <w:r w:rsidR="00F070C8">
        <w:t>1</w:t>
      </w:r>
      <w:r w:rsidR="008A6FAD" w:rsidRPr="00693096">
        <w:t>—Sustainability reporting</w:t>
      </w:r>
    </w:p>
    <w:p w14:paraId="698B37C5" w14:textId="77777777" w:rsidR="00684B58" w:rsidRDefault="00684B58" w:rsidP="00684B58">
      <w:pPr>
        <w:pStyle w:val="ActHead9"/>
      </w:pPr>
      <w:r>
        <w:t>Corporations Act 2001</w:t>
      </w:r>
    </w:p>
    <w:p w14:paraId="1CE77682" w14:textId="626A1F44" w:rsidR="00684B58" w:rsidRDefault="00C82DDA" w:rsidP="00684B58">
      <w:pPr>
        <w:pStyle w:val="ItemHead"/>
      </w:pPr>
      <w:proofErr w:type="gramStart"/>
      <w:r>
        <w:t>1</w:t>
      </w:r>
      <w:r w:rsidR="00684B58">
        <w:t xml:space="preserve">  Section</w:t>
      </w:r>
      <w:proofErr w:type="gramEnd"/>
      <w:r w:rsidR="00684B58">
        <w:t> 285A (table heading)</w:t>
      </w:r>
    </w:p>
    <w:p w14:paraId="76BA08F4" w14:textId="77777777" w:rsidR="00684B58" w:rsidRDefault="00684B58" w:rsidP="00684B58">
      <w:pPr>
        <w:pStyle w:val="Item"/>
      </w:pPr>
      <w:r>
        <w:t>After “</w:t>
      </w:r>
      <w:r>
        <w:rPr>
          <w:b/>
        </w:rPr>
        <w:t>financial</w:t>
      </w:r>
      <w:r>
        <w:t>”, insert “</w:t>
      </w:r>
      <w:r w:rsidRPr="00707E17">
        <w:rPr>
          <w:b/>
        </w:rPr>
        <w:t>and sustainability</w:t>
      </w:r>
      <w:r>
        <w:t>”.</w:t>
      </w:r>
    </w:p>
    <w:p w14:paraId="59F66D87" w14:textId="57B1F429" w:rsidR="00684B58" w:rsidRDefault="00C82DDA" w:rsidP="00684B58">
      <w:pPr>
        <w:pStyle w:val="ItemHead"/>
      </w:pPr>
      <w:proofErr w:type="gramStart"/>
      <w:r>
        <w:t>2</w:t>
      </w:r>
      <w:r w:rsidR="00684B58">
        <w:t xml:space="preserve">  After</w:t>
      </w:r>
      <w:proofErr w:type="gramEnd"/>
      <w:r w:rsidR="00684B58">
        <w:t xml:space="preserve"> section 342B</w:t>
      </w:r>
    </w:p>
    <w:p w14:paraId="5DD4BBAB" w14:textId="77777777" w:rsidR="00684B58" w:rsidRDefault="00684B58" w:rsidP="00684B58">
      <w:pPr>
        <w:pStyle w:val="Item"/>
      </w:pPr>
      <w:r>
        <w:t>Insert:</w:t>
      </w:r>
    </w:p>
    <w:p w14:paraId="453070FA" w14:textId="77777777" w:rsidR="00684B58" w:rsidRDefault="00684B58" w:rsidP="00684B58">
      <w:pPr>
        <w:pStyle w:val="ActHead5"/>
      </w:pPr>
      <w:r w:rsidRPr="00AF611F">
        <w:rPr>
          <w:rStyle w:val="CharSectno"/>
        </w:rPr>
        <w:t>342</w:t>
      </w:r>
      <w:proofErr w:type="gramStart"/>
      <w:r w:rsidRPr="00AF611F">
        <w:rPr>
          <w:rStyle w:val="CharSectno"/>
        </w:rPr>
        <w:t>C</w:t>
      </w:r>
      <w:r>
        <w:t xml:space="preserve">  Documents</w:t>
      </w:r>
      <w:proofErr w:type="gramEnd"/>
      <w:r>
        <w:t xml:space="preserve"> to be treated as sustainability reports for certain purposes</w:t>
      </w:r>
    </w:p>
    <w:p w14:paraId="6E6B0933" w14:textId="77777777" w:rsidR="00684B58" w:rsidRPr="00063B35" w:rsidRDefault="00684B58" w:rsidP="00684B58">
      <w:pPr>
        <w:pStyle w:val="SubsectionHead"/>
      </w:pPr>
      <w:r>
        <w:t>Orders</w:t>
      </w:r>
    </w:p>
    <w:p w14:paraId="1B4CD653" w14:textId="77777777" w:rsidR="00684B58" w:rsidRDefault="00684B58" w:rsidP="00684B58">
      <w:pPr>
        <w:pStyle w:val="subsection"/>
      </w:pPr>
      <w:r>
        <w:tab/>
        <w:t>(1)</w:t>
      </w:r>
      <w:r>
        <w:tab/>
        <w:t>This section applies in relation to an order made under subsection 340(1) or 341(1) relieving, or having the effect of relieving, a company, registered scheme, registrable superannuation entity or disclosing entity, or companies, registered schemes, registrable superannuation entities or disclosing entities, from a requirement to prepare a sustainability report for a financial year.</w:t>
      </w:r>
    </w:p>
    <w:p w14:paraId="6DC6FE19" w14:textId="77777777" w:rsidR="00684B58" w:rsidRDefault="00684B58" w:rsidP="00684B58">
      <w:pPr>
        <w:pStyle w:val="subsection"/>
      </w:pPr>
      <w:r>
        <w:tab/>
        <w:t>(2)</w:t>
      </w:r>
      <w:r>
        <w:tab/>
        <w:t>The order may provide that paragraph (4)(b) of this section applies to a specified document for the year.</w:t>
      </w:r>
    </w:p>
    <w:p w14:paraId="060EFE05" w14:textId="77777777" w:rsidR="00684B58" w:rsidRDefault="00684B58" w:rsidP="00684B58">
      <w:pPr>
        <w:pStyle w:val="subsection"/>
      </w:pPr>
      <w:r>
        <w:tab/>
        <w:t>(3)</w:t>
      </w:r>
      <w:r>
        <w:tab/>
        <w:t>Section 342 does not limit subsection (2) of this section.</w:t>
      </w:r>
    </w:p>
    <w:p w14:paraId="0833BFE4" w14:textId="77777777" w:rsidR="00684B58" w:rsidRPr="00063B35" w:rsidRDefault="00684B58" w:rsidP="00684B58">
      <w:pPr>
        <w:pStyle w:val="SubsectionHead"/>
      </w:pPr>
      <w:r>
        <w:t>Relief condition reports</w:t>
      </w:r>
    </w:p>
    <w:p w14:paraId="4455388A" w14:textId="77777777" w:rsidR="00684B58" w:rsidRDefault="00684B58" w:rsidP="00684B58">
      <w:pPr>
        <w:pStyle w:val="subsection"/>
      </w:pPr>
      <w:r>
        <w:tab/>
        <w:t>(4)</w:t>
      </w:r>
      <w:r>
        <w:tab/>
        <w:t xml:space="preserve">Subsection (6) applies to a document (the </w:t>
      </w:r>
      <w:r w:rsidRPr="00625EA4">
        <w:rPr>
          <w:b/>
          <w:bCs/>
          <w:i/>
          <w:iCs/>
        </w:rPr>
        <w:t>relief condition report</w:t>
      </w:r>
      <w:r>
        <w:t>) for a year if:</w:t>
      </w:r>
    </w:p>
    <w:p w14:paraId="1466CE24" w14:textId="77777777" w:rsidR="00684B58" w:rsidRDefault="00684B58" w:rsidP="00684B58">
      <w:pPr>
        <w:pStyle w:val="paragraph"/>
      </w:pPr>
      <w:r>
        <w:tab/>
        <w:t>(a)</w:t>
      </w:r>
      <w:r>
        <w:tab/>
        <w:t xml:space="preserve">the document is prepared by a </w:t>
      </w:r>
      <w:r w:rsidRPr="00447F70">
        <w:t>company, registered scheme, registrable superannuation entity</w:t>
      </w:r>
      <w:r>
        <w:t xml:space="preserve"> or</w:t>
      </w:r>
      <w:r w:rsidRPr="00447F70">
        <w:t xml:space="preserve"> disclosing entity</w:t>
      </w:r>
      <w:r>
        <w:t xml:space="preserve"> (the </w:t>
      </w:r>
      <w:r>
        <w:rPr>
          <w:b/>
          <w:bCs/>
          <w:i/>
          <w:iCs/>
        </w:rPr>
        <w:t>reporting entity</w:t>
      </w:r>
      <w:r>
        <w:t>); and</w:t>
      </w:r>
    </w:p>
    <w:p w14:paraId="46FF03E9" w14:textId="77777777" w:rsidR="00684B58" w:rsidRDefault="00684B58" w:rsidP="00684B58">
      <w:pPr>
        <w:pStyle w:val="paragraph"/>
      </w:pPr>
      <w:r>
        <w:lastRenderedPageBreak/>
        <w:tab/>
        <w:t>(b)</w:t>
      </w:r>
      <w:r>
        <w:tab/>
        <w:t>the order provides under subsection (2) that this paragraph applies to the document for the year; and</w:t>
      </w:r>
    </w:p>
    <w:p w14:paraId="4045CA66" w14:textId="77777777" w:rsidR="00684B58" w:rsidRDefault="00684B58" w:rsidP="00684B58">
      <w:pPr>
        <w:pStyle w:val="paragraph"/>
      </w:pPr>
      <w:r>
        <w:tab/>
        <w:t>(c)</w:t>
      </w:r>
      <w:r>
        <w:tab/>
        <w:t xml:space="preserve">the document contains a declaration, in accordance with subsection (5), that </w:t>
      </w:r>
      <w:r w:rsidRPr="005837FA">
        <w:t>the directors</w:t>
      </w:r>
      <w:r>
        <w:t xml:space="preserve"> of the reporting entity</w:t>
      </w:r>
      <w:r w:rsidRPr="005837FA">
        <w:t xml:space="preserve"> intend that </w:t>
      </w:r>
      <w:r>
        <w:t>sub</w:t>
      </w:r>
      <w:r w:rsidRPr="005837FA">
        <w:t xml:space="preserve">section </w:t>
      </w:r>
      <w:r>
        <w:t xml:space="preserve">(6) </w:t>
      </w:r>
      <w:r w:rsidRPr="005837FA">
        <w:t>apply to the document</w:t>
      </w:r>
      <w:r>
        <w:t>.</w:t>
      </w:r>
    </w:p>
    <w:p w14:paraId="50729334" w14:textId="77777777" w:rsidR="00684B58" w:rsidRDefault="00684B58" w:rsidP="00684B58">
      <w:pPr>
        <w:pStyle w:val="subsection"/>
      </w:pPr>
      <w:r>
        <w:tab/>
        <w:t>(5)</w:t>
      </w:r>
      <w:r>
        <w:tab/>
        <w:t>For the purposes of paragraph (4)(c), the declaration must:</w:t>
      </w:r>
    </w:p>
    <w:p w14:paraId="56861E29" w14:textId="77777777" w:rsidR="00684B58" w:rsidRPr="005837FA" w:rsidRDefault="00684B58" w:rsidP="00684B58">
      <w:pPr>
        <w:pStyle w:val="paragraph"/>
      </w:pPr>
      <w:r w:rsidRPr="005837FA">
        <w:tab/>
        <w:t>(</w:t>
      </w:r>
      <w:r>
        <w:t>a</w:t>
      </w:r>
      <w:r w:rsidRPr="005837FA">
        <w:t>)</w:t>
      </w:r>
      <w:r w:rsidRPr="005837FA">
        <w:tab/>
        <w:t>be made in accordance with a resolution of the directors; and</w:t>
      </w:r>
    </w:p>
    <w:p w14:paraId="723FF6CA" w14:textId="77777777" w:rsidR="00684B58" w:rsidRPr="005837FA" w:rsidRDefault="00684B58" w:rsidP="00684B58">
      <w:pPr>
        <w:pStyle w:val="paragraph"/>
      </w:pPr>
      <w:r w:rsidRPr="005837FA">
        <w:tab/>
        <w:t>(</w:t>
      </w:r>
      <w:r>
        <w:t>b</w:t>
      </w:r>
      <w:r w:rsidRPr="005837FA">
        <w:t>)</w:t>
      </w:r>
      <w:r w:rsidRPr="005837FA">
        <w:tab/>
        <w:t>specify the date on which the declaration is made; and</w:t>
      </w:r>
    </w:p>
    <w:p w14:paraId="1AEB92CE" w14:textId="77777777" w:rsidR="00684B58" w:rsidRDefault="00684B58" w:rsidP="00684B58">
      <w:pPr>
        <w:pStyle w:val="paragraph"/>
      </w:pPr>
      <w:r w:rsidRPr="005837FA">
        <w:tab/>
        <w:t>(</w:t>
      </w:r>
      <w:r>
        <w:t>c</w:t>
      </w:r>
      <w:r w:rsidRPr="005837FA">
        <w:t>)</w:t>
      </w:r>
      <w:r w:rsidRPr="005837FA">
        <w:tab/>
        <w:t>be signed by a director.</w:t>
      </w:r>
    </w:p>
    <w:p w14:paraId="5A6BA035" w14:textId="77777777" w:rsidR="00684B58" w:rsidRDefault="00684B58" w:rsidP="00684B58">
      <w:pPr>
        <w:pStyle w:val="subsection"/>
      </w:pPr>
      <w:r>
        <w:tab/>
        <w:t>(6)</w:t>
      </w:r>
      <w:r>
        <w:tab/>
        <w:t>The following provisions apply in relation to the relief condition report as if it were a sustainability report that the reporting entity was required to prepare for the year:</w:t>
      </w:r>
    </w:p>
    <w:p w14:paraId="6DEDF402" w14:textId="77777777" w:rsidR="00684B58" w:rsidRDefault="00684B58" w:rsidP="00684B58">
      <w:pPr>
        <w:pStyle w:val="paragraph"/>
      </w:pPr>
      <w:r>
        <w:tab/>
        <w:t>(a)</w:t>
      </w:r>
      <w:r>
        <w:tab/>
        <w:t>section 296E (</w:t>
      </w:r>
      <w:r w:rsidRPr="00D2502D">
        <w:t>ASIC directions</w:t>
      </w:r>
      <w:proofErr w:type="gramStart"/>
      <w:r>
        <w:t>);</w:t>
      </w:r>
      <w:proofErr w:type="gramEnd"/>
    </w:p>
    <w:p w14:paraId="5CB6DA00" w14:textId="77777777" w:rsidR="00684B58" w:rsidRDefault="00684B58" w:rsidP="00684B58">
      <w:pPr>
        <w:pStyle w:val="paragraph"/>
      </w:pPr>
      <w:r>
        <w:tab/>
        <w:t>(b)</w:t>
      </w:r>
      <w:r>
        <w:tab/>
        <w:t>section 301A (a</w:t>
      </w:r>
      <w:r w:rsidRPr="00506B54">
        <w:t>udit of annual sustainability report</w:t>
      </w:r>
      <w:r>
        <w:t>).</w:t>
      </w:r>
    </w:p>
    <w:p w14:paraId="6DD613C7" w14:textId="1C55A206" w:rsidR="00684B58" w:rsidRDefault="00C82DDA" w:rsidP="00684B58">
      <w:pPr>
        <w:pStyle w:val="ItemHead"/>
      </w:pPr>
      <w:proofErr w:type="gramStart"/>
      <w:r>
        <w:t>3</w:t>
      </w:r>
      <w:r w:rsidR="00684B58">
        <w:t xml:space="preserve">  At</w:t>
      </w:r>
      <w:proofErr w:type="gramEnd"/>
      <w:r w:rsidR="00684B58">
        <w:t xml:space="preserve"> the end of Division 2 of Part 10.77</w:t>
      </w:r>
    </w:p>
    <w:p w14:paraId="48C1BB12" w14:textId="77777777" w:rsidR="00684B58" w:rsidRPr="007345F3" w:rsidRDefault="00684B58" w:rsidP="00684B58">
      <w:pPr>
        <w:pStyle w:val="Item"/>
      </w:pPr>
      <w:r>
        <w:t>Add:</w:t>
      </w:r>
    </w:p>
    <w:p w14:paraId="4B326C18" w14:textId="77777777" w:rsidR="00684B58" w:rsidRPr="00556429" w:rsidRDefault="00684B58" w:rsidP="00684B58">
      <w:pPr>
        <w:pStyle w:val="ActHead5"/>
      </w:pPr>
      <w:r w:rsidRPr="00AF611F">
        <w:rPr>
          <w:rStyle w:val="CharSectno"/>
        </w:rPr>
        <w:t>1707</w:t>
      </w:r>
      <w:proofErr w:type="gramStart"/>
      <w:r w:rsidRPr="00AF611F">
        <w:rPr>
          <w:rStyle w:val="CharSectno"/>
        </w:rPr>
        <w:t>DA</w:t>
      </w:r>
      <w:r>
        <w:t xml:space="preserve">  Reports</w:t>
      </w:r>
      <w:proofErr w:type="gramEnd"/>
      <w:r>
        <w:t xml:space="preserve"> not required under section 292A</w:t>
      </w:r>
    </w:p>
    <w:p w14:paraId="6869A44A" w14:textId="77777777" w:rsidR="00684B58" w:rsidRDefault="00684B58" w:rsidP="00684B58">
      <w:pPr>
        <w:pStyle w:val="subsection"/>
      </w:pPr>
      <w:r>
        <w:tab/>
        <w:t>(1)</w:t>
      </w:r>
      <w:r>
        <w:tab/>
        <w:t>This section applies if a company, registered scheme, registrable superannuation entity or disclosing entity:</w:t>
      </w:r>
    </w:p>
    <w:p w14:paraId="37D0A757" w14:textId="77777777" w:rsidR="00684B58" w:rsidRDefault="00684B58" w:rsidP="00684B58">
      <w:pPr>
        <w:pStyle w:val="paragraph"/>
      </w:pPr>
      <w:r>
        <w:tab/>
        <w:t>(a)</w:t>
      </w:r>
      <w:r>
        <w:tab/>
        <w:t>is not required to prepare a sustainability report for a particular financial year that commences during the 3 years starting on the start date; but</w:t>
      </w:r>
    </w:p>
    <w:p w14:paraId="5AB08321" w14:textId="77777777" w:rsidR="00684B58" w:rsidRDefault="00684B58" w:rsidP="00684B58">
      <w:pPr>
        <w:pStyle w:val="paragraph"/>
      </w:pPr>
      <w:r>
        <w:tab/>
        <w:t>(b)</w:t>
      </w:r>
      <w:r>
        <w:tab/>
        <w:t>prepares a document that:</w:t>
      </w:r>
    </w:p>
    <w:p w14:paraId="40A3709D" w14:textId="77777777" w:rsidR="00684B58" w:rsidRDefault="00684B58" w:rsidP="00684B58">
      <w:pPr>
        <w:pStyle w:val="paragraphsub"/>
      </w:pPr>
      <w:r>
        <w:tab/>
        <w:t>(i)</w:t>
      </w:r>
      <w:r>
        <w:tab/>
        <w:t>would be a sustainability report for the year if the company, scheme or entity were required to prepare a sustainability report for the year; and</w:t>
      </w:r>
    </w:p>
    <w:p w14:paraId="592418E4" w14:textId="77777777" w:rsidR="00684B58" w:rsidRDefault="00684B58" w:rsidP="00684B58">
      <w:pPr>
        <w:pStyle w:val="paragraphsub"/>
      </w:pPr>
      <w:r>
        <w:tab/>
        <w:t>(ii)</w:t>
      </w:r>
      <w:r>
        <w:tab/>
        <w:t xml:space="preserve">contains a declaration, in accordance with subsection (2), that </w:t>
      </w:r>
      <w:r w:rsidRPr="005837FA">
        <w:t>the directors intend that this section apply to the document</w:t>
      </w:r>
      <w:r>
        <w:t>.</w:t>
      </w:r>
    </w:p>
    <w:p w14:paraId="58DBC535" w14:textId="77777777" w:rsidR="00684B58" w:rsidRDefault="00684B58" w:rsidP="00684B58">
      <w:pPr>
        <w:pStyle w:val="subsection"/>
      </w:pPr>
      <w:r>
        <w:tab/>
        <w:t>(2)</w:t>
      </w:r>
      <w:r>
        <w:tab/>
        <w:t>For the purposes of subparagraph (1)(b)(ii), the declaration must:</w:t>
      </w:r>
    </w:p>
    <w:p w14:paraId="02296F0E" w14:textId="77777777" w:rsidR="00684B58" w:rsidRPr="005837FA" w:rsidRDefault="00684B58" w:rsidP="00684B58">
      <w:pPr>
        <w:pStyle w:val="paragraph"/>
      </w:pPr>
      <w:r w:rsidRPr="005837FA">
        <w:tab/>
        <w:t>(</w:t>
      </w:r>
      <w:r>
        <w:t>a</w:t>
      </w:r>
      <w:r w:rsidRPr="005837FA">
        <w:t>)</w:t>
      </w:r>
      <w:r w:rsidRPr="005837FA">
        <w:tab/>
        <w:t>be made in accordance with a resolution of the directors; and</w:t>
      </w:r>
    </w:p>
    <w:p w14:paraId="0A9615AD" w14:textId="77777777" w:rsidR="00684B58" w:rsidRPr="005837FA" w:rsidRDefault="00684B58" w:rsidP="00684B58">
      <w:pPr>
        <w:pStyle w:val="paragraph"/>
      </w:pPr>
      <w:r w:rsidRPr="005837FA">
        <w:tab/>
        <w:t>(</w:t>
      </w:r>
      <w:r>
        <w:t>b</w:t>
      </w:r>
      <w:r w:rsidRPr="005837FA">
        <w:t>)</w:t>
      </w:r>
      <w:r w:rsidRPr="005837FA">
        <w:tab/>
        <w:t>specify the date on which the declaration is made; and</w:t>
      </w:r>
    </w:p>
    <w:p w14:paraId="3ACA3A0F" w14:textId="77777777" w:rsidR="00684B58" w:rsidRPr="005837FA" w:rsidRDefault="00684B58" w:rsidP="00684B58">
      <w:pPr>
        <w:pStyle w:val="paragraph"/>
      </w:pPr>
      <w:r w:rsidRPr="005837FA">
        <w:tab/>
        <w:t>(</w:t>
      </w:r>
      <w:r>
        <w:t>c</w:t>
      </w:r>
      <w:r w:rsidRPr="005837FA">
        <w:t>)</w:t>
      </w:r>
      <w:r w:rsidRPr="005837FA">
        <w:tab/>
        <w:t>be signed by a director.</w:t>
      </w:r>
    </w:p>
    <w:p w14:paraId="7B22225C" w14:textId="77777777" w:rsidR="00684B58" w:rsidRDefault="00684B58" w:rsidP="00684B58">
      <w:pPr>
        <w:pStyle w:val="subsection"/>
      </w:pPr>
      <w:r>
        <w:lastRenderedPageBreak/>
        <w:tab/>
        <w:t>(3)</w:t>
      </w:r>
      <w:r>
        <w:tab/>
        <w:t>To avoid doubt, the declaration referred to in subparagraph (1)(b)(ii) of this section is in addition to the declaration referred to in paragraph 296A(1)(e).</w:t>
      </w:r>
    </w:p>
    <w:p w14:paraId="678D1AEE" w14:textId="77777777" w:rsidR="00684B58" w:rsidRPr="005E6CC5" w:rsidRDefault="00684B58" w:rsidP="00684B58">
      <w:pPr>
        <w:pStyle w:val="notetext"/>
      </w:pPr>
      <w:r>
        <w:t>Note:</w:t>
      </w:r>
      <w:r>
        <w:tab/>
        <w:t>See also section 1707C.</w:t>
      </w:r>
    </w:p>
    <w:p w14:paraId="2B4F11E0" w14:textId="77777777" w:rsidR="00684B58" w:rsidRDefault="00684B58" w:rsidP="00684B58">
      <w:pPr>
        <w:pStyle w:val="subsection"/>
      </w:pPr>
      <w:r>
        <w:tab/>
        <w:t>(4)</w:t>
      </w:r>
      <w:r>
        <w:tab/>
        <w:t>The following provisions apply in relation to the document mentioned in paragraph (1)(b) of this section as if the company, scheme or entity were required to prepare a sustainability report for the year:</w:t>
      </w:r>
    </w:p>
    <w:p w14:paraId="136D8A0E" w14:textId="77777777" w:rsidR="00684B58" w:rsidRDefault="00684B58" w:rsidP="00684B58">
      <w:pPr>
        <w:pStyle w:val="paragraph"/>
      </w:pPr>
      <w:r>
        <w:tab/>
        <w:t>(a)</w:t>
      </w:r>
      <w:r>
        <w:tab/>
        <w:t>section 296E (</w:t>
      </w:r>
      <w:r w:rsidRPr="00D2502D">
        <w:t>ASIC directions</w:t>
      </w:r>
      <w:proofErr w:type="gramStart"/>
      <w:r>
        <w:t>);</w:t>
      </w:r>
      <w:proofErr w:type="gramEnd"/>
    </w:p>
    <w:p w14:paraId="6C560018" w14:textId="77777777" w:rsidR="00684B58" w:rsidRDefault="00684B58" w:rsidP="00684B58">
      <w:pPr>
        <w:pStyle w:val="paragraph"/>
      </w:pPr>
      <w:r>
        <w:tab/>
        <w:t>(b)</w:t>
      </w:r>
      <w:r>
        <w:tab/>
        <w:t>section 301A (a</w:t>
      </w:r>
      <w:r w:rsidRPr="00506B54">
        <w:t>udit of annual sustainability report</w:t>
      </w:r>
      <w:proofErr w:type="gramStart"/>
      <w:r>
        <w:t>);</w:t>
      </w:r>
      <w:proofErr w:type="gramEnd"/>
    </w:p>
    <w:p w14:paraId="3A4E7DB9" w14:textId="77777777" w:rsidR="00684B58" w:rsidRDefault="00684B58" w:rsidP="00684B58">
      <w:pPr>
        <w:pStyle w:val="paragraph"/>
      </w:pPr>
      <w:r>
        <w:tab/>
        <w:t>(c)</w:t>
      </w:r>
      <w:r>
        <w:tab/>
        <w:t>section 1707D (limited immunity for statements in new sustainability reporting).</w:t>
      </w:r>
    </w:p>
    <w:p w14:paraId="7039F659" w14:textId="77777777" w:rsidR="00684B58" w:rsidRPr="002309B3" w:rsidRDefault="00684B58" w:rsidP="00684B58">
      <w:pPr>
        <w:pStyle w:val="ActHead5"/>
      </w:pPr>
      <w:r w:rsidRPr="00AF611F">
        <w:rPr>
          <w:rStyle w:val="CharSectno"/>
        </w:rPr>
        <w:t>1707</w:t>
      </w:r>
      <w:proofErr w:type="gramStart"/>
      <w:r w:rsidRPr="00AF611F">
        <w:rPr>
          <w:rStyle w:val="CharSectno"/>
        </w:rPr>
        <w:t>DB</w:t>
      </w:r>
      <w:r>
        <w:t xml:space="preserve">  Documents</w:t>
      </w:r>
      <w:proofErr w:type="gramEnd"/>
      <w:r>
        <w:t xml:space="preserve"> specified by exemption orders</w:t>
      </w:r>
    </w:p>
    <w:p w14:paraId="7AACB3DB" w14:textId="77777777" w:rsidR="00684B58" w:rsidRPr="00063B35" w:rsidRDefault="00684B58" w:rsidP="00684B58">
      <w:pPr>
        <w:pStyle w:val="SubsectionHead"/>
      </w:pPr>
      <w:bookmarkStart w:id="0" w:name="_Hlk185260276"/>
      <w:r>
        <w:t>Orders</w:t>
      </w:r>
    </w:p>
    <w:p w14:paraId="4E7CDEC1" w14:textId="77777777" w:rsidR="00684B58" w:rsidRDefault="00684B58" w:rsidP="00684B58">
      <w:pPr>
        <w:pStyle w:val="subsection"/>
      </w:pPr>
      <w:r>
        <w:tab/>
        <w:t>(1)</w:t>
      </w:r>
      <w:r>
        <w:tab/>
        <w:t>This section applies in relation to an order that, under subsection 342</w:t>
      </w:r>
      <w:proofErr w:type="gramStart"/>
      <w:r>
        <w:t>C(</w:t>
      </w:r>
      <w:proofErr w:type="gramEnd"/>
      <w:r>
        <w:t>2), provides that paragraph 342C(4)(b) applies to a document for a financial year that commences during the 3 years starting on the start date.</w:t>
      </w:r>
    </w:p>
    <w:p w14:paraId="277A783E" w14:textId="77777777" w:rsidR="00684B58" w:rsidRDefault="00684B58" w:rsidP="00684B58">
      <w:pPr>
        <w:pStyle w:val="subsection"/>
      </w:pPr>
      <w:r>
        <w:tab/>
        <w:t>(2)</w:t>
      </w:r>
      <w:r>
        <w:tab/>
        <w:t>The order may provide that paragraph (4)(b) of this section applies to a specified statement made in the document.</w:t>
      </w:r>
    </w:p>
    <w:p w14:paraId="2063AC1B" w14:textId="77777777" w:rsidR="00684B58" w:rsidRDefault="00684B58" w:rsidP="00684B58">
      <w:pPr>
        <w:pStyle w:val="subsection"/>
      </w:pPr>
      <w:r>
        <w:tab/>
        <w:t>(3)</w:t>
      </w:r>
      <w:r>
        <w:tab/>
        <w:t>Section 342 does not limit subsection (2) of this section.</w:t>
      </w:r>
    </w:p>
    <w:p w14:paraId="2ACE4986" w14:textId="77777777" w:rsidR="00684B58" w:rsidRPr="00063B35" w:rsidRDefault="00684B58" w:rsidP="00684B58">
      <w:pPr>
        <w:pStyle w:val="SubsectionHead"/>
      </w:pPr>
      <w:r>
        <w:t>Relief condition reports</w:t>
      </w:r>
    </w:p>
    <w:p w14:paraId="46E7589F" w14:textId="77777777" w:rsidR="00684B58" w:rsidRDefault="00684B58" w:rsidP="00684B58">
      <w:pPr>
        <w:pStyle w:val="subsection"/>
      </w:pPr>
      <w:r>
        <w:tab/>
        <w:t>(4)</w:t>
      </w:r>
      <w:r>
        <w:tab/>
        <w:t>Subsection (5) applies to a statement if:</w:t>
      </w:r>
    </w:p>
    <w:p w14:paraId="343F956B" w14:textId="77777777" w:rsidR="00684B58" w:rsidRDefault="00684B58" w:rsidP="00684B58">
      <w:pPr>
        <w:pStyle w:val="paragraph"/>
      </w:pPr>
      <w:r>
        <w:tab/>
        <w:t>(a)</w:t>
      </w:r>
      <w:r>
        <w:tab/>
        <w:t>the statement is made in a relief condition report (within the meaning of subsection 342</w:t>
      </w:r>
      <w:proofErr w:type="gramStart"/>
      <w:r>
        <w:t>C(</w:t>
      </w:r>
      <w:proofErr w:type="gramEnd"/>
      <w:r>
        <w:t>4)) for the year; and</w:t>
      </w:r>
    </w:p>
    <w:p w14:paraId="0653F28E" w14:textId="77777777" w:rsidR="00684B58" w:rsidRPr="00063B35" w:rsidRDefault="00684B58" w:rsidP="00684B58">
      <w:pPr>
        <w:pStyle w:val="paragraph"/>
      </w:pPr>
      <w:r>
        <w:tab/>
        <w:t>(b)</w:t>
      </w:r>
      <w:r>
        <w:tab/>
        <w:t>the order provides under subsection (2) of this section that this paragraph applies to the statement for the year.</w:t>
      </w:r>
    </w:p>
    <w:p w14:paraId="5D8CEC67" w14:textId="77777777" w:rsidR="00684B58" w:rsidRDefault="00684B58" w:rsidP="00684B58">
      <w:pPr>
        <w:pStyle w:val="subsection"/>
      </w:pPr>
      <w:r>
        <w:tab/>
        <w:t>(5)</w:t>
      </w:r>
      <w:r>
        <w:tab/>
        <w:t>Section 1707D (limited immunity for statements in new sustainability reporting) applies in relation to the statement as if:</w:t>
      </w:r>
    </w:p>
    <w:p w14:paraId="02561BD1" w14:textId="77777777" w:rsidR="00684B58" w:rsidRDefault="00684B58" w:rsidP="00684B58">
      <w:pPr>
        <w:pStyle w:val="paragraph"/>
      </w:pPr>
      <w:r>
        <w:tab/>
        <w:t>(a)</w:t>
      </w:r>
      <w:r>
        <w:tab/>
        <w:t xml:space="preserve">the relief condition report </w:t>
      </w:r>
      <w:proofErr w:type="gramStart"/>
      <w:r>
        <w:t>were</w:t>
      </w:r>
      <w:proofErr w:type="gramEnd"/>
      <w:r>
        <w:t xml:space="preserve"> a sustainability report for the financial year; and</w:t>
      </w:r>
    </w:p>
    <w:p w14:paraId="3C75BFB9" w14:textId="77777777" w:rsidR="00684B58" w:rsidRDefault="00684B58" w:rsidP="00684B58">
      <w:pPr>
        <w:pStyle w:val="paragraph"/>
      </w:pPr>
      <w:r>
        <w:tab/>
        <w:t>(b)</w:t>
      </w:r>
      <w:r>
        <w:tab/>
        <w:t>the references in subparagraphs 1707D(3)(a)(i) and (4)(a)(i) to complying with a sustainability standard were omitted.</w:t>
      </w:r>
    </w:p>
    <w:bookmarkEnd w:id="0"/>
    <w:p w14:paraId="684C8439" w14:textId="24E0D6BD" w:rsidR="00D366AA" w:rsidRDefault="00D366AA" w:rsidP="00D366AA">
      <w:pPr>
        <w:pStyle w:val="ActHead8"/>
      </w:pPr>
      <w:r>
        <w:lastRenderedPageBreak/>
        <w:t>Division 2—Deregistration</w:t>
      </w:r>
    </w:p>
    <w:p w14:paraId="7D88B60B" w14:textId="77777777" w:rsidR="00D366AA" w:rsidRDefault="00D366AA" w:rsidP="00D366AA">
      <w:pPr>
        <w:pStyle w:val="ActHead9"/>
      </w:pPr>
      <w:r w:rsidRPr="00867D8C">
        <w:t>Corporations (Aboriginal and Torres Strait Islander) Act 2006</w:t>
      </w:r>
    </w:p>
    <w:p w14:paraId="00BCC28E" w14:textId="5DD83293" w:rsidR="00D366AA" w:rsidRDefault="00C82DDA" w:rsidP="00D366AA">
      <w:pPr>
        <w:pStyle w:val="ItemHead"/>
      </w:pPr>
      <w:proofErr w:type="gramStart"/>
      <w:r>
        <w:t>4</w:t>
      </w:r>
      <w:r w:rsidR="00D366AA">
        <w:t xml:space="preserve">  Paragraphs</w:t>
      </w:r>
      <w:proofErr w:type="gramEnd"/>
      <w:r w:rsidR="00D366AA">
        <w:t xml:space="preserve"> 546</w:t>
      </w:r>
      <w:r w:rsidR="00D366AA">
        <w:noBreakHyphen/>
        <w:t>10(1)(c) and (2)(b)</w:t>
      </w:r>
    </w:p>
    <w:p w14:paraId="64806D1E" w14:textId="77777777" w:rsidR="00D366AA" w:rsidRDefault="00D366AA" w:rsidP="00D366AA">
      <w:pPr>
        <w:pStyle w:val="Item"/>
      </w:pPr>
      <w:r>
        <w:t>Omit “subsection 5</w:t>
      </w:r>
      <w:r w:rsidRPr="009A05FD">
        <w:t>09(2)</w:t>
      </w:r>
      <w:r>
        <w:t>”, substitute “subsection 550(3)”.</w:t>
      </w:r>
    </w:p>
    <w:p w14:paraId="2DE70632" w14:textId="77777777" w:rsidR="00D366AA" w:rsidRDefault="00D366AA" w:rsidP="00D366AA">
      <w:pPr>
        <w:pStyle w:val="ActHead9"/>
      </w:pPr>
      <w:r>
        <w:t>Corporations Act 2001</w:t>
      </w:r>
    </w:p>
    <w:p w14:paraId="12E5797E" w14:textId="12D9B50B" w:rsidR="00D366AA" w:rsidRDefault="00C82DDA" w:rsidP="00D366AA">
      <w:pPr>
        <w:pStyle w:val="ItemHead"/>
      </w:pPr>
      <w:proofErr w:type="gramStart"/>
      <w:r>
        <w:t>5</w:t>
      </w:r>
      <w:r w:rsidR="00D366AA">
        <w:t xml:space="preserve">  Section</w:t>
      </w:r>
      <w:proofErr w:type="gramEnd"/>
      <w:r w:rsidR="00D366AA">
        <w:t> 9</w:t>
      </w:r>
    </w:p>
    <w:p w14:paraId="08729BA3" w14:textId="77777777" w:rsidR="00D366AA" w:rsidRDefault="00D366AA" w:rsidP="00D366AA">
      <w:pPr>
        <w:pStyle w:val="Item"/>
      </w:pPr>
      <w:r>
        <w:t>Insert:</w:t>
      </w:r>
    </w:p>
    <w:p w14:paraId="2FC96CEB" w14:textId="77777777" w:rsidR="00D366AA" w:rsidRPr="00BA3D56" w:rsidRDefault="00D366AA" w:rsidP="00D366AA">
      <w:pPr>
        <w:pStyle w:val="Definition"/>
      </w:pPr>
      <w:r w:rsidRPr="00BA3D56">
        <w:rPr>
          <w:b/>
          <w:i/>
        </w:rPr>
        <w:t>end of administration return</w:t>
      </w:r>
      <w:r>
        <w:t xml:space="preserve"> has the same meaning as in Schedule 2.</w:t>
      </w:r>
    </w:p>
    <w:p w14:paraId="5D644FC2" w14:textId="0B2572EC" w:rsidR="00D366AA" w:rsidRDefault="00C82DDA" w:rsidP="00D366AA">
      <w:pPr>
        <w:pStyle w:val="ItemHead"/>
      </w:pPr>
      <w:proofErr w:type="gramStart"/>
      <w:r>
        <w:t>6</w:t>
      </w:r>
      <w:r w:rsidR="00D366AA">
        <w:t xml:space="preserve">  Section</w:t>
      </w:r>
      <w:proofErr w:type="gramEnd"/>
      <w:r w:rsidR="00D366AA">
        <w:t> 509</w:t>
      </w:r>
    </w:p>
    <w:p w14:paraId="6C549DE4" w14:textId="77777777" w:rsidR="00D366AA" w:rsidRDefault="00D366AA" w:rsidP="00D366AA">
      <w:pPr>
        <w:pStyle w:val="Item"/>
      </w:pPr>
      <w:r>
        <w:t>Repeal the section.</w:t>
      </w:r>
    </w:p>
    <w:p w14:paraId="053A1A8F" w14:textId="6F4EC35C" w:rsidR="00D366AA" w:rsidRDefault="00C82DDA" w:rsidP="00D366AA">
      <w:pPr>
        <w:pStyle w:val="ItemHead"/>
      </w:pPr>
      <w:proofErr w:type="gramStart"/>
      <w:r>
        <w:t>7</w:t>
      </w:r>
      <w:r w:rsidR="00D366AA">
        <w:t xml:space="preserve">  At</w:t>
      </w:r>
      <w:proofErr w:type="gramEnd"/>
      <w:r w:rsidR="00D366AA">
        <w:t xml:space="preserve"> the end of Division 4 of Part 5.6</w:t>
      </w:r>
    </w:p>
    <w:p w14:paraId="211994A0" w14:textId="77777777" w:rsidR="00D366AA" w:rsidRDefault="00D366AA" w:rsidP="00D366AA">
      <w:pPr>
        <w:pStyle w:val="Item"/>
      </w:pPr>
      <w:r>
        <w:t>Add:</w:t>
      </w:r>
    </w:p>
    <w:p w14:paraId="6D678C33" w14:textId="77777777" w:rsidR="00D366AA" w:rsidRPr="009066C5" w:rsidRDefault="00D366AA" w:rsidP="00D366AA">
      <w:pPr>
        <w:pStyle w:val="ActHead5"/>
      </w:pPr>
      <w:proofErr w:type="gramStart"/>
      <w:r w:rsidRPr="00AF611F">
        <w:rPr>
          <w:rStyle w:val="CharSectno"/>
        </w:rPr>
        <w:t>550</w:t>
      </w:r>
      <w:r>
        <w:t xml:space="preserve">  Deregistration</w:t>
      </w:r>
      <w:proofErr w:type="gramEnd"/>
    </w:p>
    <w:p w14:paraId="387A64B5" w14:textId="77777777" w:rsidR="00D366AA" w:rsidRDefault="00D366AA" w:rsidP="00D366AA">
      <w:pPr>
        <w:pStyle w:val="subsection"/>
      </w:pPr>
      <w:r>
        <w:tab/>
        <w:t>(1)</w:t>
      </w:r>
      <w:r>
        <w:tab/>
        <w:t>This section applies if an end o</w:t>
      </w:r>
      <w:r w:rsidRPr="009066C5">
        <w:t>f administration return for a company is lodged with ASIC on the basis that the affairs of the company are fully wound up</w:t>
      </w:r>
      <w:r>
        <w:t>.</w:t>
      </w:r>
    </w:p>
    <w:p w14:paraId="4A76480C" w14:textId="77777777" w:rsidR="00D366AA" w:rsidRDefault="00D366AA" w:rsidP="00D366AA">
      <w:pPr>
        <w:pStyle w:val="SubsectionHead"/>
      </w:pPr>
      <w:r>
        <w:t xml:space="preserve">ASIC must deregister at the end of </w:t>
      </w:r>
      <w:proofErr w:type="gramStart"/>
      <w:r>
        <w:t>3 month</w:t>
      </w:r>
      <w:proofErr w:type="gramEnd"/>
      <w:r>
        <w:t xml:space="preserve"> period</w:t>
      </w:r>
    </w:p>
    <w:p w14:paraId="36B6DB76" w14:textId="77777777" w:rsidR="00D366AA" w:rsidRPr="009066C5" w:rsidRDefault="00D366AA" w:rsidP="00D366AA">
      <w:pPr>
        <w:pStyle w:val="subsection"/>
      </w:pPr>
      <w:r>
        <w:tab/>
        <w:t>(2)</w:t>
      </w:r>
      <w:r>
        <w:tab/>
        <w:t xml:space="preserve">Subject to any order under subsection (3), </w:t>
      </w:r>
      <w:r w:rsidRPr="009066C5">
        <w:t xml:space="preserve">ASIC must deregister the company at the end of the period of 3 months beginning on the day after the return is lodged (the </w:t>
      </w:r>
      <w:r w:rsidRPr="003F393F">
        <w:rPr>
          <w:b/>
          <w:i/>
        </w:rPr>
        <w:t>deregistration period</w:t>
      </w:r>
      <w:r w:rsidRPr="009066C5">
        <w:t>).</w:t>
      </w:r>
    </w:p>
    <w:p w14:paraId="200E1550" w14:textId="77777777" w:rsidR="00D366AA" w:rsidRPr="009066C5" w:rsidRDefault="00D366AA" w:rsidP="00D366AA">
      <w:pPr>
        <w:pStyle w:val="SubsectionHead"/>
      </w:pPr>
      <w:r w:rsidRPr="009066C5">
        <w:t xml:space="preserve">ASIC must deregister on a day specified by the </w:t>
      </w:r>
      <w:proofErr w:type="gramStart"/>
      <w:r w:rsidRPr="009066C5">
        <w:t>Court</w:t>
      </w:r>
      <w:proofErr w:type="gramEnd"/>
    </w:p>
    <w:p w14:paraId="57545090" w14:textId="77777777" w:rsidR="00D366AA" w:rsidRPr="009066C5" w:rsidRDefault="00D366AA" w:rsidP="00D366AA">
      <w:pPr>
        <w:pStyle w:val="subsection"/>
      </w:pPr>
      <w:r w:rsidRPr="009066C5">
        <w:tab/>
        <w:t>(</w:t>
      </w:r>
      <w:r>
        <w:t>3</w:t>
      </w:r>
      <w:r w:rsidRPr="009066C5">
        <w:t>)</w:t>
      </w:r>
      <w:r w:rsidRPr="009066C5">
        <w:tab/>
        <w:t>On application by the liquidator or any other interested party, the Court may make an order that ASIC deregister the company on a specified day. The Court must make the order before the end of the deregistration period.</w:t>
      </w:r>
    </w:p>
    <w:p w14:paraId="58A38E7C" w14:textId="77777777" w:rsidR="00D366AA" w:rsidRDefault="00D366AA" w:rsidP="00D366AA">
      <w:pPr>
        <w:pStyle w:val="subsection"/>
      </w:pPr>
      <w:r w:rsidRPr="009066C5">
        <w:lastRenderedPageBreak/>
        <w:tab/>
        <w:t>(</w:t>
      </w:r>
      <w:r>
        <w:t>4</w:t>
      </w:r>
      <w:r w:rsidRPr="009066C5">
        <w:t>)</w:t>
      </w:r>
      <w:r w:rsidRPr="009066C5">
        <w:tab/>
        <w:t xml:space="preserve">The person on whose application an order under </w:t>
      </w:r>
      <w:r>
        <w:t>subsection (3</w:t>
      </w:r>
      <w:r w:rsidRPr="009066C5">
        <w:t>) is made must, within 10 business days after the making of the order, lodge a copy of the order.</w:t>
      </w:r>
    </w:p>
    <w:p w14:paraId="159E13A6" w14:textId="4B96C587" w:rsidR="00D366AA" w:rsidRPr="0041475E" w:rsidRDefault="00C82DDA" w:rsidP="00D366AA">
      <w:pPr>
        <w:pStyle w:val="ItemHead"/>
        <w:rPr>
          <w:lang w:val="fr-CA"/>
        </w:rPr>
      </w:pPr>
      <w:proofErr w:type="gramStart"/>
      <w:r>
        <w:rPr>
          <w:lang w:val="fr-CA"/>
        </w:rPr>
        <w:t>8</w:t>
      </w:r>
      <w:r w:rsidR="00D366AA" w:rsidRPr="0041475E">
        <w:rPr>
          <w:lang w:val="fr-CA"/>
        </w:rPr>
        <w:t xml:space="preserve">  Subsection</w:t>
      </w:r>
      <w:proofErr w:type="gramEnd"/>
      <w:r w:rsidR="00D366AA" w:rsidRPr="0041475E">
        <w:rPr>
          <w:lang w:val="fr-CA"/>
        </w:rPr>
        <w:t> 601AC(1)</w:t>
      </w:r>
    </w:p>
    <w:p w14:paraId="6C6490A8" w14:textId="77777777" w:rsidR="00D366AA" w:rsidRPr="0041475E" w:rsidRDefault="00D366AA" w:rsidP="00D366AA">
      <w:pPr>
        <w:pStyle w:val="Item"/>
        <w:rPr>
          <w:lang w:val="fr-CA"/>
        </w:rPr>
      </w:pPr>
      <w:r w:rsidRPr="0041475E">
        <w:rPr>
          <w:lang w:val="fr-CA"/>
        </w:rPr>
        <w:t xml:space="preserve">Omit </w:t>
      </w:r>
      <w:proofErr w:type="gramStart"/>
      <w:r w:rsidRPr="0041475E">
        <w:rPr>
          <w:lang w:val="fr-CA"/>
        </w:rPr>
        <w:t>“(</w:t>
      </w:r>
      <w:proofErr w:type="gramEnd"/>
      <w:r w:rsidRPr="0041475E">
        <w:rPr>
          <w:lang w:val="fr-CA"/>
        </w:rPr>
        <w:t>1)”.</w:t>
      </w:r>
    </w:p>
    <w:p w14:paraId="690E7690" w14:textId="474A9C46" w:rsidR="00D366AA" w:rsidRPr="0041475E" w:rsidRDefault="00C82DDA" w:rsidP="00D366AA">
      <w:pPr>
        <w:pStyle w:val="ItemHead"/>
        <w:rPr>
          <w:lang w:val="fr-CA"/>
        </w:rPr>
      </w:pPr>
      <w:proofErr w:type="gramStart"/>
      <w:r>
        <w:rPr>
          <w:lang w:val="fr-CA"/>
        </w:rPr>
        <w:t>9</w:t>
      </w:r>
      <w:r w:rsidR="00D366AA" w:rsidRPr="0041475E">
        <w:rPr>
          <w:lang w:val="fr-CA"/>
        </w:rPr>
        <w:t xml:space="preserve">  Paragraph</w:t>
      </w:r>
      <w:proofErr w:type="gramEnd"/>
      <w:r w:rsidR="00D366AA" w:rsidRPr="0041475E">
        <w:rPr>
          <w:lang w:val="fr-CA"/>
        </w:rPr>
        <w:t> 601AC(1)(c)</w:t>
      </w:r>
    </w:p>
    <w:p w14:paraId="6AE76420" w14:textId="77777777" w:rsidR="00D366AA" w:rsidRPr="0041475E" w:rsidRDefault="00D366AA" w:rsidP="00D366AA">
      <w:pPr>
        <w:pStyle w:val="Item"/>
        <w:rPr>
          <w:lang w:val="fr-CA"/>
        </w:rPr>
      </w:pPr>
      <w:r w:rsidRPr="0041475E">
        <w:rPr>
          <w:lang w:val="fr-CA"/>
        </w:rPr>
        <w:t>Omit “subsection 509(2)”, substitute “subsection 550(3)”.</w:t>
      </w:r>
    </w:p>
    <w:p w14:paraId="49F91C75" w14:textId="4D4F9B47" w:rsidR="00D366AA" w:rsidRPr="0041475E" w:rsidRDefault="00C82DDA" w:rsidP="00D366AA">
      <w:pPr>
        <w:pStyle w:val="ItemHead"/>
        <w:rPr>
          <w:lang w:val="fr-CA"/>
        </w:rPr>
      </w:pPr>
      <w:proofErr w:type="gramStart"/>
      <w:r>
        <w:rPr>
          <w:lang w:val="fr-CA"/>
        </w:rPr>
        <w:t>10</w:t>
      </w:r>
      <w:r w:rsidR="00D366AA" w:rsidRPr="0041475E">
        <w:rPr>
          <w:lang w:val="fr-CA"/>
        </w:rPr>
        <w:t xml:space="preserve">  Paragraph</w:t>
      </w:r>
      <w:proofErr w:type="gramEnd"/>
      <w:r w:rsidR="00D366AA" w:rsidRPr="0041475E">
        <w:rPr>
          <w:lang w:val="fr-CA"/>
        </w:rPr>
        <w:t> 1239C(c)</w:t>
      </w:r>
    </w:p>
    <w:p w14:paraId="74C57FA7" w14:textId="77777777" w:rsidR="00D366AA" w:rsidRDefault="00D366AA" w:rsidP="00D366AA">
      <w:pPr>
        <w:pStyle w:val="Item"/>
      </w:pPr>
      <w:r>
        <w:t>Omit “subsection 5</w:t>
      </w:r>
      <w:r w:rsidRPr="009A05FD">
        <w:t>09(2)</w:t>
      </w:r>
      <w:r>
        <w:t>”, substitute “subsection 550(3)”.</w:t>
      </w:r>
    </w:p>
    <w:p w14:paraId="57BF30FD" w14:textId="13F4E017" w:rsidR="00D366AA" w:rsidRDefault="00C82DDA" w:rsidP="00D366AA">
      <w:pPr>
        <w:pStyle w:val="ItemHead"/>
      </w:pPr>
      <w:proofErr w:type="gramStart"/>
      <w:r>
        <w:t>11</w:t>
      </w:r>
      <w:r w:rsidR="00D366AA">
        <w:t xml:space="preserve">  Subsection</w:t>
      </w:r>
      <w:proofErr w:type="gramEnd"/>
      <w:r w:rsidR="00D366AA">
        <w:t> 70</w:t>
      </w:r>
      <w:r w:rsidR="00D366AA">
        <w:noBreakHyphen/>
        <w:t>6(3) of Schedule 2 (note 2)</w:t>
      </w:r>
    </w:p>
    <w:p w14:paraId="5CC7358C" w14:textId="77777777" w:rsidR="00D366AA" w:rsidRDefault="00D366AA" w:rsidP="00D366AA">
      <w:pPr>
        <w:pStyle w:val="Item"/>
      </w:pPr>
      <w:r>
        <w:t>Omit “section 509”, substitute “section 550”.</w:t>
      </w:r>
    </w:p>
    <w:p w14:paraId="615E1B51" w14:textId="0DD32D79" w:rsidR="00D366AA" w:rsidRDefault="00C82DDA" w:rsidP="00D366AA">
      <w:pPr>
        <w:pStyle w:val="ItemHead"/>
      </w:pPr>
      <w:proofErr w:type="gramStart"/>
      <w:r>
        <w:t>12</w:t>
      </w:r>
      <w:r w:rsidR="00D366AA">
        <w:t xml:space="preserve">  In</w:t>
      </w:r>
      <w:proofErr w:type="gramEnd"/>
      <w:r w:rsidR="00D366AA">
        <w:t xml:space="preserve"> the appropriate position in Chapter 10</w:t>
      </w:r>
    </w:p>
    <w:p w14:paraId="724ADBFF" w14:textId="77777777" w:rsidR="00D366AA" w:rsidRDefault="00D366AA" w:rsidP="00D366AA">
      <w:pPr>
        <w:pStyle w:val="Item"/>
      </w:pPr>
      <w:r>
        <w:t>Insert:</w:t>
      </w:r>
    </w:p>
    <w:p w14:paraId="3CE6C338" w14:textId="0ADF9854" w:rsidR="00D366AA" w:rsidRDefault="00D366AA" w:rsidP="00D366AA">
      <w:pPr>
        <w:pStyle w:val="ActHead2"/>
      </w:pPr>
      <w:r w:rsidRPr="00AF611F">
        <w:rPr>
          <w:rStyle w:val="CharPartNo"/>
        </w:rPr>
        <w:t>Part 10.80</w:t>
      </w:r>
      <w:r>
        <w:t>—</w:t>
      </w:r>
      <w:r w:rsidRPr="00AF611F">
        <w:rPr>
          <w:rStyle w:val="CharPartText"/>
        </w:rPr>
        <w:t>Application provisions relating to Schedule 1 to the Treasury Laws Amendment Bill 2025</w:t>
      </w:r>
    </w:p>
    <w:p w14:paraId="7BDBFF4D" w14:textId="77777777" w:rsidR="00D366AA" w:rsidRPr="00AF611F" w:rsidRDefault="00D366AA" w:rsidP="00D366AA">
      <w:pPr>
        <w:pStyle w:val="Header"/>
      </w:pPr>
      <w:r w:rsidRPr="00AF611F">
        <w:rPr>
          <w:rStyle w:val="CharDivNo"/>
        </w:rPr>
        <w:t xml:space="preserve"> </w:t>
      </w:r>
      <w:r w:rsidRPr="00AF611F">
        <w:rPr>
          <w:rStyle w:val="CharDivText"/>
        </w:rPr>
        <w:t xml:space="preserve"> </w:t>
      </w:r>
    </w:p>
    <w:p w14:paraId="41DE2382" w14:textId="77777777" w:rsidR="00D366AA" w:rsidRDefault="00D366AA" w:rsidP="00D366AA">
      <w:pPr>
        <w:pStyle w:val="ActHead5"/>
      </w:pPr>
      <w:proofErr w:type="gramStart"/>
      <w:r w:rsidRPr="00AF611F">
        <w:rPr>
          <w:rStyle w:val="CharSectno"/>
        </w:rPr>
        <w:t>1710</w:t>
      </w:r>
      <w:r>
        <w:t xml:space="preserve">  Application</w:t>
      </w:r>
      <w:proofErr w:type="gramEnd"/>
      <w:r>
        <w:t xml:space="preserve"> of amendments</w:t>
      </w:r>
    </w:p>
    <w:p w14:paraId="020519DB" w14:textId="3498DF1C" w:rsidR="00D366AA" w:rsidRDefault="00D366AA" w:rsidP="00D366AA">
      <w:pPr>
        <w:pStyle w:val="subsection"/>
      </w:pPr>
      <w:r>
        <w:tab/>
      </w:r>
      <w:r>
        <w:tab/>
        <w:t xml:space="preserve">The amendments made by Division 2 of Part 1 of Schedule 1 to the </w:t>
      </w:r>
      <w:r w:rsidRPr="00C82DDA">
        <w:rPr>
          <w:i/>
          <w:iCs/>
        </w:rPr>
        <w:t>Treasury Laws Amendment Bill 2025</w:t>
      </w:r>
      <w:r>
        <w:t xml:space="preserve"> apply in relation to an end o</w:t>
      </w:r>
      <w:r w:rsidRPr="009066C5">
        <w:t xml:space="preserve">f administration return </w:t>
      </w:r>
      <w:r>
        <w:t xml:space="preserve">that is </w:t>
      </w:r>
      <w:r w:rsidRPr="009066C5">
        <w:t xml:space="preserve">lodged with ASIC on </w:t>
      </w:r>
      <w:r>
        <w:t>or after the commencement of this section.</w:t>
      </w:r>
    </w:p>
    <w:p w14:paraId="28C7235E" w14:textId="42E2872B" w:rsidR="00F070C8" w:rsidRPr="00693096" w:rsidRDefault="00F070C8" w:rsidP="00F070C8">
      <w:pPr>
        <w:pStyle w:val="ActHead8"/>
      </w:pPr>
      <w:r w:rsidRPr="00693096">
        <w:t>Division </w:t>
      </w:r>
      <w:r w:rsidR="00D366AA">
        <w:t>3</w:t>
      </w:r>
      <w:r w:rsidRPr="00693096">
        <w:t xml:space="preserve">—Notifying ASIC about authorised </w:t>
      </w:r>
      <w:proofErr w:type="gramStart"/>
      <w:r w:rsidRPr="00693096">
        <w:t>representatives</w:t>
      </w:r>
      <w:proofErr w:type="gramEnd"/>
    </w:p>
    <w:p w14:paraId="14B3629E" w14:textId="77777777" w:rsidR="00F070C8" w:rsidRPr="00693096" w:rsidRDefault="00F070C8" w:rsidP="00F070C8">
      <w:pPr>
        <w:pStyle w:val="ActHead9"/>
      </w:pPr>
      <w:r w:rsidRPr="00693096">
        <w:rPr>
          <w:rFonts w:eastAsia="Calibri"/>
        </w:rPr>
        <w:t>Corporations Act 2001</w:t>
      </w:r>
    </w:p>
    <w:p w14:paraId="40DB08D0" w14:textId="6DFDF9EB" w:rsidR="00F070C8" w:rsidRPr="00693096" w:rsidRDefault="00C82DDA" w:rsidP="00F070C8">
      <w:pPr>
        <w:pStyle w:val="ItemHead"/>
      </w:pPr>
      <w:proofErr w:type="gramStart"/>
      <w:r>
        <w:t>13</w:t>
      </w:r>
      <w:r w:rsidR="00F070C8" w:rsidRPr="00693096">
        <w:t xml:space="preserve">  Subsection</w:t>
      </w:r>
      <w:proofErr w:type="gramEnd"/>
      <w:r w:rsidR="00F070C8" w:rsidRPr="00693096">
        <w:t> 916F(1)</w:t>
      </w:r>
    </w:p>
    <w:p w14:paraId="2DEDDCFE" w14:textId="77777777" w:rsidR="00F070C8" w:rsidRPr="00693096" w:rsidRDefault="00F070C8" w:rsidP="00F070C8">
      <w:pPr>
        <w:pStyle w:val="Item"/>
      </w:pPr>
      <w:r w:rsidRPr="00693096">
        <w:t>Omit “15 business days”, substitute “30 business days”.</w:t>
      </w:r>
    </w:p>
    <w:p w14:paraId="1943D66A" w14:textId="75548B4C" w:rsidR="00F070C8" w:rsidRPr="00693096" w:rsidRDefault="00C82DDA" w:rsidP="00F070C8">
      <w:pPr>
        <w:pStyle w:val="ItemHead"/>
      </w:pPr>
      <w:proofErr w:type="gramStart"/>
      <w:r>
        <w:lastRenderedPageBreak/>
        <w:t>14</w:t>
      </w:r>
      <w:r w:rsidR="00F070C8" w:rsidRPr="00693096">
        <w:t xml:space="preserve">  Subsection</w:t>
      </w:r>
      <w:proofErr w:type="gramEnd"/>
      <w:r w:rsidR="00F070C8" w:rsidRPr="00693096">
        <w:t> 916F(3)</w:t>
      </w:r>
    </w:p>
    <w:p w14:paraId="5A8567B0" w14:textId="77777777" w:rsidR="00F070C8" w:rsidRPr="00693096" w:rsidRDefault="00F070C8" w:rsidP="00F070C8">
      <w:pPr>
        <w:pStyle w:val="Item"/>
      </w:pPr>
      <w:r w:rsidRPr="00693096">
        <w:t>Omit “10 business days”, substitute “30 business days”.</w:t>
      </w:r>
    </w:p>
    <w:p w14:paraId="0D9192EC" w14:textId="6BE71C57" w:rsidR="001738F4" w:rsidRPr="00693096" w:rsidRDefault="001738F4" w:rsidP="00693096">
      <w:pPr>
        <w:pStyle w:val="ActHead8"/>
      </w:pPr>
      <w:r w:rsidRPr="00693096">
        <w:t>Division </w:t>
      </w:r>
      <w:r w:rsidR="00D366AA">
        <w:t>4</w:t>
      </w:r>
      <w:r w:rsidRPr="00693096">
        <w:t>—Inspector</w:t>
      </w:r>
      <w:r w:rsidR="00693096">
        <w:noBreakHyphen/>
      </w:r>
      <w:r w:rsidRPr="00693096">
        <w:t>General of Taxation Act 2003</w:t>
      </w:r>
    </w:p>
    <w:p w14:paraId="2C09F995" w14:textId="217B9D16" w:rsidR="001738F4" w:rsidRPr="00693096" w:rsidRDefault="001738F4" w:rsidP="00693096">
      <w:pPr>
        <w:pStyle w:val="ActHead9"/>
      </w:pPr>
      <w:r w:rsidRPr="00693096">
        <w:rPr>
          <w:rFonts w:eastAsia="Calibri"/>
        </w:rPr>
        <w:t>Inspector</w:t>
      </w:r>
      <w:r w:rsidR="00693096">
        <w:rPr>
          <w:rFonts w:eastAsia="Calibri"/>
        </w:rPr>
        <w:noBreakHyphen/>
      </w:r>
      <w:r w:rsidRPr="00693096">
        <w:rPr>
          <w:rFonts w:eastAsia="Calibri"/>
        </w:rPr>
        <w:t>General of Taxation Act 2003</w:t>
      </w:r>
    </w:p>
    <w:p w14:paraId="15B8A55E" w14:textId="49A9A48E" w:rsidR="001738F4" w:rsidRPr="00693096" w:rsidRDefault="00C82DDA" w:rsidP="00693096">
      <w:pPr>
        <w:pStyle w:val="ItemHead"/>
      </w:pPr>
      <w:proofErr w:type="gramStart"/>
      <w:r>
        <w:t>15</w:t>
      </w:r>
      <w:r w:rsidR="001738F4" w:rsidRPr="00693096">
        <w:t xml:space="preserve">  After</w:t>
      </w:r>
      <w:proofErr w:type="gramEnd"/>
      <w:r w:rsidR="001738F4" w:rsidRPr="00693096">
        <w:t xml:space="preserve"> subsection 42(1)</w:t>
      </w:r>
    </w:p>
    <w:p w14:paraId="67ACD1A0" w14:textId="77777777" w:rsidR="001738F4" w:rsidRPr="00693096" w:rsidRDefault="001738F4" w:rsidP="00693096">
      <w:pPr>
        <w:pStyle w:val="Item"/>
      </w:pPr>
      <w:r w:rsidRPr="00693096">
        <w:t>Insert:</w:t>
      </w:r>
    </w:p>
    <w:p w14:paraId="6BF2D617" w14:textId="073BDA54" w:rsidR="001738F4" w:rsidRPr="00693096" w:rsidRDefault="001738F4" w:rsidP="00693096">
      <w:pPr>
        <w:pStyle w:val="subsection"/>
      </w:pPr>
      <w:r w:rsidRPr="00693096">
        <w:tab/>
        <w:t>(1A)</w:t>
      </w:r>
      <w:r w:rsidRPr="00693096">
        <w:tab/>
        <w:t>The Inspector</w:t>
      </w:r>
      <w:r w:rsidR="00693096">
        <w:noBreakHyphen/>
      </w:r>
      <w:r w:rsidRPr="00693096">
        <w:t>General may, in writing, delegate any of the following powers to a member of the Inspector</w:t>
      </w:r>
      <w:r w:rsidR="00693096">
        <w:noBreakHyphen/>
      </w:r>
      <w:r w:rsidRPr="00693096">
        <w:t>General’s staff to whom subsection (1B) of this section applies:</w:t>
      </w:r>
    </w:p>
    <w:p w14:paraId="5E0C30EE" w14:textId="3900273F" w:rsidR="001738F4" w:rsidRPr="00693096" w:rsidRDefault="001738F4" w:rsidP="00693096">
      <w:pPr>
        <w:pStyle w:val="paragraph"/>
      </w:pPr>
      <w:r w:rsidRPr="00693096">
        <w:tab/>
        <w:t>(a)</w:t>
      </w:r>
      <w:r w:rsidRPr="00693096">
        <w:tab/>
        <w:t>the Inspector</w:t>
      </w:r>
      <w:r w:rsidR="00693096">
        <w:noBreakHyphen/>
      </w:r>
      <w:r w:rsidRPr="00693096">
        <w:t>General’s powers under sections 9 and 10 of this Act (about not investigating, or transferring, complaints</w:t>
      </w:r>
      <w:proofErr w:type="gramStart"/>
      <w:r w:rsidRPr="00693096">
        <w:t>);</w:t>
      </w:r>
      <w:proofErr w:type="gramEnd"/>
    </w:p>
    <w:p w14:paraId="14BE0EFA" w14:textId="37C296C5" w:rsidR="001738F4" w:rsidRPr="00693096" w:rsidRDefault="001738F4" w:rsidP="00693096">
      <w:pPr>
        <w:pStyle w:val="paragraph"/>
      </w:pPr>
      <w:r w:rsidRPr="00693096">
        <w:tab/>
        <w:t>(b)</w:t>
      </w:r>
      <w:r w:rsidRPr="00693096">
        <w:tab/>
        <w:t>the Inspector</w:t>
      </w:r>
      <w:r w:rsidR="00693096">
        <w:noBreakHyphen/>
      </w:r>
      <w:r w:rsidRPr="00693096">
        <w:t>General’s powers under section 37C of this Act (about quoting tax file numbers).</w:t>
      </w:r>
    </w:p>
    <w:p w14:paraId="5A51519A" w14:textId="1CADE123" w:rsidR="001738F4" w:rsidRPr="00693096" w:rsidRDefault="001738F4" w:rsidP="00693096">
      <w:pPr>
        <w:pStyle w:val="subsection"/>
      </w:pPr>
      <w:r w:rsidRPr="00693096">
        <w:tab/>
        <w:t>(1B)</w:t>
      </w:r>
      <w:r w:rsidRPr="00693096">
        <w:tab/>
        <w:t>This subsection applies to a member of the Inspector</w:t>
      </w:r>
      <w:r w:rsidR="00693096">
        <w:noBreakHyphen/>
      </w:r>
      <w:r w:rsidRPr="00693096">
        <w:t>General’s staff who is:</w:t>
      </w:r>
    </w:p>
    <w:p w14:paraId="7CB47767" w14:textId="77777777" w:rsidR="001738F4" w:rsidRPr="00693096" w:rsidRDefault="001738F4" w:rsidP="00693096">
      <w:pPr>
        <w:pStyle w:val="paragraph"/>
      </w:pPr>
      <w:r w:rsidRPr="00693096">
        <w:tab/>
        <w:t>(a)</w:t>
      </w:r>
      <w:r w:rsidRPr="00693096">
        <w:tab/>
        <w:t>either:</w:t>
      </w:r>
    </w:p>
    <w:p w14:paraId="3255B14A" w14:textId="77777777" w:rsidR="001738F4" w:rsidRPr="00693096" w:rsidRDefault="001738F4" w:rsidP="00693096">
      <w:pPr>
        <w:pStyle w:val="paragraphsub"/>
      </w:pPr>
      <w:r w:rsidRPr="00693096">
        <w:tab/>
        <w:t>(i)</w:t>
      </w:r>
      <w:r w:rsidRPr="00693096">
        <w:tab/>
        <w:t>a member of the staff referred to in subsection 36(1); or</w:t>
      </w:r>
    </w:p>
    <w:p w14:paraId="1C7F3BED" w14:textId="77777777" w:rsidR="001738F4" w:rsidRPr="00693096" w:rsidRDefault="001738F4" w:rsidP="00693096">
      <w:pPr>
        <w:pStyle w:val="paragraphsub"/>
      </w:pPr>
      <w:r w:rsidRPr="00693096">
        <w:tab/>
        <w:t>(ii)</w:t>
      </w:r>
      <w:r w:rsidRPr="00693096">
        <w:tab/>
        <w:t>an employee or officer whose services are made available as referred to in subsection 36(3); and</w:t>
      </w:r>
    </w:p>
    <w:p w14:paraId="582AB6FB" w14:textId="77777777" w:rsidR="001738F4" w:rsidRPr="00693096" w:rsidRDefault="001738F4" w:rsidP="00693096">
      <w:pPr>
        <w:pStyle w:val="paragraph"/>
      </w:pPr>
      <w:r w:rsidRPr="00693096">
        <w:tab/>
        <w:t>(b)</w:t>
      </w:r>
      <w:r w:rsidRPr="00693096">
        <w:tab/>
        <w:t>either:</w:t>
      </w:r>
    </w:p>
    <w:p w14:paraId="79BAAAC0" w14:textId="77777777" w:rsidR="001738F4" w:rsidRPr="00693096" w:rsidRDefault="001738F4" w:rsidP="00693096">
      <w:pPr>
        <w:pStyle w:val="paragraphsub"/>
      </w:pPr>
      <w:r w:rsidRPr="00693096">
        <w:tab/>
        <w:t>(i)</w:t>
      </w:r>
      <w:r w:rsidRPr="00693096">
        <w:tab/>
        <w:t>an SES employee or acting SES employee; or</w:t>
      </w:r>
    </w:p>
    <w:p w14:paraId="0935735A" w14:textId="77777777" w:rsidR="001738F4" w:rsidRDefault="001738F4" w:rsidP="00693096">
      <w:pPr>
        <w:pStyle w:val="paragraphsub"/>
      </w:pPr>
      <w:r w:rsidRPr="00693096">
        <w:tab/>
        <w:t>(ii)</w:t>
      </w:r>
      <w:r w:rsidRPr="00693096">
        <w:tab/>
        <w:t>an APS employee who is classified as Executive Level 1 or 2 or equivalent, or acting in a position usually occupied by an APS employee who is so classified.</w:t>
      </w:r>
    </w:p>
    <w:p w14:paraId="6296F0E0" w14:textId="60AF975A" w:rsidR="001738F4" w:rsidRPr="00693096" w:rsidRDefault="001738F4" w:rsidP="00693096">
      <w:pPr>
        <w:pStyle w:val="subsection"/>
      </w:pPr>
      <w:r w:rsidRPr="00693096">
        <w:tab/>
        <w:t>(1C)</w:t>
      </w:r>
      <w:r w:rsidRPr="00693096">
        <w:tab/>
        <w:t>The Inspector</w:t>
      </w:r>
      <w:r w:rsidR="00693096">
        <w:noBreakHyphen/>
      </w:r>
      <w:r w:rsidRPr="00693096">
        <w:t>General may, in writing, delegate any of the Inspector</w:t>
      </w:r>
      <w:r w:rsidR="00693096">
        <w:noBreakHyphen/>
      </w:r>
      <w:r w:rsidRPr="00693096">
        <w:t>General’s powers under section 37B of this Act (about requesting and providing tax file numbers) to:</w:t>
      </w:r>
    </w:p>
    <w:p w14:paraId="53A3AF85" w14:textId="77777777" w:rsidR="001738F4" w:rsidRPr="00693096" w:rsidRDefault="001738F4" w:rsidP="00693096">
      <w:pPr>
        <w:pStyle w:val="paragraph"/>
      </w:pPr>
      <w:r w:rsidRPr="00693096">
        <w:tab/>
        <w:t>(a)</w:t>
      </w:r>
      <w:r w:rsidRPr="00693096">
        <w:tab/>
        <w:t>a member of the staff referred to in subsection 36(1); or</w:t>
      </w:r>
    </w:p>
    <w:p w14:paraId="49915B9B" w14:textId="77777777" w:rsidR="001738F4" w:rsidRPr="00693096" w:rsidRDefault="001738F4" w:rsidP="00693096">
      <w:pPr>
        <w:pStyle w:val="paragraph"/>
      </w:pPr>
      <w:r w:rsidRPr="00693096">
        <w:tab/>
        <w:t>(b)</w:t>
      </w:r>
      <w:r w:rsidRPr="00693096">
        <w:tab/>
        <w:t>an employee or officer whose services are made available as referred to in subsection 36(3).</w:t>
      </w:r>
    </w:p>
    <w:p w14:paraId="68741E6D" w14:textId="7B5C2720" w:rsidR="001738F4" w:rsidRPr="00693096" w:rsidRDefault="001738F4" w:rsidP="00693096">
      <w:pPr>
        <w:pStyle w:val="subsection"/>
      </w:pPr>
      <w:r w:rsidRPr="00693096">
        <w:tab/>
        <w:t>(1D)</w:t>
      </w:r>
      <w:r w:rsidRPr="00693096">
        <w:tab/>
        <w:t>The Inspector</w:t>
      </w:r>
      <w:r w:rsidR="00693096">
        <w:noBreakHyphen/>
      </w:r>
      <w:r w:rsidRPr="00693096">
        <w:t>General may delegate a power to a person under subsection (1), (1A) or (1C) only if the Inspector</w:t>
      </w:r>
      <w:r w:rsidR="00693096">
        <w:noBreakHyphen/>
      </w:r>
      <w:r w:rsidRPr="00693096">
        <w:t>General is satisfied that the person has appropriate qualifications, training or experience to exercise the power.</w:t>
      </w:r>
    </w:p>
    <w:p w14:paraId="6AFD2498" w14:textId="4053FDC1" w:rsidR="001738F4" w:rsidRPr="00693096" w:rsidRDefault="00C82DDA" w:rsidP="00693096">
      <w:pPr>
        <w:pStyle w:val="ItemHead"/>
      </w:pPr>
      <w:proofErr w:type="gramStart"/>
      <w:r>
        <w:lastRenderedPageBreak/>
        <w:t>16</w:t>
      </w:r>
      <w:r w:rsidR="001738F4" w:rsidRPr="00693096">
        <w:t xml:space="preserve">  Subsection</w:t>
      </w:r>
      <w:proofErr w:type="gramEnd"/>
      <w:r w:rsidR="001738F4" w:rsidRPr="00693096">
        <w:t> 42(2)</w:t>
      </w:r>
    </w:p>
    <w:p w14:paraId="0C71DE92" w14:textId="77777777" w:rsidR="001738F4" w:rsidRPr="00693096" w:rsidRDefault="001738F4" w:rsidP="00693096">
      <w:pPr>
        <w:pStyle w:val="Item"/>
      </w:pPr>
      <w:r w:rsidRPr="00693096">
        <w:t>After “delegation”, insert “under subsection (1), (1A) or (1C) of this section”.</w:t>
      </w:r>
    </w:p>
    <w:p w14:paraId="07744A8E" w14:textId="63DE7F42" w:rsidR="001738F4" w:rsidRPr="00693096" w:rsidRDefault="00C82DDA" w:rsidP="00693096">
      <w:pPr>
        <w:pStyle w:val="Transitional"/>
      </w:pPr>
      <w:proofErr w:type="gramStart"/>
      <w:r>
        <w:t>17</w:t>
      </w:r>
      <w:r w:rsidR="001738F4" w:rsidRPr="00693096">
        <w:t xml:space="preserve">  Application</w:t>
      </w:r>
      <w:proofErr w:type="gramEnd"/>
      <w:r w:rsidR="001738F4" w:rsidRPr="00693096">
        <w:t xml:space="preserve"> of amendments</w:t>
      </w:r>
    </w:p>
    <w:p w14:paraId="135CCFF4" w14:textId="77777777" w:rsidR="001738F4" w:rsidRPr="00693096" w:rsidRDefault="001738F4" w:rsidP="00693096">
      <w:pPr>
        <w:pStyle w:val="Item"/>
      </w:pPr>
      <w:r w:rsidRPr="00693096">
        <w:t>The amendments made by this Division apply in relation to a delegation made on or after the commencement of this item.</w:t>
      </w:r>
    </w:p>
    <w:p w14:paraId="713F3C0E" w14:textId="77777777" w:rsidR="00DE1F58" w:rsidRPr="00693096" w:rsidRDefault="00DE1F58" w:rsidP="00693096">
      <w:pPr>
        <w:pStyle w:val="ActHead7"/>
      </w:pPr>
      <w:r w:rsidRPr="00AF611F">
        <w:rPr>
          <w:rStyle w:val="CharAmPartNo"/>
        </w:rPr>
        <w:t>Part 2</w:t>
      </w:r>
      <w:r w:rsidRPr="00693096">
        <w:t>—</w:t>
      </w:r>
      <w:r w:rsidRPr="00AF611F">
        <w:rPr>
          <w:rStyle w:val="CharAmPartText"/>
        </w:rPr>
        <w:t>Amendments commencing first quarter after Royal Assent</w:t>
      </w:r>
    </w:p>
    <w:p w14:paraId="21EFE8F6" w14:textId="7AF3CFE9" w:rsidR="00DE1F58" w:rsidRPr="00693096" w:rsidRDefault="00693096" w:rsidP="00693096">
      <w:pPr>
        <w:pStyle w:val="ActHead8"/>
        <w:rPr>
          <w:rFonts w:eastAsia="Calibri"/>
        </w:rPr>
      </w:pPr>
      <w:r w:rsidRPr="00693096">
        <w:t>Division 1</w:t>
      </w:r>
      <w:r w:rsidR="00DE1F58" w:rsidRPr="00693096">
        <w:t xml:space="preserve">—A </w:t>
      </w:r>
      <w:r w:rsidR="00DE1F58" w:rsidRPr="00693096">
        <w:rPr>
          <w:rFonts w:eastAsia="Calibri"/>
        </w:rPr>
        <w:t>New Tax System (Goods and Services Tax) Act 1999</w:t>
      </w:r>
    </w:p>
    <w:p w14:paraId="0BC8F339" w14:textId="77777777" w:rsidR="00DE1F58" w:rsidRPr="00693096" w:rsidRDefault="00DE1F58" w:rsidP="00693096">
      <w:pPr>
        <w:pStyle w:val="ActHead9"/>
        <w:rPr>
          <w:rFonts w:eastAsia="Calibri"/>
        </w:rPr>
      </w:pPr>
      <w:r w:rsidRPr="00693096">
        <w:rPr>
          <w:rFonts w:eastAsia="Calibri"/>
        </w:rPr>
        <w:t>A New Tax System (Goods and Services Tax) Act 1999</w:t>
      </w:r>
    </w:p>
    <w:p w14:paraId="37277A9E" w14:textId="64049607" w:rsidR="00DE1F58" w:rsidRPr="00693096" w:rsidRDefault="00C82DDA" w:rsidP="00693096">
      <w:pPr>
        <w:pStyle w:val="ItemHead"/>
      </w:pPr>
      <w:proofErr w:type="gramStart"/>
      <w:r>
        <w:t>18</w:t>
      </w:r>
      <w:r w:rsidR="00DE1F58" w:rsidRPr="00693096">
        <w:t xml:space="preserve">  Section</w:t>
      </w:r>
      <w:proofErr w:type="gramEnd"/>
      <w:r w:rsidR="00DE1F58" w:rsidRPr="00693096">
        <w:t> 38</w:t>
      </w:r>
      <w:r w:rsidR="00693096">
        <w:noBreakHyphen/>
      </w:r>
      <w:r w:rsidR="00DE1F58" w:rsidRPr="00693096">
        <w:t>40</w:t>
      </w:r>
    </w:p>
    <w:p w14:paraId="0097DFFC" w14:textId="77777777" w:rsidR="00DE1F58" w:rsidRPr="00693096" w:rsidRDefault="00DE1F58" w:rsidP="00693096">
      <w:pPr>
        <w:pStyle w:val="Item"/>
      </w:pPr>
      <w:r w:rsidRPr="00693096">
        <w:t>Before “A supply”, insert “(1)”.</w:t>
      </w:r>
    </w:p>
    <w:p w14:paraId="5D787F31" w14:textId="5FFA5FA3" w:rsidR="00DE1F58" w:rsidRPr="00693096" w:rsidRDefault="00C82DDA" w:rsidP="00693096">
      <w:pPr>
        <w:pStyle w:val="ItemHead"/>
      </w:pPr>
      <w:proofErr w:type="gramStart"/>
      <w:r>
        <w:t>19</w:t>
      </w:r>
      <w:r w:rsidR="00DE1F58" w:rsidRPr="00693096">
        <w:t xml:space="preserve">  Section</w:t>
      </w:r>
      <w:proofErr w:type="gramEnd"/>
      <w:r w:rsidR="00DE1F58" w:rsidRPr="00693096">
        <w:t> 38</w:t>
      </w:r>
      <w:r w:rsidR="00693096">
        <w:noBreakHyphen/>
      </w:r>
      <w:r w:rsidR="00DE1F58" w:rsidRPr="00693096">
        <w:t>40</w:t>
      </w:r>
    </w:p>
    <w:p w14:paraId="72B460ED" w14:textId="77777777" w:rsidR="00DE1F58" w:rsidRPr="00693096" w:rsidRDefault="00DE1F58" w:rsidP="00693096">
      <w:pPr>
        <w:pStyle w:val="Item"/>
        <w:rPr>
          <w:rFonts w:eastAsia="Calibri"/>
        </w:rPr>
      </w:pPr>
      <w:r w:rsidRPr="00693096">
        <w:t>Before “</w:t>
      </w:r>
      <w:r w:rsidRPr="00693096">
        <w:rPr>
          <w:i/>
          <w:iCs/>
        </w:rPr>
        <w:t>Dis</w:t>
      </w:r>
      <w:r w:rsidRPr="00693096">
        <w:rPr>
          <w:rFonts w:eastAsia="Calibri"/>
          <w:i/>
          <w:iCs/>
        </w:rPr>
        <w:t>ability Services Act 1986</w:t>
      </w:r>
      <w:r w:rsidRPr="00693096">
        <w:rPr>
          <w:rFonts w:eastAsia="Calibri"/>
        </w:rPr>
        <w:t>”, insert “former”.</w:t>
      </w:r>
    </w:p>
    <w:p w14:paraId="0CF75F82" w14:textId="40996576" w:rsidR="00DE1F58" w:rsidRPr="00693096" w:rsidRDefault="00C82DDA" w:rsidP="00693096">
      <w:pPr>
        <w:pStyle w:val="ItemHead"/>
        <w:rPr>
          <w:rFonts w:eastAsia="Calibri"/>
        </w:rPr>
      </w:pPr>
      <w:proofErr w:type="gramStart"/>
      <w:r>
        <w:rPr>
          <w:rFonts w:eastAsia="Calibri"/>
        </w:rPr>
        <w:t>20</w:t>
      </w:r>
      <w:r w:rsidR="00DE1F58" w:rsidRPr="00693096">
        <w:rPr>
          <w:rFonts w:eastAsia="Calibri"/>
        </w:rPr>
        <w:t xml:space="preserve">  At</w:t>
      </w:r>
      <w:proofErr w:type="gramEnd"/>
      <w:r w:rsidR="00DE1F58" w:rsidRPr="00693096">
        <w:rPr>
          <w:rFonts w:eastAsia="Calibri"/>
        </w:rPr>
        <w:t xml:space="preserve"> the end of section 38</w:t>
      </w:r>
      <w:r w:rsidR="00693096">
        <w:rPr>
          <w:rFonts w:eastAsia="Calibri"/>
        </w:rPr>
        <w:noBreakHyphen/>
      </w:r>
      <w:r w:rsidR="00DE1F58" w:rsidRPr="00693096">
        <w:rPr>
          <w:rFonts w:eastAsia="Calibri"/>
        </w:rPr>
        <w:t>40</w:t>
      </w:r>
    </w:p>
    <w:p w14:paraId="0917B800" w14:textId="77777777" w:rsidR="00DE1F58" w:rsidRPr="00693096" w:rsidRDefault="00DE1F58" w:rsidP="00693096">
      <w:pPr>
        <w:pStyle w:val="Item"/>
        <w:rPr>
          <w:rFonts w:eastAsia="Calibri"/>
        </w:rPr>
      </w:pPr>
      <w:r w:rsidRPr="00693096">
        <w:rPr>
          <w:rFonts w:eastAsia="Calibri"/>
        </w:rPr>
        <w:t>Add:</w:t>
      </w:r>
    </w:p>
    <w:p w14:paraId="6DFA8D32" w14:textId="6DD528F3" w:rsidR="00DE1F58" w:rsidRPr="00693096" w:rsidRDefault="00DE1F58" w:rsidP="00693096">
      <w:pPr>
        <w:pStyle w:val="subsection"/>
        <w:rPr>
          <w:rFonts w:eastAsia="Calibri"/>
        </w:rPr>
      </w:pPr>
      <w:r w:rsidRPr="00693096">
        <w:rPr>
          <w:rFonts w:eastAsia="Calibri"/>
        </w:rPr>
        <w:tab/>
        <w:t>(2)</w:t>
      </w:r>
      <w:r w:rsidRPr="00693096">
        <w:rPr>
          <w:rFonts w:eastAsia="Calibri"/>
        </w:rPr>
        <w:tab/>
        <w:t xml:space="preserve">A supply of services is </w:t>
      </w:r>
      <w:r w:rsidRPr="00693096">
        <w:rPr>
          <w:rFonts w:eastAsia="Calibri"/>
          <w:b/>
          <w:bCs/>
          <w:i/>
          <w:iCs/>
        </w:rPr>
        <w:t>GST</w:t>
      </w:r>
      <w:r w:rsidR="00693096">
        <w:rPr>
          <w:rFonts w:eastAsia="Calibri"/>
          <w:b/>
          <w:bCs/>
          <w:i/>
          <w:iCs/>
        </w:rPr>
        <w:noBreakHyphen/>
      </w:r>
      <w:r w:rsidRPr="00693096">
        <w:rPr>
          <w:rFonts w:eastAsia="Calibri"/>
          <w:b/>
          <w:bCs/>
          <w:i/>
          <w:iCs/>
        </w:rPr>
        <w:t>free</w:t>
      </w:r>
      <w:r w:rsidRPr="00693096">
        <w:rPr>
          <w:rFonts w:eastAsia="Calibri"/>
        </w:rPr>
        <w:t xml:space="preserve"> if the supplier receives funding under the </w:t>
      </w:r>
      <w:r w:rsidRPr="00693096">
        <w:rPr>
          <w:rFonts w:eastAsia="Calibri"/>
          <w:i/>
          <w:iCs/>
          <w:lang w:eastAsia="en-US"/>
        </w:rPr>
        <w:t>Disability Services and Inclusion Act 2023</w:t>
      </w:r>
      <w:r w:rsidRPr="00693096">
        <w:rPr>
          <w:rFonts w:eastAsia="Calibri"/>
        </w:rPr>
        <w:t xml:space="preserve"> or under a complementary </w:t>
      </w:r>
      <w:r w:rsidR="00693096" w:rsidRPr="00693096">
        <w:rPr>
          <w:rFonts w:eastAsia="Calibri"/>
          <w:position w:val="6"/>
          <w:sz w:val="16"/>
        </w:rPr>
        <w:t>*</w:t>
      </w:r>
      <w:r w:rsidRPr="00693096">
        <w:rPr>
          <w:rFonts w:eastAsia="Calibri"/>
        </w:rPr>
        <w:t xml:space="preserve">State law or </w:t>
      </w:r>
      <w:r w:rsidR="00693096" w:rsidRPr="00693096">
        <w:rPr>
          <w:rFonts w:eastAsia="Calibri"/>
          <w:position w:val="6"/>
          <w:sz w:val="16"/>
        </w:rPr>
        <w:t>*</w:t>
      </w:r>
      <w:r w:rsidRPr="00693096">
        <w:rPr>
          <w:rFonts w:eastAsia="Calibri"/>
        </w:rPr>
        <w:t>Territory law in respect of the services.</w:t>
      </w:r>
    </w:p>
    <w:p w14:paraId="4007B605" w14:textId="54CD97F3" w:rsidR="00DE1F58" w:rsidRPr="00693096" w:rsidRDefault="00C82DDA" w:rsidP="00693096">
      <w:pPr>
        <w:pStyle w:val="Transitional"/>
      </w:pPr>
      <w:proofErr w:type="gramStart"/>
      <w:r>
        <w:t>21</w:t>
      </w:r>
      <w:r w:rsidR="00DE1F58" w:rsidRPr="00693096">
        <w:t xml:space="preserve">  Application</w:t>
      </w:r>
      <w:proofErr w:type="gramEnd"/>
      <w:r w:rsidR="00DE1F58" w:rsidRPr="00693096">
        <w:t xml:space="preserve"> of amendments</w:t>
      </w:r>
    </w:p>
    <w:p w14:paraId="02DEA53A" w14:textId="4274444C" w:rsidR="00DE1F58" w:rsidRPr="00693096" w:rsidRDefault="00DE1F58" w:rsidP="00693096">
      <w:pPr>
        <w:pStyle w:val="Item"/>
      </w:pPr>
      <w:r w:rsidRPr="00693096">
        <w:t>Subsection 38</w:t>
      </w:r>
      <w:r w:rsidR="00693096">
        <w:noBreakHyphen/>
      </w:r>
      <w:r w:rsidRPr="00693096">
        <w:t xml:space="preserve">40(2) of the </w:t>
      </w:r>
      <w:r w:rsidRPr="00693096">
        <w:rPr>
          <w:rFonts w:eastAsia="Calibri"/>
          <w:i/>
        </w:rPr>
        <w:t>A New Tax System (Goods and Services Tax) Act 1999</w:t>
      </w:r>
      <w:r w:rsidRPr="00693096">
        <w:rPr>
          <w:rFonts w:eastAsia="Calibri"/>
          <w:iCs/>
        </w:rPr>
        <w:t xml:space="preserve"> applies in relation to a supply that occurred or occurs on or after </w:t>
      </w:r>
      <w:r w:rsidRPr="00693096">
        <w:t>1 January 2024.</w:t>
      </w:r>
    </w:p>
    <w:p w14:paraId="6378EBC2" w14:textId="77777777" w:rsidR="00DE1F58" w:rsidRPr="00693096" w:rsidRDefault="00DE1F58" w:rsidP="00693096">
      <w:pPr>
        <w:pStyle w:val="ActHead7"/>
      </w:pPr>
      <w:r w:rsidRPr="00AF611F">
        <w:rPr>
          <w:rStyle w:val="CharAmPartNo"/>
        </w:rPr>
        <w:lastRenderedPageBreak/>
        <w:t>Part 3</w:t>
      </w:r>
      <w:r w:rsidRPr="00693096">
        <w:t>—</w:t>
      </w:r>
      <w:r w:rsidRPr="00AF611F">
        <w:rPr>
          <w:rStyle w:val="CharAmPartText"/>
        </w:rPr>
        <w:t>Amendments with other commencements</w:t>
      </w:r>
    </w:p>
    <w:p w14:paraId="30F96C83" w14:textId="0FCBDF73" w:rsidR="00DE1F58" w:rsidRPr="00693096" w:rsidRDefault="00693096" w:rsidP="00693096">
      <w:pPr>
        <w:pStyle w:val="ActHead8"/>
      </w:pPr>
      <w:r w:rsidRPr="00693096">
        <w:t>Division 1</w:t>
      </w:r>
      <w:r w:rsidR="00DE1F58" w:rsidRPr="00693096">
        <w:t>—Excise tariff alterations</w:t>
      </w:r>
    </w:p>
    <w:p w14:paraId="7073BA08" w14:textId="77777777" w:rsidR="00DE1F58" w:rsidRPr="00693096" w:rsidRDefault="00DE1F58" w:rsidP="00693096">
      <w:pPr>
        <w:pStyle w:val="ActHead9"/>
      </w:pPr>
      <w:r w:rsidRPr="00693096">
        <w:t>Excise Act 1901</w:t>
      </w:r>
    </w:p>
    <w:p w14:paraId="22B4C603" w14:textId="5120277B" w:rsidR="00DE1F58" w:rsidRPr="00693096" w:rsidRDefault="00C82DDA" w:rsidP="00693096">
      <w:pPr>
        <w:pStyle w:val="ItemHead"/>
      </w:pPr>
      <w:proofErr w:type="gramStart"/>
      <w:r>
        <w:t>22</w:t>
      </w:r>
      <w:r w:rsidR="00DE1F58" w:rsidRPr="00693096">
        <w:t xml:space="preserve">  Subsection</w:t>
      </w:r>
      <w:proofErr w:type="gramEnd"/>
      <w:r w:rsidR="00DE1F58" w:rsidRPr="00693096">
        <w:t> 114(2)</w:t>
      </w:r>
    </w:p>
    <w:p w14:paraId="0C1D135F" w14:textId="77777777" w:rsidR="00DE1F58" w:rsidRPr="00693096" w:rsidRDefault="00DE1F58" w:rsidP="00693096">
      <w:pPr>
        <w:pStyle w:val="Item"/>
      </w:pPr>
      <w:r w:rsidRPr="00693096">
        <w:t>Omit “a notice”, substitute “an instrument made”.</w:t>
      </w:r>
    </w:p>
    <w:p w14:paraId="527CD26B" w14:textId="7100B293" w:rsidR="00DE1F58" w:rsidRPr="00693096" w:rsidRDefault="00C82DDA" w:rsidP="00693096">
      <w:pPr>
        <w:pStyle w:val="ItemHead"/>
      </w:pPr>
      <w:proofErr w:type="gramStart"/>
      <w:r>
        <w:t>23</w:t>
      </w:r>
      <w:r w:rsidR="00DE1F58" w:rsidRPr="00693096">
        <w:t xml:space="preserve">  Paragraph</w:t>
      </w:r>
      <w:proofErr w:type="gramEnd"/>
      <w:r w:rsidR="00DE1F58" w:rsidRPr="00693096">
        <w:t> 114(2)(a)</w:t>
      </w:r>
    </w:p>
    <w:p w14:paraId="19A12179" w14:textId="77777777" w:rsidR="00DE1F58" w:rsidRPr="00693096" w:rsidRDefault="00DE1F58" w:rsidP="00693096">
      <w:pPr>
        <w:pStyle w:val="Item"/>
      </w:pPr>
      <w:r w:rsidRPr="00693096">
        <w:t>Repeal the paragraph, substitute:</w:t>
      </w:r>
    </w:p>
    <w:p w14:paraId="558DE730" w14:textId="77777777" w:rsidR="00DE1F58" w:rsidRPr="00693096" w:rsidRDefault="00DE1F58" w:rsidP="00693096">
      <w:pPr>
        <w:pStyle w:val="paragraph"/>
      </w:pPr>
      <w:r w:rsidRPr="00693096">
        <w:tab/>
        <w:t>(a)</w:t>
      </w:r>
      <w:r w:rsidRPr="00693096">
        <w:tab/>
        <w:t>the earlier of:</w:t>
      </w:r>
    </w:p>
    <w:p w14:paraId="3FEAFA2C" w14:textId="59FB15B3" w:rsidR="00DE1F58" w:rsidRPr="00693096" w:rsidRDefault="00DE1F58" w:rsidP="00693096">
      <w:pPr>
        <w:pStyle w:val="paragraphsub"/>
      </w:pPr>
      <w:r w:rsidRPr="00693096">
        <w:tab/>
        <w:t>(i)</w:t>
      </w:r>
      <w:r w:rsidRPr="00693096">
        <w:tab/>
        <w:t xml:space="preserve">the </w:t>
      </w:r>
      <w:r w:rsidR="000F5FC5">
        <w:t>seven</w:t>
      </w:r>
      <w:r w:rsidRPr="00693096">
        <w:t xml:space="preserve">th sitting day of the House of Representatives after the date of registration of the instrument under the </w:t>
      </w:r>
      <w:r w:rsidRPr="00693096">
        <w:rPr>
          <w:i/>
          <w:iCs/>
        </w:rPr>
        <w:t>Legislation Act 2003</w:t>
      </w:r>
      <w:r w:rsidRPr="00693096">
        <w:t>; and</w:t>
      </w:r>
    </w:p>
    <w:p w14:paraId="348C4CBE" w14:textId="77777777" w:rsidR="00DE1F58" w:rsidRPr="00693096" w:rsidRDefault="00DE1F58" w:rsidP="00693096">
      <w:pPr>
        <w:pStyle w:val="paragraphsub"/>
      </w:pPr>
      <w:r w:rsidRPr="00693096">
        <w:tab/>
        <w:t>(ii)</w:t>
      </w:r>
      <w:r w:rsidRPr="00693096">
        <w:tab/>
        <w:t xml:space="preserve">the last day of the 6 months from the date of registration of the instrument under the </w:t>
      </w:r>
      <w:r w:rsidRPr="00693096">
        <w:rPr>
          <w:i/>
          <w:iCs/>
        </w:rPr>
        <w:t>Legislation Act 2003</w:t>
      </w:r>
      <w:r w:rsidRPr="00693096">
        <w:t>; or</w:t>
      </w:r>
    </w:p>
    <w:p w14:paraId="0568D7F0" w14:textId="42500CB2" w:rsidR="00DE1F58" w:rsidRPr="00693096" w:rsidRDefault="00C82DDA" w:rsidP="00693096">
      <w:pPr>
        <w:pStyle w:val="ItemHead"/>
      </w:pPr>
      <w:proofErr w:type="gramStart"/>
      <w:r>
        <w:t>24</w:t>
      </w:r>
      <w:r w:rsidR="00DE1F58" w:rsidRPr="00693096">
        <w:t xml:space="preserve">  Subsection</w:t>
      </w:r>
      <w:proofErr w:type="gramEnd"/>
      <w:r w:rsidR="00DE1F58" w:rsidRPr="00693096">
        <w:t> 160B(1)</w:t>
      </w:r>
    </w:p>
    <w:p w14:paraId="2230CD88" w14:textId="77777777" w:rsidR="00DE1F58" w:rsidRPr="00693096" w:rsidRDefault="00DE1F58" w:rsidP="00693096">
      <w:pPr>
        <w:pStyle w:val="Item"/>
      </w:pPr>
      <w:r w:rsidRPr="00693096">
        <w:t>Omit “CEO”, substitute “Minister”.</w:t>
      </w:r>
    </w:p>
    <w:p w14:paraId="4549AEDA" w14:textId="387D63E2" w:rsidR="00DE1F58" w:rsidRPr="00693096" w:rsidRDefault="00C82DDA" w:rsidP="00693096">
      <w:pPr>
        <w:pStyle w:val="ItemHead"/>
      </w:pPr>
      <w:proofErr w:type="gramStart"/>
      <w:r>
        <w:t>25</w:t>
      </w:r>
      <w:r w:rsidR="00DE1F58" w:rsidRPr="00693096">
        <w:t xml:space="preserve">  Subsection</w:t>
      </w:r>
      <w:proofErr w:type="gramEnd"/>
      <w:r w:rsidR="00DE1F58" w:rsidRPr="00693096">
        <w:t> 160B(1)</w:t>
      </w:r>
    </w:p>
    <w:p w14:paraId="36C5AFDF" w14:textId="77777777" w:rsidR="00DE1F58" w:rsidRPr="00693096" w:rsidRDefault="00DE1F58" w:rsidP="00693096">
      <w:pPr>
        <w:pStyle w:val="Item"/>
      </w:pPr>
      <w:r w:rsidRPr="00693096">
        <w:t xml:space="preserve">Omit “publish in the </w:t>
      </w:r>
      <w:r w:rsidRPr="00693096">
        <w:rPr>
          <w:i/>
          <w:iCs/>
        </w:rPr>
        <w:t>Gazette</w:t>
      </w:r>
      <w:r w:rsidRPr="00693096">
        <w:t xml:space="preserve"> a”, substitute “make a notifiable instrument giving”.</w:t>
      </w:r>
    </w:p>
    <w:p w14:paraId="58F8CD36" w14:textId="31DCFC36" w:rsidR="00DE1F58" w:rsidRPr="00693096" w:rsidRDefault="00C82DDA" w:rsidP="00693096">
      <w:pPr>
        <w:pStyle w:val="ItemHead"/>
      </w:pPr>
      <w:proofErr w:type="gramStart"/>
      <w:r>
        <w:t>26</w:t>
      </w:r>
      <w:r w:rsidR="00DE1F58" w:rsidRPr="00693096">
        <w:t xml:space="preserve">  Subsection</w:t>
      </w:r>
      <w:proofErr w:type="gramEnd"/>
      <w:r w:rsidR="00DE1F58" w:rsidRPr="00693096">
        <w:t> 160B(1)</w:t>
      </w:r>
    </w:p>
    <w:p w14:paraId="5BE56A3B" w14:textId="77777777" w:rsidR="00DE1F58" w:rsidRPr="00693096" w:rsidRDefault="00DE1F58" w:rsidP="00693096">
      <w:pPr>
        <w:pStyle w:val="Item"/>
      </w:pPr>
      <w:r w:rsidRPr="00693096">
        <w:t xml:space="preserve">Omit “publication of the notice” (first occurring), substitute “registration of the instrument under the </w:t>
      </w:r>
      <w:r w:rsidRPr="00693096">
        <w:rPr>
          <w:i/>
          <w:iCs/>
        </w:rPr>
        <w:t>Legislation Act 2003</w:t>
      </w:r>
      <w:r w:rsidRPr="00693096">
        <w:t>”.</w:t>
      </w:r>
    </w:p>
    <w:p w14:paraId="0B293C91" w14:textId="74E78348" w:rsidR="00DE1F58" w:rsidRPr="00693096" w:rsidRDefault="00C82DDA" w:rsidP="00693096">
      <w:pPr>
        <w:pStyle w:val="ItemHead"/>
      </w:pPr>
      <w:proofErr w:type="gramStart"/>
      <w:r>
        <w:t>27</w:t>
      </w:r>
      <w:r w:rsidR="00DE1F58" w:rsidRPr="00693096">
        <w:t xml:space="preserve">  Subsection</w:t>
      </w:r>
      <w:proofErr w:type="gramEnd"/>
      <w:r w:rsidR="00DE1F58" w:rsidRPr="00693096">
        <w:t> 160(1)</w:t>
      </w:r>
    </w:p>
    <w:p w14:paraId="48054611" w14:textId="77777777" w:rsidR="00DE1F58" w:rsidRPr="00693096" w:rsidRDefault="00DE1F58" w:rsidP="00693096">
      <w:pPr>
        <w:pStyle w:val="Item"/>
      </w:pPr>
      <w:r w:rsidRPr="00693096">
        <w:t>Omit “in the notice” (wherever occurring), substitute “in the instrument”.</w:t>
      </w:r>
    </w:p>
    <w:p w14:paraId="0D5DC748" w14:textId="7C78E3A6" w:rsidR="00DE1F58" w:rsidRPr="00693096" w:rsidRDefault="00C82DDA" w:rsidP="00693096">
      <w:pPr>
        <w:pStyle w:val="ItemHead"/>
      </w:pPr>
      <w:proofErr w:type="gramStart"/>
      <w:r>
        <w:t>28</w:t>
      </w:r>
      <w:r w:rsidR="00DE1F58" w:rsidRPr="00693096">
        <w:t xml:space="preserve">  Paragraphs</w:t>
      </w:r>
      <w:proofErr w:type="gramEnd"/>
      <w:r w:rsidR="00DE1F58" w:rsidRPr="00693096">
        <w:t xml:space="preserve"> 160B(1)(a) and (b)</w:t>
      </w:r>
    </w:p>
    <w:p w14:paraId="61B2C51C" w14:textId="77777777" w:rsidR="00DE1F58" w:rsidRPr="00693096" w:rsidRDefault="00DE1F58" w:rsidP="00693096">
      <w:pPr>
        <w:pStyle w:val="Item"/>
      </w:pPr>
      <w:r w:rsidRPr="00693096">
        <w:t xml:space="preserve">Omit “publication of the notice”, substitute “registration of the instrument under the </w:t>
      </w:r>
      <w:r w:rsidRPr="00693096">
        <w:rPr>
          <w:i/>
          <w:iCs/>
        </w:rPr>
        <w:t>Legislation Act 2003</w:t>
      </w:r>
      <w:r w:rsidRPr="00693096">
        <w:t>”.</w:t>
      </w:r>
    </w:p>
    <w:p w14:paraId="2240A69B" w14:textId="42C5AFCA" w:rsidR="00DE1F58" w:rsidRPr="00693096" w:rsidRDefault="00C82DDA" w:rsidP="00693096">
      <w:pPr>
        <w:pStyle w:val="ItemHead"/>
      </w:pPr>
      <w:proofErr w:type="gramStart"/>
      <w:r>
        <w:t>29</w:t>
      </w:r>
      <w:r w:rsidR="00DE1F58" w:rsidRPr="00693096">
        <w:t xml:space="preserve">  Subsection</w:t>
      </w:r>
      <w:proofErr w:type="gramEnd"/>
      <w:r w:rsidR="00DE1F58" w:rsidRPr="00693096">
        <w:t> 160B(2)</w:t>
      </w:r>
    </w:p>
    <w:p w14:paraId="25443D36" w14:textId="77777777" w:rsidR="00DE1F58" w:rsidRPr="00693096" w:rsidRDefault="00DE1F58" w:rsidP="00693096">
      <w:pPr>
        <w:pStyle w:val="Item"/>
      </w:pPr>
      <w:r w:rsidRPr="00693096">
        <w:t>Omit “published”, substitute “given”.</w:t>
      </w:r>
    </w:p>
    <w:p w14:paraId="45ECFD3C" w14:textId="099A007B" w:rsidR="00DE1F58" w:rsidRPr="00693096" w:rsidRDefault="00C82DDA" w:rsidP="00693096">
      <w:pPr>
        <w:pStyle w:val="Transitional"/>
      </w:pPr>
      <w:proofErr w:type="gramStart"/>
      <w:r>
        <w:lastRenderedPageBreak/>
        <w:t>30</w:t>
      </w:r>
      <w:r w:rsidR="00DE1F58" w:rsidRPr="00693096">
        <w:t xml:space="preserve">  Application</w:t>
      </w:r>
      <w:proofErr w:type="gramEnd"/>
      <w:r w:rsidR="00DE1F58" w:rsidRPr="00693096">
        <w:t xml:space="preserve"> of amendments</w:t>
      </w:r>
    </w:p>
    <w:p w14:paraId="2FBBBE9D" w14:textId="77777777" w:rsidR="00DE1F58" w:rsidRDefault="00DE1F58" w:rsidP="00693096">
      <w:pPr>
        <w:pStyle w:val="Item"/>
      </w:pPr>
      <w:r w:rsidRPr="00693096">
        <w:t>The amendments made by this Division do not apply in relation to a notice published before the commencement of this item.</w:t>
      </w:r>
    </w:p>
    <w:sectPr w:rsidR="00DE1F58" w:rsidSect="006930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794" w:right="2410" w:bottom="4395" w:left="2410" w:header="720" w:footer="3165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BEC0E" w14:textId="77777777" w:rsidR="00200203" w:rsidRDefault="00200203" w:rsidP="00664C63">
      <w:pPr>
        <w:spacing w:line="240" w:lineRule="auto"/>
      </w:pPr>
      <w:r>
        <w:separator/>
      </w:r>
    </w:p>
  </w:endnote>
  <w:endnote w:type="continuationSeparator" w:id="0">
    <w:p w14:paraId="6B1C1FE3" w14:textId="77777777" w:rsidR="00200203" w:rsidRDefault="00200203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6C1DA" w14:textId="77777777" w:rsidR="00664C63" w:rsidRPr="00BB4623" w:rsidRDefault="00664C63" w:rsidP="00693096">
    <w:pPr>
      <w:pBdr>
        <w:top w:val="single" w:sz="6" w:space="1" w:color="auto"/>
      </w:pBdr>
      <w:spacing w:before="120"/>
      <w:jc w:val="right"/>
      <w:rPr>
        <w:sz w:val="18"/>
      </w:rPr>
    </w:pPr>
  </w:p>
  <w:p w14:paraId="2427C33B" w14:textId="77777777" w:rsidR="00664C63" w:rsidRPr="00BB4623" w:rsidRDefault="00F5076A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="00664C63"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="00664C63"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14:paraId="24796BCD" w14:textId="48C7A4C4" w:rsidR="00664C63" w:rsidRPr="00BB4623" w:rsidRDefault="00664C63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10B63" w14:textId="77777777" w:rsidR="0095602D" w:rsidRDefault="0095602D" w:rsidP="00693096">
    <w:pPr>
      <w:pBdr>
        <w:top w:val="single" w:sz="6" w:space="1" w:color="auto"/>
      </w:pBdr>
      <w:spacing w:before="120"/>
      <w:rPr>
        <w:sz w:val="18"/>
      </w:rPr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95602D" w:rsidRPr="00B3608C" w14:paraId="326109A1" w14:textId="77777777" w:rsidTr="00A91C76">
      <w:trPr>
        <w:trHeight w:val="280"/>
      </w:trPr>
      <w:tc>
        <w:tcPr>
          <w:tcW w:w="7087" w:type="dxa"/>
        </w:tcPr>
        <w:p w14:paraId="336E87EB" w14:textId="77777777" w:rsidR="0095602D" w:rsidRPr="00B3608C" w:rsidRDefault="0095602D" w:rsidP="00A91C76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 w:rsidR="006E4AB2"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95602D" w:rsidRPr="00B3608C" w14:paraId="5BFAFC63" w14:textId="77777777" w:rsidTr="00A91C76">
      <w:tc>
        <w:tcPr>
          <w:tcW w:w="7087" w:type="dxa"/>
        </w:tcPr>
        <w:p w14:paraId="4FBB355C" w14:textId="24E53731" w:rsidR="0095602D" w:rsidRPr="00B3608C" w:rsidRDefault="0095602D" w:rsidP="00A91C76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46B1465E" w14:textId="77777777" w:rsidR="00B3608C" w:rsidRPr="00BB4623" w:rsidRDefault="00931D06" w:rsidP="00B3608C">
    <w:pPr>
      <w:pStyle w:val="Tabletext"/>
      <w:spacing w:before="0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7BE0C77E" wp14:editId="7952398F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7" name="Text Box 7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57584F" w14:textId="18377B51" w:rsidR="00931D06" w:rsidRPr="00324EB0" w:rsidRDefault="00CC433C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E0C77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Sec-Footerprimary" style="position:absolute;margin-left:0;margin-top:120.75pt;width:454.55pt;height:31.15pt;z-index:-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" stroked="f" strokeweight=".5pt">
              <v:textbox>
                <w:txbxContent>
                  <w:p w14:paraId="4A57584F" w14:textId="18377B51" w:rsidR="00931D06" w:rsidRPr="00324EB0" w:rsidRDefault="00CC433C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A2E7" w14:textId="77777777" w:rsidR="00664C63" w:rsidRPr="00BB4623" w:rsidRDefault="00664C63" w:rsidP="0069309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17FD9" w14:textId="77777777" w:rsidR="00200203" w:rsidRDefault="00200203" w:rsidP="00664C63">
      <w:pPr>
        <w:spacing w:line="240" w:lineRule="auto"/>
      </w:pPr>
      <w:r>
        <w:separator/>
      </w:r>
    </w:p>
  </w:footnote>
  <w:footnote w:type="continuationSeparator" w:id="0">
    <w:p w14:paraId="31A55A33" w14:textId="77777777" w:rsidR="00200203" w:rsidRDefault="00200203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58CA9" w14:textId="77777777" w:rsidR="00664C63" w:rsidRPr="00BB4623" w:rsidRDefault="00664C63" w:rsidP="00664C63">
    <w:pPr>
      <w:rPr>
        <w:sz w:val="24"/>
      </w:rPr>
    </w:pPr>
  </w:p>
  <w:p w14:paraId="60122F38" w14:textId="77777777" w:rsidR="00664C63" w:rsidRPr="00BB4623" w:rsidRDefault="00664C63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8F4B" w14:textId="77777777" w:rsidR="00664C63" w:rsidRPr="00BB4623" w:rsidRDefault="00931D06" w:rsidP="00664C63">
    <w:pPr>
      <w:jc w:val="right"/>
      <w:rPr>
        <w:sz w:val="24"/>
      </w:rPr>
    </w:pPr>
    <w:r w:rsidRPr="00931D06">
      <w:rPr>
        <w:b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493C556" wp14:editId="04062C5E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772ED7" w14:textId="30222287" w:rsidR="00931D06" w:rsidRPr="00324EB0" w:rsidRDefault="00CC433C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93C556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6" type="#_x0000_t202" alt="Sec-Headerprimary" style="position:absolute;left:0;text-align:left;margin-left:0;margin-top:-25pt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62772ED7" w14:textId="30222287" w:rsidR="00931D06" w:rsidRPr="00324EB0" w:rsidRDefault="00CC433C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  <w:p w14:paraId="1EE1F45C" w14:textId="77777777" w:rsidR="00664C63" w:rsidRPr="00BB4623" w:rsidRDefault="00664C63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DEA34" w14:textId="77777777" w:rsidR="00664C63" w:rsidRPr="00BB4623" w:rsidRDefault="00664C63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EC01A5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A14762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38250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F610A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DEEB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A2586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5E2C8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DA24C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22909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3CDD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46C3654D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3" w15:restartNumberingAfterBreak="0">
    <w:nsid w:val="470F58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1F613AF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11461619">
    <w:abstractNumId w:val="9"/>
  </w:num>
  <w:num w:numId="2" w16cid:durableId="1786776060">
    <w:abstractNumId w:val="7"/>
  </w:num>
  <w:num w:numId="3" w16cid:durableId="2100174050">
    <w:abstractNumId w:val="6"/>
  </w:num>
  <w:num w:numId="4" w16cid:durableId="1892842269">
    <w:abstractNumId w:val="5"/>
  </w:num>
  <w:num w:numId="5" w16cid:durableId="1869490774">
    <w:abstractNumId w:val="4"/>
  </w:num>
  <w:num w:numId="6" w16cid:durableId="915552995">
    <w:abstractNumId w:val="8"/>
  </w:num>
  <w:num w:numId="7" w16cid:durableId="17894512">
    <w:abstractNumId w:val="3"/>
  </w:num>
  <w:num w:numId="8" w16cid:durableId="1291403252">
    <w:abstractNumId w:val="2"/>
  </w:num>
  <w:num w:numId="9" w16cid:durableId="1317686825">
    <w:abstractNumId w:val="1"/>
  </w:num>
  <w:num w:numId="10" w16cid:durableId="36050359">
    <w:abstractNumId w:val="0"/>
  </w:num>
  <w:num w:numId="11" w16cid:durableId="214466286">
    <w:abstractNumId w:val="11"/>
  </w:num>
  <w:num w:numId="12" w16cid:durableId="272901977">
    <w:abstractNumId w:val="10"/>
  </w:num>
  <w:num w:numId="13" w16cid:durableId="503671377">
    <w:abstractNumId w:val="13"/>
  </w:num>
  <w:num w:numId="14" w16cid:durableId="986938127">
    <w:abstractNumId w:val="14"/>
  </w:num>
  <w:num w:numId="15" w16cid:durableId="15967491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20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00203"/>
    <w:rsid w:val="000136AF"/>
    <w:rsid w:val="00014B9A"/>
    <w:rsid w:val="000359C3"/>
    <w:rsid w:val="00055D20"/>
    <w:rsid w:val="000614BF"/>
    <w:rsid w:val="000667E0"/>
    <w:rsid w:val="00073C5A"/>
    <w:rsid w:val="00075C37"/>
    <w:rsid w:val="00087033"/>
    <w:rsid w:val="000B62B0"/>
    <w:rsid w:val="000C2879"/>
    <w:rsid w:val="000C74F9"/>
    <w:rsid w:val="000D05EF"/>
    <w:rsid w:val="000D3899"/>
    <w:rsid w:val="000E246E"/>
    <w:rsid w:val="000F21C1"/>
    <w:rsid w:val="000F4126"/>
    <w:rsid w:val="000F5FC5"/>
    <w:rsid w:val="001016D1"/>
    <w:rsid w:val="0010240E"/>
    <w:rsid w:val="0010745C"/>
    <w:rsid w:val="0011206D"/>
    <w:rsid w:val="00113C23"/>
    <w:rsid w:val="00122FA6"/>
    <w:rsid w:val="00166C2F"/>
    <w:rsid w:val="001738F4"/>
    <w:rsid w:val="00182C9A"/>
    <w:rsid w:val="0018435F"/>
    <w:rsid w:val="00184C97"/>
    <w:rsid w:val="001939E1"/>
    <w:rsid w:val="00195382"/>
    <w:rsid w:val="001B0F61"/>
    <w:rsid w:val="001C5BF7"/>
    <w:rsid w:val="001C5F4A"/>
    <w:rsid w:val="001C69C4"/>
    <w:rsid w:val="001E3590"/>
    <w:rsid w:val="001E7407"/>
    <w:rsid w:val="00200203"/>
    <w:rsid w:val="0021250A"/>
    <w:rsid w:val="002170D8"/>
    <w:rsid w:val="002277A0"/>
    <w:rsid w:val="00231618"/>
    <w:rsid w:val="00240749"/>
    <w:rsid w:val="00241A16"/>
    <w:rsid w:val="002512C4"/>
    <w:rsid w:val="00264EF7"/>
    <w:rsid w:val="00296415"/>
    <w:rsid w:val="00297ECB"/>
    <w:rsid w:val="002B1D6F"/>
    <w:rsid w:val="002B2697"/>
    <w:rsid w:val="002C085A"/>
    <w:rsid w:val="002D043A"/>
    <w:rsid w:val="002E0029"/>
    <w:rsid w:val="002F08B3"/>
    <w:rsid w:val="0031357B"/>
    <w:rsid w:val="00313C6F"/>
    <w:rsid w:val="0033411C"/>
    <w:rsid w:val="00334771"/>
    <w:rsid w:val="003415D3"/>
    <w:rsid w:val="003433F1"/>
    <w:rsid w:val="003457C7"/>
    <w:rsid w:val="00352B0F"/>
    <w:rsid w:val="00357391"/>
    <w:rsid w:val="00361566"/>
    <w:rsid w:val="00365E82"/>
    <w:rsid w:val="003A1931"/>
    <w:rsid w:val="003B0F1E"/>
    <w:rsid w:val="003B2F57"/>
    <w:rsid w:val="003D0317"/>
    <w:rsid w:val="003D0BFE"/>
    <w:rsid w:val="003D2D96"/>
    <w:rsid w:val="003D5700"/>
    <w:rsid w:val="003E24D3"/>
    <w:rsid w:val="003F2CB3"/>
    <w:rsid w:val="003F60D2"/>
    <w:rsid w:val="00402376"/>
    <w:rsid w:val="004043EE"/>
    <w:rsid w:val="0040616D"/>
    <w:rsid w:val="0041113C"/>
    <w:rsid w:val="004116CD"/>
    <w:rsid w:val="004168B4"/>
    <w:rsid w:val="00424CA9"/>
    <w:rsid w:val="00427D10"/>
    <w:rsid w:val="0044291A"/>
    <w:rsid w:val="00496F97"/>
    <w:rsid w:val="004B33C1"/>
    <w:rsid w:val="004B42DA"/>
    <w:rsid w:val="004B4E64"/>
    <w:rsid w:val="004E3680"/>
    <w:rsid w:val="005104CE"/>
    <w:rsid w:val="00516B8D"/>
    <w:rsid w:val="0053346F"/>
    <w:rsid w:val="00536738"/>
    <w:rsid w:val="00537FBC"/>
    <w:rsid w:val="00543850"/>
    <w:rsid w:val="00543DD2"/>
    <w:rsid w:val="0054577F"/>
    <w:rsid w:val="00555C1A"/>
    <w:rsid w:val="00560751"/>
    <w:rsid w:val="005702C1"/>
    <w:rsid w:val="00584052"/>
    <w:rsid w:val="00584811"/>
    <w:rsid w:val="00593AA6"/>
    <w:rsid w:val="00594161"/>
    <w:rsid w:val="00594749"/>
    <w:rsid w:val="0059758F"/>
    <w:rsid w:val="005A5C15"/>
    <w:rsid w:val="005A6F34"/>
    <w:rsid w:val="005B4067"/>
    <w:rsid w:val="005C3F41"/>
    <w:rsid w:val="005C5800"/>
    <w:rsid w:val="005C6BFA"/>
    <w:rsid w:val="005D4DEA"/>
    <w:rsid w:val="005D67DD"/>
    <w:rsid w:val="005E421D"/>
    <w:rsid w:val="00600219"/>
    <w:rsid w:val="00611C2E"/>
    <w:rsid w:val="00624DEC"/>
    <w:rsid w:val="006314E9"/>
    <w:rsid w:val="006444FB"/>
    <w:rsid w:val="0065106B"/>
    <w:rsid w:val="006527A6"/>
    <w:rsid w:val="006530D4"/>
    <w:rsid w:val="00664C63"/>
    <w:rsid w:val="00671C25"/>
    <w:rsid w:val="00677CC2"/>
    <w:rsid w:val="00680A25"/>
    <w:rsid w:val="00681A4A"/>
    <w:rsid w:val="00684B58"/>
    <w:rsid w:val="0069207B"/>
    <w:rsid w:val="006922BE"/>
    <w:rsid w:val="00693096"/>
    <w:rsid w:val="006A24D0"/>
    <w:rsid w:val="006A6A32"/>
    <w:rsid w:val="006B51F1"/>
    <w:rsid w:val="006C2B8F"/>
    <w:rsid w:val="006C740A"/>
    <w:rsid w:val="006C7F8C"/>
    <w:rsid w:val="006D3764"/>
    <w:rsid w:val="006E4AB2"/>
    <w:rsid w:val="00700B2C"/>
    <w:rsid w:val="00713084"/>
    <w:rsid w:val="00714929"/>
    <w:rsid w:val="007173B8"/>
    <w:rsid w:val="00731E00"/>
    <w:rsid w:val="00732A85"/>
    <w:rsid w:val="007378EA"/>
    <w:rsid w:val="007440B7"/>
    <w:rsid w:val="0075226A"/>
    <w:rsid w:val="00757D22"/>
    <w:rsid w:val="007627F4"/>
    <w:rsid w:val="007701B4"/>
    <w:rsid w:val="007715C9"/>
    <w:rsid w:val="00774EDD"/>
    <w:rsid w:val="007757EC"/>
    <w:rsid w:val="00780D04"/>
    <w:rsid w:val="007845BF"/>
    <w:rsid w:val="00795FCE"/>
    <w:rsid w:val="007A6042"/>
    <w:rsid w:val="007A659A"/>
    <w:rsid w:val="007B081F"/>
    <w:rsid w:val="007B5B2F"/>
    <w:rsid w:val="007C4A7A"/>
    <w:rsid w:val="007D5F1B"/>
    <w:rsid w:val="007E4CC8"/>
    <w:rsid w:val="008147C3"/>
    <w:rsid w:val="00823F5C"/>
    <w:rsid w:val="00830815"/>
    <w:rsid w:val="008471D0"/>
    <w:rsid w:val="00856A31"/>
    <w:rsid w:val="00867984"/>
    <w:rsid w:val="008754D0"/>
    <w:rsid w:val="00883892"/>
    <w:rsid w:val="008A6470"/>
    <w:rsid w:val="008A6FAD"/>
    <w:rsid w:val="008B4243"/>
    <w:rsid w:val="008D0EE0"/>
    <w:rsid w:val="008E05CA"/>
    <w:rsid w:val="008F7134"/>
    <w:rsid w:val="00931D06"/>
    <w:rsid w:val="00932377"/>
    <w:rsid w:val="00932FA3"/>
    <w:rsid w:val="00937F0D"/>
    <w:rsid w:val="009558BC"/>
    <w:rsid w:val="0095602D"/>
    <w:rsid w:val="009620C2"/>
    <w:rsid w:val="009702CB"/>
    <w:rsid w:val="00975613"/>
    <w:rsid w:val="00982554"/>
    <w:rsid w:val="009837B9"/>
    <w:rsid w:val="009B65B8"/>
    <w:rsid w:val="009E0147"/>
    <w:rsid w:val="00A120DD"/>
    <w:rsid w:val="00A1558B"/>
    <w:rsid w:val="00A20789"/>
    <w:rsid w:val="00A231E2"/>
    <w:rsid w:val="00A25627"/>
    <w:rsid w:val="00A415B9"/>
    <w:rsid w:val="00A64912"/>
    <w:rsid w:val="00A70A74"/>
    <w:rsid w:val="00A7284B"/>
    <w:rsid w:val="00A82C0C"/>
    <w:rsid w:val="00AA0082"/>
    <w:rsid w:val="00AA5445"/>
    <w:rsid w:val="00AB5A90"/>
    <w:rsid w:val="00AD27B3"/>
    <w:rsid w:val="00AD5641"/>
    <w:rsid w:val="00AE59F7"/>
    <w:rsid w:val="00AE7BD7"/>
    <w:rsid w:val="00AF611F"/>
    <w:rsid w:val="00B05DED"/>
    <w:rsid w:val="00B143A3"/>
    <w:rsid w:val="00B14D90"/>
    <w:rsid w:val="00B153CB"/>
    <w:rsid w:val="00B26413"/>
    <w:rsid w:val="00B30BBF"/>
    <w:rsid w:val="00B32B45"/>
    <w:rsid w:val="00B32BA3"/>
    <w:rsid w:val="00B33B3C"/>
    <w:rsid w:val="00B340B6"/>
    <w:rsid w:val="00B3608C"/>
    <w:rsid w:val="00B372A6"/>
    <w:rsid w:val="00B429C2"/>
    <w:rsid w:val="00B43CC8"/>
    <w:rsid w:val="00B61C25"/>
    <w:rsid w:val="00B6792E"/>
    <w:rsid w:val="00B70E56"/>
    <w:rsid w:val="00B73022"/>
    <w:rsid w:val="00BC30F2"/>
    <w:rsid w:val="00BC5186"/>
    <w:rsid w:val="00BD1655"/>
    <w:rsid w:val="00BE5F0E"/>
    <w:rsid w:val="00BE719A"/>
    <w:rsid w:val="00BE720A"/>
    <w:rsid w:val="00C42BF8"/>
    <w:rsid w:val="00C50043"/>
    <w:rsid w:val="00C53114"/>
    <w:rsid w:val="00C723B9"/>
    <w:rsid w:val="00C7573B"/>
    <w:rsid w:val="00C77D10"/>
    <w:rsid w:val="00C82DDA"/>
    <w:rsid w:val="00CA26AB"/>
    <w:rsid w:val="00CA6685"/>
    <w:rsid w:val="00CB0EA8"/>
    <w:rsid w:val="00CC433C"/>
    <w:rsid w:val="00CC53ED"/>
    <w:rsid w:val="00CC7A09"/>
    <w:rsid w:val="00CE380F"/>
    <w:rsid w:val="00CF0BB2"/>
    <w:rsid w:val="00CF4975"/>
    <w:rsid w:val="00D03C1D"/>
    <w:rsid w:val="00D0709D"/>
    <w:rsid w:val="00D13441"/>
    <w:rsid w:val="00D16053"/>
    <w:rsid w:val="00D27063"/>
    <w:rsid w:val="00D31664"/>
    <w:rsid w:val="00D3213F"/>
    <w:rsid w:val="00D366AA"/>
    <w:rsid w:val="00D374CE"/>
    <w:rsid w:val="00D40252"/>
    <w:rsid w:val="00D4246D"/>
    <w:rsid w:val="00D467B9"/>
    <w:rsid w:val="00D50A42"/>
    <w:rsid w:val="00D53AC4"/>
    <w:rsid w:val="00D67311"/>
    <w:rsid w:val="00D70DFB"/>
    <w:rsid w:val="00D7186F"/>
    <w:rsid w:val="00D766DF"/>
    <w:rsid w:val="00D9284D"/>
    <w:rsid w:val="00D95823"/>
    <w:rsid w:val="00DD314D"/>
    <w:rsid w:val="00DD627A"/>
    <w:rsid w:val="00DE1F58"/>
    <w:rsid w:val="00DF7ABF"/>
    <w:rsid w:val="00E05704"/>
    <w:rsid w:val="00E1363F"/>
    <w:rsid w:val="00E21B54"/>
    <w:rsid w:val="00E34C15"/>
    <w:rsid w:val="00E434DE"/>
    <w:rsid w:val="00E54CAB"/>
    <w:rsid w:val="00E74DC7"/>
    <w:rsid w:val="00E75728"/>
    <w:rsid w:val="00E83D4E"/>
    <w:rsid w:val="00E85CB9"/>
    <w:rsid w:val="00E94998"/>
    <w:rsid w:val="00EA20AB"/>
    <w:rsid w:val="00EA53FA"/>
    <w:rsid w:val="00ED1A6C"/>
    <w:rsid w:val="00ED28EF"/>
    <w:rsid w:val="00ED6A9B"/>
    <w:rsid w:val="00EE17B3"/>
    <w:rsid w:val="00EE25A8"/>
    <w:rsid w:val="00EE6DCC"/>
    <w:rsid w:val="00EF2E3A"/>
    <w:rsid w:val="00EF5D6F"/>
    <w:rsid w:val="00F0132A"/>
    <w:rsid w:val="00F070C8"/>
    <w:rsid w:val="00F078DC"/>
    <w:rsid w:val="00F34C3A"/>
    <w:rsid w:val="00F40C32"/>
    <w:rsid w:val="00F447F9"/>
    <w:rsid w:val="00F5076A"/>
    <w:rsid w:val="00F71234"/>
    <w:rsid w:val="00F74FDA"/>
    <w:rsid w:val="00F77DCB"/>
    <w:rsid w:val="00F8103A"/>
    <w:rsid w:val="00FA3991"/>
    <w:rsid w:val="00FB3E9C"/>
    <w:rsid w:val="00FC104F"/>
    <w:rsid w:val="00FC39F2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C564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9309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3096"/>
    <w:pPr>
      <w:keepNext/>
      <w:keepLines/>
      <w:numPr>
        <w:numId w:val="15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096"/>
    <w:pPr>
      <w:keepNext/>
      <w:keepLines/>
      <w:numPr>
        <w:ilvl w:val="1"/>
        <w:numId w:val="15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096"/>
    <w:pPr>
      <w:keepNext/>
      <w:keepLines/>
      <w:numPr>
        <w:ilvl w:val="2"/>
        <w:numId w:val="15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096"/>
    <w:pPr>
      <w:keepNext/>
      <w:keepLines/>
      <w:numPr>
        <w:ilvl w:val="3"/>
        <w:numId w:val="1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096"/>
    <w:pPr>
      <w:keepNext/>
      <w:keepLines/>
      <w:numPr>
        <w:ilvl w:val="4"/>
        <w:numId w:val="15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096"/>
    <w:pPr>
      <w:keepNext/>
      <w:keepLines/>
      <w:numPr>
        <w:ilvl w:val="5"/>
        <w:numId w:val="15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096"/>
    <w:pPr>
      <w:keepNext/>
      <w:keepLines/>
      <w:numPr>
        <w:ilvl w:val="6"/>
        <w:numId w:val="1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096"/>
    <w:pPr>
      <w:keepNext/>
      <w:keepLines/>
      <w:numPr>
        <w:ilvl w:val="7"/>
        <w:numId w:val="1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096"/>
    <w:pPr>
      <w:keepNext/>
      <w:keepLines/>
      <w:numPr>
        <w:ilvl w:val="8"/>
        <w:numId w:val="1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93096"/>
  </w:style>
  <w:style w:type="paragraph" w:customStyle="1" w:styleId="OPCParaBase">
    <w:name w:val="OPCParaBase"/>
    <w:qFormat/>
    <w:rsid w:val="0069309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9309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9309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9309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9309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9309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9309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9309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9309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9309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9309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93096"/>
  </w:style>
  <w:style w:type="paragraph" w:customStyle="1" w:styleId="Blocks">
    <w:name w:val="Blocks"/>
    <w:aliases w:val="bb"/>
    <w:basedOn w:val="OPCParaBase"/>
    <w:qFormat/>
    <w:rsid w:val="0069309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9309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9309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93096"/>
    <w:rPr>
      <w:i/>
    </w:rPr>
  </w:style>
  <w:style w:type="paragraph" w:customStyle="1" w:styleId="BoxList">
    <w:name w:val="BoxList"/>
    <w:aliases w:val="bl"/>
    <w:basedOn w:val="BoxText"/>
    <w:qFormat/>
    <w:rsid w:val="0069309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9309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9309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93096"/>
    <w:pPr>
      <w:ind w:left="1985" w:hanging="851"/>
    </w:pPr>
  </w:style>
  <w:style w:type="character" w:customStyle="1" w:styleId="CharAmPartNo">
    <w:name w:val="CharAmPartNo"/>
    <w:basedOn w:val="OPCCharBase"/>
    <w:qFormat/>
    <w:rsid w:val="00693096"/>
  </w:style>
  <w:style w:type="character" w:customStyle="1" w:styleId="CharAmPartText">
    <w:name w:val="CharAmPartText"/>
    <w:basedOn w:val="OPCCharBase"/>
    <w:qFormat/>
    <w:rsid w:val="00693096"/>
  </w:style>
  <w:style w:type="character" w:customStyle="1" w:styleId="CharAmSchNo">
    <w:name w:val="CharAmSchNo"/>
    <w:basedOn w:val="OPCCharBase"/>
    <w:qFormat/>
    <w:rsid w:val="00693096"/>
  </w:style>
  <w:style w:type="character" w:customStyle="1" w:styleId="CharAmSchText">
    <w:name w:val="CharAmSchText"/>
    <w:basedOn w:val="OPCCharBase"/>
    <w:qFormat/>
    <w:rsid w:val="00693096"/>
  </w:style>
  <w:style w:type="character" w:customStyle="1" w:styleId="CharBoldItalic">
    <w:name w:val="CharBoldItalic"/>
    <w:basedOn w:val="OPCCharBase"/>
    <w:uiPriority w:val="1"/>
    <w:qFormat/>
    <w:rsid w:val="00693096"/>
    <w:rPr>
      <w:b/>
      <w:i/>
    </w:rPr>
  </w:style>
  <w:style w:type="character" w:customStyle="1" w:styleId="CharChapNo">
    <w:name w:val="CharChapNo"/>
    <w:basedOn w:val="OPCCharBase"/>
    <w:uiPriority w:val="1"/>
    <w:qFormat/>
    <w:rsid w:val="00693096"/>
  </w:style>
  <w:style w:type="character" w:customStyle="1" w:styleId="CharChapText">
    <w:name w:val="CharChapText"/>
    <w:basedOn w:val="OPCCharBase"/>
    <w:uiPriority w:val="1"/>
    <w:qFormat/>
    <w:rsid w:val="00693096"/>
  </w:style>
  <w:style w:type="character" w:customStyle="1" w:styleId="CharDivNo">
    <w:name w:val="CharDivNo"/>
    <w:basedOn w:val="OPCCharBase"/>
    <w:uiPriority w:val="1"/>
    <w:qFormat/>
    <w:rsid w:val="00693096"/>
  </w:style>
  <w:style w:type="character" w:customStyle="1" w:styleId="CharDivText">
    <w:name w:val="CharDivText"/>
    <w:basedOn w:val="OPCCharBase"/>
    <w:uiPriority w:val="1"/>
    <w:qFormat/>
    <w:rsid w:val="00693096"/>
  </w:style>
  <w:style w:type="character" w:customStyle="1" w:styleId="CharItalic">
    <w:name w:val="CharItalic"/>
    <w:basedOn w:val="OPCCharBase"/>
    <w:uiPriority w:val="1"/>
    <w:qFormat/>
    <w:rsid w:val="00693096"/>
    <w:rPr>
      <w:i/>
    </w:rPr>
  </w:style>
  <w:style w:type="character" w:customStyle="1" w:styleId="CharPartNo">
    <w:name w:val="CharPartNo"/>
    <w:basedOn w:val="OPCCharBase"/>
    <w:uiPriority w:val="1"/>
    <w:qFormat/>
    <w:rsid w:val="00693096"/>
  </w:style>
  <w:style w:type="character" w:customStyle="1" w:styleId="CharPartText">
    <w:name w:val="CharPartText"/>
    <w:basedOn w:val="OPCCharBase"/>
    <w:uiPriority w:val="1"/>
    <w:qFormat/>
    <w:rsid w:val="00693096"/>
  </w:style>
  <w:style w:type="character" w:customStyle="1" w:styleId="CharSectno">
    <w:name w:val="CharSectno"/>
    <w:basedOn w:val="OPCCharBase"/>
    <w:qFormat/>
    <w:rsid w:val="00693096"/>
  </w:style>
  <w:style w:type="character" w:customStyle="1" w:styleId="CharSubdNo">
    <w:name w:val="CharSubdNo"/>
    <w:basedOn w:val="OPCCharBase"/>
    <w:uiPriority w:val="1"/>
    <w:qFormat/>
    <w:rsid w:val="00693096"/>
  </w:style>
  <w:style w:type="character" w:customStyle="1" w:styleId="CharSubdText">
    <w:name w:val="CharSubdText"/>
    <w:basedOn w:val="OPCCharBase"/>
    <w:uiPriority w:val="1"/>
    <w:qFormat/>
    <w:rsid w:val="00693096"/>
  </w:style>
  <w:style w:type="paragraph" w:customStyle="1" w:styleId="CTA--">
    <w:name w:val="CTA --"/>
    <w:basedOn w:val="OPCParaBase"/>
    <w:next w:val="Normal"/>
    <w:rsid w:val="0069309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9309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9309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9309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9309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9309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9309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9309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9309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9309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9309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9309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9309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9309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69309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9309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9309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9309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9309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9309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9309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9309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9309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9309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9309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9309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9309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9309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9309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9309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9309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9309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9309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9309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9309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9309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9309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9309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9309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9309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9309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9309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9309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9309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9309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9309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9309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9309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9309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9309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9309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9309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9309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9309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9309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693096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693096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693096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93096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semiHidden/>
    <w:unhideWhenUsed/>
    <w:rsid w:val="00693096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693096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93096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93096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693096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69309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9309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9309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9309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9309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9309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9309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9309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693096"/>
    <w:rPr>
      <w:sz w:val="16"/>
    </w:rPr>
  </w:style>
  <w:style w:type="table" w:customStyle="1" w:styleId="CFlag">
    <w:name w:val="CFlag"/>
    <w:basedOn w:val="TableNormal"/>
    <w:uiPriority w:val="99"/>
    <w:rsid w:val="00693096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69309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93096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693096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69309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69309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9309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9309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9309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9309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9309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9309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69309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9309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93096"/>
  </w:style>
  <w:style w:type="character" w:customStyle="1" w:styleId="CharSubPartNoCASA">
    <w:name w:val="CharSubPartNo(CASA)"/>
    <w:basedOn w:val="OPCCharBase"/>
    <w:uiPriority w:val="1"/>
    <w:rsid w:val="00693096"/>
  </w:style>
  <w:style w:type="paragraph" w:customStyle="1" w:styleId="ENoteTTIndentHeadingSub">
    <w:name w:val="ENoteTTIndentHeadingSub"/>
    <w:aliases w:val="enTTHis"/>
    <w:basedOn w:val="OPCParaBase"/>
    <w:rsid w:val="0069309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9309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9309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9309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69309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693096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9309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93096"/>
    <w:rPr>
      <w:sz w:val="22"/>
    </w:rPr>
  </w:style>
  <w:style w:type="paragraph" w:customStyle="1" w:styleId="SOTextNote">
    <w:name w:val="SO TextNote"/>
    <w:aliases w:val="sont"/>
    <w:basedOn w:val="SOText"/>
    <w:qFormat/>
    <w:rsid w:val="0069309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9309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93096"/>
    <w:rPr>
      <w:sz w:val="22"/>
    </w:rPr>
  </w:style>
  <w:style w:type="paragraph" w:customStyle="1" w:styleId="FileName">
    <w:name w:val="FileName"/>
    <w:basedOn w:val="Normal"/>
    <w:rsid w:val="00693096"/>
  </w:style>
  <w:style w:type="paragraph" w:customStyle="1" w:styleId="TableHeading">
    <w:name w:val="TableHeading"/>
    <w:aliases w:val="th"/>
    <w:basedOn w:val="OPCParaBase"/>
    <w:next w:val="Tabletext"/>
    <w:rsid w:val="0069309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9309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9309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9309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9309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9309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9309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9309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9309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9309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9309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9309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69309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93096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69309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9309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69309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9309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9309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9309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93096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693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693096"/>
  </w:style>
  <w:style w:type="numbering" w:styleId="111111">
    <w:name w:val="Outline List 2"/>
    <w:basedOn w:val="NoList"/>
    <w:uiPriority w:val="99"/>
    <w:semiHidden/>
    <w:unhideWhenUsed/>
    <w:rsid w:val="00693096"/>
    <w:pPr>
      <w:numPr>
        <w:numId w:val="13"/>
      </w:numPr>
    </w:pPr>
  </w:style>
  <w:style w:type="numbering" w:styleId="1ai">
    <w:name w:val="Outline List 1"/>
    <w:basedOn w:val="NoList"/>
    <w:uiPriority w:val="99"/>
    <w:semiHidden/>
    <w:unhideWhenUsed/>
    <w:rsid w:val="00693096"/>
    <w:pPr>
      <w:numPr>
        <w:numId w:val="14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6930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09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09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096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096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09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09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0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0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693096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309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096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93096"/>
  </w:style>
  <w:style w:type="paragraph" w:styleId="BlockText">
    <w:name w:val="Block Text"/>
    <w:basedOn w:val="Normal"/>
    <w:uiPriority w:val="99"/>
    <w:semiHidden/>
    <w:unhideWhenUsed/>
    <w:rsid w:val="0069309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930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93096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9309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93096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9309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9309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9309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93096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9309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93096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93096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93096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9309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93096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9309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93096"/>
    <w:rPr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693096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3096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93096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93096"/>
    <w:rPr>
      <w:sz w:val="22"/>
    </w:rPr>
  </w:style>
  <w:style w:type="table" w:styleId="ColorfulGrid">
    <w:name w:val="Colorful Grid"/>
    <w:basedOn w:val="TableNormal"/>
    <w:uiPriority w:val="73"/>
    <w:semiHidden/>
    <w:unhideWhenUsed/>
    <w:rsid w:val="0069309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9309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9309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9309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9309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9309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9309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93096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93096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93096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93096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93096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93096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93096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9309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9309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9309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93096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93096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93096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93096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930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309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309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0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096"/>
    <w:rPr>
      <w:b/>
      <w:bCs/>
    </w:rPr>
  </w:style>
  <w:style w:type="table" w:styleId="DarkList">
    <w:name w:val="Dark List"/>
    <w:basedOn w:val="TableNormal"/>
    <w:uiPriority w:val="70"/>
    <w:semiHidden/>
    <w:unhideWhenUsed/>
    <w:rsid w:val="00693096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93096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93096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93096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93096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93096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93096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93096"/>
  </w:style>
  <w:style w:type="character" w:customStyle="1" w:styleId="DateChar">
    <w:name w:val="Date Char"/>
    <w:basedOn w:val="DefaultParagraphFont"/>
    <w:link w:val="Date"/>
    <w:uiPriority w:val="99"/>
    <w:semiHidden/>
    <w:rsid w:val="00693096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93096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9309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93096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93096"/>
    <w:rPr>
      <w:sz w:val="22"/>
    </w:rPr>
  </w:style>
  <w:style w:type="character" w:styleId="Emphasis">
    <w:name w:val="Emphasis"/>
    <w:basedOn w:val="DefaultParagraphFont"/>
    <w:uiPriority w:val="20"/>
    <w:qFormat/>
    <w:rsid w:val="00693096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9309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3096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3096"/>
  </w:style>
  <w:style w:type="paragraph" w:styleId="EnvelopeAddress">
    <w:name w:val="envelope address"/>
    <w:basedOn w:val="Normal"/>
    <w:uiPriority w:val="99"/>
    <w:semiHidden/>
    <w:unhideWhenUsed/>
    <w:rsid w:val="0069309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93096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93096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9309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096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096"/>
  </w:style>
  <w:style w:type="table" w:styleId="GridTable1Light">
    <w:name w:val="Grid Table 1 Light"/>
    <w:basedOn w:val="TableNormal"/>
    <w:uiPriority w:val="46"/>
    <w:rsid w:val="0069309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9309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93096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93096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93096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9309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9309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9309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93096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93096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93096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93096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93096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93096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69309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9309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9309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9309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9309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9309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9309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9309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9309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9309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9309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9309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9309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9309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9309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9309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9309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9309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9309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9309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9309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9309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9309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9309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9309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9309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9309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9309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9309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9309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9309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9309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9309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9309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9309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693096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693096"/>
  </w:style>
  <w:style w:type="paragraph" w:styleId="HTMLAddress">
    <w:name w:val="HTML Address"/>
    <w:basedOn w:val="Normal"/>
    <w:link w:val="HTMLAddressChar"/>
    <w:uiPriority w:val="99"/>
    <w:semiHidden/>
    <w:unhideWhenUsed/>
    <w:rsid w:val="00693096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93096"/>
    <w:rPr>
      <w:i/>
      <w:iCs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69309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93096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9309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93096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93096"/>
    <w:pPr>
      <w:spacing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93096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unhideWhenUsed/>
    <w:rsid w:val="0069309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93096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9309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93096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93096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93096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93096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93096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93096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93096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93096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93096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93096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9309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693096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09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096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693096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69309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9309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9309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9309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9309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9309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9309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9309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9309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9309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9309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9309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9309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9309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9309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9309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93096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93096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93096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93096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93096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69309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9309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9309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9309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9309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69309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9309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9309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9309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9309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9309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9309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9309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9309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93096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69309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9309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9309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9309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9309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69309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9309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9309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9309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9309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9309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9309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9309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693096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93096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93096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93096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93096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93096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93096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69309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9309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93096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93096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93096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9309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9309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9309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9309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9309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9309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9309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9309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9309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93096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93096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93096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93096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93096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93096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93096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9309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9309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9309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9309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9309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9309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9309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93096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93096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93096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93096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93096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93096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93096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9309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93096"/>
    <w:rPr>
      <w:rFonts w:ascii="Consolas" w:hAnsi="Consolas"/>
    </w:rPr>
  </w:style>
  <w:style w:type="table" w:styleId="MediumGrid1">
    <w:name w:val="Medium Grid 1"/>
    <w:basedOn w:val="TableNormal"/>
    <w:uiPriority w:val="67"/>
    <w:semiHidden/>
    <w:unhideWhenUsed/>
    <w:rsid w:val="0069309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9309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9309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9309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9309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9309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9309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9309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9309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9309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9309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9309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9309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9309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9309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9309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9309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9309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9309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9309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9309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9309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93096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93096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93096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93096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93096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93096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9309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9309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9309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9309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9309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9309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9309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9309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9309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9309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9309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9309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9309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9309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9309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9309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9309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9309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9309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9309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9309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693096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9309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9309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693096"/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693096"/>
    <w:rPr>
      <w:rFonts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9309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93096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93096"/>
    <w:rPr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693096"/>
  </w:style>
  <w:style w:type="character" w:styleId="PlaceholderText">
    <w:name w:val="Placeholder Text"/>
    <w:basedOn w:val="DefaultParagraphFont"/>
    <w:uiPriority w:val="99"/>
    <w:semiHidden/>
    <w:rsid w:val="00693096"/>
    <w:rPr>
      <w:color w:val="808080"/>
    </w:rPr>
  </w:style>
  <w:style w:type="table" w:styleId="PlainTable1">
    <w:name w:val="Plain Table 1"/>
    <w:basedOn w:val="TableNormal"/>
    <w:uiPriority w:val="41"/>
    <w:rsid w:val="0069309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9309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9309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9309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9309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93096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309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69309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096"/>
    <w:rPr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9309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93096"/>
    <w:rPr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93096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93096"/>
    <w:rPr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693096"/>
    <w:rPr>
      <w:u w:val="dotted"/>
    </w:rPr>
  </w:style>
  <w:style w:type="character" w:styleId="Strong">
    <w:name w:val="Strong"/>
    <w:basedOn w:val="DefaultParagraphFont"/>
    <w:uiPriority w:val="22"/>
    <w:qFormat/>
    <w:rsid w:val="0069309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096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93096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69309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693096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93096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93096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93096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93096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93096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93096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93096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93096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93096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93096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93096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93096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93096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93096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93096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93096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93096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93096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93096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93096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93096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93096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93096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93096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93096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9309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93096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93096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93096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93096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93096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93096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93096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93096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93096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93096"/>
  </w:style>
  <w:style w:type="table" w:styleId="TableProfessional">
    <w:name w:val="Table Professional"/>
    <w:basedOn w:val="TableNormal"/>
    <w:uiPriority w:val="99"/>
    <w:semiHidden/>
    <w:unhideWhenUsed/>
    <w:rsid w:val="00693096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93096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93096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93096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93096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93096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93096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93096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93096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93096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9309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69309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3096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6930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1655</Words>
  <Characters>9437</Characters>
  <Application>Microsoft Office Word</Application>
  <DocSecurity>2</DocSecurity>
  <PresentationFormat/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draft: Treasury Laws Amendment Bill 2025: Miscellaneous and technical amendments (Autumn 2025)</vt:lpstr>
    </vt:vector>
  </TitlesOfParts>
  <Manager/>
  <Company/>
  <LinksUpToDate>false</LinksUpToDate>
  <CharactersWithSpaces>11070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draft: Treasury Laws Amendment Bill 2025: Miscellaneous and technical amendments (Autumn 2025)</dc:title>
  <dc:subject/>
  <dc:creator/>
  <cp:keywords/>
  <dc:description/>
  <cp:lastModifiedBy/>
  <cp:revision>1</cp:revision>
  <dcterms:created xsi:type="dcterms:W3CDTF">2025-01-17T03:09:00Z</dcterms:created>
  <dcterms:modified xsi:type="dcterms:W3CDTF">2025-01-19T21:53:00Z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EXPOSURE DRAFT</vt:lpwstr>
  </property>
  <property fmtid="{D5CDD505-2E9C-101B-9397-08002B2CF9AE}" pid="3" name="MSIP_Label_4f932d64-9ab1-4d9b-81d2-a3a8b82dd47d_Enabled">
    <vt:lpwstr>true</vt:lpwstr>
  </property>
  <property fmtid="{D5CDD505-2E9C-101B-9397-08002B2CF9AE}" pid="4" name="MSIP_Label_4f932d64-9ab1-4d9b-81d2-a3a8b82dd47d_SetDate">
    <vt:lpwstr>2025-01-17T03:12:35Z</vt:lpwstr>
  </property>
  <property fmtid="{D5CDD505-2E9C-101B-9397-08002B2CF9AE}" pid="5" name="MSIP_Label_4f932d64-9ab1-4d9b-81d2-a3a8b82dd47d_Method">
    <vt:lpwstr>Privileged</vt:lpwstr>
  </property>
  <property fmtid="{D5CDD505-2E9C-101B-9397-08002B2CF9AE}" pid="6" name="MSIP_Label_4f932d64-9ab1-4d9b-81d2-a3a8b82dd47d_Name">
    <vt:lpwstr>OFFICIAL No Visual Marking</vt:lpwstr>
  </property>
  <property fmtid="{D5CDD505-2E9C-101B-9397-08002B2CF9AE}" pid="7" name="MSIP_Label_4f932d64-9ab1-4d9b-81d2-a3a8b82dd47d_SiteId">
    <vt:lpwstr>214f1646-2021-47cc-8397-e3d3a7ba7d9d</vt:lpwstr>
  </property>
  <property fmtid="{D5CDD505-2E9C-101B-9397-08002B2CF9AE}" pid="8" name="MSIP_Label_4f932d64-9ab1-4d9b-81d2-a3a8b82dd47d_ActionId">
    <vt:lpwstr>0c06be5e-6bb4-478d-b630-878ab247f2e9</vt:lpwstr>
  </property>
  <property fmtid="{D5CDD505-2E9C-101B-9397-08002B2CF9AE}" pid="9" name="MSIP_Label_4f932d64-9ab1-4d9b-81d2-a3a8b82dd47d_ContentBits">
    <vt:lpwstr>0</vt:lpwstr>
  </property>
</Properties>
</file>